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Ex1.xml" ContentType="application/vnd.ms-office.chartex+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6.xml" ContentType="application/vnd.openxmlformats-officedocument.themeOverride+xml"/>
  <Override PartName="/word/charts/chartEx2.xml" ContentType="application/vnd.ms-office.chartex+xml"/>
  <Override PartName="/word/charts/style17.xml" ContentType="application/vnd.ms-office.chartstyle+xml"/>
  <Override PartName="/word/charts/colors17.xml" ContentType="application/vnd.ms-office.chartcolorstyle+xml"/>
  <Override PartName="/word/charts/chart16.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9.xml" ContentType="application/vnd.openxmlformats-officedocument.themeOverride+xml"/>
  <Override PartName="/word/charts/chart19.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0.xml" ContentType="application/vnd.openxmlformats-officedocument.themeOverride+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74D95" w14:textId="77777777" w:rsidR="001D2D96" w:rsidRDefault="001D2D96" w:rsidP="00A01B4B">
      <w:bookmarkStart w:id="0" w:name="_Toc407621649"/>
    </w:p>
    <w:p w14:paraId="068C371E" w14:textId="0B86B891" w:rsidR="004406E2" w:rsidRDefault="00000000" w:rsidP="00A01B4B">
      <w:pPr>
        <w:jc w:val="center"/>
      </w:pPr>
      <w:r>
        <w:pict w14:anchorId="33EAE1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pt;height:29.4pt" fillcolor="#ffc000">
            <v:shadow color="#868686"/>
            <v:textpath style="font-family:&quot;Arial Black&quot;;v-text-kern:t" trim="t" fitpath="t" string="Program rozvoje obce Staré Buky"/>
          </v:shape>
        </w:pict>
      </w:r>
    </w:p>
    <w:p w14:paraId="4C2B1E03" w14:textId="28A15FEC" w:rsidR="00FE219F" w:rsidRDefault="00FE219F" w:rsidP="00FE219F"/>
    <w:p w14:paraId="2D2B480F" w14:textId="33681B5B" w:rsidR="00FE219F" w:rsidRDefault="00FE219F" w:rsidP="00FE219F">
      <w:pPr>
        <w:jc w:val="center"/>
      </w:pPr>
    </w:p>
    <w:p w14:paraId="3BEE3DD0" w14:textId="77777777" w:rsidR="001D2D96" w:rsidRDefault="001D2D96" w:rsidP="00FE219F">
      <w:pPr>
        <w:jc w:val="center"/>
      </w:pPr>
    </w:p>
    <w:p w14:paraId="707841A9" w14:textId="6A0D304B" w:rsidR="00FE219F" w:rsidRDefault="00BD7B7D" w:rsidP="00FE219F">
      <w:pPr>
        <w:jc w:val="center"/>
      </w:pPr>
      <w:r>
        <w:rPr>
          <w:noProof/>
        </w:rPr>
        <w:drawing>
          <wp:inline distT="0" distB="0" distL="0" distR="0" wp14:anchorId="170292C7" wp14:editId="357BA8FE">
            <wp:extent cx="4343400" cy="4303183"/>
            <wp:effectExtent l="0" t="0" r="0" b="0"/>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Obrázek 266"/>
                    <pic:cNvPicPr/>
                  </pic:nvPicPr>
                  <pic:blipFill>
                    <a:blip r:embed="rId8">
                      <a:extLst>
                        <a:ext uri="{28A0092B-C50C-407E-A947-70E740481C1C}">
                          <a14:useLocalDpi xmlns:a14="http://schemas.microsoft.com/office/drawing/2010/main" val="0"/>
                        </a:ext>
                      </a:extLst>
                    </a:blip>
                    <a:stretch>
                      <a:fillRect/>
                    </a:stretch>
                  </pic:blipFill>
                  <pic:spPr>
                    <a:xfrm>
                      <a:off x="0" y="0"/>
                      <a:ext cx="4351196" cy="4310907"/>
                    </a:xfrm>
                    <a:prstGeom prst="rect">
                      <a:avLst/>
                    </a:prstGeom>
                  </pic:spPr>
                </pic:pic>
              </a:graphicData>
            </a:graphic>
          </wp:inline>
        </w:drawing>
      </w:r>
    </w:p>
    <w:p w14:paraId="4FC04B2C" w14:textId="2399DAD5" w:rsidR="00B75CFA" w:rsidRDefault="00B75CFA" w:rsidP="00FE219F">
      <w:pPr>
        <w:jc w:val="center"/>
        <w:rPr>
          <w:sz w:val="40"/>
        </w:rPr>
      </w:pPr>
    </w:p>
    <w:p w14:paraId="507BE4E8" w14:textId="58EECADE" w:rsidR="00FE219F" w:rsidRDefault="00BF786B" w:rsidP="008377D7">
      <w:pPr>
        <w:spacing w:after="240"/>
        <w:jc w:val="center"/>
        <w:rPr>
          <w:sz w:val="40"/>
        </w:rPr>
      </w:pPr>
      <w:r>
        <w:rPr>
          <w:sz w:val="40"/>
        </w:rPr>
        <w:t>n</w:t>
      </w:r>
      <w:r w:rsidR="005B631C">
        <w:rPr>
          <w:sz w:val="40"/>
        </w:rPr>
        <w:t>a</w:t>
      </w:r>
      <w:r>
        <w:rPr>
          <w:sz w:val="40"/>
        </w:rPr>
        <w:t xml:space="preserve"> </w:t>
      </w:r>
      <w:r w:rsidR="00FE219F" w:rsidRPr="00B9456E">
        <w:rPr>
          <w:sz w:val="40"/>
        </w:rPr>
        <w:t>období let 20</w:t>
      </w:r>
      <w:r w:rsidR="00A4024B">
        <w:rPr>
          <w:sz w:val="40"/>
        </w:rPr>
        <w:t>2</w:t>
      </w:r>
      <w:r w:rsidR="00AF7CAE">
        <w:rPr>
          <w:sz w:val="40"/>
        </w:rPr>
        <w:t>2</w:t>
      </w:r>
      <w:r w:rsidR="00FE219F" w:rsidRPr="00B9456E">
        <w:rPr>
          <w:sz w:val="40"/>
        </w:rPr>
        <w:t>-20</w:t>
      </w:r>
      <w:r w:rsidR="00EC78C4">
        <w:rPr>
          <w:sz w:val="40"/>
        </w:rPr>
        <w:t>3</w:t>
      </w:r>
      <w:r w:rsidR="00AF7CAE">
        <w:rPr>
          <w:sz w:val="40"/>
        </w:rPr>
        <w:t>1</w:t>
      </w:r>
    </w:p>
    <w:p w14:paraId="3C098381" w14:textId="77777777" w:rsidR="00FE219F" w:rsidRPr="004E60D3" w:rsidRDefault="00FE219F" w:rsidP="00FE219F">
      <w:pPr>
        <w:jc w:val="center"/>
        <w:rPr>
          <w:sz w:val="28"/>
          <w:szCs w:val="28"/>
        </w:rPr>
      </w:pPr>
    </w:p>
    <w:p w14:paraId="227100DA" w14:textId="4CCB4E3E" w:rsidR="00FE219F" w:rsidRPr="00537540" w:rsidRDefault="00A00028" w:rsidP="00FE219F">
      <w:pPr>
        <w:jc w:val="center"/>
        <w:rPr>
          <w:b/>
          <w:sz w:val="36"/>
          <w:szCs w:val="36"/>
        </w:rPr>
      </w:pPr>
      <w:r>
        <w:rPr>
          <w:b/>
          <w:noProof/>
          <w:sz w:val="36"/>
          <w:szCs w:val="36"/>
        </w:rPr>
        <w:drawing>
          <wp:inline distT="0" distB="0" distL="0" distR="0" wp14:anchorId="2E85848E" wp14:editId="3E5A31A8">
            <wp:extent cx="1447800" cy="158229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9">
                      <a:extLst>
                        <a:ext uri="{28A0092B-C50C-407E-A947-70E740481C1C}">
                          <a14:useLocalDpi xmlns:a14="http://schemas.microsoft.com/office/drawing/2010/main" val="0"/>
                        </a:ext>
                      </a:extLst>
                    </a:blip>
                    <a:stretch>
                      <a:fillRect/>
                    </a:stretch>
                  </pic:blipFill>
                  <pic:spPr>
                    <a:xfrm>
                      <a:off x="0" y="0"/>
                      <a:ext cx="1455485" cy="1590694"/>
                    </a:xfrm>
                    <a:prstGeom prst="rect">
                      <a:avLst/>
                    </a:prstGeom>
                  </pic:spPr>
                </pic:pic>
              </a:graphicData>
            </a:graphic>
          </wp:inline>
        </w:drawing>
      </w:r>
    </w:p>
    <w:p w14:paraId="643A5D3F" w14:textId="77777777" w:rsidR="00FE219F" w:rsidRDefault="00FE219F" w:rsidP="00FE219F">
      <w:pPr>
        <w:jc w:val="center"/>
        <w:rPr>
          <w:sz w:val="28"/>
          <w:szCs w:val="28"/>
        </w:rPr>
      </w:pPr>
    </w:p>
    <w:p w14:paraId="20AFC925" w14:textId="77777777" w:rsidR="008377D7" w:rsidRDefault="008377D7" w:rsidP="00FE219F">
      <w:pPr>
        <w:jc w:val="center"/>
        <w:rPr>
          <w:sz w:val="28"/>
          <w:szCs w:val="28"/>
        </w:rPr>
      </w:pPr>
    </w:p>
    <w:p w14:paraId="2E18209D" w14:textId="47A6E1A8" w:rsidR="00634FED" w:rsidRPr="00A01B4B" w:rsidRDefault="00C20E52" w:rsidP="00FE219F">
      <w:pPr>
        <w:jc w:val="center"/>
        <w:rPr>
          <w:sz w:val="28"/>
          <w:szCs w:val="28"/>
        </w:rPr>
        <w:sectPr w:rsidR="00634FED" w:rsidRPr="00A01B4B" w:rsidSect="004160B4">
          <w:footerReference w:type="default" r:id="rId10"/>
          <w:pgSz w:w="11906" w:h="16838"/>
          <w:pgMar w:top="1417" w:right="1417" w:bottom="1417" w:left="1417" w:header="709" w:footer="709" w:gutter="0"/>
          <w:cols w:space="708"/>
          <w:docGrid w:linePitch="360"/>
        </w:sectPr>
      </w:pPr>
      <w:r>
        <w:rPr>
          <w:sz w:val="28"/>
          <w:szCs w:val="28"/>
        </w:rPr>
        <w:t>Listopad</w:t>
      </w:r>
      <w:r w:rsidR="00777007">
        <w:rPr>
          <w:sz w:val="28"/>
          <w:szCs w:val="28"/>
        </w:rPr>
        <w:t xml:space="preserve"> 2022</w:t>
      </w:r>
    </w:p>
    <w:p w14:paraId="6EA801FF" w14:textId="5250C516" w:rsidR="00B825DF" w:rsidRDefault="00B825DF" w:rsidP="00B825DF">
      <w:r>
        <w:lastRenderedPageBreak/>
        <w:t xml:space="preserve">  </w:t>
      </w:r>
    </w:p>
    <w:p w14:paraId="3E61811B" w14:textId="77777777" w:rsidR="00B825DF" w:rsidRDefault="00B825DF" w:rsidP="00B825DF">
      <w:pPr>
        <w:spacing w:line="204" w:lineRule="auto"/>
      </w:pPr>
    </w:p>
    <w:p w14:paraId="3DA2D12F" w14:textId="77777777" w:rsidR="00B825DF" w:rsidRDefault="00B825DF" w:rsidP="00B825DF">
      <w:pPr>
        <w:jc w:val="center"/>
        <w:rPr>
          <w:b/>
          <w:sz w:val="24"/>
          <w:szCs w:val="24"/>
        </w:rPr>
      </w:pPr>
    </w:p>
    <w:p w14:paraId="2A3FD2E4" w14:textId="77777777" w:rsidR="00B825DF" w:rsidRDefault="00B825DF" w:rsidP="00B825DF">
      <w:pPr>
        <w:jc w:val="center"/>
        <w:rPr>
          <w:b/>
          <w:sz w:val="24"/>
          <w:szCs w:val="24"/>
        </w:rPr>
      </w:pPr>
    </w:p>
    <w:p w14:paraId="6D8A2DFF" w14:textId="77777777" w:rsidR="00B825DF" w:rsidRDefault="00B825DF" w:rsidP="00B825DF">
      <w:pPr>
        <w:tabs>
          <w:tab w:val="left" w:pos="3096"/>
        </w:tabs>
        <w:rPr>
          <w:b/>
          <w:sz w:val="24"/>
          <w:szCs w:val="24"/>
        </w:rPr>
      </w:pPr>
      <w:r>
        <w:rPr>
          <w:b/>
          <w:sz w:val="24"/>
          <w:szCs w:val="24"/>
        </w:rPr>
        <w:tab/>
      </w:r>
    </w:p>
    <w:p w14:paraId="6913802D" w14:textId="77777777" w:rsidR="00B825DF" w:rsidRDefault="00B825DF" w:rsidP="00B825DF">
      <w:pPr>
        <w:jc w:val="center"/>
        <w:rPr>
          <w:b/>
          <w:sz w:val="24"/>
          <w:szCs w:val="24"/>
        </w:rPr>
      </w:pPr>
    </w:p>
    <w:p w14:paraId="2C2937F5" w14:textId="77777777" w:rsidR="00B825DF" w:rsidRDefault="00B825DF" w:rsidP="00B825DF">
      <w:pPr>
        <w:jc w:val="center"/>
        <w:rPr>
          <w:b/>
          <w:sz w:val="24"/>
          <w:szCs w:val="24"/>
        </w:rPr>
      </w:pPr>
    </w:p>
    <w:p w14:paraId="44548446" w14:textId="77777777" w:rsidR="00B825DF" w:rsidRDefault="00B825DF" w:rsidP="00B825DF">
      <w:pPr>
        <w:jc w:val="center"/>
        <w:rPr>
          <w:b/>
          <w:sz w:val="24"/>
          <w:szCs w:val="24"/>
        </w:rPr>
      </w:pPr>
    </w:p>
    <w:p w14:paraId="79635C33" w14:textId="77777777" w:rsidR="00B825DF" w:rsidRDefault="00B825DF" w:rsidP="00B825DF">
      <w:pPr>
        <w:jc w:val="center"/>
        <w:rPr>
          <w:b/>
          <w:sz w:val="24"/>
          <w:szCs w:val="24"/>
        </w:rPr>
      </w:pPr>
    </w:p>
    <w:p w14:paraId="73D50A82" w14:textId="77777777" w:rsidR="00B825DF" w:rsidRDefault="00B825DF" w:rsidP="00B825DF">
      <w:pPr>
        <w:rPr>
          <w:b/>
          <w:sz w:val="24"/>
          <w:szCs w:val="24"/>
        </w:rPr>
      </w:pPr>
    </w:p>
    <w:p w14:paraId="4F011257" w14:textId="77777777" w:rsidR="00D02DB7" w:rsidRDefault="00D02DB7" w:rsidP="00B825DF">
      <w:pPr>
        <w:rPr>
          <w:b/>
          <w:sz w:val="24"/>
          <w:szCs w:val="24"/>
        </w:rPr>
      </w:pPr>
    </w:p>
    <w:p w14:paraId="772969D8" w14:textId="77777777" w:rsidR="00D02DB7" w:rsidRDefault="00D02DB7" w:rsidP="00B825DF">
      <w:pPr>
        <w:rPr>
          <w:b/>
          <w:sz w:val="24"/>
          <w:szCs w:val="24"/>
        </w:rPr>
      </w:pPr>
    </w:p>
    <w:p w14:paraId="0ACE864C" w14:textId="77777777" w:rsidR="00D02DB7" w:rsidRDefault="00D02DB7" w:rsidP="00B825DF">
      <w:pPr>
        <w:rPr>
          <w:b/>
          <w:sz w:val="24"/>
          <w:szCs w:val="24"/>
        </w:rPr>
      </w:pPr>
    </w:p>
    <w:p w14:paraId="3002CAC8" w14:textId="77777777" w:rsidR="00D02DB7" w:rsidRDefault="00D02DB7" w:rsidP="00B825DF">
      <w:pPr>
        <w:rPr>
          <w:b/>
          <w:sz w:val="24"/>
          <w:szCs w:val="24"/>
        </w:rPr>
      </w:pPr>
    </w:p>
    <w:p w14:paraId="762A24D5" w14:textId="77777777" w:rsidR="00D02DB7" w:rsidRDefault="00D02DB7" w:rsidP="00B825DF">
      <w:pPr>
        <w:rPr>
          <w:b/>
          <w:sz w:val="24"/>
          <w:szCs w:val="24"/>
        </w:rPr>
      </w:pPr>
    </w:p>
    <w:p w14:paraId="49D3F8D6" w14:textId="77777777" w:rsidR="00D02DB7" w:rsidRDefault="00D02DB7" w:rsidP="00B825DF">
      <w:pPr>
        <w:rPr>
          <w:b/>
          <w:sz w:val="24"/>
          <w:szCs w:val="24"/>
        </w:rPr>
      </w:pPr>
    </w:p>
    <w:p w14:paraId="2A6DBCE2" w14:textId="77777777" w:rsidR="00B825DF" w:rsidRDefault="00B825DF" w:rsidP="00B825DF">
      <w:pPr>
        <w:rPr>
          <w:b/>
          <w:sz w:val="24"/>
          <w:szCs w:val="24"/>
        </w:rPr>
      </w:pPr>
    </w:p>
    <w:p w14:paraId="4EF3E239" w14:textId="77777777" w:rsidR="00B825DF" w:rsidRDefault="00B825DF" w:rsidP="00B825DF">
      <w:pPr>
        <w:rPr>
          <w:b/>
          <w:sz w:val="24"/>
          <w:szCs w:val="24"/>
        </w:rPr>
      </w:pPr>
    </w:p>
    <w:p w14:paraId="0A67423E" w14:textId="77777777" w:rsidR="00B825DF" w:rsidRDefault="00B825DF" w:rsidP="00B825DF">
      <w:pPr>
        <w:rPr>
          <w:b/>
          <w:sz w:val="24"/>
          <w:szCs w:val="24"/>
        </w:rPr>
      </w:pPr>
    </w:p>
    <w:p w14:paraId="714972DE" w14:textId="77777777" w:rsidR="00EB29C5" w:rsidRDefault="00EB29C5" w:rsidP="00B825DF">
      <w:pPr>
        <w:rPr>
          <w:b/>
          <w:sz w:val="24"/>
          <w:szCs w:val="24"/>
        </w:rPr>
      </w:pPr>
    </w:p>
    <w:p w14:paraId="102422DD" w14:textId="77777777" w:rsidR="00EB29C5" w:rsidRDefault="00EB29C5" w:rsidP="00B825DF">
      <w:pPr>
        <w:rPr>
          <w:b/>
          <w:sz w:val="24"/>
          <w:szCs w:val="24"/>
        </w:rPr>
      </w:pPr>
    </w:p>
    <w:p w14:paraId="7DCF5AB5" w14:textId="77777777" w:rsidR="00EB29C5" w:rsidRDefault="00EB29C5" w:rsidP="00B825DF">
      <w:pPr>
        <w:rPr>
          <w:b/>
          <w:sz w:val="24"/>
          <w:szCs w:val="24"/>
        </w:rPr>
      </w:pPr>
    </w:p>
    <w:p w14:paraId="7233C370" w14:textId="77777777" w:rsidR="00EB29C5" w:rsidRDefault="00EB29C5" w:rsidP="00B825DF">
      <w:pPr>
        <w:rPr>
          <w:b/>
          <w:sz w:val="24"/>
          <w:szCs w:val="24"/>
        </w:rPr>
      </w:pPr>
    </w:p>
    <w:p w14:paraId="3E62EA20" w14:textId="77777777" w:rsidR="00EB29C5" w:rsidRDefault="00EB29C5" w:rsidP="00B825DF">
      <w:pPr>
        <w:rPr>
          <w:b/>
          <w:sz w:val="24"/>
          <w:szCs w:val="24"/>
        </w:rPr>
      </w:pPr>
    </w:p>
    <w:p w14:paraId="27BEEE6A" w14:textId="77777777" w:rsidR="00EB29C5" w:rsidRDefault="00EB29C5" w:rsidP="00B825DF">
      <w:pPr>
        <w:rPr>
          <w:b/>
          <w:sz w:val="24"/>
          <w:szCs w:val="24"/>
        </w:rPr>
      </w:pPr>
    </w:p>
    <w:p w14:paraId="6FD5CE44" w14:textId="77777777" w:rsidR="00EB29C5" w:rsidRDefault="00EB29C5" w:rsidP="00B825DF">
      <w:pPr>
        <w:rPr>
          <w:b/>
          <w:sz w:val="24"/>
          <w:szCs w:val="24"/>
        </w:rPr>
      </w:pPr>
    </w:p>
    <w:p w14:paraId="3DF5C0ED" w14:textId="77777777" w:rsidR="00EB29C5" w:rsidRDefault="00EB29C5" w:rsidP="00B825DF">
      <w:pPr>
        <w:rPr>
          <w:b/>
          <w:sz w:val="24"/>
          <w:szCs w:val="24"/>
        </w:rPr>
      </w:pPr>
    </w:p>
    <w:p w14:paraId="7BEE6CC1" w14:textId="77777777" w:rsidR="00EB29C5" w:rsidRDefault="00EB29C5" w:rsidP="00B825DF">
      <w:pPr>
        <w:rPr>
          <w:b/>
          <w:sz w:val="24"/>
          <w:szCs w:val="24"/>
        </w:rPr>
      </w:pPr>
    </w:p>
    <w:p w14:paraId="1C332731" w14:textId="77777777" w:rsidR="00EB29C5" w:rsidRDefault="00EB29C5" w:rsidP="00B825DF">
      <w:pPr>
        <w:rPr>
          <w:b/>
          <w:sz w:val="24"/>
          <w:szCs w:val="24"/>
        </w:rPr>
      </w:pPr>
    </w:p>
    <w:p w14:paraId="6B6EF98A" w14:textId="77777777" w:rsidR="00EB29C5" w:rsidRDefault="00EB29C5" w:rsidP="00B825DF">
      <w:pPr>
        <w:rPr>
          <w:b/>
          <w:sz w:val="24"/>
          <w:szCs w:val="24"/>
        </w:rPr>
      </w:pPr>
    </w:p>
    <w:p w14:paraId="0559E968" w14:textId="77777777" w:rsidR="00EB29C5" w:rsidRDefault="00EB29C5" w:rsidP="00B825DF">
      <w:pPr>
        <w:rPr>
          <w:b/>
          <w:sz w:val="24"/>
          <w:szCs w:val="24"/>
        </w:rPr>
      </w:pPr>
    </w:p>
    <w:p w14:paraId="12EFCA3B" w14:textId="77777777" w:rsidR="00EB29C5" w:rsidRDefault="00EB29C5" w:rsidP="00B825DF">
      <w:pPr>
        <w:rPr>
          <w:b/>
          <w:sz w:val="24"/>
          <w:szCs w:val="24"/>
        </w:rPr>
      </w:pPr>
    </w:p>
    <w:p w14:paraId="3FC9E51F" w14:textId="77777777" w:rsidR="00EB29C5" w:rsidRDefault="00EB29C5" w:rsidP="00B825DF">
      <w:pPr>
        <w:rPr>
          <w:b/>
          <w:sz w:val="24"/>
          <w:szCs w:val="24"/>
        </w:rPr>
      </w:pPr>
    </w:p>
    <w:p w14:paraId="05B0E015" w14:textId="2946091F" w:rsidR="00EB29C5" w:rsidRDefault="00EB29C5" w:rsidP="00B825DF">
      <w:pPr>
        <w:rPr>
          <w:b/>
          <w:sz w:val="24"/>
          <w:szCs w:val="24"/>
        </w:rPr>
      </w:pPr>
    </w:p>
    <w:p w14:paraId="7ED8B94F" w14:textId="5B49FDBD" w:rsidR="00EB29C5" w:rsidRDefault="00EB29C5" w:rsidP="00B825DF">
      <w:pPr>
        <w:rPr>
          <w:b/>
          <w:sz w:val="24"/>
          <w:szCs w:val="24"/>
        </w:rPr>
      </w:pPr>
    </w:p>
    <w:p w14:paraId="4098272F" w14:textId="77777777" w:rsidR="00EB29C5" w:rsidRDefault="00EB29C5" w:rsidP="00B825DF">
      <w:pPr>
        <w:rPr>
          <w:b/>
          <w:sz w:val="24"/>
          <w:szCs w:val="24"/>
        </w:rPr>
      </w:pPr>
    </w:p>
    <w:p w14:paraId="6E6D6F22" w14:textId="77777777" w:rsidR="00EB29C5" w:rsidRDefault="00EB29C5" w:rsidP="00EB29C5">
      <w:pPr>
        <w:rPr>
          <w:rFonts w:ascii="Calibri" w:eastAsia="Calibri" w:hAnsi="Calibri" w:cs="Times New Roman"/>
          <w:color w:val="0000FF"/>
          <w:sz w:val="24"/>
          <w:szCs w:val="24"/>
          <w:u w:val="single"/>
        </w:rPr>
      </w:pPr>
    </w:p>
    <w:p w14:paraId="6EED864C" w14:textId="77777777" w:rsidR="00EB29C5" w:rsidRDefault="00EB29C5" w:rsidP="00EB29C5">
      <w:pPr>
        <w:rPr>
          <w:rFonts w:ascii="Calibri" w:eastAsia="Calibri" w:hAnsi="Calibri" w:cs="Times New Roman"/>
          <w:color w:val="0000FF"/>
          <w:sz w:val="24"/>
          <w:szCs w:val="24"/>
          <w:u w:val="single"/>
        </w:rPr>
      </w:pPr>
    </w:p>
    <w:p w14:paraId="7D3A806A" w14:textId="774D6375" w:rsidR="00EB29C5" w:rsidRDefault="00EB29C5" w:rsidP="00EB29C5">
      <w:pPr>
        <w:rPr>
          <w:b/>
          <w:sz w:val="24"/>
          <w:szCs w:val="24"/>
        </w:rPr>
        <w:sectPr w:rsidR="00EB29C5" w:rsidSect="004160B4">
          <w:footerReference w:type="default" r:id="rId11"/>
          <w:pgSz w:w="11906" w:h="16838"/>
          <w:pgMar w:top="1417" w:right="1417" w:bottom="1417" w:left="1417" w:header="709" w:footer="709" w:gutter="0"/>
          <w:cols w:space="708"/>
          <w:docGrid w:linePitch="360"/>
        </w:sectPr>
      </w:pPr>
    </w:p>
    <w:p w14:paraId="485D6F4C" w14:textId="77777777" w:rsidR="00197AD2" w:rsidRDefault="00197AD2" w:rsidP="00A01B4B">
      <w:pPr>
        <w:jc w:val="center"/>
      </w:pPr>
    </w:p>
    <w:p w14:paraId="43839C23" w14:textId="77777777" w:rsidR="00A01B4B" w:rsidRDefault="00C61E34" w:rsidP="00F17A4C">
      <w:pPr>
        <w:spacing w:after="360"/>
        <w:rPr>
          <w:b/>
        </w:rPr>
      </w:pPr>
      <w:r w:rsidRPr="007432D6">
        <w:rPr>
          <w:b/>
          <w:sz w:val="40"/>
          <w:szCs w:val="40"/>
        </w:rPr>
        <w:t>OBSAH</w:t>
      </w:r>
    </w:p>
    <w:p w14:paraId="728C467D" w14:textId="57EB0E70" w:rsidR="00AE1D87" w:rsidRDefault="00473BB6" w:rsidP="00AE1D87">
      <w:pPr>
        <w:pStyle w:val="Obsah1"/>
        <w:rPr>
          <w:rFonts w:eastAsiaTheme="minorEastAsia"/>
          <w:sz w:val="22"/>
          <w:szCs w:val="22"/>
          <w:lang w:eastAsia="cs-CZ"/>
        </w:rPr>
      </w:pPr>
      <w:r>
        <w:fldChar w:fldCharType="begin"/>
      </w:r>
      <w:r>
        <w:instrText xml:space="preserve"> TOC \o "1-4" \f \h \z </w:instrText>
      </w:r>
      <w:r>
        <w:fldChar w:fldCharType="separate"/>
      </w:r>
      <w:hyperlink w:anchor="_Toc120652127" w:history="1">
        <w:r w:rsidR="00AE1D87" w:rsidRPr="00E16C6D">
          <w:rPr>
            <w:rStyle w:val="Hypertextovodkaz"/>
          </w:rPr>
          <w:t>1 Úvod</w:t>
        </w:r>
        <w:r w:rsidR="00AE1D87">
          <w:rPr>
            <w:webHidden/>
          </w:rPr>
          <w:tab/>
        </w:r>
        <w:r w:rsidR="00AE1D87">
          <w:rPr>
            <w:webHidden/>
          </w:rPr>
          <w:fldChar w:fldCharType="begin"/>
        </w:r>
        <w:r w:rsidR="00AE1D87">
          <w:rPr>
            <w:webHidden/>
          </w:rPr>
          <w:instrText xml:space="preserve"> PAGEREF _Toc120652127 \h </w:instrText>
        </w:r>
        <w:r w:rsidR="00AE1D87">
          <w:rPr>
            <w:webHidden/>
          </w:rPr>
        </w:r>
        <w:r w:rsidR="00AE1D87">
          <w:rPr>
            <w:webHidden/>
          </w:rPr>
          <w:fldChar w:fldCharType="separate"/>
        </w:r>
        <w:r w:rsidR="00392EC3">
          <w:rPr>
            <w:webHidden/>
          </w:rPr>
          <w:t>5</w:t>
        </w:r>
        <w:r w:rsidR="00AE1D87">
          <w:rPr>
            <w:webHidden/>
          </w:rPr>
          <w:fldChar w:fldCharType="end"/>
        </w:r>
      </w:hyperlink>
    </w:p>
    <w:p w14:paraId="0A792EB6" w14:textId="61081FDB" w:rsidR="00AE1D87" w:rsidRDefault="00AE1D87" w:rsidP="00AE1D87">
      <w:pPr>
        <w:pStyle w:val="Obsah1"/>
        <w:rPr>
          <w:rFonts w:eastAsiaTheme="minorEastAsia"/>
          <w:sz w:val="22"/>
          <w:szCs w:val="22"/>
          <w:lang w:eastAsia="cs-CZ"/>
        </w:rPr>
      </w:pPr>
      <w:hyperlink w:anchor="_Toc120652128" w:history="1">
        <w:r w:rsidRPr="00E16C6D">
          <w:rPr>
            <w:rStyle w:val="Hypertextovodkaz"/>
          </w:rPr>
          <w:t>2 Analytická část</w:t>
        </w:r>
        <w:r>
          <w:rPr>
            <w:webHidden/>
          </w:rPr>
          <w:tab/>
        </w:r>
        <w:r>
          <w:rPr>
            <w:webHidden/>
          </w:rPr>
          <w:fldChar w:fldCharType="begin"/>
        </w:r>
        <w:r>
          <w:rPr>
            <w:webHidden/>
          </w:rPr>
          <w:instrText xml:space="preserve"> PAGEREF _Toc120652128 \h </w:instrText>
        </w:r>
        <w:r>
          <w:rPr>
            <w:webHidden/>
          </w:rPr>
        </w:r>
        <w:r>
          <w:rPr>
            <w:webHidden/>
          </w:rPr>
          <w:fldChar w:fldCharType="separate"/>
        </w:r>
        <w:r w:rsidR="00392EC3">
          <w:rPr>
            <w:webHidden/>
          </w:rPr>
          <w:t>7</w:t>
        </w:r>
        <w:r>
          <w:rPr>
            <w:webHidden/>
          </w:rPr>
          <w:fldChar w:fldCharType="end"/>
        </w:r>
      </w:hyperlink>
    </w:p>
    <w:p w14:paraId="6601B4FC" w14:textId="138077E6" w:rsidR="00AE1D87" w:rsidRDefault="00AE1D87">
      <w:pPr>
        <w:pStyle w:val="Obsah2"/>
        <w:rPr>
          <w:rFonts w:eastAsiaTheme="minorEastAsia"/>
          <w:b w:val="0"/>
          <w:lang w:eastAsia="cs-CZ"/>
        </w:rPr>
      </w:pPr>
      <w:hyperlink w:anchor="_Toc120652129" w:history="1">
        <w:r w:rsidRPr="00E16C6D">
          <w:rPr>
            <w:rStyle w:val="Hypertextovodkaz"/>
          </w:rPr>
          <w:t>2.1 Charakteristika obce Staré Buky</w:t>
        </w:r>
        <w:r>
          <w:rPr>
            <w:webHidden/>
          </w:rPr>
          <w:tab/>
        </w:r>
        <w:r>
          <w:rPr>
            <w:webHidden/>
          </w:rPr>
          <w:fldChar w:fldCharType="begin"/>
        </w:r>
        <w:r>
          <w:rPr>
            <w:webHidden/>
          </w:rPr>
          <w:instrText xml:space="preserve"> PAGEREF _Toc120652129 \h </w:instrText>
        </w:r>
        <w:r>
          <w:rPr>
            <w:webHidden/>
          </w:rPr>
        </w:r>
        <w:r>
          <w:rPr>
            <w:webHidden/>
          </w:rPr>
          <w:fldChar w:fldCharType="separate"/>
        </w:r>
        <w:r w:rsidR="00392EC3">
          <w:rPr>
            <w:webHidden/>
          </w:rPr>
          <w:t>7</w:t>
        </w:r>
        <w:r>
          <w:rPr>
            <w:webHidden/>
          </w:rPr>
          <w:fldChar w:fldCharType="end"/>
        </w:r>
      </w:hyperlink>
    </w:p>
    <w:p w14:paraId="6A892294" w14:textId="6E61BA85" w:rsidR="00AE1D87" w:rsidRDefault="00AE1D87">
      <w:pPr>
        <w:pStyle w:val="Obsah3"/>
        <w:rPr>
          <w:rFonts w:eastAsiaTheme="minorEastAsia"/>
          <w:noProof/>
          <w:lang w:eastAsia="cs-CZ"/>
        </w:rPr>
      </w:pPr>
      <w:hyperlink w:anchor="_Toc120652130" w:history="1">
        <w:r w:rsidRPr="00E16C6D">
          <w:rPr>
            <w:rStyle w:val="Hypertextovodkaz"/>
            <w:noProof/>
          </w:rPr>
          <w:t>2.1.1 Území</w:t>
        </w:r>
        <w:r>
          <w:rPr>
            <w:noProof/>
            <w:webHidden/>
          </w:rPr>
          <w:tab/>
        </w:r>
        <w:r>
          <w:rPr>
            <w:noProof/>
            <w:webHidden/>
          </w:rPr>
          <w:fldChar w:fldCharType="begin"/>
        </w:r>
        <w:r>
          <w:rPr>
            <w:noProof/>
            <w:webHidden/>
          </w:rPr>
          <w:instrText xml:space="preserve"> PAGEREF _Toc120652130 \h </w:instrText>
        </w:r>
        <w:r>
          <w:rPr>
            <w:noProof/>
            <w:webHidden/>
          </w:rPr>
        </w:r>
        <w:r>
          <w:rPr>
            <w:noProof/>
            <w:webHidden/>
          </w:rPr>
          <w:fldChar w:fldCharType="separate"/>
        </w:r>
        <w:r w:rsidR="00392EC3">
          <w:rPr>
            <w:noProof/>
            <w:webHidden/>
          </w:rPr>
          <w:t>7</w:t>
        </w:r>
        <w:r>
          <w:rPr>
            <w:noProof/>
            <w:webHidden/>
          </w:rPr>
          <w:fldChar w:fldCharType="end"/>
        </w:r>
      </w:hyperlink>
    </w:p>
    <w:p w14:paraId="2A006B59" w14:textId="7083BF8B" w:rsidR="00AE1D87" w:rsidRDefault="00AE1D87">
      <w:pPr>
        <w:pStyle w:val="Obsah4"/>
        <w:rPr>
          <w:rFonts w:eastAsiaTheme="minorEastAsia"/>
          <w:noProof/>
          <w:lang w:eastAsia="cs-CZ"/>
        </w:rPr>
      </w:pPr>
      <w:hyperlink w:anchor="_Toc120652131" w:history="1">
        <w:r w:rsidRPr="00E16C6D">
          <w:rPr>
            <w:rStyle w:val="Hypertextovodkaz"/>
            <w:noProof/>
          </w:rPr>
          <w:t>2.1.1.1 Geografická poloha</w:t>
        </w:r>
        <w:r>
          <w:rPr>
            <w:noProof/>
            <w:webHidden/>
          </w:rPr>
          <w:tab/>
        </w:r>
        <w:r>
          <w:rPr>
            <w:noProof/>
            <w:webHidden/>
          </w:rPr>
          <w:fldChar w:fldCharType="begin"/>
        </w:r>
        <w:r>
          <w:rPr>
            <w:noProof/>
            <w:webHidden/>
          </w:rPr>
          <w:instrText xml:space="preserve"> PAGEREF _Toc120652131 \h </w:instrText>
        </w:r>
        <w:r>
          <w:rPr>
            <w:noProof/>
            <w:webHidden/>
          </w:rPr>
        </w:r>
        <w:r>
          <w:rPr>
            <w:noProof/>
            <w:webHidden/>
          </w:rPr>
          <w:fldChar w:fldCharType="separate"/>
        </w:r>
        <w:r w:rsidR="00392EC3">
          <w:rPr>
            <w:noProof/>
            <w:webHidden/>
          </w:rPr>
          <w:t>7</w:t>
        </w:r>
        <w:r>
          <w:rPr>
            <w:noProof/>
            <w:webHidden/>
          </w:rPr>
          <w:fldChar w:fldCharType="end"/>
        </w:r>
      </w:hyperlink>
    </w:p>
    <w:p w14:paraId="6D22F82A" w14:textId="16DF510D" w:rsidR="00AE1D87" w:rsidRDefault="00AE1D87">
      <w:pPr>
        <w:pStyle w:val="Obsah4"/>
        <w:rPr>
          <w:rFonts w:eastAsiaTheme="minorEastAsia"/>
          <w:noProof/>
          <w:lang w:eastAsia="cs-CZ"/>
        </w:rPr>
      </w:pPr>
      <w:hyperlink w:anchor="_Toc120652132" w:history="1">
        <w:r w:rsidRPr="00E16C6D">
          <w:rPr>
            <w:rStyle w:val="Hypertextovodkaz"/>
            <w:noProof/>
          </w:rPr>
          <w:t>2.1.1.2 Členění obce a základní informace o obci</w:t>
        </w:r>
        <w:r>
          <w:rPr>
            <w:noProof/>
            <w:webHidden/>
          </w:rPr>
          <w:tab/>
        </w:r>
        <w:r>
          <w:rPr>
            <w:noProof/>
            <w:webHidden/>
          </w:rPr>
          <w:fldChar w:fldCharType="begin"/>
        </w:r>
        <w:r>
          <w:rPr>
            <w:noProof/>
            <w:webHidden/>
          </w:rPr>
          <w:instrText xml:space="preserve"> PAGEREF _Toc120652132 \h </w:instrText>
        </w:r>
        <w:r>
          <w:rPr>
            <w:noProof/>
            <w:webHidden/>
          </w:rPr>
        </w:r>
        <w:r>
          <w:rPr>
            <w:noProof/>
            <w:webHidden/>
          </w:rPr>
          <w:fldChar w:fldCharType="separate"/>
        </w:r>
        <w:r w:rsidR="00392EC3">
          <w:rPr>
            <w:noProof/>
            <w:webHidden/>
          </w:rPr>
          <w:t>9</w:t>
        </w:r>
        <w:r>
          <w:rPr>
            <w:noProof/>
            <w:webHidden/>
          </w:rPr>
          <w:fldChar w:fldCharType="end"/>
        </w:r>
      </w:hyperlink>
    </w:p>
    <w:p w14:paraId="7197645B" w14:textId="62DA52E8" w:rsidR="00AE1D87" w:rsidRDefault="00AE1D87">
      <w:pPr>
        <w:pStyle w:val="Obsah4"/>
        <w:rPr>
          <w:rFonts w:eastAsiaTheme="minorEastAsia"/>
          <w:noProof/>
          <w:lang w:eastAsia="cs-CZ"/>
        </w:rPr>
      </w:pPr>
      <w:hyperlink w:anchor="_Toc120652133" w:history="1">
        <w:r w:rsidRPr="00E16C6D">
          <w:rPr>
            <w:rStyle w:val="Hypertextovodkaz"/>
            <w:noProof/>
          </w:rPr>
          <w:t>2.1.1.3 Ráz krajiny a přírodní prostředí</w:t>
        </w:r>
        <w:r>
          <w:rPr>
            <w:noProof/>
            <w:webHidden/>
          </w:rPr>
          <w:tab/>
        </w:r>
        <w:r>
          <w:rPr>
            <w:noProof/>
            <w:webHidden/>
          </w:rPr>
          <w:fldChar w:fldCharType="begin"/>
        </w:r>
        <w:r>
          <w:rPr>
            <w:noProof/>
            <w:webHidden/>
          </w:rPr>
          <w:instrText xml:space="preserve"> PAGEREF _Toc120652133 \h </w:instrText>
        </w:r>
        <w:r>
          <w:rPr>
            <w:noProof/>
            <w:webHidden/>
          </w:rPr>
        </w:r>
        <w:r>
          <w:rPr>
            <w:noProof/>
            <w:webHidden/>
          </w:rPr>
          <w:fldChar w:fldCharType="separate"/>
        </w:r>
        <w:r w:rsidR="00392EC3">
          <w:rPr>
            <w:noProof/>
            <w:webHidden/>
          </w:rPr>
          <w:t>10</w:t>
        </w:r>
        <w:r>
          <w:rPr>
            <w:noProof/>
            <w:webHidden/>
          </w:rPr>
          <w:fldChar w:fldCharType="end"/>
        </w:r>
      </w:hyperlink>
    </w:p>
    <w:p w14:paraId="57F1F610" w14:textId="0BB9E5E8" w:rsidR="00AE1D87" w:rsidRDefault="00AE1D87">
      <w:pPr>
        <w:pStyle w:val="Obsah4"/>
        <w:rPr>
          <w:rFonts w:eastAsiaTheme="minorEastAsia"/>
          <w:noProof/>
          <w:lang w:eastAsia="cs-CZ"/>
        </w:rPr>
      </w:pPr>
      <w:hyperlink w:anchor="_Toc120652134" w:history="1">
        <w:r w:rsidRPr="00E16C6D">
          <w:rPr>
            <w:rStyle w:val="Hypertextovodkaz"/>
            <w:noProof/>
          </w:rPr>
          <w:t>2.1.1.4 Základní historie obce a její vliv na současnost</w:t>
        </w:r>
        <w:r>
          <w:rPr>
            <w:noProof/>
            <w:webHidden/>
          </w:rPr>
          <w:tab/>
        </w:r>
        <w:r>
          <w:rPr>
            <w:noProof/>
            <w:webHidden/>
          </w:rPr>
          <w:fldChar w:fldCharType="begin"/>
        </w:r>
        <w:r>
          <w:rPr>
            <w:noProof/>
            <w:webHidden/>
          </w:rPr>
          <w:instrText xml:space="preserve"> PAGEREF _Toc120652134 \h </w:instrText>
        </w:r>
        <w:r>
          <w:rPr>
            <w:noProof/>
            <w:webHidden/>
          </w:rPr>
        </w:r>
        <w:r>
          <w:rPr>
            <w:noProof/>
            <w:webHidden/>
          </w:rPr>
          <w:fldChar w:fldCharType="separate"/>
        </w:r>
        <w:r w:rsidR="00392EC3">
          <w:rPr>
            <w:noProof/>
            <w:webHidden/>
          </w:rPr>
          <w:t>16</w:t>
        </w:r>
        <w:r>
          <w:rPr>
            <w:noProof/>
            <w:webHidden/>
          </w:rPr>
          <w:fldChar w:fldCharType="end"/>
        </w:r>
      </w:hyperlink>
    </w:p>
    <w:p w14:paraId="78799927" w14:textId="52E4857F" w:rsidR="00AE1D87" w:rsidRDefault="00AE1D87">
      <w:pPr>
        <w:pStyle w:val="Obsah3"/>
        <w:rPr>
          <w:rFonts w:eastAsiaTheme="minorEastAsia"/>
          <w:noProof/>
          <w:lang w:eastAsia="cs-CZ"/>
        </w:rPr>
      </w:pPr>
      <w:hyperlink w:anchor="_Toc120652135" w:history="1">
        <w:r w:rsidRPr="00E16C6D">
          <w:rPr>
            <w:rStyle w:val="Hypertextovodkaz"/>
            <w:noProof/>
          </w:rPr>
          <w:t>2.1.2 Obyvatelstvo</w:t>
        </w:r>
        <w:r>
          <w:rPr>
            <w:noProof/>
            <w:webHidden/>
          </w:rPr>
          <w:tab/>
        </w:r>
        <w:r>
          <w:rPr>
            <w:noProof/>
            <w:webHidden/>
          </w:rPr>
          <w:fldChar w:fldCharType="begin"/>
        </w:r>
        <w:r>
          <w:rPr>
            <w:noProof/>
            <w:webHidden/>
          </w:rPr>
          <w:instrText xml:space="preserve"> PAGEREF _Toc120652135 \h </w:instrText>
        </w:r>
        <w:r>
          <w:rPr>
            <w:noProof/>
            <w:webHidden/>
          </w:rPr>
        </w:r>
        <w:r>
          <w:rPr>
            <w:noProof/>
            <w:webHidden/>
          </w:rPr>
          <w:fldChar w:fldCharType="separate"/>
        </w:r>
        <w:r w:rsidR="00392EC3">
          <w:rPr>
            <w:noProof/>
            <w:webHidden/>
          </w:rPr>
          <w:t>17</w:t>
        </w:r>
        <w:r>
          <w:rPr>
            <w:noProof/>
            <w:webHidden/>
          </w:rPr>
          <w:fldChar w:fldCharType="end"/>
        </w:r>
      </w:hyperlink>
    </w:p>
    <w:p w14:paraId="6BF56919" w14:textId="380F6F64" w:rsidR="00AE1D87" w:rsidRDefault="00AE1D87">
      <w:pPr>
        <w:pStyle w:val="Obsah4"/>
        <w:rPr>
          <w:rFonts w:eastAsiaTheme="minorEastAsia"/>
          <w:noProof/>
          <w:lang w:eastAsia="cs-CZ"/>
        </w:rPr>
      </w:pPr>
      <w:hyperlink w:anchor="_Toc120652136" w:history="1">
        <w:r w:rsidRPr="00E16C6D">
          <w:rPr>
            <w:rStyle w:val="Hypertextovodkaz"/>
            <w:noProof/>
          </w:rPr>
          <w:t>2.1.2.1 Demografická situace</w:t>
        </w:r>
        <w:r>
          <w:rPr>
            <w:noProof/>
            <w:webHidden/>
          </w:rPr>
          <w:tab/>
        </w:r>
        <w:r>
          <w:rPr>
            <w:noProof/>
            <w:webHidden/>
          </w:rPr>
          <w:fldChar w:fldCharType="begin"/>
        </w:r>
        <w:r>
          <w:rPr>
            <w:noProof/>
            <w:webHidden/>
          </w:rPr>
          <w:instrText xml:space="preserve"> PAGEREF _Toc120652136 \h </w:instrText>
        </w:r>
        <w:r>
          <w:rPr>
            <w:noProof/>
            <w:webHidden/>
          </w:rPr>
        </w:r>
        <w:r>
          <w:rPr>
            <w:noProof/>
            <w:webHidden/>
          </w:rPr>
          <w:fldChar w:fldCharType="separate"/>
        </w:r>
        <w:r w:rsidR="00392EC3">
          <w:rPr>
            <w:noProof/>
            <w:webHidden/>
          </w:rPr>
          <w:t>17</w:t>
        </w:r>
        <w:r>
          <w:rPr>
            <w:noProof/>
            <w:webHidden/>
          </w:rPr>
          <w:fldChar w:fldCharType="end"/>
        </w:r>
      </w:hyperlink>
    </w:p>
    <w:p w14:paraId="40CDCEB5" w14:textId="4CA10F59" w:rsidR="00AE1D87" w:rsidRDefault="00AE1D87">
      <w:pPr>
        <w:pStyle w:val="Obsah4"/>
        <w:rPr>
          <w:rFonts w:eastAsiaTheme="minorEastAsia"/>
          <w:noProof/>
          <w:lang w:eastAsia="cs-CZ"/>
        </w:rPr>
      </w:pPr>
      <w:hyperlink w:anchor="_Toc120652137" w:history="1">
        <w:r w:rsidRPr="00E16C6D">
          <w:rPr>
            <w:rStyle w:val="Hypertextovodkaz"/>
            <w:noProof/>
          </w:rPr>
          <w:t>2.1.2.2 Sociální situace</w:t>
        </w:r>
        <w:r>
          <w:rPr>
            <w:noProof/>
            <w:webHidden/>
          </w:rPr>
          <w:tab/>
        </w:r>
        <w:r>
          <w:rPr>
            <w:noProof/>
            <w:webHidden/>
          </w:rPr>
          <w:fldChar w:fldCharType="begin"/>
        </w:r>
        <w:r>
          <w:rPr>
            <w:noProof/>
            <w:webHidden/>
          </w:rPr>
          <w:instrText xml:space="preserve"> PAGEREF _Toc120652137 \h </w:instrText>
        </w:r>
        <w:r>
          <w:rPr>
            <w:noProof/>
            <w:webHidden/>
          </w:rPr>
        </w:r>
        <w:r>
          <w:rPr>
            <w:noProof/>
            <w:webHidden/>
          </w:rPr>
          <w:fldChar w:fldCharType="separate"/>
        </w:r>
        <w:r w:rsidR="00392EC3">
          <w:rPr>
            <w:noProof/>
            <w:webHidden/>
          </w:rPr>
          <w:t>22</w:t>
        </w:r>
        <w:r>
          <w:rPr>
            <w:noProof/>
            <w:webHidden/>
          </w:rPr>
          <w:fldChar w:fldCharType="end"/>
        </w:r>
      </w:hyperlink>
    </w:p>
    <w:p w14:paraId="327FBB83" w14:textId="1CB70435" w:rsidR="00AE1D87" w:rsidRDefault="00AE1D87">
      <w:pPr>
        <w:pStyle w:val="Obsah4"/>
        <w:rPr>
          <w:rFonts w:eastAsiaTheme="minorEastAsia"/>
          <w:noProof/>
          <w:lang w:eastAsia="cs-CZ"/>
        </w:rPr>
      </w:pPr>
      <w:hyperlink w:anchor="_Toc120652138" w:history="1">
        <w:r w:rsidRPr="00E16C6D">
          <w:rPr>
            <w:rStyle w:val="Hypertextovodkaz"/>
            <w:noProof/>
          </w:rPr>
          <w:t>2.1.2.3 Život v obci</w:t>
        </w:r>
        <w:r>
          <w:rPr>
            <w:noProof/>
            <w:webHidden/>
          </w:rPr>
          <w:tab/>
        </w:r>
        <w:r>
          <w:rPr>
            <w:noProof/>
            <w:webHidden/>
          </w:rPr>
          <w:fldChar w:fldCharType="begin"/>
        </w:r>
        <w:r>
          <w:rPr>
            <w:noProof/>
            <w:webHidden/>
          </w:rPr>
          <w:instrText xml:space="preserve"> PAGEREF _Toc120652138 \h </w:instrText>
        </w:r>
        <w:r>
          <w:rPr>
            <w:noProof/>
            <w:webHidden/>
          </w:rPr>
        </w:r>
        <w:r>
          <w:rPr>
            <w:noProof/>
            <w:webHidden/>
          </w:rPr>
          <w:fldChar w:fldCharType="separate"/>
        </w:r>
        <w:r w:rsidR="00392EC3">
          <w:rPr>
            <w:noProof/>
            <w:webHidden/>
          </w:rPr>
          <w:t>22</w:t>
        </w:r>
        <w:r>
          <w:rPr>
            <w:noProof/>
            <w:webHidden/>
          </w:rPr>
          <w:fldChar w:fldCharType="end"/>
        </w:r>
      </w:hyperlink>
    </w:p>
    <w:p w14:paraId="69496E8C" w14:textId="29B1B812" w:rsidR="00AE1D87" w:rsidRDefault="00AE1D87">
      <w:pPr>
        <w:pStyle w:val="Obsah3"/>
        <w:rPr>
          <w:rFonts w:eastAsiaTheme="minorEastAsia"/>
          <w:noProof/>
          <w:lang w:eastAsia="cs-CZ"/>
        </w:rPr>
      </w:pPr>
      <w:hyperlink w:anchor="_Toc120652139" w:history="1">
        <w:r w:rsidRPr="00E16C6D">
          <w:rPr>
            <w:rStyle w:val="Hypertextovodkaz"/>
            <w:noProof/>
          </w:rPr>
          <w:t>2.1.3 Hospodářství</w:t>
        </w:r>
        <w:r>
          <w:rPr>
            <w:noProof/>
            <w:webHidden/>
          </w:rPr>
          <w:tab/>
        </w:r>
        <w:r>
          <w:rPr>
            <w:noProof/>
            <w:webHidden/>
          </w:rPr>
          <w:fldChar w:fldCharType="begin"/>
        </w:r>
        <w:r>
          <w:rPr>
            <w:noProof/>
            <w:webHidden/>
          </w:rPr>
          <w:instrText xml:space="preserve"> PAGEREF _Toc120652139 \h </w:instrText>
        </w:r>
        <w:r>
          <w:rPr>
            <w:noProof/>
            <w:webHidden/>
          </w:rPr>
        </w:r>
        <w:r>
          <w:rPr>
            <w:noProof/>
            <w:webHidden/>
          </w:rPr>
          <w:fldChar w:fldCharType="separate"/>
        </w:r>
        <w:r w:rsidR="00392EC3">
          <w:rPr>
            <w:noProof/>
            <w:webHidden/>
          </w:rPr>
          <w:t>25</w:t>
        </w:r>
        <w:r>
          <w:rPr>
            <w:noProof/>
            <w:webHidden/>
          </w:rPr>
          <w:fldChar w:fldCharType="end"/>
        </w:r>
      </w:hyperlink>
    </w:p>
    <w:p w14:paraId="4122E885" w14:textId="74AED427" w:rsidR="00AE1D87" w:rsidRDefault="00AE1D87">
      <w:pPr>
        <w:pStyle w:val="Obsah4"/>
        <w:rPr>
          <w:rFonts w:eastAsiaTheme="minorEastAsia"/>
          <w:noProof/>
          <w:lang w:eastAsia="cs-CZ"/>
        </w:rPr>
      </w:pPr>
      <w:hyperlink w:anchor="_Toc120652140" w:history="1">
        <w:r w:rsidRPr="00E16C6D">
          <w:rPr>
            <w:rStyle w:val="Hypertextovodkaz"/>
            <w:noProof/>
          </w:rPr>
          <w:t>2.1.3.1 Ekonomická situace</w:t>
        </w:r>
        <w:r>
          <w:rPr>
            <w:noProof/>
            <w:webHidden/>
          </w:rPr>
          <w:tab/>
        </w:r>
        <w:r>
          <w:rPr>
            <w:noProof/>
            <w:webHidden/>
          </w:rPr>
          <w:fldChar w:fldCharType="begin"/>
        </w:r>
        <w:r>
          <w:rPr>
            <w:noProof/>
            <w:webHidden/>
          </w:rPr>
          <w:instrText xml:space="preserve"> PAGEREF _Toc120652140 \h </w:instrText>
        </w:r>
        <w:r>
          <w:rPr>
            <w:noProof/>
            <w:webHidden/>
          </w:rPr>
        </w:r>
        <w:r>
          <w:rPr>
            <w:noProof/>
            <w:webHidden/>
          </w:rPr>
          <w:fldChar w:fldCharType="separate"/>
        </w:r>
        <w:r w:rsidR="00392EC3">
          <w:rPr>
            <w:noProof/>
            <w:webHidden/>
          </w:rPr>
          <w:t>25</w:t>
        </w:r>
        <w:r>
          <w:rPr>
            <w:noProof/>
            <w:webHidden/>
          </w:rPr>
          <w:fldChar w:fldCharType="end"/>
        </w:r>
      </w:hyperlink>
    </w:p>
    <w:p w14:paraId="733F133A" w14:textId="185EBF2D" w:rsidR="00AE1D87" w:rsidRDefault="00AE1D87">
      <w:pPr>
        <w:pStyle w:val="Obsah4"/>
        <w:rPr>
          <w:rFonts w:eastAsiaTheme="minorEastAsia"/>
          <w:noProof/>
          <w:lang w:eastAsia="cs-CZ"/>
        </w:rPr>
      </w:pPr>
      <w:hyperlink w:anchor="_Toc120652141" w:history="1">
        <w:r w:rsidRPr="00E16C6D">
          <w:rPr>
            <w:rStyle w:val="Hypertextovodkaz"/>
            <w:noProof/>
          </w:rPr>
          <w:t>2.1.3.2 Trh práce</w:t>
        </w:r>
        <w:r>
          <w:rPr>
            <w:noProof/>
            <w:webHidden/>
          </w:rPr>
          <w:tab/>
        </w:r>
        <w:r>
          <w:rPr>
            <w:noProof/>
            <w:webHidden/>
          </w:rPr>
          <w:fldChar w:fldCharType="begin"/>
        </w:r>
        <w:r>
          <w:rPr>
            <w:noProof/>
            <w:webHidden/>
          </w:rPr>
          <w:instrText xml:space="preserve"> PAGEREF _Toc120652141 \h </w:instrText>
        </w:r>
        <w:r>
          <w:rPr>
            <w:noProof/>
            <w:webHidden/>
          </w:rPr>
        </w:r>
        <w:r>
          <w:rPr>
            <w:noProof/>
            <w:webHidden/>
          </w:rPr>
          <w:fldChar w:fldCharType="separate"/>
        </w:r>
        <w:r w:rsidR="00392EC3">
          <w:rPr>
            <w:noProof/>
            <w:webHidden/>
          </w:rPr>
          <w:t>29</w:t>
        </w:r>
        <w:r>
          <w:rPr>
            <w:noProof/>
            <w:webHidden/>
          </w:rPr>
          <w:fldChar w:fldCharType="end"/>
        </w:r>
      </w:hyperlink>
    </w:p>
    <w:p w14:paraId="55D17AE6" w14:textId="6BDF2382" w:rsidR="00AE1D87" w:rsidRDefault="00AE1D87">
      <w:pPr>
        <w:pStyle w:val="Obsah4"/>
        <w:rPr>
          <w:rFonts w:eastAsiaTheme="minorEastAsia"/>
          <w:noProof/>
          <w:lang w:eastAsia="cs-CZ"/>
        </w:rPr>
      </w:pPr>
      <w:hyperlink w:anchor="_Toc120652142" w:history="1">
        <w:r w:rsidRPr="00E16C6D">
          <w:rPr>
            <w:rStyle w:val="Hypertextovodkaz"/>
            <w:noProof/>
          </w:rPr>
          <w:t>2.1.3.3 Cestovní ruch</w:t>
        </w:r>
        <w:r>
          <w:rPr>
            <w:noProof/>
            <w:webHidden/>
          </w:rPr>
          <w:tab/>
        </w:r>
        <w:r>
          <w:rPr>
            <w:noProof/>
            <w:webHidden/>
          </w:rPr>
          <w:fldChar w:fldCharType="begin"/>
        </w:r>
        <w:r>
          <w:rPr>
            <w:noProof/>
            <w:webHidden/>
          </w:rPr>
          <w:instrText xml:space="preserve"> PAGEREF _Toc120652142 \h </w:instrText>
        </w:r>
        <w:r>
          <w:rPr>
            <w:noProof/>
            <w:webHidden/>
          </w:rPr>
        </w:r>
        <w:r>
          <w:rPr>
            <w:noProof/>
            <w:webHidden/>
          </w:rPr>
          <w:fldChar w:fldCharType="separate"/>
        </w:r>
        <w:r w:rsidR="00392EC3">
          <w:rPr>
            <w:noProof/>
            <w:webHidden/>
          </w:rPr>
          <w:t>32</w:t>
        </w:r>
        <w:r>
          <w:rPr>
            <w:noProof/>
            <w:webHidden/>
          </w:rPr>
          <w:fldChar w:fldCharType="end"/>
        </w:r>
      </w:hyperlink>
    </w:p>
    <w:p w14:paraId="6064B9DF" w14:textId="5457F628" w:rsidR="00AE1D87" w:rsidRDefault="00AE1D87">
      <w:pPr>
        <w:pStyle w:val="Obsah3"/>
        <w:rPr>
          <w:rFonts w:eastAsiaTheme="minorEastAsia"/>
          <w:noProof/>
          <w:lang w:eastAsia="cs-CZ"/>
        </w:rPr>
      </w:pPr>
      <w:hyperlink w:anchor="_Toc120652143" w:history="1">
        <w:r w:rsidRPr="00E16C6D">
          <w:rPr>
            <w:rStyle w:val="Hypertextovodkaz"/>
            <w:noProof/>
          </w:rPr>
          <w:t>2.1.4 Infrastruktura</w:t>
        </w:r>
        <w:r>
          <w:rPr>
            <w:noProof/>
            <w:webHidden/>
          </w:rPr>
          <w:tab/>
        </w:r>
        <w:r>
          <w:rPr>
            <w:noProof/>
            <w:webHidden/>
          </w:rPr>
          <w:fldChar w:fldCharType="begin"/>
        </w:r>
        <w:r>
          <w:rPr>
            <w:noProof/>
            <w:webHidden/>
          </w:rPr>
          <w:instrText xml:space="preserve"> PAGEREF _Toc120652143 \h </w:instrText>
        </w:r>
        <w:r>
          <w:rPr>
            <w:noProof/>
            <w:webHidden/>
          </w:rPr>
        </w:r>
        <w:r>
          <w:rPr>
            <w:noProof/>
            <w:webHidden/>
          </w:rPr>
          <w:fldChar w:fldCharType="separate"/>
        </w:r>
        <w:r w:rsidR="00392EC3">
          <w:rPr>
            <w:noProof/>
            <w:webHidden/>
          </w:rPr>
          <w:t>34</w:t>
        </w:r>
        <w:r>
          <w:rPr>
            <w:noProof/>
            <w:webHidden/>
          </w:rPr>
          <w:fldChar w:fldCharType="end"/>
        </w:r>
      </w:hyperlink>
    </w:p>
    <w:p w14:paraId="133B8492" w14:textId="70025412" w:rsidR="00AE1D87" w:rsidRDefault="00AE1D87">
      <w:pPr>
        <w:pStyle w:val="Obsah4"/>
        <w:rPr>
          <w:rFonts w:eastAsiaTheme="minorEastAsia"/>
          <w:noProof/>
          <w:lang w:eastAsia="cs-CZ"/>
        </w:rPr>
      </w:pPr>
      <w:hyperlink w:anchor="_Toc120652144" w:history="1">
        <w:r w:rsidRPr="00E16C6D">
          <w:rPr>
            <w:rStyle w:val="Hypertextovodkaz"/>
            <w:noProof/>
          </w:rPr>
          <w:t>2.1.4.1 Dopravní infrastruktura</w:t>
        </w:r>
        <w:r>
          <w:rPr>
            <w:noProof/>
            <w:webHidden/>
          </w:rPr>
          <w:tab/>
        </w:r>
        <w:r>
          <w:rPr>
            <w:noProof/>
            <w:webHidden/>
          </w:rPr>
          <w:fldChar w:fldCharType="begin"/>
        </w:r>
        <w:r>
          <w:rPr>
            <w:noProof/>
            <w:webHidden/>
          </w:rPr>
          <w:instrText xml:space="preserve"> PAGEREF _Toc120652144 \h </w:instrText>
        </w:r>
        <w:r>
          <w:rPr>
            <w:noProof/>
            <w:webHidden/>
          </w:rPr>
        </w:r>
        <w:r>
          <w:rPr>
            <w:noProof/>
            <w:webHidden/>
          </w:rPr>
          <w:fldChar w:fldCharType="separate"/>
        </w:r>
        <w:r w:rsidR="00392EC3">
          <w:rPr>
            <w:noProof/>
            <w:webHidden/>
          </w:rPr>
          <w:t>34</w:t>
        </w:r>
        <w:r>
          <w:rPr>
            <w:noProof/>
            <w:webHidden/>
          </w:rPr>
          <w:fldChar w:fldCharType="end"/>
        </w:r>
      </w:hyperlink>
    </w:p>
    <w:p w14:paraId="6D597F5F" w14:textId="177D6717" w:rsidR="00AE1D87" w:rsidRDefault="00AE1D87">
      <w:pPr>
        <w:pStyle w:val="Obsah4"/>
        <w:rPr>
          <w:rFonts w:eastAsiaTheme="minorEastAsia"/>
          <w:noProof/>
          <w:lang w:eastAsia="cs-CZ"/>
        </w:rPr>
      </w:pPr>
      <w:hyperlink w:anchor="_Toc120652145" w:history="1">
        <w:r w:rsidRPr="00E16C6D">
          <w:rPr>
            <w:rStyle w:val="Hypertextovodkaz"/>
            <w:noProof/>
          </w:rPr>
          <w:t>2.1.4.2 Dopravní obslužnost</w:t>
        </w:r>
        <w:r>
          <w:rPr>
            <w:noProof/>
            <w:webHidden/>
          </w:rPr>
          <w:tab/>
        </w:r>
        <w:r>
          <w:rPr>
            <w:noProof/>
            <w:webHidden/>
          </w:rPr>
          <w:fldChar w:fldCharType="begin"/>
        </w:r>
        <w:r>
          <w:rPr>
            <w:noProof/>
            <w:webHidden/>
          </w:rPr>
          <w:instrText xml:space="preserve"> PAGEREF _Toc120652145 \h </w:instrText>
        </w:r>
        <w:r>
          <w:rPr>
            <w:noProof/>
            <w:webHidden/>
          </w:rPr>
        </w:r>
        <w:r>
          <w:rPr>
            <w:noProof/>
            <w:webHidden/>
          </w:rPr>
          <w:fldChar w:fldCharType="separate"/>
        </w:r>
        <w:r w:rsidR="00392EC3">
          <w:rPr>
            <w:noProof/>
            <w:webHidden/>
          </w:rPr>
          <w:t>36</w:t>
        </w:r>
        <w:r>
          <w:rPr>
            <w:noProof/>
            <w:webHidden/>
          </w:rPr>
          <w:fldChar w:fldCharType="end"/>
        </w:r>
      </w:hyperlink>
    </w:p>
    <w:p w14:paraId="1D785168" w14:textId="365F1DA9" w:rsidR="00AE1D87" w:rsidRDefault="00AE1D87">
      <w:pPr>
        <w:pStyle w:val="Obsah4"/>
        <w:rPr>
          <w:rFonts w:eastAsiaTheme="minorEastAsia"/>
          <w:noProof/>
          <w:lang w:eastAsia="cs-CZ"/>
        </w:rPr>
      </w:pPr>
      <w:hyperlink w:anchor="_Toc120652146" w:history="1">
        <w:r w:rsidRPr="00E16C6D">
          <w:rPr>
            <w:rStyle w:val="Hypertextovodkaz"/>
            <w:noProof/>
          </w:rPr>
          <w:t>2.1.4.3 Technická infrastruktura</w:t>
        </w:r>
        <w:r>
          <w:rPr>
            <w:noProof/>
            <w:webHidden/>
          </w:rPr>
          <w:tab/>
        </w:r>
        <w:r>
          <w:rPr>
            <w:noProof/>
            <w:webHidden/>
          </w:rPr>
          <w:fldChar w:fldCharType="begin"/>
        </w:r>
        <w:r>
          <w:rPr>
            <w:noProof/>
            <w:webHidden/>
          </w:rPr>
          <w:instrText xml:space="preserve"> PAGEREF _Toc120652146 \h </w:instrText>
        </w:r>
        <w:r>
          <w:rPr>
            <w:noProof/>
            <w:webHidden/>
          </w:rPr>
        </w:r>
        <w:r>
          <w:rPr>
            <w:noProof/>
            <w:webHidden/>
          </w:rPr>
          <w:fldChar w:fldCharType="separate"/>
        </w:r>
        <w:r w:rsidR="00392EC3">
          <w:rPr>
            <w:noProof/>
            <w:webHidden/>
          </w:rPr>
          <w:t>38</w:t>
        </w:r>
        <w:r>
          <w:rPr>
            <w:noProof/>
            <w:webHidden/>
          </w:rPr>
          <w:fldChar w:fldCharType="end"/>
        </w:r>
      </w:hyperlink>
    </w:p>
    <w:p w14:paraId="2BD7B9DB" w14:textId="2FE6BFE4" w:rsidR="00AE1D87" w:rsidRDefault="00AE1D87">
      <w:pPr>
        <w:pStyle w:val="Obsah3"/>
        <w:rPr>
          <w:rFonts w:eastAsiaTheme="minorEastAsia"/>
          <w:noProof/>
          <w:lang w:eastAsia="cs-CZ"/>
        </w:rPr>
      </w:pPr>
      <w:hyperlink w:anchor="_Toc120652147" w:history="1">
        <w:r w:rsidRPr="00E16C6D">
          <w:rPr>
            <w:rStyle w:val="Hypertextovodkaz"/>
            <w:noProof/>
          </w:rPr>
          <w:t>2.1.5 Vybavenost obce</w:t>
        </w:r>
        <w:r>
          <w:rPr>
            <w:noProof/>
            <w:webHidden/>
          </w:rPr>
          <w:tab/>
        </w:r>
        <w:r>
          <w:rPr>
            <w:noProof/>
            <w:webHidden/>
          </w:rPr>
          <w:fldChar w:fldCharType="begin"/>
        </w:r>
        <w:r>
          <w:rPr>
            <w:noProof/>
            <w:webHidden/>
          </w:rPr>
          <w:instrText xml:space="preserve"> PAGEREF _Toc120652147 \h </w:instrText>
        </w:r>
        <w:r>
          <w:rPr>
            <w:noProof/>
            <w:webHidden/>
          </w:rPr>
        </w:r>
        <w:r>
          <w:rPr>
            <w:noProof/>
            <w:webHidden/>
          </w:rPr>
          <w:fldChar w:fldCharType="separate"/>
        </w:r>
        <w:r w:rsidR="00392EC3">
          <w:rPr>
            <w:noProof/>
            <w:webHidden/>
          </w:rPr>
          <w:t>41</w:t>
        </w:r>
        <w:r>
          <w:rPr>
            <w:noProof/>
            <w:webHidden/>
          </w:rPr>
          <w:fldChar w:fldCharType="end"/>
        </w:r>
      </w:hyperlink>
    </w:p>
    <w:p w14:paraId="0E01CD72" w14:textId="6C586FEE" w:rsidR="00AE1D87" w:rsidRDefault="00AE1D87">
      <w:pPr>
        <w:pStyle w:val="Obsah4"/>
        <w:rPr>
          <w:rFonts w:eastAsiaTheme="minorEastAsia"/>
          <w:noProof/>
          <w:lang w:eastAsia="cs-CZ"/>
        </w:rPr>
      </w:pPr>
      <w:hyperlink w:anchor="_Toc120652148" w:history="1">
        <w:r w:rsidRPr="00E16C6D">
          <w:rPr>
            <w:rStyle w:val="Hypertextovodkaz"/>
            <w:noProof/>
          </w:rPr>
          <w:t>2.1.5.1 Bydlení</w:t>
        </w:r>
        <w:r>
          <w:rPr>
            <w:noProof/>
            <w:webHidden/>
          </w:rPr>
          <w:tab/>
        </w:r>
        <w:r>
          <w:rPr>
            <w:noProof/>
            <w:webHidden/>
          </w:rPr>
          <w:fldChar w:fldCharType="begin"/>
        </w:r>
        <w:r>
          <w:rPr>
            <w:noProof/>
            <w:webHidden/>
          </w:rPr>
          <w:instrText xml:space="preserve"> PAGEREF _Toc120652148 \h </w:instrText>
        </w:r>
        <w:r>
          <w:rPr>
            <w:noProof/>
            <w:webHidden/>
          </w:rPr>
        </w:r>
        <w:r>
          <w:rPr>
            <w:noProof/>
            <w:webHidden/>
          </w:rPr>
          <w:fldChar w:fldCharType="separate"/>
        </w:r>
        <w:r w:rsidR="00392EC3">
          <w:rPr>
            <w:noProof/>
            <w:webHidden/>
          </w:rPr>
          <w:t>41</w:t>
        </w:r>
        <w:r>
          <w:rPr>
            <w:noProof/>
            <w:webHidden/>
          </w:rPr>
          <w:fldChar w:fldCharType="end"/>
        </w:r>
      </w:hyperlink>
    </w:p>
    <w:p w14:paraId="76333B71" w14:textId="60CB7C01" w:rsidR="00AE1D87" w:rsidRDefault="00AE1D87">
      <w:pPr>
        <w:pStyle w:val="Obsah4"/>
        <w:rPr>
          <w:rFonts w:eastAsiaTheme="minorEastAsia"/>
          <w:noProof/>
          <w:lang w:eastAsia="cs-CZ"/>
        </w:rPr>
      </w:pPr>
      <w:hyperlink w:anchor="_Toc120652149" w:history="1">
        <w:r w:rsidRPr="00E16C6D">
          <w:rPr>
            <w:rStyle w:val="Hypertextovodkaz"/>
            <w:noProof/>
          </w:rPr>
          <w:t>2.1.5.2 Školství a vzdělávání</w:t>
        </w:r>
        <w:r>
          <w:rPr>
            <w:noProof/>
            <w:webHidden/>
          </w:rPr>
          <w:tab/>
        </w:r>
        <w:r>
          <w:rPr>
            <w:noProof/>
            <w:webHidden/>
          </w:rPr>
          <w:fldChar w:fldCharType="begin"/>
        </w:r>
        <w:r>
          <w:rPr>
            <w:noProof/>
            <w:webHidden/>
          </w:rPr>
          <w:instrText xml:space="preserve"> PAGEREF _Toc120652149 \h </w:instrText>
        </w:r>
        <w:r>
          <w:rPr>
            <w:noProof/>
            <w:webHidden/>
          </w:rPr>
        </w:r>
        <w:r>
          <w:rPr>
            <w:noProof/>
            <w:webHidden/>
          </w:rPr>
          <w:fldChar w:fldCharType="separate"/>
        </w:r>
        <w:r w:rsidR="00392EC3">
          <w:rPr>
            <w:noProof/>
            <w:webHidden/>
          </w:rPr>
          <w:t>43</w:t>
        </w:r>
        <w:r>
          <w:rPr>
            <w:noProof/>
            <w:webHidden/>
          </w:rPr>
          <w:fldChar w:fldCharType="end"/>
        </w:r>
      </w:hyperlink>
    </w:p>
    <w:p w14:paraId="267C64A0" w14:textId="1D6B3E0E" w:rsidR="00AE1D87" w:rsidRDefault="00AE1D87">
      <w:pPr>
        <w:pStyle w:val="Obsah4"/>
        <w:rPr>
          <w:rFonts w:eastAsiaTheme="minorEastAsia"/>
          <w:noProof/>
          <w:lang w:eastAsia="cs-CZ"/>
        </w:rPr>
      </w:pPr>
      <w:hyperlink w:anchor="_Toc120652150" w:history="1">
        <w:r w:rsidRPr="00E16C6D">
          <w:rPr>
            <w:rStyle w:val="Hypertextovodkaz"/>
            <w:noProof/>
          </w:rPr>
          <w:t>2.1.5.3 Zdravotnictví</w:t>
        </w:r>
        <w:r>
          <w:rPr>
            <w:noProof/>
            <w:webHidden/>
          </w:rPr>
          <w:tab/>
        </w:r>
        <w:r>
          <w:rPr>
            <w:noProof/>
            <w:webHidden/>
          </w:rPr>
          <w:fldChar w:fldCharType="begin"/>
        </w:r>
        <w:r>
          <w:rPr>
            <w:noProof/>
            <w:webHidden/>
          </w:rPr>
          <w:instrText xml:space="preserve"> PAGEREF _Toc120652150 \h </w:instrText>
        </w:r>
        <w:r>
          <w:rPr>
            <w:noProof/>
            <w:webHidden/>
          </w:rPr>
        </w:r>
        <w:r>
          <w:rPr>
            <w:noProof/>
            <w:webHidden/>
          </w:rPr>
          <w:fldChar w:fldCharType="separate"/>
        </w:r>
        <w:r w:rsidR="00392EC3">
          <w:rPr>
            <w:noProof/>
            <w:webHidden/>
          </w:rPr>
          <w:t>43</w:t>
        </w:r>
        <w:r>
          <w:rPr>
            <w:noProof/>
            <w:webHidden/>
          </w:rPr>
          <w:fldChar w:fldCharType="end"/>
        </w:r>
      </w:hyperlink>
    </w:p>
    <w:p w14:paraId="0D2D0A4C" w14:textId="2996320E" w:rsidR="00AE1D87" w:rsidRDefault="00AE1D87">
      <w:pPr>
        <w:pStyle w:val="Obsah4"/>
        <w:rPr>
          <w:rFonts w:eastAsiaTheme="minorEastAsia"/>
          <w:noProof/>
          <w:lang w:eastAsia="cs-CZ"/>
        </w:rPr>
      </w:pPr>
      <w:hyperlink w:anchor="_Toc120652151" w:history="1">
        <w:r w:rsidRPr="00E16C6D">
          <w:rPr>
            <w:rStyle w:val="Hypertextovodkaz"/>
            <w:noProof/>
          </w:rPr>
          <w:t>2.1.5.4 Sociální služby</w:t>
        </w:r>
        <w:r>
          <w:rPr>
            <w:noProof/>
            <w:webHidden/>
          </w:rPr>
          <w:tab/>
        </w:r>
        <w:r>
          <w:rPr>
            <w:noProof/>
            <w:webHidden/>
          </w:rPr>
          <w:fldChar w:fldCharType="begin"/>
        </w:r>
        <w:r>
          <w:rPr>
            <w:noProof/>
            <w:webHidden/>
          </w:rPr>
          <w:instrText xml:space="preserve"> PAGEREF _Toc120652151 \h </w:instrText>
        </w:r>
        <w:r>
          <w:rPr>
            <w:noProof/>
            <w:webHidden/>
          </w:rPr>
        </w:r>
        <w:r>
          <w:rPr>
            <w:noProof/>
            <w:webHidden/>
          </w:rPr>
          <w:fldChar w:fldCharType="separate"/>
        </w:r>
        <w:r w:rsidR="00392EC3">
          <w:rPr>
            <w:noProof/>
            <w:webHidden/>
          </w:rPr>
          <w:t>43</w:t>
        </w:r>
        <w:r>
          <w:rPr>
            <w:noProof/>
            <w:webHidden/>
          </w:rPr>
          <w:fldChar w:fldCharType="end"/>
        </w:r>
      </w:hyperlink>
    </w:p>
    <w:p w14:paraId="13F0B39E" w14:textId="7DB2552A" w:rsidR="00AE1D87" w:rsidRDefault="00AE1D87">
      <w:pPr>
        <w:pStyle w:val="Obsah4"/>
        <w:rPr>
          <w:rFonts w:eastAsiaTheme="minorEastAsia"/>
          <w:noProof/>
          <w:lang w:eastAsia="cs-CZ"/>
        </w:rPr>
      </w:pPr>
      <w:hyperlink w:anchor="_Toc120652152" w:history="1">
        <w:r w:rsidRPr="00E16C6D">
          <w:rPr>
            <w:rStyle w:val="Hypertextovodkaz"/>
            <w:noProof/>
          </w:rPr>
          <w:t>2.1.5.5 Kultura</w:t>
        </w:r>
        <w:r>
          <w:rPr>
            <w:noProof/>
            <w:webHidden/>
          </w:rPr>
          <w:tab/>
        </w:r>
        <w:r>
          <w:rPr>
            <w:noProof/>
            <w:webHidden/>
          </w:rPr>
          <w:fldChar w:fldCharType="begin"/>
        </w:r>
        <w:r>
          <w:rPr>
            <w:noProof/>
            <w:webHidden/>
          </w:rPr>
          <w:instrText xml:space="preserve"> PAGEREF _Toc120652152 \h </w:instrText>
        </w:r>
        <w:r>
          <w:rPr>
            <w:noProof/>
            <w:webHidden/>
          </w:rPr>
        </w:r>
        <w:r>
          <w:rPr>
            <w:noProof/>
            <w:webHidden/>
          </w:rPr>
          <w:fldChar w:fldCharType="separate"/>
        </w:r>
        <w:r w:rsidR="00392EC3">
          <w:rPr>
            <w:noProof/>
            <w:webHidden/>
          </w:rPr>
          <w:t>43</w:t>
        </w:r>
        <w:r>
          <w:rPr>
            <w:noProof/>
            <w:webHidden/>
          </w:rPr>
          <w:fldChar w:fldCharType="end"/>
        </w:r>
      </w:hyperlink>
    </w:p>
    <w:p w14:paraId="14277C1C" w14:textId="139E0CD2" w:rsidR="00AE1D87" w:rsidRDefault="00AE1D87">
      <w:pPr>
        <w:pStyle w:val="Obsah4"/>
        <w:rPr>
          <w:rFonts w:eastAsiaTheme="minorEastAsia"/>
          <w:noProof/>
          <w:lang w:eastAsia="cs-CZ"/>
        </w:rPr>
      </w:pPr>
      <w:hyperlink w:anchor="_Toc120652153" w:history="1">
        <w:r w:rsidRPr="00E16C6D">
          <w:rPr>
            <w:rStyle w:val="Hypertextovodkaz"/>
            <w:noProof/>
          </w:rPr>
          <w:t>2.1.5.6 Sport a tělovýchova</w:t>
        </w:r>
        <w:r>
          <w:rPr>
            <w:noProof/>
            <w:webHidden/>
          </w:rPr>
          <w:tab/>
        </w:r>
        <w:r>
          <w:rPr>
            <w:noProof/>
            <w:webHidden/>
          </w:rPr>
          <w:fldChar w:fldCharType="begin"/>
        </w:r>
        <w:r>
          <w:rPr>
            <w:noProof/>
            <w:webHidden/>
          </w:rPr>
          <w:instrText xml:space="preserve"> PAGEREF _Toc120652153 \h </w:instrText>
        </w:r>
        <w:r>
          <w:rPr>
            <w:noProof/>
            <w:webHidden/>
          </w:rPr>
        </w:r>
        <w:r>
          <w:rPr>
            <w:noProof/>
            <w:webHidden/>
          </w:rPr>
          <w:fldChar w:fldCharType="separate"/>
        </w:r>
        <w:r w:rsidR="00392EC3">
          <w:rPr>
            <w:noProof/>
            <w:webHidden/>
          </w:rPr>
          <w:t>44</w:t>
        </w:r>
        <w:r>
          <w:rPr>
            <w:noProof/>
            <w:webHidden/>
          </w:rPr>
          <w:fldChar w:fldCharType="end"/>
        </w:r>
      </w:hyperlink>
    </w:p>
    <w:p w14:paraId="49D0EB21" w14:textId="137F90E3" w:rsidR="00AE1D87" w:rsidRDefault="00AE1D87">
      <w:pPr>
        <w:pStyle w:val="Obsah3"/>
        <w:rPr>
          <w:rFonts w:eastAsiaTheme="minorEastAsia"/>
          <w:noProof/>
          <w:lang w:eastAsia="cs-CZ"/>
        </w:rPr>
      </w:pPr>
      <w:hyperlink w:anchor="_Toc120652154" w:history="1">
        <w:r w:rsidRPr="00E16C6D">
          <w:rPr>
            <w:rStyle w:val="Hypertextovodkaz"/>
            <w:noProof/>
          </w:rPr>
          <w:t>2.1.6 Životní prostředí</w:t>
        </w:r>
        <w:r>
          <w:rPr>
            <w:noProof/>
            <w:webHidden/>
          </w:rPr>
          <w:tab/>
        </w:r>
        <w:r>
          <w:rPr>
            <w:noProof/>
            <w:webHidden/>
          </w:rPr>
          <w:fldChar w:fldCharType="begin"/>
        </w:r>
        <w:r>
          <w:rPr>
            <w:noProof/>
            <w:webHidden/>
          </w:rPr>
          <w:instrText xml:space="preserve"> PAGEREF _Toc120652154 \h </w:instrText>
        </w:r>
        <w:r>
          <w:rPr>
            <w:noProof/>
            <w:webHidden/>
          </w:rPr>
        </w:r>
        <w:r>
          <w:rPr>
            <w:noProof/>
            <w:webHidden/>
          </w:rPr>
          <w:fldChar w:fldCharType="separate"/>
        </w:r>
        <w:r w:rsidR="00392EC3">
          <w:rPr>
            <w:noProof/>
            <w:webHidden/>
          </w:rPr>
          <w:t>46</w:t>
        </w:r>
        <w:r>
          <w:rPr>
            <w:noProof/>
            <w:webHidden/>
          </w:rPr>
          <w:fldChar w:fldCharType="end"/>
        </w:r>
      </w:hyperlink>
    </w:p>
    <w:p w14:paraId="6ED92A3A" w14:textId="55F9A3AA" w:rsidR="00AE1D87" w:rsidRDefault="00AE1D87">
      <w:pPr>
        <w:pStyle w:val="Obsah4"/>
        <w:rPr>
          <w:rFonts w:eastAsiaTheme="minorEastAsia"/>
          <w:noProof/>
          <w:lang w:eastAsia="cs-CZ"/>
        </w:rPr>
      </w:pPr>
      <w:hyperlink w:anchor="_Toc120652155" w:history="1">
        <w:r w:rsidRPr="00E16C6D">
          <w:rPr>
            <w:rStyle w:val="Hypertextovodkaz"/>
            <w:noProof/>
          </w:rPr>
          <w:t>2.1.6.1 Současný stav životního prostředí</w:t>
        </w:r>
        <w:r>
          <w:rPr>
            <w:noProof/>
            <w:webHidden/>
          </w:rPr>
          <w:tab/>
        </w:r>
        <w:r>
          <w:rPr>
            <w:noProof/>
            <w:webHidden/>
          </w:rPr>
          <w:fldChar w:fldCharType="begin"/>
        </w:r>
        <w:r>
          <w:rPr>
            <w:noProof/>
            <w:webHidden/>
          </w:rPr>
          <w:instrText xml:space="preserve"> PAGEREF _Toc120652155 \h </w:instrText>
        </w:r>
        <w:r>
          <w:rPr>
            <w:noProof/>
            <w:webHidden/>
          </w:rPr>
        </w:r>
        <w:r>
          <w:rPr>
            <w:noProof/>
            <w:webHidden/>
          </w:rPr>
          <w:fldChar w:fldCharType="separate"/>
        </w:r>
        <w:r w:rsidR="00392EC3">
          <w:rPr>
            <w:noProof/>
            <w:webHidden/>
          </w:rPr>
          <w:t>46</w:t>
        </w:r>
        <w:r>
          <w:rPr>
            <w:noProof/>
            <w:webHidden/>
          </w:rPr>
          <w:fldChar w:fldCharType="end"/>
        </w:r>
      </w:hyperlink>
    </w:p>
    <w:p w14:paraId="1C35D9B9" w14:textId="12BFCC82" w:rsidR="00AE1D87" w:rsidRDefault="00AE1D87">
      <w:pPr>
        <w:pStyle w:val="Obsah4"/>
        <w:rPr>
          <w:rFonts w:eastAsiaTheme="minorEastAsia"/>
          <w:noProof/>
          <w:lang w:eastAsia="cs-CZ"/>
        </w:rPr>
      </w:pPr>
      <w:hyperlink w:anchor="_Toc120652156" w:history="1">
        <w:r w:rsidRPr="00E16C6D">
          <w:rPr>
            <w:rStyle w:val="Hypertextovodkaz"/>
            <w:noProof/>
          </w:rPr>
          <w:t>2.1.6.2 Ochrana životního prostředí</w:t>
        </w:r>
        <w:r>
          <w:rPr>
            <w:noProof/>
            <w:webHidden/>
          </w:rPr>
          <w:tab/>
        </w:r>
        <w:r>
          <w:rPr>
            <w:noProof/>
            <w:webHidden/>
          </w:rPr>
          <w:fldChar w:fldCharType="begin"/>
        </w:r>
        <w:r>
          <w:rPr>
            <w:noProof/>
            <w:webHidden/>
          </w:rPr>
          <w:instrText xml:space="preserve"> PAGEREF _Toc120652156 \h </w:instrText>
        </w:r>
        <w:r>
          <w:rPr>
            <w:noProof/>
            <w:webHidden/>
          </w:rPr>
        </w:r>
        <w:r>
          <w:rPr>
            <w:noProof/>
            <w:webHidden/>
          </w:rPr>
          <w:fldChar w:fldCharType="separate"/>
        </w:r>
        <w:r w:rsidR="00392EC3">
          <w:rPr>
            <w:noProof/>
            <w:webHidden/>
          </w:rPr>
          <w:t>52</w:t>
        </w:r>
        <w:r>
          <w:rPr>
            <w:noProof/>
            <w:webHidden/>
          </w:rPr>
          <w:fldChar w:fldCharType="end"/>
        </w:r>
      </w:hyperlink>
    </w:p>
    <w:p w14:paraId="58EE625A" w14:textId="44CB36F3" w:rsidR="00AE1D87" w:rsidRDefault="00AE1D87">
      <w:pPr>
        <w:pStyle w:val="Obsah3"/>
        <w:rPr>
          <w:rFonts w:eastAsiaTheme="minorEastAsia"/>
          <w:noProof/>
          <w:lang w:eastAsia="cs-CZ"/>
        </w:rPr>
      </w:pPr>
      <w:hyperlink w:anchor="_Toc120652157" w:history="1">
        <w:r w:rsidRPr="00E16C6D">
          <w:rPr>
            <w:rStyle w:val="Hypertextovodkaz"/>
            <w:noProof/>
          </w:rPr>
          <w:t>2.1.7 Správa obce</w:t>
        </w:r>
        <w:r>
          <w:rPr>
            <w:noProof/>
            <w:webHidden/>
          </w:rPr>
          <w:tab/>
        </w:r>
        <w:r>
          <w:rPr>
            <w:noProof/>
            <w:webHidden/>
          </w:rPr>
          <w:fldChar w:fldCharType="begin"/>
        </w:r>
        <w:r>
          <w:rPr>
            <w:noProof/>
            <w:webHidden/>
          </w:rPr>
          <w:instrText xml:space="preserve"> PAGEREF _Toc120652157 \h </w:instrText>
        </w:r>
        <w:r>
          <w:rPr>
            <w:noProof/>
            <w:webHidden/>
          </w:rPr>
        </w:r>
        <w:r>
          <w:rPr>
            <w:noProof/>
            <w:webHidden/>
          </w:rPr>
          <w:fldChar w:fldCharType="separate"/>
        </w:r>
        <w:r w:rsidR="00392EC3">
          <w:rPr>
            <w:noProof/>
            <w:webHidden/>
          </w:rPr>
          <w:t>55</w:t>
        </w:r>
        <w:r>
          <w:rPr>
            <w:noProof/>
            <w:webHidden/>
          </w:rPr>
          <w:fldChar w:fldCharType="end"/>
        </w:r>
      </w:hyperlink>
    </w:p>
    <w:p w14:paraId="4C3FEFDC" w14:textId="1E49E3CB" w:rsidR="00AE1D87" w:rsidRDefault="00AE1D87">
      <w:pPr>
        <w:pStyle w:val="Obsah4"/>
        <w:rPr>
          <w:rFonts w:eastAsiaTheme="minorEastAsia"/>
          <w:noProof/>
          <w:lang w:eastAsia="cs-CZ"/>
        </w:rPr>
      </w:pPr>
      <w:hyperlink w:anchor="_Toc120652158" w:history="1">
        <w:r w:rsidRPr="00E16C6D">
          <w:rPr>
            <w:rStyle w:val="Hypertextovodkaz"/>
            <w:noProof/>
          </w:rPr>
          <w:t>2.1.7.1 Obecní úřad a kompetence obce</w:t>
        </w:r>
        <w:r>
          <w:rPr>
            <w:noProof/>
            <w:webHidden/>
          </w:rPr>
          <w:tab/>
        </w:r>
        <w:r>
          <w:rPr>
            <w:noProof/>
            <w:webHidden/>
          </w:rPr>
          <w:fldChar w:fldCharType="begin"/>
        </w:r>
        <w:r>
          <w:rPr>
            <w:noProof/>
            <w:webHidden/>
          </w:rPr>
          <w:instrText xml:space="preserve"> PAGEREF _Toc120652158 \h </w:instrText>
        </w:r>
        <w:r>
          <w:rPr>
            <w:noProof/>
            <w:webHidden/>
          </w:rPr>
        </w:r>
        <w:r>
          <w:rPr>
            <w:noProof/>
            <w:webHidden/>
          </w:rPr>
          <w:fldChar w:fldCharType="separate"/>
        </w:r>
        <w:r w:rsidR="00392EC3">
          <w:rPr>
            <w:noProof/>
            <w:webHidden/>
          </w:rPr>
          <w:t>55</w:t>
        </w:r>
        <w:r>
          <w:rPr>
            <w:noProof/>
            <w:webHidden/>
          </w:rPr>
          <w:fldChar w:fldCharType="end"/>
        </w:r>
      </w:hyperlink>
    </w:p>
    <w:p w14:paraId="4BE1AA9B" w14:textId="1194FEA6" w:rsidR="00AE1D87" w:rsidRDefault="00AE1D87">
      <w:pPr>
        <w:pStyle w:val="Obsah4"/>
        <w:rPr>
          <w:rFonts w:eastAsiaTheme="minorEastAsia"/>
          <w:noProof/>
          <w:lang w:eastAsia="cs-CZ"/>
        </w:rPr>
      </w:pPr>
      <w:hyperlink w:anchor="_Toc120652159" w:history="1">
        <w:r w:rsidRPr="00E16C6D">
          <w:rPr>
            <w:rStyle w:val="Hypertextovodkaz"/>
            <w:noProof/>
          </w:rPr>
          <w:t>2.1.7.2 Hospodaření a majetek obce</w:t>
        </w:r>
        <w:r>
          <w:rPr>
            <w:noProof/>
            <w:webHidden/>
          </w:rPr>
          <w:tab/>
        </w:r>
        <w:r>
          <w:rPr>
            <w:noProof/>
            <w:webHidden/>
          </w:rPr>
          <w:fldChar w:fldCharType="begin"/>
        </w:r>
        <w:r>
          <w:rPr>
            <w:noProof/>
            <w:webHidden/>
          </w:rPr>
          <w:instrText xml:space="preserve"> PAGEREF _Toc120652159 \h </w:instrText>
        </w:r>
        <w:r>
          <w:rPr>
            <w:noProof/>
            <w:webHidden/>
          </w:rPr>
        </w:r>
        <w:r>
          <w:rPr>
            <w:noProof/>
            <w:webHidden/>
          </w:rPr>
          <w:fldChar w:fldCharType="separate"/>
        </w:r>
        <w:r w:rsidR="00392EC3">
          <w:rPr>
            <w:noProof/>
            <w:webHidden/>
          </w:rPr>
          <w:t>56</w:t>
        </w:r>
        <w:r>
          <w:rPr>
            <w:noProof/>
            <w:webHidden/>
          </w:rPr>
          <w:fldChar w:fldCharType="end"/>
        </w:r>
      </w:hyperlink>
    </w:p>
    <w:p w14:paraId="2B5AD46D" w14:textId="5E355C05" w:rsidR="00AE1D87" w:rsidRDefault="00AE1D87">
      <w:pPr>
        <w:pStyle w:val="Obsah4"/>
        <w:rPr>
          <w:rFonts w:eastAsiaTheme="minorEastAsia"/>
          <w:noProof/>
          <w:lang w:eastAsia="cs-CZ"/>
        </w:rPr>
      </w:pPr>
      <w:hyperlink w:anchor="_Toc120652160" w:history="1">
        <w:r w:rsidRPr="00E16C6D">
          <w:rPr>
            <w:rStyle w:val="Hypertextovodkaz"/>
            <w:noProof/>
          </w:rPr>
          <w:t>2.1.7.3 Bezpečnost</w:t>
        </w:r>
        <w:r>
          <w:rPr>
            <w:noProof/>
            <w:webHidden/>
          </w:rPr>
          <w:tab/>
        </w:r>
        <w:r>
          <w:rPr>
            <w:noProof/>
            <w:webHidden/>
          </w:rPr>
          <w:fldChar w:fldCharType="begin"/>
        </w:r>
        <w:r>
          <w:rPr>
            <w:noProof/>
            <w:webHidden/>
          </w:rPr>
          <w:instrText xml:space="preserve"> PAGEREF _Toc120652160 \h </w:instrText>
        </w:r>
        <w:r>
          <w:rPr>
            <w:noProof/>
            <w:webHidden/>
          </w:rPr>
        </w:r>
        <w:r>
          <w:rPr>
            <w:noProof/>
            <w:webHidden/>
          </w:rPr>
          <w:fldChar w:fldCharType="separate"/>
        </w:r>
        <w:r w:rsidR="00392EC3">
          <w:rPr>
            <w:noProof/>
            <w:webHidden/>
          </w:rPr>
          <w:t>61</w:t>
        </w:r>
        <w:r>
          <w:rPr>
            <w:noProof/>
            <w:webHidden/>
          </w:rPr>
          <w:fldChar w:fldCharType="end"/>
        </w:r>
      </w:hyperlink>
    </w:p>
    <w:p w14:paraId="56942473" w14:textId="786C43DC" w:rsidR="00AE1D87" w:rsidRDefault="00AE1D87">
      <w:pPr>
        <w:pStyle w:val="Obsah4"/>
        <w:rPr>
          <w:rFonts w:eastAsiaTheme="minorEastAsia"/>
          <w:noProof/>
          <w:lang w:eastAsia="cs-CZ"/>
        </w:rPr>
      </w:pPr>
      <w:hyperlink w:anchor="_Toc120652161" w:history="1">
        <w:r w:rsidRPr="00E16C6D">
          <w:rPr>
            <w:rStyle w:val="Hypertextovodkaz"/>
            <w:noProof/>
          </w:rPr>
          <w:t>2.1.7.4 Partnerství obce</w:t>
        </w:r>
        <w:r>
          <w:rPr>
            <w:noProof/>
            <w:webHidden/>
          </w:rPr>
          <w:tab/>
        </w:r>
        <w:r>
          <w:rPr>
            <w:noProof/>
            <w:webHidden/>
          </w:rPr>
          <w:fldChar w:fldCharType="begin"/>
        </w:r>
        <w:r>
          <w:rPr>
            <w:noProof/>
            <w:webHidden/>
          </w:rPr>
          <w:instrText xml:space="preserve"> PAGEREF _Toc120652161 \h </w:instrText>
        </w:r>
        <w:r>
          <w:rPr>
            <w:noProof/>
            <w:webHidden/>
          </w:rPr>
        </w:r>
        <w:r>
          <w:rPr>
            <w:noProof/>
            <w:webHidden/>
          </w:rPr>
          <w:fldChar w:fldCharType="separate"/>
        </w:r>
        <w:r w:rsidR="00392EC3">
          <w:rPr>
            <w:noProof/>
            <w:webHidden/>
          </w:rPr>
          <w:t>62</w:t>
        </w:r>
        <w:r>
          <w:rPr>
            <w:noProof/>
            <w:webHidden/>
          </w:rPr>
          <w:fldChar w:fldCharType="end"/>
        </w:r>
      </w:hyperlink>
    </w:p>
    <w:p w14:paraId="0C473B3A" w14:textId="4296CC9F" w:rsidR="00AE1D87" w:rsidRDefault="00AE1D87">
      <w:pPr>
        <w:pStyle w:val="Obsah2"/>
        <w:rPr>
          <w:rFonts w:eastAsiaTheme="minorEastAsia"/>
          <w:b w:val="0"/>
          <w:lang w:eastAsia="cs-CZ"/>
        </w:rPr>
      </w:pPr>
      <w:hyperlink w:anchor="_Toc120652162" w:history="1">
        <w:r w:rsidRPr="00E16C6D">
          <w:rPr>
            <w:rStyle w:val="Hypertextovodkaz"/>
          </w:rPr>
          <w:t>2.2 Zhodnocení dotazníkového šetření</w:t>
        </w:r>
        <w:r>
          <w:rPr>
            <w:webHidden/>
          </w:rPr>
          <w:tab/>
        </w:r>
        <w:r>
          <w:rPr>
            <w:webHidden/>
          </w:rPr>
          <w:fldChar w:fldCharType="begin"/>
        </w:r>
        <w:r>
          <w:rPr>
            <w:webHidden/>
          </w:rPr>
          <w:instrText xml:space="preserve"> PAGEREF _Toc120652162 \h </w:instrText>
        </w:r>
        <w:r>
          <w:rPr>
            <w:webHidden/>
          </w:rPr>
        </w:r>
        <w:r>
          <w:rPr>
            <w:webHidden/>
          </w:rPr>
          <w:fldChar w:fldCharType="separate"/>
        </w:r>
        <w:r w:rsidR="00392EC3">
          <w:rPr>
            <w:webHidden/>
          </w:rPr>
          <w:t>63</w:t>
        </w:r>
        <w:r>
          <w:rPr>
            <w:webHidden/>
          </w:rPr>
          <w:fldChar w:fldCharType="end"/>
        </w:r>
      </w:hyperlink>
    </w:p>
    <w:p w14:paraId="23B7E5AE" w14:textId="375E0AB1" w:rsidR="00AE1D87" w:rsidRDefault="00AE1D87">
      <w:pPr>
        <w:pStyle w:val="Obsah2"/>
        <w:rPr>
          <w:rFonts w:eastAsiaTheme="minorEastAsia"/>
          <w:b w:val="0"/>
          <w:lang w:eastAsia="cs-CZ"/>
        </w:rPr>
      </w:pPr>
      <w:hyperlink w:anchor="_Toc120652163" w:history="1">
        <w:r w:rsidRPr="00E16C6D">
          <w:rPr>
            <w:rStyle w:val="Hypertextovodkaz"/>
          </w:rPr>
          <w:t>2.3 Vyhodnocení veřejného projednávání</w:t>
        </w:r>
        <w:r>
          <w:rPr>
            <w:webHidden/>
          </w:rPr>
          <w:tab/>
        </w:r>
        <w:r>
          <w:rPr>
            <w:webHidden/>
          </w:rPr>
          <w:fldChar w:fldCharType="begin"/>
        </w:r>
        <w:r>
          <w:rPr>
            <w:webHidden/>
          </w:rPr>
          <w:instrText xml:space="preserve"> PAGEREF _Toc120652163 \h </w:instrText>
        </w:r>
        <w:r>
          <w:rPr>
            <w:webHidden/>
          </w:rPr>
        </w:r>
        <w:r>
          <w:rPr>
            <w:webHidden/>
          </w:rPr>
          <w:fldChar w:fldCharType="separate"/>
        </w:r>
        <w:r w:rsidR="00392EC3">
          <w:rPr>
            <w:webHidden/>
          </w:rPr>
          <w:t>82</w:t>
        </w:r>
        <w:r>
          <w:rPr>
            <w:webHidden/>
          </w:rPr>
          <w:fldChar w:fldCharType="end"/>
        </w:r>
      </w:hyperlink>
    </w:p>
    <w:p w14:paraId="60F3143C" w14:textId="2AB5C953" w:rsidR="00AE1D87" w:rsidRDefault="00AE1D87">
      <w:pPr>
        <w:pStyle w:val="Obsah2"/>
        <w:rPr>
          <w:rFonts w:eastAsiaTheme="minorEastAsia"/>
          <w:b w:val="0"/>
          <w:lang w:eastAsia="cs-CZ"/>
        </w:rPr>
      </w:pPr>
      <w:hyperlink w:anchor="_Toc120652164" w:history="1">
        <w:r w:rsidRPr="00E16C6D">
          <w:rPr>
            <w:rStyle w:val="Hypertextovodkaz"/>
          </w:rPr>
          <w:t>2.4 Východiska pro návrhovou část</w:t>
        </w:r>
        <w:r>
          <w:rPr>
            <w:webHidden/>
          </w:rPr>
          <w:tab/>
        </w:r>
        <w:r>
          <w:rPr>
            <w:webHidden/>
          </w:rPr>
          <w:fldChar w:fldCharType="begin"/>
        </w:r>
        <w:r>
          <w:rPr>
            <w:webHidden/>
          </w:rPr>
          <w:instrText xml:space="preserve"> PAGEREF _Toc120652164 \h </w:instrText>
        </w:r>
        <w:r>
          <w:rPr>
            <w:webHidden/>
          </w:rPr>
        </w:r>
        <w:r>
          <w:rPr>
            <w:webHidden/>
          </w:rPr>
          <w:fldChar w:fldCharType="separate"/>
        </w:r>
        <w:r w:rsidR="00392EC3">
          <w:rPr>
            <w:webHidden/>
          </w:rPr>
          <w:t>85</w:t>
        </w:r>
        <w:r>
          <w:rPr>
            <w:webHidden/>
          </w:rPr>
          <w:fldChar w:fldCharType="end"/>
        </w:r>
      </w:hyperlink>
    </w:p>
    <w:p w14:paraId="685C1B56" w14:textId="65E2DFC7" w:rsidR="00AE1D87" w:rsidRDefault="00AE1D87">
      <w:pPr>
        <w:pStyle w:val="Obsah3"/>
        <w:rPr>
          <w:rFonts w:eastAsiaTheme="minorEastAsia"/>
          <w:noProof/>
          <w:lang w:eastAsia="cs-CZ"/>
        </w:rPr>
      </w:pPr>
      <w:hyperlink w:anchor="_Toc120652165" w:history="1">
        <w:r w:rsidRPr="00E16C6D">
          <w:rPr>
            <w:rStyle w:val="Hypertextovodkaz"/>
            <w:noProof/>
          </w:rPr>
          <w:t>2.4.1 Potenciál vyplývající z analýzy současného stavu</w:t>
        </w:r>
        <w:r>
          <w:rPr>
            <w:noProof/>
            <w:webHidden/>
          </w:rPr>
          <w:tab/>
        </w:r>
        <w:r>
          <w:rPr>
            <w:noProof/>
            <w:webHidden/>
          </w:rPr>
          <w:fldChar w:fldCharType="begin"/>
        </w:r>
        <w:r>
          <w:rPr>
            <w:noProof/>
            <w:webHidden/>
          </w:rPr>
          <w:instrText xml:space="preserve"> PAGEREF _Toc120652165 \h </w:instrText>
        </w:r>
        <w:r>
          <w:rPr>
            <w:noProof/>
            <w:webHidden/>
          </w:rPr>
        </w:r>
        <w:r>
          <w:rPr>
            <w:noProof/>
            <w:webHidden/>
          </w:rPr>
          <w:fldChar w:fldCharType="separate"/>
        </w:r>
        <w:r w:rsidR="00392EC3">
          <w:rPr>
            <w:noProof/>
            <w:webHidden/>
          </w:rPr>
          <w:t>85</w:t>
        </w:r>
        <w:r>
          <w:rPr>
            <w:noProof/>
            <w:webHidden/>
          </w:rPr>
          <w:fldChar w:fldCharType="end"/>
        </w:r>
      </w:hyperlink>
    </w:p>
    <w:p w14:paraId="30918E68" w14:textId="2E4BB81C" w:rsidR="00AE1D87" w:rsidRDefault="00AE1D87">
      <w:pPr>
        <w:pStyle w:val="Obsah3"/>
        <w:rPr>
          <w:rFonts w:eastAsiaTheme="minorEastAsia"/>
          <w:noProof/>
          <w:lang w:eastAsia="cs-CZ"/>
        </w:rPr>
      </w:pPr>
      <w:hyperlink w:anchor="_Toc120652166" w:history="1">
        <w:r w:rsidRPr="00E16C6D">
          <w:rPr>
            <w:rStyle w:val="Hypertextovodkaz"/>
            <w:noProof/>
          </w:rPr>
          <w:t>2.4.2 Návaznost na jiné strategické a územní dokumenty</w:t>
        </w:r>
        <w:r>
          <w:rPr>
            <w:noProof/>
            <w:webHidden/>
          </w:rPr>
          <w:tab/>
        </w:r>
        <w:r>
          <w:rPr>
            <w:noProof/>
            <w:webHidden/>
          </w:rPr>
          <w:fldChar w:fldCharType="begin"/>
        </w:r>
        <w:r>
          <w:rPr>
            <w:noProof/>
            <w:webHidden/>
          </w:rPr>
          <w:instrText xml:space="preserve"> PAGEREF _Toc120652166 \h </w:instrText>
        </w:r>
        <w:r>
          <w:rPr>
            <w:noProof/>
            <w:webHidden/>
          </w:rPr>
        </w:r>
        <w:r>
          <w:rPr>
            <w:noProof/>
            <w:webHidden/>
          </w:rPr>
          <w:fldChar w:fldCharType="separate"/>
        </w:r>
        <w:r w:rsidR="00392EC3">
          <w:rPr>
            <w:noProof/>
            <w:webHidden/>
          </w:rPr>
          <w:t>86</w:t>
        </w:r>
        <w:r>
          <w:rPr>
            <w:noProof/>
            <w:webHidden/>
          </w:rPr>
          <w:fldChar w:fldCharType="end"/>
        </w:r>
      </w:hyperlink>
    </w:p>
    <w:p w14:paraId="5B10EF4A" w14:textId="7FC81EF7" w:rsidR="00AE1D87" w:rsidRDefault="00AE1D87">
      <w:pPr>
        <w:pStyle w:val="Obsah3"/>
        <w:rPr>
          <w:rFonts w:eastAsiaTheme="minorEastAsia"/>
          <w:noProof/>
          <w:lang w:eastAsia="cs-CZ"/>
        </w:rPr>
      </w:pPr>
      <w:hyperlink w:anchor="_Toc120652167" w:history="1">
        <w:r w:rsidRPr="00E16C6D">
          <w:rPr>
            <w:rStyle w:val="Hypertextovodkaz"/>
            <w:noProof/>
          </w:rPr>
          <w:t>2.4.3 Limity rozvoje</w:t>
        </w:r>
        <w:r>
          <w:rPr>
            <w:noProof/>
            <w:webHidden/>
          </w:rPr>
          <w:tab/>
        </w:r>
        <w:r>
          <w:rPr>
            <w:noProof/>
            <w:webHidden/>
          </w:rPr>
          <w:fldChar w:fldCharType="begin"/>
        </w:r>
        <w:r>
          <w:rPr>
            <w:noProof/>
            <w:webHidden/>
          </w:rPr>
          <w:instrText xml:space="preserve"> PAGEREF _Toc120652167 \h </w:instrText>
        </w:r>
        <w:r>
          <w:rPr>
            <w:noProof/>
            <w:webHidden/>
          </w:rPr>
        </w:r>
        <w:r>
          <w:rPr>
            <w:noProof/>
            <w:webHidden/>
          </w:rPr>
          <w:fldChar w:fldCharType="separate"/>
        </w:r>
        <w:r w:rsidR="00392EC3">
          <w:rPr>
            <w:noProof/>
            <w:webHidden/>
          </w:rPr>
          <w:t>88</w:t>
        </w:r>
        <w:r>
          <w:rPr>
            <w:noProof/>
            <w:webHidden/>
          </w:rPr>
          <w:fldChar w:fldCharType="end"/>
        </w:r>
      </w:hyperlink>
    </w:p>
    <w:p w14:paraId="33B8DCF9" w14:textId="5DE7FE00" w:rsidR="00AE1D87" w:rsidRDefault="00AE1D87">
      <w:pPr>
        <w:pStyle w:val="Obsah3"/>
        <w:rPr>
          <w:rFonts w:eastAsiaTheme="minorEastAsia"/>
          <w:noProof/>
          <w:lang w:eastAsia="cs-CZ"/>
        </w:rPr>
      </w:pPr>
      <w:hyperlink w:anchor="_Toc120652168" w:history="1">
        <w:r w:rsidRPr="00E16C6D">
          <w:rPr>
            <w:rStyle w:val="Hypertextovodkaz"/>
            <w:noProof/>
          </w:rPr>
          <w:t>2.4.4 SWOT analýza</w:t>
        </w:r>
        <w:r>
          <w:rPr>
            <w:noProof/>
            <w:webHidden/>
          </w:rPr>
          <w:tab/>
        </w:r>
        <w:r>
          <w:rPr>
            <w:noProof/>
            <w:webHidden/>
          </w:rPr>
          <w:fldChar w:fldCharType="begin"/>
        </w:r>
        <w:r>
          <w:rPr>
            <w:noProof/>
            <w:webHidden/>
          </w:rPr>
          <w:instrText xml:space="preserve"> PAGEREF _Toc120652168 \h </w:instrText>
        </w:r>
        <w:r>
          <w:rPr>
            <w:noProof/>
            <w:webHidden/>
          </w:rPr>
        </w:r>
        <w:r>
          <w:rPr>
            <w:noProof/>
            <w:webHidden/>
          </w:rPr>
          <w:fldChar w:fldCharType="separate"/>
        </w:r>
        <w:r w:rsidR="00392EC3">
          <w:rPr>
            <w:noProof/>
            <w:webHidden/>
          </w:rPr>
          <w:t>88</w:t>
        </w:r>
        <w:r>
          <w:rPr>
            <w:noProof/>
            <w:webHidden/>
          </w:rPr>
          <w:fldChar w:fldCharType="end"/>
        </w:r>
      </w:hyperlink>
    </w:p>
    <w:p w14:paraId="5602164C" w14:textId="5BFF1E29" w:rsidR="00AE1D87" w:rsidRDefault="00AE1D87" w:rsidP="00AE1D87">
      <w:pPr>
        <w:pStyle w:val="Obsah1"/>
        <w:rPr>
          <w:rFonts w:eastAsiaTheme="minorEastAsia"/>
          <w:sz w:val="22"/>
          <w:szCs w:val="22"/>
          <w:lang w:eastAsia="cs-CZ"/>
        </w:rPr>
      </w:pPr>
      <w:hyperlink w:anchor="_Toc120652169" w:history="1">
        <w:r w:rsidRPr="00E16C6D">
          <w:rPr>
            <w:rStyle w:val="Hypertextovodkaz"/>
            <w:rFonts w:eastAsia="Calibri"/>
          </w:rPr>
          <w:t>3 Strategická část</w:t>
        </w:r>
        <w:r>
          <w:rPr>
            <w:webHidden/>
          </w:rPr>
          <w:tab/>
        </w:r>
        <w:r>
          <w:rPr>
            <w:webHidden/>
          </w:rPr>
          <w:fldChar w:fldCharType="begin"/>
        </w:r>
        <w:r>
          <w:rPr>
            <w:webHidden/>
          </w:rPr>
          <w:instrText xml:space="preserve"> PAGEREF _Toc120652169 \h </w:instrText>
        </w:r>
        <w:r>
          <w:rPr>
            <w:webHidden/>
          </w:rPr>
        </w:r>
        <w:r>
          <w:rPr>
            <w:webHidden/>
          </w:rPr>
          <w:fldChar w:fldCharType="separate"/>
        </w:r>
        <w:r w:rsidR="00392EC3">
          <w:rPr>
            <w:webHidden/>
          </w:rPr>
          <w:t>90</w:t>
        </w:r>
        <w:r>
          <w:rPr>
            <w:webHidden/>
          </w:rPr>
          <w:fldChar w:fldCharType="end"/>
        </w:r>
      </w:hyperlink>
    </w:p>
    <w:p w14:paraId="291E3348" w14:textId="3E1A39B6" w:rsidR="00AE1D87" w:rsidRDefault="00AE1D87">
      <w:pPr>
        <w:pStyle w:val="Obsah2"/>
        <w:rPr>
          <w:rFonts w:eastAsiaTheme="minorEastAsia"/>
          <w:b w:val="0"/>
          <w:lang w:eastAsia="cs-CZ"/>
        </w:rPr>
      </w:pPr>
      <w:hyperlink w:anchor="_Toc120652170" w:history="1">
        <w:r w:rsidRPr="00E16C6D">
          <w:rPr>
            <w:rStyle w:val="Hypertextovodkaz"/>
          </w:rPr>
          <w:t>3.1 Vize</w:t>
        </w:r>
        <w:r>
          <w:rPr>
            <w:webHidden/>
          </w:rPr>
          <w:tab/>
        </w:r>
        <w:r>
          <w:rPr>
            <w:webHidden/>
          </w:rPr>
          <w:fldChar w:fldCharType="begin"/>
        </w:r>
        <w:r>
          <w:rPr>
            <w:webHidden/>
          </w:rPr>
          <w:instrText xml:space="preserve"> PAGEREF _Toc120652170 \h </w:instrText>
        </w:r>
        <w:r>
          <w:rPr>
            <w:webHidden/>
          </w:rPr>
        </w:r>
        <w:r>
          <w:rPr>
            <w:webHidden/>
          </w:rPr>
          <w:fldChar w:fldCharType="separate"/>
        </w:r>
        <w:r w:rsidR="00392EC3">
          <w:rPr>
            <w:webHidden/>
          </w:rPr>
          <w:t>92</w:t>
        </w:r>
        <w:r>
          <w:rPr>
            <w:webHidden/>
          </w:rPr>
          <w:fldChar w:fldCharType="end"/>
        </w:r>
      </w:hyperlink>
    </w:p>
    <w:p w14:paraId="06A22A8D" w14:textId="1488DB7A" w:rsidR="00AE1D87" w:rsidRDefault="00AE1D87">
      <w:pPr>
        <w:pStyle w:val="Obsah2"/>
        <w:rPr>
          <w:rFonts w:eastAsiaTheme="minorEastAsia"/>
          <w:b w:val="0"/>
          <w:lang w:eastAsia="cs-CZ"/>
        </w:rPr>
      </w:pPr>
      <w:hyperlink w:anchor="_Toc120652171" w:history="1">
        <w:r w:rsidRPr="00E16C6D">
          <w:rPr>
            <w:rStyle w:val="Hypertextovodkaz"/>
          </w:rPr>
          <w:t>3.2 Klíčové oblasti rozvoje</w:t>
        </w:r>
        <w:r>
          <w:rPr>
            <w:webHidden/>
          </w:rPr>
          <w:tab/>
        </w:r>
        <w:r>
          <w:rPr>
            <w:webHidden/>
          </w:rPr>
          <w:fldChar w:fldCharType="begin"/>
        </w:r>
        <w:r>
          <w:rPr>
            <w:webHidden/>
          </w:rPr>
          <w:instrText xml:space="preserve"> PAGEREF _Toc120652171 \h </w:instrText>
        </w:r>
        <w:r>
          <w:rPr>
            <w:webHidden/>
          </w:rPr>
        </w:r>
        <w:r>
          <w:rPr>
            <w:webHidden/>
          </w:rPr>
          <w:fldChar w:fldCharType="separate"/>
        </w:r>
        <w:r w:rsidR="00392EC3">
          <w:rPr>
            <w:webHidden/>
          </w:rPr>
          <w:t>92</w:t>
        </w:r>
        <w:r>
          <w:rPr>
            <w:webHidden/>
          </w:rPr>
          <w:fldChar w:fldCharType="end"/>
        </w:r>
      </w:hyperlink>
    </w:p>
    <w:p w14:paraId="16470B16" w14:textId="20D9775B" w:rsidR="00AE1D87" w:rsidRDefault="00AE1D87">
      <w:pPr>
        <w:pStyle w:val="Obsah3"/>
        <w:rPr>
          <w:rFonts w:eastAsiaTheme="minorEastAsia"/>
          <w:noProof/>
          <w:lang w:eastAsia="cs-CZ"/>
        </w:rPr>
      </w:pPr>
      <w:hyperlink w:anchor="_Toc120652172" w:history="1">
        <w:r w:rsidRPr="00E16C6D">
          <w:rPr>
            <w:rStyle w:val="Hypertextovodkaz"/>
            <w:noProof/>
          </w:rPr>
          <w:t>3.2.1 Klíčová oblast rozvoje INFRASTRUKTURA</w:t>
        </w:r>
        <w:r>
          <w:rPr>
            <w:noProof/>
            <w:webHidden/>
          </w:rPr>
          <w:tab/>
        </w:r>
        <w:r>
          <w:rPr>
            <w:noProof/>
            <w:webHidden/>
          </w:rPr>
          <w:fldChar w:fldCharType="begin"/>
        </w:r>
        <w:r>
          <w:rPr>
            <w:noProof/>
            <w:webHidden/>
          </w:rPr>
          <w:instrText xml:space="preserve"> PAGEREF _Toc120652172 \h </w:instrText>
        </w:r>
        <w:r>
          <w:rPr>
            <w:noProof/>
            <w:webHidden/>
          </w:rPr>
        </w:r>
        <w:r>
          <w:rPr>
            <w:noProof/>
            <w:webHidden/>
          </w:rPr>
          <w:fldChar w:fldCharType="separate"/>
        </w:r>
        <w:r w:rsidR="00392EC3">
          <w:rPr>
            <w:noProof/>
            <w:webHidden/>
          </w:rPr>
          <w:t>94</w:t>
        </w:r>
        <w:r>
          <w:rPr>
            <w:noProof/>
            <w:webHidden/>
          </w:rPr>
          <w:fldChar w:fldCharType="end"/>
        </w:r>
      </w:hyperlink>
    </w:p>
    <w:p w14:paraId="3E8116BF" w14:textId="7F7FCA60" w:rsidR="00AE1D87" w:rsidRDefault="00AE1D87">
      <w:pPr>
        <w:pStyle w:val="Obsah3"/>
        <w:rPr>
          <w:rFonts w:eastAsiaTheme="minorEastAsia"/>
          <w:noProof/>
          <w:lang w:eastAsia="cs-CZ"/>
        </w:rPr>
      </w:pPr>
      <w:hyperlink w:anchor="_Toc120652173" w:history="1">
        <w:r w:rsidRPr="00E16C6D">
          <w:rPr>
            <w:rStyle w:val="Hypertextovodkaz"/>
            <w:noProof/>
          </w:rPr>
          <w:t>3.2.2 Klíčová oblast rozvoje VYBAVENOST A PROSTŘEDÍ OBCE</w:t>
        </w:r>
        <w:r>
          <w:rPr>
            <w:noProof/>
            <w:webHidden/>
          </w:rPr>
          <w:tab/>
        </w:r>
        <w:r>
          <w:rPr>
            <w:noProof/>
            <w:webHidden/>
          </w:rPr>
          <w:fldChar w:fldCharType="begin"/>
        </w:r>
        <w:r>
          <w:rPr>
            <w:noProof/>
            <w:webHidden/>
          </w:rPr>
          <w:instrText xml:space="preserve"> PAGEREF _Toc120652173 \h </w:instrText>
        </w:r>
        <w:r>
          <w:rPr>
            <w:noProof/>
            <w:webHidden/>
          </w:rPr>
        </w:r>
        <w:r>
          <w:rPr>
            <w:noProof/>
            <w:webHidden/>
          </w:rPr>
          <w:fldChar w:fldCharType="separate"/>
        </w:r>
        <w:r w:rsidR="00392EC3">
          <w:rPr>
            <w:noProof/>
            <w:webHidden/>
          </w:rPr>
          <w:t>105</w:t>
        </w:r>
        <w:r>
          <w:rPr>
            <w:noProof/>
            <w:webHidden/>
          </w:rPr>
          <w:fldChar w:fldCharType="end"/>
        </w:r>
      </w:hyperlink>
    </w:p>
    <w:p w14:paraId="7952695C" w14:textId="2C52176D" w:rsidR="00AE1D87" w:rsidRDefault="00AE1D87">
      <w:pPr>
        <w:pStyle w:val="Obsah3"/>
        <w:rPr>
          <w:rFonts w:eastAsiaTheme="minorEastAsia"/>
          <w:noProof/>
          <w:lang w:eastAsia="cs-CZ"/>
        </w:rPr>
      </w:pPr>
      <w:hyperlink w:anchor="_Toc120652174" w:history="1">
        <w:r w:rsidRPr="00E16C6D">
          <w:rPr>
            <w:rStyle w:val="Hypertextovodkaz"/>
            <w:noProof/>
          </w:rPr>
          <w:t>3.2.3 Klíčová oblast rozvoje VOLNÝ ČAS</w:t>
        </w:r>
        <w:r>
          <w:rPr>
            <w:noProof/>
            <w:webHidden/>
          </w:rPr>
          <w:tab/>
        </w:r>
        <w:r>
          <w:rPr>
            <w:noProof/>
            <w:webHidden/>
          </w:rPr>
          <w:fldChar w:fldCharType="begin"/>
        </w:r>
        <w:r>
          <w:rPr>
            <w:noProof/>
            <w:webHidden/>
          </w:rPr>
          <w:instrText xml:space="preserve"> PAGEREF _Toc120652174 \h </w:instrText>
        </w:r>
        <w:r>
          <w:rPr>
            <w:noProof/>
            <w:webHidden/>
          </w:rPr>
        </w:r>
        <w:r>
          <w:rPr>
            <w:noProof/>
            <w:webHidden/>
          </w:rPr>
          <w:fldChar w:fldCharType="separate"/>
        </w:r>
        <w:r w:rsidR="00392EC3">
          <w:rPr>
            <w:noProof/>
            <w:webHidden/>
          </w:rPr>
          <w:t>114</w:t>
        </w:r>
        <w:r>
          <w:rPr>
            <w:noProof/>
            <w:webHidden/>
          </w:rPr>
          <w:fldChar w:fldCharType="end"/>
        </w:r>
      </w:hyperlink>
    </w:p>
    <w:p w14:paraId="69A0F5AA" w14:textId="5A90D750" w:rsidR="00AE1D87" w:rsidRDefault="00AE1D87">
      <w:pPr>
        <w:pStyle w:val="Obsah2"/>
        <w:rPr>
          <w:rFonts w:eastAsiaTheme="minorEastAsia"/>
          <w:b w:val="0"/>
          <w:lang w:eastAsia="cs-CZ"/>
        </w:rPr>
      </w:pPr>
      <w:hyperlink w:anchor="_Toc120652175" w:history="1">
        <w:r w:rsidRPr="00E16C6D">
          <w:rPr>
            <w:rStyle w:val="Hypertextovodkaz"/>
          </w:rPr>
          <w:t>3.3 Podpora realizace Programu rozvoje</w:t>
        </w:r>
        <w:r>
          <w:rPr>
            <w:webHidden/>
          </w:rPr>
          <w:tab/>
        </w:r>
        <w:r>
          <w:rPr>
            <w:webHidden/>
          </w:rPr>
          <w:fldChar w:fldCharType="begin"/>
        </w:r>
        <w:r>
          <w:rPr>
            <w:webHidden/>
          </w:rPr>
          <w:instrText xml:space="preserve"> PAGEREF _Toc120652175 \h </w:instrText>
        </w:r>
        <w:r>
          <w:rPr>
            <w:webHidden/>
          </w:rPr>
        </w:r>
        <w:r>
          <w:rPr>
            <w:webHidden/>
          </w:rPr>
          <w:fldChar w:fldCharType="separate"/>
        </w:r>
        <w:r w:rsidR="00392EC3">
          <w:rPr>
            <w:webHidden/>
          </w:rPr>
          <w:t>118</w:t>
        </w:r>
        <w:r>
          <w:rPr>
            <w:webHidden/>
          </w:rPr>
          <w:fldChar w:fldCharType="end"/>
        </w:r>
      </w:hyperlink>
    </w:p>
    <w:p w14:paraId="5EFD75B7" w14:textId="1B04A7B3" w:rsidR="00AE1D87" w:rsidRDefault="00AE1D87" w:rsidP="00AE1D87">
      <w:pPr>
        <w:pStyle w:val="Obsah1"/>
        <w:rPr>
          <w:rFonts w:eastAsiaTheme="minorEastAsia"/>
          <w:sz w:val="22"/>
          <w:szCs w:val="22"/>
          <w:lang w:eastAsia="cs-CZ"/>
        </w:rPr>
      </w:pPr>
      <w:hyperlink w:anchor="_Toc120652176" w:history="1">
        <w:r w:rsidRPr="00E16C6D">
          <w:rPr>
            <w:rStyle w:val="Hypertextovodkaz"/>
            <w:rFonts w:eastAsia="Calibri"/>
          </w:rPr>
          <w:t>4 Akční plán</w:t>
        </w:r>
        <w:r>
          <w:rPr>
            <w:webHidden/>
          </w:rPr>
          <w:tab/>
        </w:r>
        <w:r>
          <w:rPr>
            <w:webHidden/>
          </w:rPr>
          <w:fldChar w:fldCharType="begin"/>
        </w:r>
        <w:r>
          <w:rPr>
            <w:webHidden/>
          </w:rPr>
          <w:instrText xml:space="preserve"> PAGEREF _Toc120652176 \h </w:instrText>
        </w:r>
        <w:r>
          <w:rPr>
            <w:webHidden/>
          </w:rPr>
        </w:r>
        <w:r>
          <w:rPr>
            <w:webHidden/>
          </w:rPr>
          <w:fldChar w:fldCharType="separate"/>
        </w:r>
        <w:r w:rsidR="00392EC3">
          <w:rPr>
            <w:webHidden/>
          </w:rPr>
          <w:t>119</w:t>
        </w:r>
        <w:r>
          <w:rPr>
            <w:webHidden/>
          </w:rPr>
          <w:fldChar w:fldCharType="end"/>
        </w:r>
      </w:hyperlink>
    </w:p>
    <w:p w14:paraId="3C99CA18" w14:textId="159F9B8C" w:rsidR="00AE1D87" w:rsidRDefault="00AE1D87" w:rsidP="00AE1D87">
      <w:pPr>
        <w:pStyle w:val="Obsah1"/>
        <w:rPr>
          <w:rFonts w:eastAsiaTheme="minorEastAsia"/>
          <w:sz w:val="22"/>
          <w:szCs w:val="22"/>
          <w:lang w:eastAsia="cs-CZ"/>
        </w:rPr>
      </w:pPr>
      <w:hyperlink w:anchor="_Toc120652177" w:history="1">
        <w:r w:rsidRPr="00E16C6D">
          <w:rPr>
            <w:rStyle w:val="Hypertextovodkaz"/>
            <w:rFonts w:eastAsia="Calibri"/>
          </w:rPr>
          <w:t>5 Implementační část</w:t>
        </w:r>
        <w:r>
          <w:rPr>
            <w:webHidden/>
          </w:rPr>
          <w:tab/>
        </w:r>
        <w:r>
          <w:rPr>
            <w:webHidden/>
          </w:rPr>
          <w:fldChar w:fldCharType="begin"/>
        </w:r>
        <w:r>
          <w:rPr>
            <w:webHidden/>
          </w:rPr>
          <w:instrText xml:space="preserve"> PAGEREF _Toc120652177 \h </w:instrText>
        </w:r>
        <w:r>
          <w:rPr>
            <w:webHidden/>
          </w:rPr>
        </w:r>
        <w:r>
          <w:rPr>
            <w:webHidden/>
          </w:rPr>
          <w:fldChar w:fldCharType="separate"/>
        </w:r>
        <w:r w:rsidR="00392EC3">
          <w:rPr>
            <w:webHidden/>
          </w:rPr>
          <w:t>133</w:t>
        </w:r>
        <w:r>
          <w:rPr>
            <w:webHidden/>
          </w:rPr>
          <w:fldChar w:fldCharType="end"/>
        </w:r>
      </w:hyperlink>
    </w:p>
    <w:p w14:paraId="72EAC1AC" w14:textId="6D9CEECF" w:rsidR="00AE1D87" w:rsidRDefault="00AE1D87">
      <w:pPr>
        <w:pStyle w:val="Obsah2"/>
        <w:rPr>
          <w:rFonts w:eastAsiaTheme="minorEastAsia"/>
          <w:b w:val="0"/>
          <w:lang w:eastAsia="cs-CZ"/>
        </w:rPr>
      </w:pPr>
      <w:hyperlink w:anchor="_Toc120652178" w:history="1">
        <w:r w:rsidRPr="00E16C6D">
          <w:rPr>
            <w:rStyle w:val="Hypertextovodkaz"/>
          </w:rPr>
          <w:t>5.1 Systém řízení a organizačního zajištění naplňování Programu rozvoje</w:t>
        </w:r>
        <w:r>
          <w:rPr>
            <w:webHidden/>
          </w:rPr>
          <w:tab/>
        </w:r>
        <w:r>
          <w:rPr>
            <w:webHidden/>
          </w:rPr>
          <w:fldChar w:fldCharType="begin"/>
        </w:r>
        <w:r>
          <w:rPr>
            <w:webHidden/>
          </w:rPr>
          <w:instrText xml:space="preserve"> PAGEREF _Toc120652178 \h </w:instrText>
        </w:r>
        <w:r>
          <w:rPr>
            <w:webHidden/>
          </w:rPr>
        </w:r>
        <w:r>
          <w:rPr>
            <w:webHidden/>
          </w:rPr>
          <w:fldChar w:fldCharType="separate"/>
        </w:r>
        <w:r w:rsidR="00392EC3">
          <w:rPr>
            <w:webHidden/>
          </w:rPr>
          <w:t>133</w:t>
        </w:r>
        <w:r>
          <w:rPr>
            <w:webHidden/>
          </w:rPr>
          <w:fldChar w:fldCharType="end"/>
        </w:r>
      </w:hyperlink>
    </w:p>
    <w:p w14:paraId="3314E436" w14:textId="7EC6B714" w:rsidR="00AE1D87" w:rsidRDefault="00AE1D87">
      <w:pPr>
        <w:pStyle w:val="Obsah2"/>
        <w:rPr>
          <w:rFonts w:eastAsiaTheme="minorEastAsia"/>
          <w:b w:val="0"/>
          <w:lang w:eastAsia="cs-CZ"/>
        </w:rPr>
      </w:pPr>
      <w:hyperlink w:anchor="_Toc120652179" w:history="1">
        <w:r w:rsidRPr="00E16C6D">
          <w:rPr>
            <w:rStyle w:val="Hypertextovodkaz"/>
          </w:rPr>
          <w:t>5.2 Systém financování Programu rozvoje</w:t>
        </w:r>
        <w:r>
          <w:rPr>
            <w:webHidden/>
          </w:rPr>
          <w:tab/>
        </w:r>
        <w:r>
          <w:rPr>
            <w:webHidden/>
          </w:rPr>
          <w:fldChar w:fldCharType="begin"/>
        </w:r>
        <w:r>
          <w:rPr>
            <w:webHidden/>
          </w:rPr>
          <w:instrText xml:space="preserve"> PAGEREF _Toc120652179 \h </w:instrText>
        </w:r>
        <w:r>
          <w:rPr>
            <w:webHidden/>
          </w:rPr>
        </w:r>
        <w:r>
          <w:rPr>
            <w:webHidden/>
          </w:rPr>
          <w:fldChar w:fldCharType="separate"/>
        </w:r>
        <w:r w:rsidR="00392EC3">
          <w:rPr>
            <w:webHidden/>
          </w:rPr>
          <w:t>134</w:t>
        </w:r>
        <w:r>
          <w:rPr>
            <w:webHidden/>
          </w:rPr>
          <w:fldChar w:fldCharType="end"/>
        </w:r>
      </w:hyperlink>
    </w:p>
    <w:p w14:paraId="4383C7DB" w14:textId="18C0B5B8" w:rsidR="00AE1D87" w:rsidRDefault="00AE1D87">
      <w:pPr>
        <w:pStyle w:val="Obsah2"/>
        <w:rPr>
          <w:rFonts w:eastAsiaTheme="minorEastAsia"/>
          <w:b w:val="0"/>
          <w:lang w:eastAsia="cs-CZ"/>
        </w:rPr>
      </w:pPr>
      <w:hyperlink w:anchor="_Toc120652180" w:history="1">
        <w:r w:rsidRPr="00E16C6D">
          <w:rPr>
            <w:rStyle w:val="Hypertextovodkaz"/>
          </w:rPr>
          <w:t>5.3 Systém aktualizace Programu rozvoje</w:t>
        </w:r>
        <w:r>
          <w:rPr>
            <w:webHidden/>
          </w:rPr>
          <w:tab/>
        </w:r>
        <w:r>
          <w:rPr>
            <w:webHidden/>
          </w:rPr>
          <w:fldChar w:fldCharType="begin"/>
        </w:r>
        <w:r>
          <w:rPr>
            <w:webHidden/>
          </w:rPr>
          <w:instrText xml:space="preserve"> PAGEREF _Toc120652180 \h </w:instrText>
        </w:r>
        <w:r>
          <w:rPr>
            <w:webHidden/>
          </w:rPr>
        </w:r>
        <w:r>
          <w:rPr>
            <w:webHidden/>
          </w:rPr>
          <w:fldChar w:fldCharType="separate"/>
        </w:r>
        <w:r w:rsidR="00392EC3">
          <w:rPr>
            <w:webHidden/>
          </w:rPr>
          <w:t>135</w:t>
        </w:r>
        <w:r>
          <w:rPr>
            <w:webHidden/>
          </w:rPr>
          <w:fldChar w:fldCharType="end"/>
        </w:r>
      </w:hyperlink>
    </w:p>
    <w:p w14:paraId="3196E70A" w14:textId="34BFB2EF" w:rsidR="00AE1D87" w:rsidRDefault="00AE1D87">
      <w:pPr>
        <w:pStyle w:val="Obsah2"/>
        <w:rPr>
          <w:rFonts w:eastAsiaTheme="minorEastAsia"/>
          <w:b w:val="0"/>
          <w:lang w:eastAsia="cs-CZ"/>
        </w:rPr>
      </w:pPr>
      <w:hyperlink w:anchor="_Toc120652181" w:history="1">
        <w:r w:rsidRPr="00E16C6D">
          <w:rPr>
            <w:rStyle w:val="Hypertextovodkaz"/>
          </w:rPr>
          <w:t>5.4 Systém monitoringu a vyhodnocování realizace Programu rozvoje</w:t>
        </w:r>
        <w:r>
          <w:rPr>
            <w:webHidden/>
          </w:rPr>
          <w:tab/>
        </w:r>
        <w:r>
          <w:rPr>
            <w:webHidden/>
          </w:rPr>
          <w:fldChar w:fldCharType="begin"/>
        </w:r>
        <w:r>
          <w:rPr>
            <w:webHidden/>
          </w:rPr>
          <w:instrText xml:space="preserve"> PAGEREF _Toc120652181 \h </w:instrText>
        </w:r>
        <w:r>
          <w:rPr>
            <w:webHidden/>
          </w:rPr>
        </w:r>
        <w:r>
          <w:rPr>
            <w:webHidden/>
          </w:rPr>
          <w:fldChar w:fldCharType="separate"/>
        </w:r>
        <w:r w:rsidR="00392EC3">
          <w:rPr>
            <w:webHidden/>
          </w:rPr>
          <w:t>136</w:t>
        </w:r>
        <w:r>
          <w:rPr>
            <w:webHidden/>
          </w:rPr>
          <w:fldChar w:fldCharType="end"/>
        </w:r>
      </w:hyperlink>
    </w:p>
    <w:p w14:paraId="052A333E" w14:textId="72A6BED1" w:rsidR="00AE1D87" w:rsidRDefault="00AE1D87" w:rsidP="00AE1D87">
      <w:pPr>
        <w:pStyle w:val="Obsah1"/>
        <w:rPr>
          <w:rFonts w:eastAsiaTheme="minorEastAsia"/>
          <w:sz w:val="22"/>
          <w:szCs w:val="22"/>
          <w:lang w:eastAsia="cs-CZ"/>
        </w:rPr>
      </w:pPr>
      <w:hyperlink w:anchor="_Toc120652182" w:history="1">
        <w:r w:rsidRPr="00E16C6D">
          <w:rPr>
            <w:rStyle w:val="Hypertextovodkaz"/>
          </w:rPr>
          <w:t>6 Přílohy</w:t>
        </w:r>
        <w:r>
          <w:rPr>
            <w:webHidden/>
          </w:rPr>
          <w:tab/>
        </w:r>
        <w:r>
          <w:rPr>
            <w:webHidden/>
          </w:rPr>
          <w:fldChar w:fldCharType="begin"/>
        </w:r>
        <w:r>
          <w:rPr>
            <w:webHidden/>
          </w:rPr>
          <w:instrText xml:space="preserve"> PAGEREF _Toc120652182 \h </w:instrText>
        </w:r>
        <w:r>
          <w:rPr>
            <w:webHidden/>
          </w:rPr>
        </w:r>
        <w:r>
          <w:rPr>
            <w:webHidden/>
          </w:rPr>
          <w:fldChar w:fldCharType="separate"/>
        </w:r>
        <w:r w:rsidR="00392EC3">
          <w:rPr>
            <w:webHidden/>
          </w:rPr>
          <w:t>142</w:t>
        </w:r>
        <w:r>
          <w:rPr>
            <w:webHidden/>
          </w:rPr>
          <w:fldChar w:fldCharType="end"/>
        </w:r>
      </w:hyperlink>
    </w:p>
    <w:p w14:paraId="3EFC8560" w14:textId="6E386AF0" w:rsidR="00AE1D87" w:rsidRDefault="00AE1D87">
      <w:pPr>
        <w:pStyle w:val="Obsah2"/>
        <w:rPr>
          <w:rFonts w:eastAsiaTheme="minorEastAsia"/>
          <w:b w:val="0"/>
          <w:lang w:eastAsia="cs-CZ"/>
        </w:rPr>
      </w:pPr>
      <w:hyperlink w:anchor="_Toc120652183" w:history="1">
        <w:r w:rsidRPr="00E16C6D">
          <w:rPr>
            <w:rStyle w:val="Hypertextovodkaz"/>
          </w:rPr>
          <w:t>6.1 Použité zdroje dat</w:t>
        </w:r>
        <w:r>
          <w:rPr>
            <w:webHidden/>
          </w:rPr>
          <w:tab/>
        </w:r>
        <w:r>
          <w:rPr>
            <w:webHidden/>
          </w:rPr>
          <w:fldChar w:fldCharType="begin"/>
        </w:r>
        <w:r>
          <w:rPr>
            <w:webHidden/>
          </w:rPr>
          <w:instrText xml:space="preserve"> PAGEREF _Toc120652183 \h </w:instrText>
        </w:r>
        <w:r>
          <w:rPr>
            <w:webHidden/>
          </w:rPr>
        </w:r>
        <w:r>
          <w:rPr>
            <w:webHidden/>
          </w:rPr>
          <w:fldChar w:fldCharType="separate"/>
        </w:r>
        <w:r w:rsidR="00392EC3">
          <w:rPr>
            <w:webHidden/>
          </w:rPr>
          <w:t>142</w:t>
        </w:r>
        <w:r>
          <w:rPr>
            <w:webHidden/>
          </w:rPr>
          <w:fldChar w:fldCharType="end"/>
        </w:r>
      </w:hyperlink>
    </w:p>
    <w:p w14:paraId="78958206" w14:textId="06A6FF62" w:rsidR="00AE1D87" w:rsidRDefault="00AE1D87">
      <w:pPr>
        <w:pStyle w:val="Obsah2"/>
        <w:rPr>
          <w:rFonts w:eastAsiaTheme="minorEastAsia"/>
          <w:b w:val="0"/>
          <w:lang w:eastAsia="cs-CZ"/>
        </w:rPr>
      </w:pPr>
      <w:hyperlink w:anchor="_Toc120652184" w:history="1">
        <w:r w:rsidRPr="00E16C6D">
          <w:rPr>
            <w:rStyle w:val="Hypertextovodkaz"/>
          </w:rPr>
          <w:t>6.2 Seznam zkratek</w:t>
        </w:r>
        <w:r>
          <w:rPr>
            <w:webHidden/>
          </w:rPr>
          <w:tab/>
        </w:r>
        <w:r>
          <w:rPr>
            <w:webHidden/>
          </w:rPr>
          <w:fldChar w:fldCharType="begin"/>
        </w:r>
        <w:r>
          <w:rPr>
            <w:webHidden/>
          </w:rPr>
          <w:instrText xml:space="preserve"> PAGEREF _Toc120652184 \h </w:instrText>
        </w:r>
        <w:r>
          <w:rPr>
            <w:webHidden/>
          </w:rPr>
        </w:r>
        <w:r>
          <w:rPr>
            <w:webHidden/>
          </w:rPr>
          <w:fldChar w:fldCharType="separate"/>
        </w:r>
        <w:r w:rsidR="00392EC3">
          <w:rPr>
            <w:webHidden/>
          </w:rPr>
          <w:t>147</w:t>
        </w:r>
        <w:r>
          <w:rPr>
            <w:webHidden/>
          </w:rPr>
          <w:fldChar w:fldCharType="end"/>
        </w:r>
      </w:hyperlink>
    </w:p>
    <w:p w14:paraId="1AAA0B54" w14:textId="4B074890" w:rsidR="00AE1D87" w:rsidRDefault="00AE1D87">
      <w:pPr>
        <w:pStyle w:val="Obsah2"/>
        <w:rPr>
          <w:rFonts w:eastAsiaTheme="minorEastAsia"/>
          <w:b w:val="0"/>
          <w:lang w:eastAsia="cs-CZ"/>
        </w:rPr>
      </w:pPr>
      <w:hyperlink w:anchor="_Toc120652185" w:history="1">
        <w:r w:rsidRPr="00E16C6D">
          <w:rPr>
            <w:rStyle w:val="Hypertextovodkaz"/>
          </w:rPr>
          <w:t>6.3 Seznam tabulek</w:t>
        </w:r>
        <w:r>
          <w:rPr>
            <w:webHidden/>
          </w:rPr>
          <w:tab/>
        </w:r>
        <w:r>
          <w:rPr>
            <w:webHidden/>
          </w:rPr>
          <w:fldChar w:fldCharType="begin"/>
        </w:r>
        <w:r>
          <w:rPr>
            <w:webHidden/>
          </w:rPr>
          <w:instrText xml:space="preserve"> PAGEREF _Toc120652185 \h </w:instrText>
        </w:r>
        <w:r>
          <w:rPr>
            <w:webHidden/>
          </w:rPr>
        </w:r>
        <w:r>
          <w:rPr>
            <w:webHidden/>
          </w:rPr>
          <w:fldChar w:fldCharType="separate"/>
        </w:r>
        <w:r w:rsidR="00392EC3">
          <w:rPr>
            <w:webHidden/>
          </w:rPr>
          <w:t>149</w:t>
        </w:r>
        <w:r>
          <w:rPr>
            <w:webHidden/>
          </w:rPr>
          <w:fldChar w:fldCharType="end"/>
        </w:r>
      </w:hyperlink>
    </w:p>
    <w:p w14:paraId="088165C4" w14:textId="161B2D12" w:rsidR="00AE1D87" w:rsidRDefault="00AE1D87">
      <w:pPr>
        <w:pStyle w:val="Obsah2"/>
        <w:rPr>
          <w:rFonts w:eastAsiaTheme="minorEastAsia"/>
          <w:b w:val="0"/>
          <w:lang w:eastAsia="cs-CZ"/>
        </w:rPr>
      </w:pPr>
      <w:hyperlink w:anchor="_Toc120652186" w:history="1">
        <w:r w:rsidRPr="00E16C6D">
          <w:rPr>
            <w:rStyle w:val="Hypertextovodkaz"/>
          </w:rPr>
          <w:t>6.4 Seznam grafů</w:t>
        </w:r>
        <w:r>
          <w:rPr>
            <w:webHidden/>
          </w:rPr>
          <w:tab/>
        </w:r>
        <w:r>
          <w:rPr>
            <w:webHidden/>
          </w:rPr>
          <w:fldChar w:fldCharType="begin"/>
        </w:r>
        <w:r>
          <w:rPr>
            <w:webHidden/>
          </w:rPr>
          <w:instrText xml:space="preserve"> PAGEREF _Toc120652186 \h </w:instrText>
        </w:r>
        <w:r>
          <w:rPr>
            <w:webHidden/>
          </w:rPr>
        </w:r>
        <w:r>
          <w:rPr>
            <w:webHidden/>
          </w:rPr>
          <w:fldChar w:fldCharType="separate"/>
        </w:r>
        <w:r w:rsidR="00392EC3">
          <w:rPr>
            <w:webHidden/>
          </w:rPr>
          <w:t>150</w:t>
        </w:r>
        <w:r>
          <w:rPr>
            <w:webHidden/>
          </w:rPr>
          <w:fldChar w:fldCharType="end"/>
        </w:r>
      </w:hyperlink>
    </w:p>
    <w:p w14:paraId="6729D848" w14:textId="3BAE5C35" w:rsidR="00AE1D87" w:rsidRDefault="00AE1D87">
      <w:pPr>
        <w:pStyle w:val="Obsah2"/>
        <w:rPr>
          <w:rFonts w:eastAsiaTheme="minorEastAsia"/>
          <w:b w:val="0"/>
          <w:lang w:eastAsia="cs-CZ"/>
        </w:rPr>
      </w:pPr>
      <w:hyperlink w:anchor="_Toc120652187" w:history="1">
        <w:r w:rsidRPr="00E16C6D">
          <w:rPr>
            <w:rStyle w:val="Hypertextovodkaz"/>
          </w:rPr>
          <w:t>6.5 Seznam obrázků</w:t>
        </w:r>
        <w:r>
          <w:rPr>
            <w:webHidden/>
          </w:rPr>
          <w:tab/>
        </w:r>
        <w:r>
          <w:rPr>
            <w:webHidden/>
          </w:rPr>
          <w:fldChar w:fldCharType="begin"/>
        </w:r>
        <w:r>
          <w:rPr>
            <w:webHidden/>
          </w:rPr>
          <w:instrText xml:space="preserve"> PAGEREF _Toc120652187 \h </w:instrText>
        </w:r>
        <w:r>
          <w:rPr>
            <w:webHidden/>
          </w:rPr>
        </w:r>
        <w:r>
          <w:rPr>
            <w:webHidden/>
          </w:rPr>
          <w:fldChar w:fldCharType="separate"/>
        </w:r>
        <w:r w:rsidR="00392EC3">
          <w:rPr>
            <w:webHidden/>
          </w:rPr>
          <w:t>151</w:t>
        </w:r>
        <w:r>
          <w:rPr>
            <w:webHidden/>
          </w:rPr>
          <w:fldChar w:fldCharType="end"/>
        </w:r>
      </w:hyperlink>
    </w:p>
    <w:p w14:paraId="4B5B3851" w14:textId="3ED504F2" w:rsidR="00AE1D87" w:rsidRDefault="00AE1D87">
      <w:pPr>
        <w:pStyle w:val="Obsah2"/>
        <w:rPr>
          <w:rFonts w:eastAsiaTheme="minorEastAsia"/>
          <w:b w:val="0"/>
          <w:lang w:eastAsia="cs-CZ"/>
        </w:rPr>
      </w:pPr>
      <w:hyperlink w:anchor="_Toc120652188" w:history="1">
        <w:r w:rsidRPr="00E16C6D">
          <w:rPr>
            <w:rStyle w:val="Hypertextovodkaz"/>
          </w:rPr>
          <w:t>6.6 Seznam schémat</w:t>
        </w:r>
        <w:r>
          <w:rPr>
            <w:webHidden/>
          </w:rPr>
          <w:tab/>
        </w:r>
        <w:r>
          <w:rPr>
            <w:webHidden/>
          </w:rPr>
          <w:fldChar w:fldCharType="begin"/>
        </w:r>
        <w:r>
          <w:rPr>
            <w:webHidden/>
          </w:rPr>
          <w:instrText xml:space="preserve"> PAGEREF _Toc120652188 \h </w:instrText>
        </w:r>
        <w:r>
          <w:rPr>
            <w:webHidden/>
          </w:rPr>
        </w:r>
        <w:r>
          <w:rPr>
            <w:webHidden/>
          </w:rPr>
          <w:fldChar w:fldCharType="separate"/>
        </w:r>
        <w:r w:rsidR="00392EC3">
          <w:rPr>
            <w:webHidden/>
          </w:rPr>
          <w:t>152</w:t>
        </w:r>
        <w:r>
          <w:rPr>
            <w:webHidden/>
          </w:rPr>
          <w:fldChar w:fldCharType="end"/>
        </w:r>
      </w:hyperlink>
    </w:p>
    <w:p w14:paraId="058C666D" w14:textId="5CA89D98" w:rsidR="00AE1D87" w:rsidRDefault="00AE1D87">
      <w:pPr>
        <w:pStyle w:val="Obsah2"/>
        <w:rPr>
          <w:rFonts w:eastAsiaTheme="minorEastAsia"/>
          <w:b w:val="0"/>
          <w:lang w:eastAsia="cs-CZ"/>
        </w:rPr>
      </w:pPr>
      <w:hyperlink w:anchor="_Toc120652189" w:history="1">
        <w:r w:rsidRPr="00E16C6D">
          <w:rPr>
            <w:rStyle w:val="Hypertextovodkaz"/>
          </w:rPr>
          <w:t>6.7 Seznam příloh</w:t>
        </w:r>
        <w:r>
          <w:rPr>
            <w:webHidden/>
          </w:rPr>
          <w:tab/>
        </w:r>
        <w:r>
          <w:rPr>
            <w:webHidden/>
          </w:rPr>
          <w:fldChar w:fldCharType="begin"/>
        </w:r>
        <w:r>
          <w:rPr>
            <w:webHidden/>
          </w:rPr>
          <w:instrText xml:space="preserve"> PAGEREF _Toc120652189 \h </w:instrText>
        </w:r>
        <w:r>
          <w:rPr>
            <w:webHidden/>
          </w:rPr>
        </w:r>
        <w:r>
          <w:rPr>
            <w:webHidden/>
          </w:rPr>
          <w:fldChar w:fldCharType="separate"/>
        </w:r>
        <w:r w:rsidR="00392EC3">
          <w:rPr>
            <w:webHidden/>
          </w:rPr>
          <w:t>152</w:t>
        </w:r>
        <w:r>
          <w:rPr>
            <w:webHidden/>
          </w:rPr>
          <w:fldChar w:fldCharType="end"/>
        </w:r>
      </w:hyperlink>
    </w:p>
    <w:p w14:paraId="4AD99D48" w14:textId="764225C2" w:rsidR="0090463F" w:rsidRDefault="00473BB6" w:rsidP="00A01B4B">
      <w:pPr>
        <w:rPr>
          <w:noProof/>
        </w:rPr>
      </w:pPr>
      <w:r>
        <w:rPr>
          <w:b/>
          <w:noProof/>
          <w:sz w:val="24"/>
          <w:szCs w:val="24"/>
        </w:rPr>
        <w:fldChar w:fldCharType="end"/>
      </w:r>
      <w:r w:rsidR="0090463F">
        <w:fldChar w:fldCharType="begin"/>
      </w:r>
      <w:r w:rsidR="0090463F">
        <w:instrText xml:space="preserve"> TOC \o "1-4" \f \h \z \u </w:instrText>
      </w:r>
      <w:r w:rsidR="0090463F">
        <w:fldChar w:fldCharType="separate"/>
      </w:r>
    </w:p>
    <w:p w14:paraId="317B651D" w14:textId="6E72F2CD" w:rsidR="00F37820" w:rsidRDefault="0090463F" w:rsidP="00A01B4B">
      <w:r>
        <w:fldChar w:fldCharType="end"/>
      </w:r>
    </w:p>
    <w:p w14:paraId="65E2C57A" w14:textId="77777777" w:rsidR="00F37820" w:rsidRDefault="00F37820" w:rsidP="00F37820">
      <w:pPr>
        <w:pStyle w:val="Kapitola-rove4"/>
        <w:rPr>
          <w:b w:val="0"/>
          <w:sz w:val="22"/>
          <w:szCs w:val="22"/>
        </w:rPr>
      </w:pPr>
    </w:p>
    <w:p w14:paraId="47BEBF26" w14:textId="77777777" w:rsidR="00F37820" w:rsidRDefault="00F37820" w:rsidP="00A01B4B">
      <w:pPr>
        <w:sectPr w:rsidR="00F37820" w:rsidSect="004160B4">
          <w:headerReference w:type="default" r:id="rId12"/>
          <w:pgSz w:w="11906" w:h="16838"/>
          <w:pgMar w:top="1417" w:right="1417" w:bottom="1417" w:left="1417" w:header="709" w:footer="709" w:gutter="0"/>
          <w:cols w:space="708"/>
          <w:docGrid w:linePitch="360"/>
        </w:sectPr>
      </w:pPr>
    </w:p>
    <w:p w14:paraId="7BB7E8DF" w14:textId="77777777" w:rsidR="00D23F84" w:rsidRPr="00F37820" w:rsidRDefault="00F37820" w:rsidP="00814D5A">
      <w:pPr>
        <w:pStyle w:val="Nadpis1"/>
      </w:pPr>
      <w:bookmarkStart w:id="1" w:name="_Toc413418351"/>
      <w:bookmarkStart w:id="2" w:name="_Toc440566330"/>
      <w:bookmarkStart w:id="3" w:name="_Toc441227482"/>
      <w:bookmarkStart w:id="4" w:name="_Toc32580102"/>
      <w:bookmarkStart w:id="5" w:name="_Toc120652127"/>
      <w:r w:rsidRPr="00F37820">
        <w:lastRenderedPageBreak/>
        <w:t>1</w:t>
      </w:r>
      <w:r w:rsidR="00D23F84" w:rsidRPr="00F37820">
        <w:t xml:space="preserve"> Úvod</w:t>
      </w:r>
      <w:bookmarkEnd w:id="0"/>
      <w:bookmarkEnd w:id="1"/>
      <w:bookmarkEnd w:id="2"/>
      <w:bookmarkEnd w:id="3"/>
      <w:bookmarkEnd w:id="4"/>
      <w:bookmarkEnd w:id="5"/>
    </w:p>
    <w:p w14:paraId="306BFF82" w14:textId="52108FE9" w:rsidR="0048094F" w:rsidRDefault="0048094F" w:rsidP="0048094F">
      <w:pPr>
        <w:spacing w:after="160" w:line="259" w:lineRule="auto"/>
        <w:jc w:val="both"/>
      </w:pPr>
      <w:r>
        <w:t xml:space="preserve">Program či strategie rozvoje obce </w:t>
      </w:r>
      <w:r w:rsidR="004470ED">
        <w:t>Staré Buky</w:t>
      </w:r>
      <w:r w:rsidRPr="00B9456E">
        <w:t xml:space="preserve"> </w:t>
      </w:r>
      <w:r>
        <w:t xml:space="preserve">je základní plánovací dokument, který představuje hlavní nástroj řízení rozvoje obce. V podstatě definuje postup, jak se dostat z bodu A do bodu B. Bod A je současnost, tedy jak to v obci v současnosti vypadá, jakými různorodými prostředky obec disponuje, které služby jsou v obci k dispozici atd. Bod B představuje budoucí stav, tedy jak chceme, aby to v obci vypadalo v budoucnosti, co zde má být přítomno, co naopak odstraněno apod. Celý dokument je rozdělen do několika hlavních částí. </w:t>
      </w:r>
    </w:p>
    <w:p w14:paraId="3A35DE97" w14:textId="2D37F239" w:rsidR="0048094F" w:rsidRDefault="0048094F" w:rsidP="0048094F">
      <w:pPr>
        <w:spacing w:after="160" w:line="259" w:lineRule="auto"/>
        <w:jc w:val="both"/>
      </w:pPr>
      <w:r>
        <w:t xml:space="preserve">První částí je </w:t>
      </w:r>
      <w:r w:rsidRPr="007F6569">
        <w:rPr>
          <w:b/>
        </w:rPr>
        <w:t>analytická část</w:t>
      </w:r>
      <w:r w:rsidRPr="001305E2">
        <w:t>,</w:t>
      </w:r>
      <w:r>
        <w:rPr>
          <w:b/>
        </w:rPr>
        <w:t xml:space="preserve"> </w:t>
      </w:r>
      <w:r w:rsidRPr="00DB4C82">
        <w:t xml:space="preserve">která popisuje stávající situaci </w:t>
      </w:r>
      <w:r>
        <w:t>v obci. Převážně je zde věnována pozornost charakteristice obce, která je rozdělena do sedmi hlavních kapitol – území, obyvatelstvo, hospodářství, infrastruktura, vybavenost obce, životní prostředí a správa obce. Dále jsou zhodnoceny výsledky získané z dotazníkového šetření a z veřejn</w:t>
      </w:r>
      <w:r w:rsidR="00E84FCD">
        <w:t>ého</w:t>
      </w:r>
      <w:r>
        <w:t xml:space="preserve"> projednávání týkající</w:t>
      </w:r>
      <w:r w:rsidR="00E84FCD">
        <w:t>ho</w:t>
      </w:r>
      <w:r>
        <w:t xml:space="preserve"> se rozvoje obce. Analytická část dále obsahuje východiska pro návrhovou část. Rozebrán je potenciál vyplývající z analýzy současného stavu, návaznost dokumentu na jiné rozvojové dokumenty, dále jsou definovány limity rozvoje a provedena tzv. analýza SWOT. </w:t>
      </w:r>
    </w:p>
    <w:p w14:paraId="3FA921D2" w14:textId="76A5C41D" w:rsidR="0048094F" w:rsidRDefault="0048094F" w:rsidP="0048094F">
      <w:pPr>
        <w:spacing w:after="160" w:line="259" w:lineRule="auto"/>
        <w:jc w:val="both"/>
      </w:pPr>
      <w:r>
        <w:t xml:space="preserve">Druhou částí je </w:t>
      </w:r>
      <w:r w:rsidRPr="007F6569">
        <w:rPr>
          <w:b/>
        </w:rPr>
        <w:t>strategická část</w:t>
      </w:r>
      <w:r>
        <w:t xml:space="preserve">. Zde je formulována vize, která definuje to, o co v území usilujeme </w:t>
      </w:r>
      <w:r>
        <w:br/>
        <w:t>a čeho chceme dosáhnout. Následně jsou formulovány strategické cíle (prioritní rozvojové oblasti), které vyplynuly z vyhodnocení současného stavu a z provedených šetření (dotazníkové šetření, veřejn</w:t>
      </w:r>
      <w:r w:rsidR="00FE6532">
        <w:t>é</w:t>
      </w:r>
      <w:r>
        <w:t xml:space="preserve"> projednávání, konzultace s vedením obce), a na které by bylo vhodné se zaměřit, aby </w:t>
      </w:r>
      <w:r>
        <w:br/>
        <w:t xml:space="preserve">v obci docházelo k rozvoji. V rámci jednotlivých strategických cílů jsou navržena konkrétní opatření </w:t>
      </w:r>
      <w:r>
        <w:br/>
        <w:t xml:space="preserve">a aktivity, jejichž realizace by měla vést k naplnění a dosažení daných strategických cílů. </w:t>
      </w:r>
    </w:p>
    <w:p w14:paraId="56833C65" w14:textId="77777777" w:rsidR="0048094F" w:rsidRDefault="0048094F" w:rsidP="0048094F">
      <w:pPr>
        <w:spacing w:after="160" w:line="259" w:lineRule="auto"/>
        <w:jc w:val="both"/>
      </w:pPr>
      <w:r>
        <w:t xml:space="preserve">Třetí částí je </w:t>
      </w:r>
      <w:r w:rsidRPr="007F6569">
        <w:rPr>
          <w:b/>
        </w:rPr>
        <w:t>akční plán</w:t>
      </w:r>
      <w:r>
        <w:t>. Náplní je plán realizace projektů pro nejbližší časové období, zpravidla jednoho až dvou let. Konkrétní projekty jsou blíže popsány, zdůvodněn je jejich přínos k rozvoji obce, zdroje financování a návaznost na rozpočet obce, předpokládané časové období nutné pro realizaci, místo realizace projektu atd. Projekty, jejichž realizace bude naplánována v dalších letech programového období, budou obsaženy v zásobníku projektů.</w:t>
      </w:r>
    </w:p>
    <w:p w14:paraId="03B0D6FF" w14:textId="77777777" w:rsidR="0048094F" w:rsidRDefault="0048094F" w:rsidP="0048094F">
      <w:pPr>
        <w:spacing w:after="160" w:line="259" w:lineRule="auto"/>
        <w:jc w:val="both"/>
      </w:pPr>
      <w:r>
        <w:t xml:space="preserve">Čtvrtou, závěrečnou částí, je </w:t>
      </w:r>
      <w:r w:rsidRPr="007F6569">
        <w:rPr>
          <w:b/>
        </w:rPr>
        <w:t>implementační část</w:t>
      </w:r>
      <w:r>
        <w:t>.</w:t>
      </w:r>
      <w:r w:rsidRPr="00507E65">
        <w:t xml:space="preserve"> </w:t>
      </w:r>
      <w:r>
        <w:t xml:space="preserve">Obsaženy jsou informace o organizačním zajištění realizace programu, dále jsou definovány monitorovací indikátory, díky kterým lze sledovat, </w:t>
      </w:r>
      <w:r>
        <w:br/>
        <w:t>zda dochází k realizaci opatření a konkrétních aktivit a následně k naplňování strategických cílů. Obsaženy jsou i informace, jak bude plán zaveden do rozhodovacích mechanismů obce. Nelze opomenout ani informace, jak bude probíhat aktualizace programového dokumentu.</w:t>
      </w:r>
    </w:p>
    <w:p w14:paraId="3234A21F" w14:textId="244CA623" w:rsidR="0048094F" w:rsidRDefault="0048094F" w:rsidP="0048094F">
      <w:pPr>
        <w:spacing w:after="160" w:line="259" w:lineRule="auto"/>
        <w:jc w:val="both"/>
      </w:pPr>
      <w:r>
        <w:t xml:space="preserve">Významným aspektem strategie je </w:t>
      </w:r>
      <w:r w:rsidRPr="00593CBB">
        <w:rPr>
          <w:b/>
        </w:rPr>
        <w:t>zapojení veřejnosti</w:t>
      </w:r>
      <w:r>
        <w:t xml:space="preserve">. Každý obyvatel obce a každý subjekt v obci působící měl možnost se vyjádřit k rozvoji obce prostřednictvím </w:t>
      </w:r>
      <w:r w:rsidRPr="00593CBB">
        <w:rPr>
          <w:b/>
        </w:rPr>
        <w:t>dotazníkového šetření</w:t>
      </w:r>
      <w:r>
        <w:t xml:space="preserve"> (proběhlo </w:t>
      </w:r>
      <w:r>
        <w:br/>
      </w:r>
      <w:r w:rsidR="00851DDE">
        <w:t xml:space="preserve">v </w:t>
      </w:r>
      <w:r w:rsidR="004470ED">
        <w:t xml:space="preserve">dubnu </w:t>
      </w:r>
      <w:r w:rsidR="00851DDE">
        <w:t>202</w:t>
      </w:r>
      <w:r w:rsidR="004470ED">
        <w:t>2</w:t>
      </w:r>
      <w:r w:rsidRPr="00D0167F">
        <w:t>)</w:t>
      </w:r>
      <w:r w:rsidR="00E32129" w:rsidRPr="00E32129">
        <w:t xml:space="preserve"> </w:t>
      </w:r>
      <w:r w:rsidR="00E32129">
        <w:t xml:space="preserve">či na </w:t>
      </w:r>
      <w:r w:rsidR="00E32129" w:rsidRPr="00593CBB">
        <w:rPr>
          <w:b/>
        </w:rPr>
        <w:t>veřejném projednávání</w:t>
      </w:r>
      <w:r w:rsidR="00E32129">
        <w:t xml:space="preserve">, které proběhlo </w:t>
      </w:r>
      <w:r w:rsidR="009163FD" w:rsidRPr="00707226">
        <w:rPr>
          <w:rFonts w:ascii="Calibri" w:eastAsia="Calibri" w:hAnsi="Calibri" w:cs="Times New Roman"/>
        </w:rPr>
        <w:t>2</w:t>
      </w:r>
      <w:r w:rsidR="009163FD">
        <w:rPr>
          <w:rFonts w:ascii="Calibri" w:eastAsia="Calibri" w:hAnsi="Calibri" w:cs="Times New Roman"/>
        </w:rPr>
        <w:t>4</w:t>
      </w:r>
      <w:r w:rsidR="009163FD" w:rsidRPr="00707226">
        <w:rPr>
          <w:rFonts w:ascii="Calibri" w:eastAsia="Calibri" w:hAnsi="Calibri" w:cs="Times New Roman"/>
        </w:rPr>
        <w:t xml:space="preserve">. </w:t>
      </w:r>
      <w:r w:rsidR="009163FD">
        <w:rPr>
          <w:rFonts w:ascii="Calibri" w:eastAsia="Calibri" w:hAnsi="Calibri" w:cs="Times New Roman"/>
        </w:rPr>
        <w:t>6</w:t>
      </w:r>
      <w:r w:rsidR="009163FD" w:rsidRPr="00707226">
        <w:rPr>
          <w:rFonts w:ascii="Calibri" w:eastAsia="Calibri" w:hAnsi="Calibri" w:cs="Times New Roman"/>
        </w:rPr>
        <w:t>. 20</w:t>
      </w:r>
      <w:r w:rsidR="009163FD">
        <w:rPr>
          <w:rFonts w:ascii="Calibri" w:eastAsia="Calibri" w:hAnsi="Calibri" w:cs="Times New Roman"/>
        </w:rPr>
        <w:t>22</w:t>
      </w:r>
      <w:r w:rsidR="009163FD" w:rsidRPr="009163FD">
        <w:rPr>
          <w:rFonts w:ascii="Calibri" w:eastAsia="Calibri" w:hAnsi="Calibri" w:cs="Times New Roman"/>
        </w:rPr>
        <w:t xml:space="preserve"> </w:t>
      </w:r>
      <w:r w:rsidR="009163FD" w:rsidRPr="00707226">
        <w:rPr>
          <w:rFonts w:ascii="Calibri" w:eastAsia="Calibri" w:hAnsi="Calibri" w:cs="Times New Roman"/>
        </w:rPr>
        <w:t>v</w:t>
      </w:r>
      <w:r w:rsidR="009163FD">
        <w:rPr>
          <w:rFonts w:ascii="Calibri" w:eastAsia="Calibri" w:hAnsi="Calibri" w:cs="Times New Roman"/>
        </w:rPr>
        <w:t> sále hospody U Smrku ve Starých Bukách</w:t>
      </w:r>
      <w:r w:rsidR="00E32129">
        <w:t xml:space="preserve"> (blíže viz kap. 2.2 Zhodnocení dotazníkové</w:t>
      </w:r>
      <w:r w:rsidR="001E2FC9">
        <w:t>ho</w:t>
      </w:r>
      <w:r w:rsidR="00E32129">
        <w:t xml:space="preserve"> šetření a kap. 2.3 Výsledky veřejného projednávání)</w:t>
      </w:r>
      <w:r w:rsidR="00111AE7">
        <w:t>.</w:t>
      </w:r>
    </w:p>
    <w:p w14:paraId="283C3C8E" w14:textId="73F28A46" w:rsidR="0048094F" w:rsidRDefault="0048094F" w:rsidP="0048094F">
      <w:pPr>
        <w:spacing w:after="160" w:line="259" w:lineRule="auto"/>
        <w:jc w:val="both"/>
      </w:pPr>
      <w:r>
        <w:t xml:space="preserve">Celý proces </w:t>
      </w:r>
      <w:r w:rsidR="00D922D6">
        <w:t>tvorby</w:t>
      </w:r>
      <w:r>
        <w:t xml:space="preserve"> Programu rozvoje obce (dále jen PRO) </w:t>
      </w:r>
      <w:r w:rsidR="004470ED">
        <w:t>Staré Buky</w:t>
      </w:r>
      <w:r w:rsidRPr="00B9456E">
        <w:t xml:space="preserve"> </w:t>
      </w:r>
      <w:r>
        <w:t xml:space="preserve">na období let </w:t>
      </w:r>
      <w:r w:rsidRPr="00284AC1">
        <w:t>20</w:t>
      </w:r>
      <w:r>
        <w:t>2</w:t>
      </w:r>
      <w:r w:rsidR="004470ED">
        <w:t>2</w:t>
      </w:r>
      <w:r w:rsidRPr="00284AC1">
        <w:t>-20</w:t>
      </w:r>
      <w:r w:rsidR="00F7371A">
        <w:t>3</w:t>
      </w:r>
      <w:r w:rsidR="004470ED">
        <w:t>1</w:t>
      </w:r>
      <w:r>
        <w:t xml:space="preserve"> byl </w:t>
      </w:r>
      <w:r w:rsidRPr="00A85B91">
        <w:t xml:space="preserve">zahájen </w:t>
      </w:r>
      <w:r>
        <w:t xml:space="preserve">podpisem smlouvy mezi obcí </w:t>
      </w:r>
      <w:r w:rsidR="004470ED">
        <w:t>Staré Buky</w:t>
      </w:r>
      <w:r>
        <w:t xml:space="preserve"> </w:t>
      </w:r>
      <w:r w:rsidR="004470ED">
        <w:t xml:space="preserve">se </w:t>
      </w:r>
      <w:r w:rsidR="004470ED" w:rsidRPr="0059481E">
        <w:t>zpracovatelskou firmou DRAG, s.r.o.</w:t>
      </w:r>
      <w:r w:rsidR="004470ED">
        <w:t>, kterou v rámci procesu tvorby dokumentu zastupoval Ing. Michal Hátle a</w:t>
      </w:r>
      <w:r>
        <w:t xml:space="preserve"> Mgr. Kar</w:t>
      </w:r>
      <w:r w:rsidR="004470ED">
        <w:t>e</w:t>
      </w:r>
      <w:r>
        <w:t>l Tur</w:t>
      </w:r>
      <w:r w:rsidR="004470ED">
        <w:t>e</w:t>
      </w:r>
      <w:r>
        <w:t>k.</w:t>
      </w:r>
      <w:r w:rsidRPr="002B345C">
        <w:t xml:space="preserve"> </w:t>
      </w:r>
      <w:r w:rsidR="004470ED">
        <w:t>Zpracování dokumentu probíhalo po výše zmíněných hlavních částech, které byly ke sjednaným termínům doručeny představitelům obce Staré Buky.</w:t>
      </w:r>
    </w:p>
    <w:p w14:paraId="29EBDD64" w14:textId="0E6EC1A3" w:rsidR="0048094F" w:rsidRDefault="0048094F" w:rsidP="0048094F">
      <w:pPr>
        <w:spacing w:after="160" w:line="259" w:lineRule="auto"/>
        <w:jc w:val="both"/>
      </w:pPr>
      <w:r>
        <w:t xml:space="preserve">V rámci zpracování dokumentu byly využity různorodé informační zdroje – knihy, odborné časopisy, statistické materiály, internetové zdroje, mapové podklady, strategické dokumenty (celostátní, </w:t>
      </w:r>
      <w:r>
        <w:lastRenderedPageBreak/>
        <w:t xml:space="preserve">regionální a místní úrovně), které s tímto rozvojovým dokumentem přímo souvisí. Všechny použité zdroje dat jsou v dokumentu řádně citovány a jejich kompletní přehled je uveden v jeho závěru. Řada informací byla získána prostřednictvím konzultací s představiteli obce </w:t>
      </w:r>
      <w:r w:rsidR="003477A1">
        <w:t>Staré Buky</w:t>
      </w:r>
      <w:r>
        <w:t>, z provedeného dotazníkového šetření, z informací získaných z jednání pracovní skupin</w:t>
      </w:r>
      <w:r w:rsidR="005A3691">
        <w:t>y</w:t>
      </w:r>
      <w:r>
        <w:t xml:space="preserve"> a z výstupů z veřejného projednávání.</w:t>
      </w:r>
    </w:p>
    <w:p w14:paraId="58991BF2" w14:textId="77777777" w:rsidR="0048094F" w:rsidRDefault="0048094F" w:rsidP="0048094F">
      <w:pPr>
        <w:spacing w:after="160" w:line="259" w:lineRule="auto"/>
        <w:jc w:val="both"/>
      </w:pPr>
    </w:p>
    <w:p w14:paraId="4869FF8F" w14:textId="4C5CCC53" w:rsidR="00D23F84" w:rsidRPr="00BD2285" w:rsidRDefault="0048094F" w:rsidP="0048094F">
      <w:pPr>
        <w:spacing w:after="160" w:line="259" w:lineRule="auto"/>
        <w:jc w:val="both"/>
        <w:rPr>
          <w:rFonts w:cs="Times New Roman"/>
        </w:rPr>
      </w:pPr>
      <w:r>
        <w:t xml:space="preserve">Finální verze zpracovaného </w:t>
      </w:r>
      <w:r w:rsidR="00901601">
        <w:t>PRO</w:t>
      </w:r>
      <w:r>
        <w:t xml:space="preserve"> </w:t>
      </w:r>
      <w:r w:rsidR="003477A1">
        <w:t>Staré Buky</w:t>
      </w:r>
      <w:r>
        <w:t xml:space="preserve"> na období let 202</w:t>
      </w:r>
      <w:r w:rsidR="003477A1">
        <w:t>2</w:t>
      </w:r>
      <w:r>
        <w:t>-20</w:t>
      </w:r>
      <w:r w:rsidR="00D853B0">
        <w:t>3</w:t>
      </w:r>
      <w:r w:rsidR="003477A1">
        <w:t>1</w:t>
      </w:r>
      <w:r>
        <w:t xml:space="preserve"> </w:t>
      </w:r>
      <w:r w:rsidR="006D6EC7" w:rsidRPr="006D6EC7">
        <w:t xml:space="preserve">byla zpracovatelskou firmou DRAG, s.r.o </w:t>
      </w:r>
      <w:r>
        <w:t xml:space="preserve">předána představitelům obce </w:t>
      </w:r>
      <w:r w:rsidR="003477A1">
        <w:t>Staré Buky</w:t>
      </w:r>
      <w:r>
        <w:t xml:space="preserve"> v dohodnutém formátu</w:t>
      </w:r>
      <w:r w:rsidR="00BD2285">
        <w:rPr>
          <w:rFonts w:cs="Times New Roman"/>
        </w:rPr>
        <w:t>.</w:t>
      </w:r>
    </w:p>
    <w:p w14:paraId="257DEBD7" w14:textId="77777777" w:rsidR="00D23F84" w:rsidRDefault="00D23F84" w:rsidP="001F0E07">
      <w:pPr>
        <w:spacing w:after="160" w:line="259" w:lineRule="auto"/>
        <w:sectPr w:rsidR="00D23F84" w:rsidSect="004160B4">
          <w:headerReference w:type="default" r:id="rId13"/>
          <w:pgSz w:w="11906" w:h="16838"/>
          <w:pgMar w:top="1417" w:right="1417" w:bottom="1417" w:left="1417" w:header="709" w:footer="709" w:gutter="0"/>
          <w:cols w:space="708"/>
          <w:docGrid w:linePitch="360"/>
        </w:sectPr>
      </w:pPr>
    </w:p>
    <w:p w14:paraId="6ACD573E" w14:textId="77777777" w:rsidR="008147E6" w:rsidRPr="00E43BB1" w:rsidRDefault="008147E6" w:rsidP="00814D5A">
      <w:pPr>
        <w:pStyle w:val="Nadpis1"/>
      </w:pPr>
      <w:bookmarkStart w:id="6" w:name="_Toc407621650"/>
      <w:bookmarkStart w:id="7" w:name="_Toc413418352"/>
      <w:bookmarkStart w:id="8" w:name="_Toc440566331"/>
      <w:bookmarkStart w:id="9" w:name="_Toc441227483"/>
      <w:bookmarkStart w:id="10" w:name="_Toc32580103"/>
      <w:bookmarkStart w:id="11" w:name="_Toc120652128"/>
      <w:r>
        <w:lastRenderedPageBreak/>
        <w:t xml:space="preserve">2 </w:t>
      </w:r>
      <w:r w:rsidRPr="00E43BB1">
        <w:t>Analytická část</w:t>
      </w:r>
      <w:bookmarkEnd w:id="6"/>
      <w:bookmarkEnd w:id="7"/>
      <w:bookmarkEnd w:id="8"/>
      <w:bookmarkEnd w:id="9"/>
      <w:bookmarkEnd w:id="10"/>
      <w:bookmarkEnd w:id="11"/>
    </w:p>
    <w:p w14:paraId="6298D1F1" w14:textId="7B93E69D" w:rsidR="008147E6" w:rsidRPr="00DE2038" w:rsidRDefault="008147E6" w:rsidP="008147E6">
      <w:pPr>
        <w:spacing w:after="160" w:line="259" w:lineRule="auto"/>
        <w:jc w:val="both"/>
      </w:pPr>
      <w:r w:rsidRPr="00DE2038">
        <w:t xml:space="preserve">Tato </w:t>
      </w:r>
      <w:r>
        <w:t>kapitola</w:t>
      </w:r>
      <w:r w:rsidRPr="00DE2038">
        <w:t xml:space="preserve"> se zabývá geografickou analýzou </w:t>
      </w:r>
      <w:r>
        <w:t xml:space="preserve">obce </w:t>
      </w:r>
      <w:r w:rsidR="007E3431">
        <w:t>Staré Buky</w:t>
      </w:r>
      <w:r w:rsidR="000056B7">
        <w:t>.</w:t>
      </w:r>
      <w:r>
        <w:t xml:space="preserve"> Jedná se především</w:t>
      </w:r>
      <w:r>
        <w:br/>
        <w:t>o analýzu regionální geografie (popis území) a socioekonomické geografie (obyvatelstvo, hospodářství apod.). Analytická část je rozdělena do čtyř dílčích částí. P</w:t>
      </w:r>
      <w:r w:rsidRPr="00DE2038">
        <w:t>rvní</w:t>
      </w:r>
      <w:r>
        <w:t xml:space="preserve"> dílčí část se zabývá charakteristikou obce</w:t>
      </w:r>
      <w:r w:rsidRPr="00DE2038">
        <w:t xml:space="preserve">, </w:t>
      </w:r>
      <w:r>
        <w:t>druhá zhodnocením dotazníkového šetření, třetí vyhodnocením veřejného projednávání a čtvrtá východisky pro návrhovou část.</w:t>
      </w:r>
    </w:p>
    <w:p w14:paraId="1BBB0476" w14:textId="77777777" w:rsidR="008147E6" w:rsidRDefault="008147E6" w:rsidP="008147E6">
      <w:pPr>
        <w:spacing w:after="160" w:line="259" w:lineRule="auto"/>
        <w:rPr>
          <w:b/>
          <w:sz w:val="28"/>
          <w:szCs w:val="28"/>
        </w:rPr>
      </w:pPr>
    </w:p>
    <w:p w14:paraId="70A6EAA5" w14:textId="57918CD7" w:rsidR="008147E6" w:rsidRPr="00814D5A" w:rsidRDefault="008147E6" w:rsidP="00814D5A">
      <w:pPr>
        <w:pStyle w:val="Nadpis2"/>
      </w:pPr>
      <w:bookmarkStart w:id="12" w:name="_Toc407621651"/>
      <w:bookmarkStart w:id="13" w:name="_Toc413418353"/>
      <w:bookmarkStart w:id="14" w:name="_Toc440566332"/>
      <w:bookmarkStart w:id="15" w:name="_Toc441227484"/>
      <w:bookmarkStart w:id="16" w:name="_Toc32580104"/>
      <w:bookmarkStart w:id="17" w:name="_Toc120652129"/>
      <w:r w:rsidRPr="00814D5A">
        <w:t xml:space="preserve">2.1 Charakteristika </w:t>
      </w:r>
      <w:bookmarkEnd w:id="12"/>
      <w:r w:rsidRPr="0047346F">
        <w:t xml:space="preserve">obce </w:t>
      </w:r>
      <w:bookmarkEnd w:id="13"/>
      <w:bookmarkEnd w:id="14"/>
      <w:bookmarkEnd w:id="15"/>
      <w:bookmarkEnd w:id="16"/>
      <w:r w:rsidR="007E3431">
        <w:t>Staré Buky</w:t>
      </w:r>
      <w:bookmarkEnd w:id="17"/>
    </w:p>
    <w:p w14:paraId="4E84BC98" w14:textId="12D92C5C" w:rsidR="008147E6" w:rsidRDefault="008147E6" w:rsidP="008147E6">
      <w:pPr>
        <w:spacing w:after="160" w:line="259" w:lineRule="auto"/>
        <w:jc w:val="both"/>
        <w:rPr>
          <w:b/>
          <w:sz w:val="28"/>
          <w:szCs w:val="28"/>
        </w:rPr>
      </w:pPr>
      <w:r>
        <w:t xml:space="preserve">Charakteristika obce je rozčleněna na sedm hlavních oblastí – území, obyvatelstvo, hospodářství, infrastruktura, vybavenost obce, životní prostředí a správa obce. Každá tato oblast se zabývá dílčí charakteristikou </w:t>
      </w:r>
      <w:r w:rsidRPr="0047346F">
        <w:t xml:space="preserve">obce </w:t>
      </w:r>
      <w:r w:rsidR="007E3431">
        <w:t>Staré Buky</w:t>
      </w:r>
      <w:r w:rsidRPr="0047346F">
        <w:t>, která</w:t>
      </w:r>
      <w:r>
        <w:t xml:space="preserve"> tematicky s danou oblastí souvisí.</w:t>
      </w:r>
    </w:p>
    <w:p w14:paraId="5543E869" w14:textId="77777777" w:rsidR="008147E6" w:rsidRDefault="008147E6" w:rsidP="008147E6">
      <w:pPr>
        <w:spacing w:after="160" w:line="259" w:lineRule="auto"/>
        <w:rPr>
          <w:b/>
          <w:sz w:val="28"/>
          <w:szCs w:val="28"/>
        </w:rPr>
      </w:pPr>
    </w:p>
    <w:p w14:paraId="2937F224" w14:textId="77777777" w:rsidR="008147E6" w:rsidRPr="00814D5A" w:rsidRDefault="008147E6" w:rsidP="00814D5A">
      <w:pPr>
        <w:pStyle w:val="Nadpis3"/>
      </w:pPr>
      <w:bookmarkStart w:id="18" w:name="_Toc413418354"/>
      <w:bookmarkStart w:id="19" w:name="_Toc440566333"/>
      <w:bookmarkStart w:id="20" w:name="_Toc441227485"/>
      <w:bookmarkStart w:id="21" w:name="_Toc32580105"/>
      <w:bookmarkStart w:id="22" w:name="_Toc120652130"/>
      <w:r w:rsidRPr="00814D5A">
        <w:t>2.1.1 Území</w:t>
      </w:r>
      <w:bookmarkEnd w:id="18"/>
      <w:bookmarkEnd w:id="19"/>
      <w:bookmarkEnd w:id="20"/>
      <w:bookmarkEnd w:id="21"/>
      <w:bookmarkEnd w:id="22"/>
    </w:p>
    <w:p w14:paraId="62511B6E" w14:textId="77777777" w:rsidR="008147E6" w:rsidRPr="00814D5A" w:rsidRDefault="008147E6" w:rsidP="00814D5A">
      <w:pPr>
        <w:pStyle w:val="Nadpis4"/>
      </w:pPr>
      <w:bookmarkStart w:id="23" w:name="_Toc413418355"/>
      <w:bookmarkStart w:id="24" w:name="_Toc440566334"/>
      <w:bookmarkStart w:id="25" w:name="_Toc441227486"/>
      <w:bookmarkStart w:id="26" w:name="_Toc32580106"/>
      <w:bookmarkStart w:id="27" w:name="_Toc120652131"/>
      <w:r w:rsidRPr="00814D5A">
        <w:t>2.1.1.1 Geografická poloha</w:t>
      </w:r>
      <w:bookmarkEnd w:id="23"/>
      <w:bookmarkEnd w:id="24"/>
      <w:bookmarkEnd w:id="25"/>
      <w:bookmarkEnd w:id="26"/>
      <w:bookmarkEnd w:id="27"/>
    </w:p>
    <w:p w14:paraId="5C962852" w14:textId="09879FC3" w:rsidR="008147E6" w:rsidRDefault="008147E6" w:rsidP="008147E6">
      <w:pPr>
        <w:spacing w:after="160" w:line="259" w:lineRule="auto"/>
        <w:jc w:val="both"/>
      </w:pPr>
      <w:r>
        <w:t xml:space="preserve">Obec </w:t>
      </w:r>
      <w:r w:rsidR="00D54FB2">
        <w:t>Staré Buky</w:t>
      </w:r>
      <w:r w:rsidR="00B45D51" w:rsidRPr="00B9456E">
        <w:t xml:space="preserve"> </w:t>
      </w:r>
      <w:r>
        <w:t>se nachází ve východních Čechách. V rámci územního členění je součástí Králo</w:t>
      </w:r>
      <w:r w:rsidRPr="00187066">
        <w:t xml:space="preserve">véhradeckého kraje a v rámci kraje patří územně do okresu </w:t>
      </w:r>
      <w:r w:rsidR="00D54FB2">
        <w:t>Trutnov</w:t>
      </w:r>
      <w:r w:rsidRPr="00187066">
        <w:t>, kde se rozkládá v</w:t>
      </w:r>
      <w:r w:rsidR="00106605">
        <w:t> </w:t>
      </w:r>
      <w:r w:rsidRPr="00187066">
        <w:t>jeho</w:t>
      </w:r>
      <w:r w:rsidR="00106605">
        <w:t xml:space="preserve"> </w:t>
      </w:r>
      <w:r w:rsidR="003572B9">
        <w:t>jihozápadní</w:t>
      </w:r>
      <w:r w:rsidR="00174304">
        <w:t xml:space="preserve"> </w:t>
      </w:r>
      <w:r w:rsidRPr="00187066">
        <w:t>části</w:t>
      </w:r>
      <w:r>
        <w:t xml:space="preserve">. Zeměpisné souřadnice obce jsou </w:t>
      </w:r>
      <w:r w:rsidR="00835D15">
        <w:t xml:space="preserve">50° </w:t>
      </w:r>
      <w:r w:rsidR="003572B9">
        <w:t>32</w:t>
      </w:r>
      <w:r w:rsidR="00835D15">
        <w:t xml:space="preserve">' </w:t>
      </w:r>
      <w:r w:rsidR="00624C85">
        <w:t>1</w:t>
      </w:r>
      <w:r w:rsidR="003572B9">
        <w:t>5</w:t>
      </w:r>
      <w:r w:rsidR="00835D15">
        <w:t xml:space="preserve">´´ severní šířky, </w:t>
      </w:r>
      <w:r w:rsidR="003572B9">
        <w:t>15</w:t>
      </w:r>
      <w:r w:rsidR="00835D15" w:rsidRPr="006E56EF">
        <w:t>°</w:t>
      </w:r>
      <w:r w:rsidR="00835D15">
        <w:t xml:space="preserve"> </w:t>
      </w:r>
      <w:r w:rsidR="003572B9">
        <w:t>50</w:t>
      </w:r>
      <w:r w:rsidR="00835D15" w:rsidRPr="006E56EF">
        <w:t>'</w:t>
      </w:r>
      <w:r w:rsidR="003572B9">
        <w:t xml:space="preserve"> 54´´</w:t>
      </w:r>
      <w:r w:rsidR="00835D15">
        <w:t xml:space="preserve"> východní délky</w:t>
      </w:r>
      <w:r w:rsidR="00CD3E89">
        <w:rPr>
          <w:rStyle w:val="Znakapoznpodarou"/>
        </w:rPr>
        <w:footnoteReference w:id="1"/>
      </w:r>
      <w:r w:rsidRPr="00994708">
        <w:t>.</w:t>
      </w:r>
    </w:p>
    <w:p w14:paraId="0795B812" w14:textId="3A5F6CF4" w:rsidR="008147E6" w:rsidRDefault="008147E6" w:rsidP="008147E6">
      <w:pPr>
        <w:spacing w:after="160" w:line="259" w:lineRule="auto"/>
        <w:jc w:val="both"/>
      </w:pPr>
      <w:r>
        <w:t xml:space="preserve">Z pohledu správního spadala obec do konce roku 2002 pod okres </w:t>
      </w:r>
      <w:r w:rsidR="00E628FE">
        <w:t>Trutnov</w:t>
      </w:r>
      <w:r>
        <w:t xml:space="preserve">, od roku 2003 v souvislosti se zrušením okresních úřadů spadá obec ze správního hlediska pod správní obvod obce s rozšířenou působností (SO ORP) </w:t>
      </w:r>
      <w:r w:rsidR="00E628FE">
        <w:t>Trutnov</w:t>
      </w:r>
      <w:r w:rsidR="008722C0" w:rsidRPr="008722C0">
        <w:t>.</w:t>
      </w:r>
      <w:r>
        <w:t xml:space="preserve"> Funkci pověřeného obecního úřadu (POÚ) zajišťuje pro území obce </w:t>
      </w:r>
      <w:r w:rsidRPr="0071625F">
        <w:t xml:space="preserve">město </w:t>
      </w:r>
      <w:r w:rsidR="00EA10C1">
        <w:t>Trutnov</w:t>
      </w:r>
      <w:r w:rsidR="0071625F" w:rsidRPr="0071625F">
        <w:t>.</w:t>
      </w:r>
    </w:p>
    <w:p w14:paraId="5E36FE4B" w14:textId="5805996F" w:rsidR="00E75C1F" w:rsidRDefault="00E75C1F" w:rsidP="008147E6">
      <w:pPr>
        <w:spacing w:after="160" w:line="259" w:lineRule="auto"/>
        <w:jc w:val="both"/>
      </w:pPr>
      <w:r>
        <w:t xml:space="preserve">Geografická poloha obce </w:t>
      </w:r>
      <w:r w:rsidR="001E5443">
        <w:t>Staré Buky</w:t>
      </w:r>
      <w:r>
        <w:t xml:space="preserve"> je znázorněna na obrázku 1.</w:t>
      </w:r>
    </w:p>
    <w:p w14:paraId="15C33BB2" w14:textId="77777777" w:rsidR="008147E6" w:rsidRDefault="008147E6" w:rsidP="008147E6">
      <w:pPr>
        <w:spacing w:after="160" w:line="259" w:lineRule="auto"/>
        <w:jc w:val="both"/>
      </w:pPr>
    </w:p>
    <w:p w14:paraId="7DD5D521" w14:textId="77777777" w:rsidR="008147E6" w:rsidRDefault="008147E6" w:rsidP="008147E6">
      <w:pPr>
        <w:spacing w:after="160" w:line="259" w:lineRule="auto"/>
        <w:jc w:val="both"/>
        <w:sectPr w:rsidR="008147E6" w:rsidSect="004160B4">
          <w:headerReference w:type="default" r:id="rId14"/>
          <w:pgSz w:w="11906" w:h="16838"/>
          <w:pgMar w:top="1417" w:right="1417" w:bottom="1417" w:left="1417" w:header="709" w:footer="709" w:gutter="0"/>
          <w:cols w:space="708"/>
          <w:docGrid w:linePitch="360"/>
        </w:sectPr>
      </w:pPr>
    </w:p>
    <w:p w14:paraId="0F5E5F68" w14:textId="007CEE93" w:rsidR="008147E6" w:rsidRPr="00E43BB1" w:rsidRDefault="008147E6" w:rsidP="008147E6">
      <w:pPr>
        <w:pStyle w:val="OBRZEK0"/>
      </w:pPr>
      <w:bookmarkStart w:id="29" w:name="_Toc441222008"/>
      <w:bookmarkStart w:id="30" w:name="_Toc32578387"/>
      <w:bookmarkStart w:id="31" w:name="_Toc104473122"/>
      <w:bookmarkStart w:id="32" w:name="_Toc120652020"/>
      <w:r w:rsidRPr="00496822">
        <w:lastRenderedPageBreak/>
        <w:t xml:space="preserve">Obrázek </w:t>
      </w:r>
      <w:r w:rsidR="00CB24BF" w:rsidRPr="00496822">
        <w:t>1</w:t>
      </w:r>
      <w:r w:rsidRPr="00496822">
        <w:t xml:space="preserve">: Geografická poloha obce </w:t>
      </w:r>
      <w:r w:rsidR="00102D9A" w:rsidRPr="00496822">
        <w:t>Staré Buky</w:t>
      </w:r>
      <w:r w:rsidR="00EF740C" w:rsidRPr="00496822">
        <w:t xml:space="preserve"> </w:t>
      </w:r>
      <w:r w:rsidRPr="00496822">
        <w:t>a její členění</w:t>
      </w:r>
      <w:bookmarkEnd w:id="29"/>
      <w:bookmarkEnd w:id="30"/>
      <w:bookmarkEnd w:id="31"/>
      <w:bookmarkEnd w:id="32"/>
    </w:p>
    <w:p w14:paraId="327EDB8B" w14:textId="613403BD" w:rsidR="008147E6" w:rsidRDefault="00496822" w:rsidP="008147E6">
      <w:pPr>
        <w:jc w:val="center"/>
      </w:pPr>
      <w:r>
        <w:rPr>
          <w:noProof/>
        </w:rPr>
        <w:drawing>
          <wp:inline distT="0" distB="0" distL="0" distR="0" wp14:anchorId="238061B3" wp14:editId="001AD781">
            <wp:extent cx="8289915" cy="5158740"/>
            <wp:effectExtent l="0" t="0" r="0"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Obrázek 2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03724" cy="5167333"/>
                    </a:xfrm>
                    <a:prstGeom prst="rect">
                      <a:avLst/>
                    </a:prstGeom>
                  </pic:spPr>
                </pic:pic>
              </a:graphicData>
            </a:graphic>
          </wp:inline>
        </w:drawing>
      </w:r>
    </w:p>
    <w:p w14:paraId="47B93744" w14:textId="3D7E7E90" w:rsidR="008147E6" w:rsidRDefault="00BA351C" w:rsidP="00F86722">
      <w:pPr>
        <w:jc w:val="both"/>
      </w:pPr>
      <w:r w:rsidRPr="00224409">
        <w:rPr>
          <w:b/>
          <w:sz w:val="20"/>
          <w:szCs w:val="20"/>
        </w:rPr>
        <w:t>Zdroje:</w:t>
      </w:r>
      <w:r w:rsidRPr="00224409">
        <w:rPr>
          <w:sz w:val="20"/>
          <w:szCs w:val="20"/>
        </w:rPr>
        <w:t xml:space="preserve"> Internetové stránky Českého statistického úřadu </w:t>
      </w:r>
      <w:hyperlink r:id="rId16" w:history="1">
        <w:r w:rsidRPr="006977D8">
          <w:rPr>
            <w:rStyle w:val="Hypertextovodkaz"/>
            <w:sz w:val="20"/>
            <w:szCs w:val="20"/>
          </w:rPr>
          <w:t>https://www.czso.cz/</w:t>
        </w:r>
      </w:hyperlink>
      <w:r w:rsidRPr="00224409">
        <w:rPr>
          <w:sz w:val="20"/>
          <w:szCs w:val="20"/>
        </w:rPr>
        <w:t xml:space="preserve">, </w:t>
      </w:r>
      <w:r w:rsidRPr="00224409">
        <w:rPr>
          <w:rFonts w:cstheme="minorHAnsi"/>
          <w:sz w:val="20"/>
          <w:szCs w:val="20"/>
        </w:rPr>
        <w:t xml:space="preserve">Internetové stránky Národního geoportálu INSPIRE </w:t>
      </w:r>
      <w:hyperlink r:id="rId17" w:history="1">
        <w:r w:rsidRPr="006977D8">
          <w:rPr>
            <w:rStyle w:val="Hypertextovodkaz"/>
            <w:rFonts w:cstheme="minorHAnsi"/>
            <w:sz w:val="20"/>
            <w:szCs w:val="20"/>
          </w:rPr>
          <w:t>https://geoportal.gov.cz/</w:t>
        </w:r>
      </w:hyperlink>
      <w:r w:rsidRPr="00224409">
        <w:rPr>
          <w:sz w:val="20"/>
          <w:szCs w:val="20"/>
        </w:rPr>
        <w:t xml:space="preserve">, Internetové stránky Českého úřadu zeměměřičského a katastrálního </w:t>
      </w:r>
      <w:hyperlink r:id="rId18" w:history="1">
        <w:r w:rsidRPr="006977D8">
          <w:rPr>
            <w:rStyle w:val="Hypertextovodkaz"/>
            <w:sz w:val="20"/>
            <w:szCs w:val="20"/>
          </w:rPr>
          <w:t>https://www.cuzk.cz/</w:t>
        </w:r>
      </w:hyperlink>
      <w:r w:rsidRPr="00224409">
        <w:rPr>
          <w:sz w:val="20"/>
          <w:szCs w:val="20"/>
        </w:rPr>
        <w:t>; upraveno</w:t>
      </w:r>
      <w:r w:rsidR="008147E6" w:rsidRPr="00E375DC">
        <w:rPr>
          <w:sz w:val="20"/>
          <w:szCs w:val="20"/>
        </w:rPr>
        <w:t xml:space="preserve"> </w:t>
      </w:r>
    </w:p>
    <w:p w14:paraId="278A0864" w14:textId="77777777" w:rsidR="008147E6" w:rsidRDefault="008147E6" w:rsidP="008147E6">
      <w:pPr>
        <w:spacing w:line="360" w:lineRule="auto"/>
        <w:jc w:val="both"/>
        <w:sectPr w:rsidR="008147E6" w:rsidSect="004160B4">
          <w:footerReference w:type="default" r:id="rId19"/>
          <w:pgSz w:w="16838" w:h="11906" w:orient="landscape"/>
          <w:pgMar w:top="1417" w:right="1417" w:bottom="1417" w:left="1417" w:header="709" w:footer="709" w:gutter="0"/>
          <w:cols w:space="708"/>
          <w:docGrid w:linePitch="360"/>
        </w:sectPr>
      </w:pPr>
    </w:p>
    <w:p w14:paraId="7570B240" w14:textId="77777777" w:rsidR="008147E6" w:rsidRPr="008A401A" w:rsidRDefault="008147E6" w:rsidP="00814D5A">
      <w:pPr>
        <w:pStyle w:val="Nadpis4"/>
      </w:pPr>
      <w:bookmarkStart w:id="33" w:name="_Toc413418356"/>
      <w:bookmarkStart w:id="34" w:name="_Toc440566335"/>
      <w:bookmarkStart w:id="35" w:name="_Toc441227487"/>
      <w:bookmarkStart w:id="36" w:name="_Toc32580107"/>
      <w:bookmarkStart w:id="37" w:name="_Toc120652132"/>
      <w:r>
        <w:lastRenderedPageBreak/>
        <w:t xml:space="preserve">2.1.1.2 </w:t>
      </w:r>
      <w:r w:rsidRPr="008A401A">
        <w:t>Členění obce a základní informace o obci</w:t>
      </w:r>
      <w:bookmarkEnd w:id="33"/>
      <w:bookmarkEnd w:id="34"/>
      <w:bookmarkEnd w:id="35"/>
      <w:bookmarkEnd w:id="36"/>
      <w:bookmarkEnd w:id="37"/>
    </w:p>
    <w:p w14:paraId="742E82C1" w14:textId="375577D7" w:rsidR="00F37F4B" w:rsidRDefault="00F63936" w:rsidP="0039274C">
      <w:pPr>
        <w:spacing w:after="160" w:line="259" w:lineRule="auto"/>
        <w:jc w:val="both"/>
      </w:pPr>
      <w:r>
        <w:t>Ú</w:t>
      </w:r>
      <w:r w:rsidRPr="007A00C8">
        <w:t xml:space="preserve">zemí obce </w:t>
      </w:r>
      <w:r>
        <w:t xml:space="preserve">se skládá celkem ze tří </w:t>
      </w:r>
      <w:r w:rsidR="00232B04" w:rsidRPr="007A00C8">
        <w:t>část</w:t>
      </w:r>
      <w:r>
        <w:t>í</w:t>
      </w:r>
      <w:r w:rsidR="00232B04">
        <w:rPr>
          <w:rStyle w:val="Znakapoznpodarou"/>
        </w:rPr>
        <w:footnoteReference w:id="2"/>
      </w:r>
      <w:r w:rsidR="00FF5A0C">
        <w:t xml:space="preserve"> – </w:t>
      </w:r>
      <w:r w:rsidR="00964B58">
        <w:t>Dolní Staré Buky, Horní Staré Buky a Prostřední Staré Buky</w:t>
      </w:r>
      <w:r w:rsidR="00913825">
        <w:t>.</w:t>
      </w:r>
      <w:r w:rsidR="00913825">
        <w:rPr>
          <w:rStyle w:val="Znakapoznpodarou"/>
        </w:rPr>
        <w:t xml:space="preserve"> </w:t>
      </w:r>
      <w:r w:rsidR="00D26C9D">
        <w:t xml:space="preserve">Celková rozloha obce je </w:t>
      </w:r>
      <w:r w:rsidR="007C5BA4">
        <w:t>1 789,60</w:t>
      </w:r>
      <w:r w:rsidR="00D26C9D">
        <w:t xml:space="preserve"> ha a</w:t>
      </w:r>
      <w:r w:rsidR="007C5BA4">
        <w:t xml:space="preserve"> skládá se celkem ze tří katastrálních území (</w:t>
      </w:r>
      <w:r w:rsidR="007C5BA4" w:rsidRPr="00CD1A24">
        <w:t>k.ú.)</w:t>
      </w:r>
      <w:r w:rsidR="007C5BA4">
        <w:t xml:space="preserve"> – Dolní Staré Buky, Horní Staré Buky a Prostřední Staré Buky</w:t>
      </w:r>
      <w:r w:rsidR="00D26C9D">
        <w:rPr>
          <w:rStyle w:val="Znakapoznpodarou"/>
        </w:rPr>
        <w:footnoteReference w:id="3"/>
      </w:r>
      <w:r w:rsidR="00D26C9D">
        <w:t xml:space="preserve">. </w:t>
      </w:r>
      <w:r w:rsidR="00F67D0F">
        <w:t xml:space="preserve">K 31. 12. 2021 zde žilo 648 trvale bydlících obyvatel, </w:t>
      </w:r>
      <w:r w:rsidR="00F67D0F" w:rsidRPr="00AC7A1B">
        <w:t xml:space="preserve">z toho </w:t>
      </w:r>
      <w:r w:rsidR="00F67D0F">
        <w:t>336</w:t>
      </w:r>
      <w:r w:rsidR="00F67D0F" w:rsidRPr="00AC7A1B">
        <w:t xml:space="preserve"> mužů</w:t>
      </w:r>
      <w:r w:rsidR="00F67D0F">
        <w:t xml:space="preserve"> a 312 žen</w:t>
      </w:r>
      <w:r w:rsidR="00F67D0F">
        <w:rPr>
          <w:rStyle w:val="Znakapoznpodarou"/>
        </w:rPr>
        <w:footnoteReference w:id="4"/>
      </w:r>
      <w:r w:rsidR="00F67D0F">
        <w:t xml:space="preserve">. </w:t>
      </w:r>
      <w:r w:rsidR="0064437D">
        <w:t>Obec se skládá celkem z pěti základních sídelních jednotek (ZSJ)</w:t>
      </w:r>
      <w:r w:rsidR="0064437D">
        <w:rPr>
          <w:rStyle w:val="Znakapoznpodarou"/>
        </w:rPr>
        <w:footnoteReference w:id="5"/>
      </w:r>
      <w:r w:rsidR="0064437D">
        <w:t>: Dolní Staré Buky, Dolníky, Horní Staré Buky, Dolníky-západ a Prostřední Staré Buky.</w:t>
      </w:r>
      <w:r w:rsidR="0064437D" w:rsidRPr="00F37F4B">
        <w:t xml:space="preserve"> </w:t>
      </w:r>
      <w:r w:rsidR="0064437D">
        <w:t xml:space="preserve">Skladebnost jednotlivých druhů jednotek je znázorněna v tabulce </w:t>
      </w:r>
      <w:r w:rsidR="0064437D" w:rsidRPr="00E76C0A">
        <w:t>1.</w:t>
      </w:r>
    </w:p>
    <w:p w14:paraId="64E34680" w14:textId="7E147CB4" w:rsidR="009A7DB9" w:rsidRDefault="009A7DB9" w:rsidP="0039274C">
      <w:pPr>
        <w:spacing w:after="160" w:line="259" w:lineRule="auto"/>
        <w:jc w:val="both"/>
      </w:pPr>
    </w:p>
    <w:p w14:paraId="0A8DDAF8" w14:textId="357C2D8B" w:rsidR="009A7DB9" w:rsidRPr="009A7DB9" w:rsidRDefault="009A7DB9" w:rsidP="009A7DB9">
      <w:pPr>
        <w:pStyle w:val="TABULKA0"/>
      </w:pPr>
      <w:bookmarkStart w:id="39" w:name="_Toc447231376"/>
      <w:bookmarkStart w:id="40" w:name="_Toc465022140"/>
      <w:bookmarkStart w:id="41" w:name="_Toc32577777"/>
      <w:bookmarkStart w:id="42" w:name="_Toc120651923"/>
      <w:r w:rsidRPr="009A7DB9">
        <w:t xml:space="preserve">Tabulka 1: Skladebnost správní, technické, evidenční a sídelní struktury v rámci </w:t>
      </w:r>
      <w:bookmarkEnd w:id="39"/>
      <w:bookmarkEnd w:id="40"/>
      <w:r w:rsidRPr="009A7DB9">
        <w:t xml:space="preserve">obce </w:t>
      </w:r>
      <w:bookmarkEnd w:id="41"/>
      <w:r>
        <w:t>Staré Buky</w:t>
      </w:r>
      <w:bookmarkEnd w:id="42"/>
    </w:p>
    <w:tbl>
      <w:tblPr>
        <w:tblStyle w:val="Mkatabulky"/>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396"/>
        <w:gridCol w:w="2268"/>
        <w:gridCol w:w="2268"/>
        <w:gridCol w:w="2268"/>
      </w:tblGrid>
      <w:tr w:rsidR="009A7DB9" w14:paraId="346B1410" w14:textId="77777777" w:rsidTr="009861D5">
        <w:trPr>
          <w:jc w:val="center"/>
        </w:trPr>
        <w:tc>
          <w:tcPr>
            <w:tcW w:w="1396" w:type="dxa"/>
            <w:tcBorders>
              <w:top w:val="single" w:sz="18" w:space="0" w:color="auto"/>
              <w:bottom w:val="single" w:sz="12" w:space="0" w:color="auto"/>
              <w:right w:val="single" w:sz="12" w:space="0" w:color="auto"/>
            </w:tcBorders>
            <w:shd w:val="clear" w:color="auto" w:fill="FFC000"/>
            <w:vAlign w:val="center"/>
          </w:tcPr>
          <w:p w14:paraId="7F16047A" w14:textId="77777777" w:rsidR="009A7DB9" w:rsidRPr="005258C3" w:rsidRDefault="009A7DB9" w:rsidP="00542759">
            <w:pPr>
              <w:jc w:val="center"/>
              <w:rPr>
                <w:b/>
              </w:rPr>
            </w:pPr>
            <w:r w:rsidRPr="005258C3">
              <w:rPr>
                <w:b/>
              </w:rPr>
              <w:t>Název obce</w:t>
            </w:r>
          </w:p>
        </w:tc>
        <w:tc>
          <w:tcPr>
            <w:tcW w:w="2268" w:type="dxa"/>
            <w:tcBorders>
              <w:top w:val="single" w:sz="18" w:space="0" w:color="auto"/>
              <w:bottom w:val="single" w:sz="12" w:space="0" w:color="auto"/>
            </w:tcBorders>
            <w:shd w:val="clear" w:color="auto" w:fill="FFC000"/>
          </w:tcPr>
          <w:p w14:paraId="0AB6B8DB" w14:textId="77777777" w:rsidR="009A7DB9" w:rsidRDefault="009A7DB9" w:rsidP="00542759">
            <w:pPr>
              <w:jc w:val="center"/>
              <w:rPr>
                <w:b/>
              </w:rPr>
            </w:pPr>
            <w:r w:rsidRPr="005258C3">
              <w:rPr>
                <w:b/>
              </w:rPr>
              <w:t xml:space="preserve">Název </w:t>
            </w:r>
            <w:r>
              <w:rPr>
                <w:b/>
              </w:rPr>
              <w:br/>
            </w:r>
            <w:r w:rsidRPr="005258C3">
              <w:rPr>
                <w:b/>
              </w:rPr>
              <w:t>katastrálního území</w:t>
            </w:r>
          </w:p>
        </w:tc>
        <w:tc>
          <w:tcPr>
            <w:tcW w:w="2268" w:type="dxa"/>
            <w:tcBorders>
              <w:top w:val="single" w:sz="18" w:space="0" w:color="auto"/>
              <w:bottom w:val="single" w:sz="12" w:space="0" w:color="auto"/>
              <w:right w:val="single" w:sz="12" w:space="0" w:color="auto"/>
            </w:tcBorders>
            <w:shd w:val="clear" w:color="auto" w:fill="FFC000"/>
            <w:vAlign w:val="center"/>
          </w:tcPr>
          <w:p w14:paraId="1EDE58D7" w14:textId="77777777" w:rsidR="009A7DB9" w:rsidRPr="005258C3" w:rsidRDefault="009A7DB9" w:rsidP="00542759">
            <w:pPr>
              <w:jc w:val="center"/>
              <w:rPr>
                <w:b/>
              </w:rPr>
            </w:pPr>
            <w:r>
              <w:rPr>
                <w:b/>
              </w:rPr>
              <w:t>Část obce</w:t>
            </w:r>
          </w:p>
        </w:tc>
        <w:tc>
          <w:tcPr>
            <w:tcW w:w="2268" w:type="dxa"/>
            <w:tcBorders>
              <w:top w:val="single" w:sz="18" w:space="0" w:color="auto"/>
              <w:left w:val="single" w:sz="12" w:space="0" w:color="auto"/>
              <w:bottom w:val="single" w:sz="12" w:space="0" w:color="auto"/>
            </w:tcBorders>
            <w:shd w:val="clear" w:color="auto" w:fill="FFC000"/>
            <w:vAlign w:val="center"/>
          </w:tcPr>
          <w:p w14:paraId="5302FB2F" w14:textId="77777777" w:rsidR="009A7DB9" w:rsidRPr="005258C3" w:rsidRDefault="009A7DB9" w:rsidP="00542759">
            <w:pPr>
              <w:jc w:val="center"/>
              <w:rPr>
                <w:b/>
              </w:rPr>
            </w:pPr>
            <w:r w:rsidRPr="005258C3">
              <w:rPr>
                <w:b/>
              </w:rPr>
              <w:t xml:space="preserve">Název základní </w:t>
            </w:r>
            <w:r>
              <w:rPr>
                <w:b/>
              </w:rPr>
              <w:br/>
            </w:r>
            <w:r w:rsidRPr="005258C3">
              <w:rPr>
                <w:b/>
              </w:rPr>
              <w:t>sídelní jednotky</w:t>
            </w:r>
          </w:p>
        </w:tc>
      </w:tr>
      <w:tr w:rsidR="009861D5" w14:paraId="0AF5C287" w14:textId="77777777" w:rsidTr="009861D5">
        <w:trPr>
          <w:trHeight w:val="1145"/>
          <w:jc w:val="center"/>
        </w:trPr>
        <w:tc>
          <w:tcPr>
            <w:tcW w:w="1396" w:type="dxa"/>
            <w:vMerge w:val="restart"/>
            <w:tcBorders>
              <w:top w:val="single" w:sz="12" w:space="0" w:color="auto"/>
              <w:right w:val="single" w:sz="12" w:space="0" w:color="auto"/>
            </w:tcBorders>
            <w:shd w:val="clear" w:color="auto" w:fill="F2F2F2" w:themeFill="background1" w:themeFillShade="F2"/>
            <w:vAlign w:val="center"/>
          </w:tcPr>
          <w:p w14:paraId="0AED896D" w14:textId="0FF98CC5" w:rsidR="009861D5" w:rsidRDefault="009861D5" w:rsidP="00542759">
            <w:pPr>
              <w:jc w:val="center"/>
            </w:pPr>
            <w:r>
              <w:t>Staré Buky</w:t>
            </w:r>
          </w:p>
        </w:tc>
        <w:tc>
          <w:tcPr>
            <w:tcW w:w="2268" w:type="dxa"/>
            <w:tcBorders>
              <w:top w:val="single" w:sz="12" w:space="0" w:color="auto"/>
            </w:tcBorders>
            <w:shd w:val="clear" w:color="auto" w:fill="F2F2F2" w:themeFill="background1" w:themeFillShade="F2"/>
            <w:vAlign w:val="center"/>
          </w:tcPr>
          <w:p w14:paraId="55BDC561" w14:textId="79915709" w:rsidR="009861D5" w:rsidRDefault="009861D5" w:rsidP="00542759">
            <w:pPr>
              <w:jc w:val="center"/>
            </w:pPr>
            <w:r>
              <w:t>Dolní Staré Buky</w:t>
            </w:r>
          </w:p>
        </w:tc>
        <w:tc>
          <w:tcPr>
            <w:tcW w:w="2268" w:type="dxa"/>
            <w:tcBorders>
              <w:top w:val="single" w:sz="12" w:space="0" w:color="auto"/>
              <w:right w:val="single" w:sz="12" w:space="0" w:color="auto"/>
            </w:tcBorders>
            <w:shd w:val="clear" w:color="auto" w:fill="F2F2F2" w:themeFill="background1" w:themeFillShade="F2"/>
            <w:vAlign w:val="center"/>
          </w:tcPr>
          <w:p w14:paraId="6C4A0F93" w14:textId="4824A4B5" w:rsidR="009861D5" w:rsidRDefault="009861D5" w:rsidP="00542759">
            <w:pPr>
              <w:jc w:val="center"/>
            </w:pPr>
            <w:r>
              <w:t>Dolní Staré Buky</w:t>
            </w:r>
          </w:p>
        </w:tc>
        <w:tc>
          <w:tcPr>
            <w:tcW w:w="2268" w:type="dxa"/>
            <w:tcBorders>
              <w:top w:val="single" w:sz="12" w:space="0" w:color="auto"/>
              <w:left w:val="single" w:sz="12" w:space="0" w:color="auto"/>
            </w:tcBorders>
            <w:shd w:val="clear" w:color="auto" w:fill="F2F2F2" w:themeFill="background1" w:themeFillShade="F2"/>
            <w:vAlign w:val="center"/>
          </w:tcPr>
          <w:p w14:paraId="70446579" w14:textId="00D3FB31" w:rsidR="009861D5" w:rsidRDefault="009861D5" w:rsidP="00542759">
            <w:pPr>
              <w:jc w:val="center"/>
            </w:pPr>
            <w:r>
              <w:t>Dolní Staré Buky</w:t>
            </w:r>
          </w:p>
        </w:tc>
      </w:tr>
      <w:tr w:rsidR="009861D5" w14:paraId="1CC92769" w14:textId="77777777" w:rsidTr="009861D5">
        <w:trPr>
          <w:trHeight w:val="87"/>
          <w:jc w:val="center"/>
        </w:trPr>
        <w:tc>
          <w:tcPr>
            <w:tcW w:w="1396" w:type="dxa"/>
            <w:vMerge/>
            <w:tcBorders>
              <w:right w:val="single" w:sz="12" w:space="0" w:color="auto"/>
            </w:tcBorders>
            <w:shd w:val="clear" w:color="auto" w:fill="F2F2F2" w:themeFill="background1" w:themeFillShade="F2"/>
            <w:vAlign w:val="center"/>
          </w:tcPr>
          <w:p w14:paraId="1C3D7F2C" w14:textId="77777777" w:rsidR="009861D5" w:rsidRDefault="009861D5" w:rsidP="00542759">
            <w:pPr>
              <w:jc w:val="center"/>
            </w:pPr>
          </w:p>
        </w:tc>
        <w:tc>
          <w:tcPr>
            <w:tcW w:w="2268" w:type="dxa"/>
            <w:vMerge w:val="restart"/>
            <w:shd w:val="clear" w:color="auto" w:fill="F2F2F2" w:themeFill="background1" w:themeFillShade="F2"/>
            <w:vAlign w:val="center"/>
          </w:tcPr>
          <w:p w14:paraId="7E44817D" w14:textId="7BAC03FF" w:rsidR="009861D5" w:rsidRDefault="009861D5" w:rsidP="00542759">
            <w:pPr>
              <w:jc w:val="center"/>
            </w:pPr>
            <w:r>
              <w:t>Horní Staré Buky</w:t>
            </w:r>
          </w:p>
        </w:tc>
        <w:tc>
          <w:tcPr>
            <w:tcW w:w="2268" w:type="dxa"/>
            <w:vMerge w:val="restart"/>
            <w:tcBorders>
              <w:top w:val="single" w:sz="8" w:space="0" w:color="auto"/>
              <w:right w:val="single" w:sz="12" w:space="0" w:color="auto"/>
            </w:tcBorders>
            <w:shd w:val="clear" w:color="auto" w:fill="F2F2F2" w:themeFill="background1" w:themeFillShade="F2"/>
            <w:vAlign w:val="center"/>
          </w:tcPr>
          <w:p w14:paraId="252895B1" w14:textId="6B211752" w:rsidR="009861D5" w:rsidRDefault="009861D5" w:rsidP="00542759">
            <w:pPr>
              <w:jc w:val="center"/>
            </w:pPr>
            <w:r>
              <w:t>Horní Staré Buky</w:t>
            </w:r>
          </w:p>
        </w:tc>
        <w:tc>
          <w:tcPr>
            <w:tcW w:w="2268" w:type="dxa"/>
            <w:tcBorders>
              <w:left w:val="single" w:sz="12" w:space="0" w:color="auto"/>
            </w:tcBorders>
            <w:shd w:val="clear" w:color="auto" w:fill="F2F2F2" w:themeFill="background1" w:themeFillShade="F2"/>
            <w:vAlign w:val="center"/>
          </w:tcPr>
          <w:p w14:paraId="210375C1" w14:textId="305686DB" w:rsidR="009861D5" w:rsidRDefault="009861D5" w:rsidP="00542759">
            <w:pPr>
              <w:jc w:val="center"/>
            </w:pPr>
            <w:r>
              <w:t>Dolníky</w:t>
            </w:r>
          </w:p>
        </w:tc>
      </w:tr>
      <w:tr w:rsidR="009861D5" w14:paraId="7179CD48" w14:textId="77777777" w:rsidTr="009861D5">
        <w:trPr>
          <w:trHeight w:val="48"/>
          <w:jc w:val="center"/>
        </w:trPr>
        <w:tc>
          <w:tcPr>
            <w:tcW w:w="1396" w:type="dxa"/>
            <w:vMerge/>
            <w:tcBorders>
              <w:right w:val="single" w:sz="12" w:space="0" w:color="auto"/>
            </w:tcBorders>
            <w:shd w:val="clear" w:color="auto" w:fill="F2F2F2" w:themeFill="background1" w:themeFillShade="F2"/>
            <w:vAlign w:val="center"/>
          </w:tcPr>
          <w:p w14:paraId="6BF9A6C2" w14:textId="77777777" w:rsidR="009861D5" w:rsidRDefault="009861D5" w:rsidP="00542759">
            <w:pPr>
              <w:jc w:val="center"/>
            </w:pPr>
          </w:p>
        </w:tc>
        <w:tc>
          <w:tcPr>
            <w:tcW w:w="2268" w:type="dxa"/>
            <w:vMerge/>
            <w:shd w:val="clear" w:color="auto" w:fill="F2F2F2" w:themeFill="background1" w:themeFillShade="F2"/>
            <w:vAlign w:val="center"/>
          </w:tcPr>
          <w:p w14:paraId="637F427B" w14:textId="77777777" w:rsidR="009861D5" w:rsidRDefault="009861D5" w:rsidP="00542759">
            <w:pPr>
              <w:jc w:val="center"/>
            </w:pPr>
          </w:p>
        </w:tc>
        <w:tc>
          <w:tcPr>
            <w:tcW w:w="2268" w:type="dxa"/>
            <w:vMerge/>
            <w:tcBorders>
              <w:bottom w:val="single" w:sz="8" w:space="0" w:color="auto"/>
              <w:right w:val="single" w:sz="12" w:space="0" w:color="auto"/>
            </w:tcBorders>
            <w:shd w:val="clear" w:color="auto" w:fill="F2F2F2" w:themeFill="background1" w:themeFillShade="F2"/>
            <w:vAlign w:val="center"/>
          </w:tcPr>
          <w:p w14:paraId="24265901" w14:textId="1CB1C6B7" w:rsidR="009861D5" w:rsidRDefault="009861D5" w:rsidP="00542759">
            <w:pPr>
              <w:jc w:val="center"/>
            </w:pPr>
          </w:p>
        </w:tc>
        <w:tc>
          <w:tcPr>
            <w:tcW w:w="2268" w:type="dxa"/>
            <w:tcBorders>
              <w:left w:val="single" w:sz="12" w:space="0" w:color="auto"/>
            </w:tcBorders>
            <w:shd w:val="clear" w:color="auto" w:fill="F2F2F2" w:themeFill="background1" w:themeFillShade="F2"/>
            <w:vAlign w:val="center"/>
          </w:tcPr>
          <w:p w14:paraId="6E31398D" w14:textId="54FDFCBF" w:rsidR="009861D5" w:rsidRDefault="009861D5" w:rsidP="00542759">
            <w:pPr>
              <w:jc w:val="center"/>
            </w:pPr>
            <w:r>
              <w:t>Horní Staré Buky</w:t>
            </w:r>
          </w:p>
        </w:tc>
      </w:tr>
      <w:tr w:rsidR="009861D5" w14:paraId="58E6C8F9" w14:textId="77777777" w:rsidTr="009861D5">
        <w:trPr>
          <w:trHeight w:val="48"/>
          <w:jc w:val="center"/>
        </w:trPr>
        <w:tc>
          <w:tcPr>
            <w:tcW w:w="1396" w:type="dxa"/>
            <w:vMerge/>
            <w:tcBorders>
              <w:right w:val="single" w:sz="12" w:space="0" w:color="auto"/>
            </w:tcBorders>
            <w:shd w:val="clear" w:color="auto" w:fill="F2F2F2" w:themeFill="background1" w:themeFillShade="F2"/>
            <w:vAlign w:val="center"/>
          </w:tcPr>
          <w:p w14:paraId="68C5351F" w14:textId="77777777" w:rsidR="009861D5" w:rsidRDefault="009861D5" w:rsidP="00542759">
            <w:pPr>
              <w:jc w:val="center"/>
            </w:pPr>
          </w:p>
        </w:tc>
        <w:tc>
          <w:tcPr>
            <w:tcW w:w="2268" w:type="dxa"/>
            <w:vMerge w:val="restart"/>
            <w:shd w:val="clear" w:color="auto" w:fill="F2F2F2" w:themeFill="background1" w:themeFillShade="F2"/>
            <w:vAlign w:val="center"/>
          </w:tcPr>
          <w:p w14:paraId="7093CABD" w14:textId="3AAAE8C9" w:rsidR="009861D5" w:rsidRDefault="009861D5" w:rsidP="00542759">
            <w:pPr>
              <w:jc w:val="center"/>
            </w:pPr>
            <w:r>
              <w:t>Prostřední Staré Buky</w:t>
            </w:r>
          </w:p>
        </w:tc>
        <w:tc>
          <w:tcPr>
            <w:tcW w:w="2268" w:type="dxa"/>
            <w:vMerge w:val="restart"/>
            <w:tcBorders>
              <w:top w:val="single" w:sz="8" w:space="0" w:color="auto"/>
              <w:right w:val="single" w:sz="12" w:space="0" w:color="auto"/>
            </w:tcBorders>
            <w:shd w:val="clear" w:color="auto" w:fill="F2F2F2" w:themeFill="background1" w:themeFillShade="F2"/>
            <w:vAlign w:val="center"/>
          </w:tcPr>
          <w:p w14:paraId="70D5A4C0" w14:textId="5AC2F6FD" w:rsidR="009861D5" w:rsidRDefault="009861D5" w:rsidP="00542759">
            <w:pPr>
              <w:jc w:val="center"/>
            </w:pPr>
            <w:r>
              <w:t>Prostřední Staré Buky</w:t>
            </w:r>
          </w:p>
        </w:tc>
        <w:tc>
          <w:tcPr>
            <w:tcW w:w="2268" w:type="dxa"/>
            <w:tcBorders>
              <w:left w:val="single" w:sz="12" w:space="0" w:color="auto"/>
            </w:tcBorders>
            <w:shd w:val="clear" w:color="auto" w:fill="F2F2F2" w:themeFill="background1" w:themeFillShade="F2"/>
            <w:vAlign w:val="center"/>
          </w:tcPr>
          <w:p w14:paraId="4F1E4FC3" w14:textId="0449E1D0" w:rsidR="009861D5" w:rsidRPr="009861D5" w:rsidRDefault="009861D5" w:rsidP="00542759">
            <w:pPr>
              <w:jc w:val="center"/>
              <w:rPr>
                <w:rFonts w:cstheme="minorHAnsi"/>
              </w:rPr>
            </w:pPr>
            <w:r w:rsidRPr="009861D5">
              <w:rPr>
                <w:rFonts w:cstheme="minorHAnsi"/>
                <w:color w:val="000000"/>
                <w:shd w:val="clear" w:color="auto" w:fill="F1F2EB"/>
              </w:rPr>
              <w:t>Dolníky-západ</w:t>
            </w:r>
          </w:p>
        </w:tc>
      </w:tr>
      <w:tr w:rsidR="009861D5" w14:paraId="20043EFA" w14:textId="77777777" w:rsidTr="009861D5">
        <w:trPr>
          <w:trHeight w:val="87"/>
          <w:jc w:val="center"/>
        </w:trPr>
        <w:tc>
          <w:tcPr>
            <w:tcW w:w="1396" w:type="dxa"/>
            <w:vMerge/>
            <w:tcBorders>
              <w:right w:val="single" w:sz="12" w:space="0" w:color="auto"/>
            </w:tcBorders>
            <w:shd w:val="clear" w:color="auto" w:fill="F2F2F2" w:themeFill="background1" w:themeFillShade="F2"/>
            <w:vAlign w:val="center"/>
          </w:tcPr>
          <w:p w14:paraId="28B8F032" w14:textId="77777777" w:rsidR="009861D5" w:rsidRDefault="009861D5" w:rsidP="00542759">
            <w:pPr>
              <w:jc w:val="center"/>
            </w:pPr>
          </w:p>
        </w:tc>
        <w:tc>
          <w:tcPr>
            <w:tcW w:w="2268" w:type="dxa"/>
            <w:vMerge/>
            <w:shd w:val="clear" w:color="auto" w:fill="F2F2F2" w:themeFill="background1" w:themeFillShade="F2"/>
            <w:vAlign w:val="center"/>
          </w:tcPr>
          <w:p w14:paraId="59E36BAE" w14:textId="29EEEEC4" w:rsidR="009861D5" w:rsidRDefault="009861D5" w:rsidP="00542759">
            <w:pPr>
              <w:jc w:val="center"/>
            </w:pPr>
          </w:p>
        </w:tc>
        <w:tc>
          <w:tcPr>
            <w:tcW w:w="2268" w:type="dxa"/>
            <w:vMerge/>
            <w:tcBorders>
              <w:bottom w:val="single" w:sz="18" w:space="0" w:color="auto"/>
              <w:right w:val="single" w:sz="12" w:space="0" w:color="auto"/>
            </w:tcBorders>
            <w:shd w:val="clear" w:color="auto" w:fill="F2F2F2" w:themeFill="background1" w:themeFillShade="F2"/>
            <w:vAlign w:val="center"/>
          </w:tcPr>
          <w:p w14:paraId="04A6D0ED" w14:textId="556F6B7B" w:rsidR="009861D5" w:rsidRDefault="009861D5" w:rsidP="00542759">
            <w:pPr>
              <w:jc w:val="center"/>
            </w:pPr>
          </w:p>
        </w:tc>
        <w:tc>
          <w:tcPr>
            <w:tcW w:w="2268" w:type="dxa"/>
            <w:tcBorders>
              <w:left w:val="single" w:sz="12" w:space="0" w:color="auto"/>
            </w:tcBorders>
            <w:shd w:val="clear" w:color="auto" w:fill="F2F2F2" w:themeFill="background1" w:themeFillShade="F2"/>
            <w:vAlign w:val="center"/>
          </w:tcPr>
          <w:p w14:paraId="0EA9B7FE" w14:textId="7D47548A" w:rsidR="009861D5" w:rsidRDefault="009861D5" w:rsidP="00542759">
            <w:pPr>
              <w:jc w:val="center"/>
            </w:pPr>
            <w:r>
              <w:t>Prostřední Staré Buky</w:t>
            </w:r>
          </w:p>
        </w:tc>
      </w:tr>
    </w:tbl>
    <w:p w14:paraId="73010E48" w14:textId="5DF0BD08" w:rsidR="009A7DB9" w:rsidRPr="00852124" w:rsidRDefault="009A7DB9" w:rsidP="0039274C">
      <w:pPr>
        <w:spacing w:after="160" w:line="259" w:lineRule="auto"/>
        <w:jc w:val="both"/>
        <w:rPr>
          <w:sz w:val="20"/>
          <w:szCs w:val="20"/>
        </w:rPr>
      </w:pPr>
      <w:r w:rsidRPr="001757EF">
        <w:rPr>
          <w:b/>
          <w:sz w:val="20"/>
          <w:szCs w:val="20"/>
        </w:rPr>
        <w:t>Zdroj:</w:t>
      </w:r>
      <w:r w:rsidRPr="001757EF">
        <w:rPr>
          <w:sz w:val="20"/>
          <w:szCs w:val="20"/>
        </w:rPr>
        <w:t xml:space="preserve"> </w:t>
      </w:r>
      <w:bookmarkStart w:id="43" w:name="_Hlk32353839"/>
      <w:r>
        <w:rPr>
          <w:sz w:val="20"/>
          <w:szCs w:val="20"/>
        </w:rPr>
        <w:t xml:space="preserve">Internetové stránky </w:t>
      </w:r>
      <w:r w:rsidRPr="001757EF">
        <w:rPr>
          <w:sz w:val="20"/>
          <w:szCs w:val="20"/>
        </w:rPr>
        <w:t>Ú</w:t>
      </w:r>
      <w:r>
        <w:rPr>
          <w:sz w:val="20"/>
          <w:szCs w:val="20"/>
        </w:rPr>
        <w:t xml:space="preserve">zemně identifikačního registru České republiky (ČR) </w:t>
      </w:r>
      <w:hyperlink r:id="rId20" w:history="1">
        <w:r w:rsidRPr="001757EF">
          <w:rPr>
            <w:rStyle w:val="Hypertextovodkaz"/>
            <w:sz w:val="20"/>
            <w:szCs w:val="20"/>
          </w:rPr>
          <w:t>http://www.uir.cz/</w:t>
        </w:r>
      </w:hyperlink>
      <w:bookmarkEnd w:id="43"/>
    </w:p>
    <w:p w14:paraId="375B23EB" w14:textId="77777777" w:rsidR="00081F13" w:rsidRDefault="00081F13" w:rsidP="008147E6">
      <w:pPr>
        <w:spacing w:after="160" w:line="259" w:lineRule="auto"/>
        <w:jc w:val="both"/>
      </w:pPr>
    </w:p>
    <w:p w14:paraId="3E7DC750" w14:textId="431740A1" w:rsidR="008147E6" w:rsidRDefault="008147E6" w:rsidP="008147E6">
      <w:pPr>
        <w:spacing w:after="160" w:line="259" w:lineRule="auto"/>
        <w:jc w:val="both"/>
      </w:pPr>
      <w:r w:rsidRPr="00F02F33">
        <w:t>Z pohledu pro obec</w:t>
      </w:r>
      <w:r>
        <w:t xml:space="preserve"> významných spádových sídel </w:t>
      </w:r>
      <w:r w:rsidR="008356FA">
        <w:t>je</w:t>
      </w:r>
      <w:r>
        <w:t xml:space="preserve"> </w:t>
      </w:r>
      <w:r w:rsidRPr="004B71B8">
        <w:t>ne</w:t>
      </w:r>
      <w:r w:rsidR="00B61650" w:rsidRPr="004B71B8">
        <w:t>j</w:t>
      </w:r>
      <w:r w:rsidRPr="004B71B8">
        <w:t>blíže</w:t>
      </w:r>
      <w:r w:rsidR="00052124">
        <w:t xml:space="preserve"> </w:t>
      </w:r>
      <w:r w:rsidR="008356FA">
        <w:t>Trutnov</w:t>
      </w:r>
      <w:r w:rsidR="001D26CA">
        <w:t xml:space="preserve"> (</w:t>
      </w:r>
      <w:r w:rsidR="008356FA">
        <w:t>8</w:t>
      </w:r>
      <w:r w:rsidR="001D26CA">
        <w:t xml:space="preserve"> km)</w:t>
      </w:r>
      <w:r w:rsidR="007120ED">
        <w:t xml:space="preserve">. </w:t>
      </w:r>
      <w:r>
        <w:t xml:space="preserve">Krajské město Hradec Králové je od obce </w:t>
      </w:r>
      <w:r w:rsidRPr="00445513">
        <w:t xml:space="preserve">vzdáleno </w:t>
      </w:r>
      <w:r w:rsidR="00672AD1">
        <w:t>4</w:t>
      </w:r>
      <w:r w:rsidR="00557FE6">
        <w:t>9</w:t>
      </w:r>
      <w:r w:rsidR="00445513" w:rsidRPr="00445513">
        <w:t xml:space="preserve"> </w:t>
      </w:r>
      <w:r w:rsidRPr="00445513">
        <w:t>km</w:t>
      </w:r>
      <w:r w:rsidR="00773E19">
        <w:rPr>
          <w:rStyle w:val="Znakapoznpodarou"/>
        </w:rPr>
        <w:footnoteReference w:id="6"/>
      </w:r>
      <w:r>
        <w:t>.</w:t>
      </w:r>
    </w:p>
    <w:p w14:paraId="7A5412D6" w14:textId="636EACDD" w:rsidR="007A1BB5" w:rsidRDefault="007A1BB5" w:rsidP="007A1BB5">
      <w:pPr>
        <w:spacing w:after="160" w:line="259" w:lineRule="auto"/>
        <w:jc w:val="both"/>
      </w:pPr>
      <w:r>
        <w:t xml:space="preserve">Znak </w:t>
      </w:r>
      <w:r w:rsidRPr="00C54AC6">
        <w:t xml:space="preserve">obce (obrázek 2) představuje </w:t>
      </w:r>
      <w:r w:rsidR="007E71AB">
        <w:t>v</w:t>
      </w:r>
      <w:r w:rsidR="007E71AB" w:rsidRPr="007E71AB">
        <w:t>e stříbrném štítě pod zvýšeným červeným břevnem zelený vykořeněný buk s černým kmenem, v koruně zlatá lilie</w:t>
      </w:r>
      <w:r w:rsidRPr="00C54AC6">
        <w:t xml:space="preserve">. Vlajku obce tvoří </w:t>
      </w:r>
      <w:r w:rsidR="009915A1">
        <w:t>t</w:t>
      </w:r>
      <w:r w:rsidR="009915A1" w:rsidRPr="009915A1">
        <w:t>ři vodorovné pruhy, bílý, červený a bílý, v poměru 1:1:6. V žerďové polovině horního bílého pruhu zelený listnatý strom s černým vykořeněným kmenem, v koruně žlutá lilie. Poměr šířky k délce listu je 2:3</w:t>
      </w:r>
      <w:r w:rsidR="008B2411">
        <w:rPr>
          <w:rStyle w:val="Znakapoznpodarou"/>
        </w:rPr>
        <w:footnoteReference w:id="7"/>
      </w:r>
      <w:r w:rsidRPr="00C54AC6">
        <w:t>.</w:t>
      </w:r>
    </w:p>
    <w:p w14:paraId="0663A697" w14:textId="51FE26BD" w:rsidR="002C07EB" w:rsidRDefault="002C07EB" w:rsidP="007A1BB5">
      <w:pPr>
        <w:spacing w:after="160" w:line="259" w:lineRule="auto"/>
        <w:jc w:val="both"/>
      </w:pPr>
      <w:r>
        <w:br w:type="page"/>
      </w:r>
    </w:p>
    <w:p w14:paraId="37FA924C" w14:textId="65FF1073" w:rsidR="007A1BB5" w:rsidRPr="008F7FA7" w:rsidRDefault="007A1BB5" w:rsidP="007A1BB5">
      <w:pPr>
        <w:pStyle w:val="OBRZEK0"/>
      </w:pPr>
      <w:bookmarkStart w:id="45" w:name="_Toc441222009"/>
      <w:bookmarkStart w:id="46" w:name="_Toc32578388"/>
      <w:bookmarkStart w:id="47" w:name="_Toc104473123"/>
      <w:bookmarkStart w:id="48" w:name="_Toc120652021"/>
      <w:r w:rsidRPr="008F7FA7">
        <w:lastRenderedPageBreak/>
        <w:t>Obrázek 2: Znak a vlajka ob</w:t>
      </w:r>
      <w:r w:rsidRPr="001D0E4D">
        <w:t xml:space="preserve">ce </w:t>
      </w:r>
      <w:bookmarkEnd w:id="45"/>
      <w:bookmarkEnd w:id="46"/>
      <w:r w:rsidR="00126DDD">
        <w:t>Staré Buky</w:t>
      </w:r>
      <w:bookmarkEnd w:id="47"/>
      <w:bookmarkEnd w:id="48"/>
    </w:p>
    <w:p w14:paraId="22CB443B" w14:textId="62FE7147" w:rsidR="007A1BB5" w:rsidRDefault="002C07EB" w:rsidP="007A1BB5">
      <w:pPr>
        <w:spacing w:line="360" w:lineRule="auto"/>
        <w:jc w:val="center"/>
      </w:pPr>
      <w:r>
        <w:rPr>
          <w:noProof/>
        </w:rPr>
        <w:drawing>
          <wp:inline distT="0" distB="0" distL="0" distR="0" wp14:anchorId="73126A09" wp14:editId="7BA67886">
            <wp:extent cx="1173480" cy="1282492"/>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9">
                      <a:extLst>
                        <a:ext uri="{28A0092B-C50C-407E-A947-70E740481C1C}">
                          <a14:useLocalDpi xmlns:a14="http://schemas.microsoft.com/office/drawing/2010/main" val="0"/>
                        </a:ext>
                      </a:extLst>
                    </a:blip>
                    <a:stretch>
                      <a:fillRect/>
                    </a:stretch>
                  </pic:blipFill>
                  <pic:spPr>
                    <a:xfrm>
                      <a:off x="0" y="0"/>
                      <a:ext cx="1176635" cy="1285940"/>
                    </a:xfrm>
                    <a:prstGeom prst="rect">
                      <a:avLst/>
                    </a:prstGeom>
                  </pic:spPr>
                </pic:pic>
              </a:graphicData>
            </a:graphic>
          </wp:inline>
        </w:drawing>
      </w:r>
      <w:r w:rsidR="007A1BB5">
        <w:t xml:space="preserve"> </w:t>
      </w:r>
      <w:r w:rsidR="005D1F82">
        <w:tab/>
      </w:r>
      <w:r w:rsidR="005D1F82">
        <w:tab/>
      </w:r>
      <w:r w:rsidR="005D1F82">
        <w:tab/>
      </w:r>
      <w:r w:rsidR="007A1BB5">
        <w:t xml:space="preserve">                        </w:t>
      </w:r>
      <w:r>
        <w:rPr>
          <w:noProof/>
        </w:rPr>
        <w:drawing>
          <wp:inline distT="0" distB="0" distL="0" distR="0" wp14:anchorId="564CA4C8" wp14:editId="48343B1B">
            <wp:extent cx="1836420" cy="1221219"/>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21">
                      <a:extLst>
                        <a:ext uri="{28A0092B-C50C-407E-A947-70E740481C1C}">
                          <a14:useLocalDpi xmlns:a14="http://schemas.microsoft.com/office/drawing/2010/main" val="0"/>
                        </a:ext>
                      </a:extLst>
                    </a:blip>
                    <a:stretch>
                      <a:fillRect/>
                    </a:stretch>
                  </pic:blipFill>
                  <pic:spPr>
                    <a:xfrm>
                      <a:off x="0" y="0"/>
                      <a:ext cx="1837396" cy="1221868"/>
                    </a:xfrm>
                    <a:prstGeom prst="rect">
                      <a:avLst/>
                    </a:prstGeom>
                  </pic:spPr>
                </pic:pic>
              </a:graphicData>
            </a:graphic>
          </wp:inline>
        </w:drawing>
      </w:r>
      <w:r w:rsidR="007A1BB5">
        <w:t xml:space="preserve">            </w:t>
      </w:r>
    </w:p>
    <w:p w14:paraId="6B053E02" w14:textId="274E5C86" w:rsidR="0046203E" w:rsidRPr="00A4362E" w:rsidRDefault="007A1BB5" w:rsidP="007A1BB5">
      <w:pPr>
        <w:spacing w:line="360" w:lineRule="auto"/>
        <w:jc w:val="both"/>
        <w:rPr>
          <w:rStyle w:val="Hypertextovodkaz"/>
          <w:rFonts w:cstheme="minorHAnsi"/>
          <w:sz w:val="20"/>
          <w:szCs w:val="20"/>
        </w:rPr>
      </w:pPr>
      <w:r w:rsidRPr="00A4362E">
        <w:rPr>
          <w:rFonts w:cstheme="minorHAnsi"/>
          <w:b/>
          <w:sz w:val="20"/>
          <w:szCs w:val="20"/>
        </w:rPr>
        <w:t>Zdroj:</w:t>
      </w:r>
      <w:r w:rsidRPr="00A4362E">
        <w:rPr>
          <w:rFonts w:cstheme="minorHAnsi"/>
          <w:sz w:val="20"/>
          <w:szCs w:val="20"/>
        </w:rPr>
        <w:t xml:space="preserve"> </w:t>
      </w:r>
      <w:r w:rsidR="00A4362E" w:rsidRPr="00A4362E">
        <w:rPr>
          <w:sz w:val="20"/>
          <w:szCs w:val="20"/>
        </w:rPr>
        <w:t xml:space="preserve">Registr komunálních symbolů </w:t>
      </w:r>
      <w:hyperlink r:id="rId22" w:history="1">
        <w:r w:rsidR="00A4362E" w:rsidRPr="00A4362E">
          <w:rPr>
            <w:rStyle w:val="Hypertextovodkaz"/>
            <w:sz w:val="20"/>
            <w:szCs w:val="20"/>
          </w:rPr>
          <w:t>https://rekos.psp.cz/</w:t>
        </w:r>
      </w:hyperlink>
    </w:p>
    <w:p w14:paraId="4328C3DE" w14:textId="16CC60F0" w:rsidR="00D62936" w:rsidRDefault="00D62936" w:rsidP="007A1BB5">
      <w:pPr>
        <w:spacing w:line="360" w:lineRule="auto"/>
        <w:jc w:val="both"/>
      </w:pPr>
    </w:p>
    <w:p w14:paraId="0DEF0048" w14:textId="77777777" w:rsidR="008147E6" w:rsidRPr="005B4E8A" w:rsidRDefault="008147E6" w:rsidP="00814D5A">
      <w:pPr>
        <w:pStyle w:val="Nadpis4"/>
      </w:pPr>
      <w:bookmarkStart w:id="49" w:name="_Toc413418357"/>
      <w:bookmarkStart w:id="50" w:name="_Toc440566336"/>
      <w:bookmarkStart w:id="51" w:name="_Toc441227488"/>
      <w:bookmarkStart w:id="52" w:name="_Toc32580108"/>
      <w:bookmarkStart w:id="53" w:name="_Toc120652133"/>
      <w:r>
        <w:t xml:space="preserve">2.1.1.3 </w:t>
      </w:r>
      <w:r w:rsidRPr="005B4E8A">
        <w:t>Ráz krajiny a přírodní prostředí</w:t>
      </w:r>
      <w:bookmarkEnd w:id="49"/>
      <w:bookmarkEnd w:id="50"/>
      <w:bookmarkEnd w:id="51"/>
      <w:bookmarkEnd w:id="52"/>
      <w:bookmarkEnd w:id="53"/>
    </w:p>
    <w:p w14:paraId="24EA7B76" w14:textId="2D5E1960" w:rsidR="008F7EC6" w:rsidRPr="006422B5" w:rsidRDefault="008F7EC6" w:rsidP="008F7EC6">
      <w:pPr>
        <w:spacing w:after="160" w:line="259" w:lineRule="auto"/>
        <w:rPr>
          <w:rFonts w:ascii="Calibri" w:eastAsia="RWXLTG+TimesNewRoman" w:hAnsi="Calibri" w:cs="RWXLTG+TimesNewRoman"/>
        </w:rPr>
      </w:pPr>
      <w:r w:rsidRPr="00C873E4">
        <w:rPr>
          <w:rFonts w:ascii="Calibri" w:eastAsia="RWXLTG+TimesNewRoman" w:hAnsi="Calibri" w:cs="RWXLTG+TimesNewRoman"/>
        </w:rPr>
        <w:t xml:space="preserve">Zařazení obce </w:t>
      </w:r>
      <w:r w:rsidR="002C07EB">
        <w:rPr>
          <w:rFonts w:ascii="Calibri" w:eastAsia="RWXLTG+TimesNewRoman" w:hAnsi="Calibri" w:cs="RWXLTG+TimesNewRoman"/>
        </w:rPr>
        <w:t>Staré Buky</w:t>
      </w:r>
      <w:r w:rsidRPr="006422B5">
        <w:rPr>
          <w:rFonts w:ascii="Calibri" w:eastAsia="RWXLTG+TimesNewRoman" w:hAnsi="Calibri" w:cs="RWXLTG+TimesNewRoman"/>
        </w:rPr>
        <w:t xml:space="preserve"> z pohledu geomorfologického členění shrnuje následující schéma.</w:t>
      </w:r>
    </w:p>
    <w:p w14:paraId="528F2546" w14:textId="77777777" w:rsidR="008F7EC6" w:rsidRPr="006422B5" w:rsidRDefault="008F7EC6" w:rsidP="008F7EC6">
      <w:pPr>
        <w:spacing w:after="160" w:line="259" w:lineRule="auto"/>
        <w:rPr>
          <w:rFonts w:ascii="Calibri" w:eastAsia="RWXLTG+TimesNewRoman" w:hAnsi="Calibri" w:cs="RWXLTG+TimesNewRoman"/>
        </w:rPr>
      </w:pPr>
    </w:p>
    <w:p w14:paraId="5895CC3D" w14:textId="5809A289" w:rsidR="008F7EC6" w:rsidRPr="006422B5" w:rsidRDefault="008F7EC6" w:rsidP="006F72A2">
      <w:pPr>
        <w:pStyle w:val="SCHMA"/>
      </w:pPr>
      <w:bookmarkStart w:id="54" w:name="_Toc447231485"/>
      <w:bookmarkStart w:id="55" w:name="_Toc507022299"/>
      <w:bookmarkStart w:id="56" w:name="_Toc32578461"/>
      <w:bookmarkStart w:id="57" w:name="_Toc120652065"/>
      <w:r w:rsidRPr="006422B5">
        <w:t xml:space="preserve">Schéma 1: Zařazení obce </w:t>
      </w:r>
      <w:r w:rsidR="002C07EB">
        <w:t>Staré Buky</w:t>
      </w:r>
      <w:r w:rsidRPr="006422B5">
        <w:t xml:space="preserve"> z pohledu geomorfologického členění</w:t>
      </w:r>
      <w:bookmarkEnd w:id="54"/>
      <w:bookmarkEnd w:id="55"/>
      <w:bookmarkEnd w:id="56"/>
      <w:bookmarkEnd w:id="57"/>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1526"/>
        <w:gridCol w:w="4677"/>
      </w:tblGrid>
      <w:tr w:rsidR="007658C1" w:rsidRPr="006422B5" w14:paraId="113BA7B3" w14:textId="77777777" w:rsidTr="00082D60">
        <w:trPr>
          <w:jc w:val="center"/>
        </w:trPr>
        <w:tc>
          <w:tcPr>
            <w:tcW w:w="1526" w:type="dxa"/>
            <w:shd w:val="clear" w:color="auto" w:fill="D6E3BC" w:themeFill="accent3" w:themeFillTint="66"/>
            <w:vAlign w:val="center"/>
          </w:tcPr>
          <w:p w14:paraId="05C929E3" w14:textId="77777777" w:rsidR="007658C1" w:rsidRPr="006422B5" w:rsidRDefault="007658C1" w:rsidP="00FD0081">
            <w:pPr>
              <w:spacing w:before="60" w:after="60" w:line="259" w:lineRule="auto"/>
              <w:jc w:val="center"/>
              <w:rPr>
                <w:rFonts w:ascii="Calibri" w:eastAsia="Calibri" w:hAnsi="Calibri" w:cs="Times New Roman"/>
                <w:sz w:val="24"/>
                <w:szCs w:val="24"/>
              </w:rPr>
            </w:pPr>
            <w:r w:rsidRPr="006422B5">
              <w:rPr>
                <w:rFonts w:ascii="Calibri" w:eastAsia="Calibri" w:hAnsi="Calibri" w:cs="Times New Roman"/>
                <w:sz w:val="24"/>
                <w:szCs w:val="24"/>
              </w:rPr>
              <w:t>provincie</w:t>
            </w:r>
          </w:p>
        </w:tc>
        <w:tc>
          <w:tcPr>
            <w:tcW w:w="4677" w:type="dxa"/>
            <w:shd w:val="clear" w:color="auto" w:fill="D6E3BC" w:themeFill="accent3" w:themeFillTint="66"/>
            <w:vAlign w:val="center"/>
          </w:tcPr>
          <w:p w14:paraId="1158A842" w14:textId="77777777" w:rsidR="007658C1" w:rsidRPr="006422B5" w:rsidRDefault="007658C1" w:rsidP="00082D60">
            <w:pPr>
              <w:spacing w:before="60" w:after="60" w:line="259" w:lineRule="auto"/>
              <w:jc w:val="center"/>
              <w:rPr>
                <w:rFonts w:ascii="Calibri" w:eastAsia="Calibri" w:hAnsi="Calibri" w:cs="Times New Roman"/>
                <w:sz w:val="24"/>
                <w:szCs w:val="24"/>
              </w:rPr>
            </w:pPr>
            <w:r w:rsidRPr="006422B5">
              <w:rPr>
                <w:rFonts w:ascii="Calibri" w:eastAsia="Calibri" w:hAnsi="Calibri" w:cs="Times New Roman"/>
                <w:sz w:val="24"/>
                <w:szCs w:val="24"/>
              </w:rPr>
              <w:t>Česká Vysočina</w:t>
            </w:r>
          </w:p>
        </w:tc>
      </w:tr>
      <w:tr w:rsidR="00AC4C9F" w:rsidRPr="006422B5" w14:paraId="10C5B2FF" w14:textId="77777777" w:rsidTr="00082D60">
        <w:trPr>
          <w:jc w:val="center"/>
        </w:trPr>
        <w:tc>
          <w:tcPr>
            <w:tcW w:w="1526" w:type="dxa"/>
            <w:shd w:val="clear" w:color="auto" w:fill="B8CCE4" w:themeFill="accent1" w:themeFillTint="66"/>
            <w:vAlign w:val="center"/>
          </w:tcPr>
          <w:p w14:paraId="389D2896" w14:textId="77777777" w:rsidR="00AC4C9F" w:rsidRPr="006422B5" w:rsidRDefault="00AC4C9F" w:rsidP="00FD0081">
            <w:pPr>
              <w:spacing w:before="60" w:after="60" w:line="259" w:lineRule="auto"/>
              <w:jc w:val="center"/>
              <w:rPr>
                <w:rFonts w:ascii="Calibri" w:eastAsia="Calibri" w:hAnsi="Calibri" w:cs="Times New Roman"/>
                <w:sz w:val="24"/>
                <w:szCs w:val="24"/>
              </w:rPr>
            </w:pPr>
            <w:r w:rsidRPr="006422B5">
              <w:rPr>
                <w:rFonts w:ascii="Calibri" w:eastAsia="Calibri" w:hAnsi="Calibri" w:cs="Times New Roman"/>
                <w:sz w:val="24"/>
                <w:szCs w:val="24"/>
              </w:rPr>
              <w:t>subprovincie</w:t>
            </w:r>
          </w:p>
        </w:tc>
        <w:tc>
          <w:tcPr>
            <w:tcW w:w="4677" w:type="dxa"/>
            <w:shd w:val="clear" w:color="auto" w:fill="B8CCE4" w:themeFill="accent1" w:themeFillTint="66"/>
            <w:vAlign w:val="center"/>
          </w:tcPr>
          <w:p w14:paraId="08506F2C" w14:textId="63FA9C90" w:rsidR="00AC4C9F" w:rsidRDefault="00AC4C9F" w:rsidP="00082D60">
            <w:pPr>
              <w:spacing w:before="60" w:after="60" w:line="259" w:lineRule="auto"/>
              <w:jc w:val="center"/>
              <w:rPr>
                <w:rFonts w:ascii="Calibri" w:eastAsia="Calibri" w:hAnsi="Calibri" w:cs="Times New Roman"/>
                <w:sz w:val="24"/>
                <w:szCs w:val="24"/>
              </w:rPr>
            </w:pPr>
            <w:r>
              <w:rPr>
                <w:rFonts w:ascii="Calibri" w:eastAsia="Calibri" w:hAnsi="Calibri" w:cs="Times New Roman"/>
                <w:sz w:val="24"/>
                <w:szCs w:val="24"/>
              </w:rPr>
              <w:t>Krkonošsko-jesenická soustava</w:t>
            </w:r>
          </w:p>
        </w:tc>
      </w:tr>
      <w:tr w:rsidR="005D77D8" w:rsidRPr="006422B5" w14:paraId="3CEE1465" w14:textId="77777777" w:rsidTr="00082D60">
        <w:trPr>
          <w:jc w:val="center"/>
        </w:trPr>
        <w:tc>
          <w:tcPr>
            <w:tcW w:w="1526" w:type="dxa"/>
            <w:shd w:val="clear" w:color="auto" w:fill="D6E3BC" w:themeFill="accent3" w:themeFillTint="66"/>
            <w:vAlign w:val="center"/>
          </w:tcPr>
          <w:p w14:paraId="0B70917C" w14:textId="77777777" w:rsidR="005D77D8" w:rsidRPr="006422B5" w:rsidRDefault="005D77D8" w:rsidP="00FD0081">
            <w:pPr>
              <w:spacing w:before="60" w:after="60" w:line="259" w:lineRule="auto"/>
              <w:jc w:val="center"/>
              <w:rPr>
                <w:rFonts w:ascii="Calibri" w:eastAsia="Calibri" w:hAnsi="Calibri" w:cs="Times New Roman"/>
                <w:sz w:val="24"/>
                <w:szCs w:val="24"/>
              </w:rPr>
            </w:pPr>
            <w:r w:rsidRPr="006422B5">
              <w:rPr>
                <w:rFonts w:ascii="Calibri" w:eastAsia="Calibri" w:hAnsi="Calibri" w:cs="Times New Roman"/>
                <w:sz w:val="24"/>
                <w:szCs w:val="24"/>
              </w:rPr>
              <w:t>oblast</w:t>
            </w:r>
          </w:p>
        </w:tc>
        <w:tc>
          <w:tcPr>
            <w:tcW w:w="4677" w:type="dxa"/>
            <w:shd w:val="clear" w:color="auto" w:fill="D6E3BC" w:themeFill="accent3" w:themeFillTint="66"/>
            <w:vAlign w:val="center"/>
          </w:tcPr>
          <w:p w14:paraId="5FCC5537" w14:textId="51D17550" w:rsidR="005D77D8" w:rsidRDefault="005D77D8" w:rsidP="00082D60">
            <w:pPr>
              <w:spacing w:before="60" w:after="60" w:line="259" w:lineRule="auto"/>
              <w:jc w:val="center"/>
              <w:rPr>
                <w:rFonts w:ascii="Calibri" w:eastAsia="Calibri" w:hAnsi="Calibri" w:cs="Times New Roman"/>
                <w:sz w:val="24"/>
                <w:szCs w:val="24"/>
              </w:rPr>
            </w:pPr>
            <w:r>
              <w:rPr>
                <w:rFonts w:ascii="Calibri" w:eastAsia="Calibri" w:hAnsi="Calibri" w:cs="Times New Roman"/>
                <w:sz w:val="24"/>
                <w:szCs w:val="24"/>
              </w:rPr>
              <w:t>Krkonošská oblast</w:t>
            </w:r>
          </w:p>
        </w:tc>
      </w:tr>
      <w:tr w:rsidR="005D77D8" w:rsidRPr="006422B5" w14:paraId="582E87EF" w14:textId="77777777" w:rsidTr="00082D60">
        <w:trPr>
          <w:jc w:val="center"/>
        </w:trPr>
        <w:tc>
          <w:tcPr>
            <w:tcW w:w="1526" w:type="dxa"/>
            <w:shd w:val="clear" w:color="auto" w:fill="B8CCE4" w:themeFill="accent1" w:themeFillTint="66"/>
            <w:vAlign w:val="center"/>
          </w:tcPr>
          <w:p w14:paraId="1491325F" w14:textId="77777777" w:rsidR="005D77D8" w:rsidRPr="006422B5" w:rsidRDefault="005D77D8" w:rsidP="00FD0081">
            <w:pPr>
              <w:spacing w:before="60" w:after="60" w:line="259" w:lineRule="auto"/>
              <w:jc w:val="center"/>
              <w:rPr>
                <w:rFonts w:ascii="Calibri" w:eastAsia="Calibri" w:hAnsi="Calibri" w:cs="Times New Roman"/>
                <w:sz w:val="24"/>
                <w:szCs w:val="24"/>
              </w:rPr>
            </w:pPr>
            <w:r w:rsidRPr="006422B5">
              <w:rPr>
                <w:rFonts w:ascii="Calibri" w:eastAsia="Calibri" w:hAnsi="Calibri" w:cs="Times New Roman"/>
                <w:sz w:val="24"/>
                <w:szCs w:val="24"/>
              </w:rPr>
              <w:t>celek</w:t>
            </w:r>
          </w:p>
        </w:tc>
        <w:tc>
          <w:tcPr>
            <w:tcW w:w="4677" w:type="dxa"/>
            <w:shd w:val="clear" w:color="auto" w:fill="B8CCE4" w:themeFill="accent1" w:themeFillTint="66"/>
            <w:vAlign w:val="center"/>
          </w:tcPr>
          <w:p w14:paraId="1C007252" w14:textId="52E0FC46" w:rsidR="005D77D8" w:rsidRDefault="005D77D8" w:rsidP="00082D60">
            <w:pPr>
              <w:spacing w:before="60" w:after="60" w:line="259" w:lineRule="auto"/>
              <w:jc w:val="center"/>
              <w:rPr>
                <w:rFonts w:ascii="Calibri" w:eastAsia="Calibri" w:hAnsi="Calibri" w:cs="Times New Roman"/>
                <w:sz w:val="24"/>
                <w:szCs w:val="24"/>
              </w:rPr>
            </w:pPr>
            <w:r>
              <w:rPr>
                <w:rFonts w:ascii="Calibri" w:eastAsia="Calibri" w:hAnsi="Calibri" w:cs="Times New Roman"/>
                <w:sz w:val="24"/>
                <w:szCs w:val="24"/>
              </w:rPr>
              <w:t>Krkonošské podhůří</w:t>
            </w:r>
          </w:p>
        </w:tc>
      </w:tr>
      <w:tr w:rsidR="00082D60" w:rsidRPr="006422B5" w14:paraId="7E31C618" w14:textId="77777777" w:rsidTr="00082D60">
        <w:trPr>
          <w:jc w:val="center"/>
        </w:trPr>
        <w:tc>
          <w:tcPr>
            <w:tcW w:w="1526" w:type="dxa"/>
            <w:shd w:val="clear" w:color="auto" w:fill="D6E3BC" w:themeFill="accent3" w:themeFillTint="66"/>
            <w:vAlign w:val="center"/>
          </w:tcPr>
          <w:p w14:paraId="0C21B4FE" w14:textId="77777777" w:rsidR="00082D60" w:rsidRPr="006422B5" w:rsidRDefault="00082D60" w:rsidP="00FD0081">
            <w:pPr>
              <w:spacing w:before="60" w:after="60" w:line="259" w:lineRule="auto"/>
              <w:jc w:val="center"/>
              <w:rPr>
                <w:rFonts w:ascii="Calibri" w:eastAsia="Calibri" w:hAnsi="Calibri" w:cs="Times New Roman"/>
                <w:sz w:val="24"/>
                <w:szCs w:val="24"/>
              </w:rPr>
            </w:pPr>
            <w:r w:rsidRPr="006422B5">
              <w:rPr>
                <w:rFonts w:ascii="Calibri" w:eastAsia="Calibri" w:hAnsi="Calibri" w:cs="Times New Roman"/>
                <w:sz w:val="24"/>
                <w:szCs w:val="24"/>
              </w:rPr>
              <w:t>podcelek</w:t>
            </w:r>
          </w:p>
        </w:tc>
        <w:tc>
          <w:tcPr>
            <w:tcW w:w="4677" w:type="dxa"/>
            <w:shd w:val="clear" w:color="auto" w:fill="D6E3BC" w:themeFill="accent3" w:themeFillTint="66"/>
            <w:vAlign w:val="center"/>
          </w:tcPr>
          <w:p w14:paraId="3AC6F856" w14:textId="5442BA14" w:rsidR="00082D60" w:rsidRDefault="00082D60" w:rsidP="00082D60">
            <w:pPr>
              <w:spacing w:before="60" w:after="60" w:line="259" w:lineRule="auto"/>
              <w:jc w:val="center"/>
              <w:rPr>
                <w:rFonts w:ascii="Calibri" w:eastAsia="Calibri" w:hAnsi="Calibri" w:cs="Times New Roman"/>
                <w:sz w:val="24"/>
                <w:szCs w:val="24"/>
              </w:rPr>
            </w:pPr>
            <w:r>
              <w:rPr>
                <w:rFonts w:ascii="Calibri" w:eastAsia="Calibri" w:hAnsi="Calibri" w:cs="Times New Roman"/>
                <w:sz w:val="24"/>
                <w:szCs w:val="24"/>
              </w:rPr>
              <w:t>Podkrkonošská pahorkatina</w:t>
            </w:r>
          </w:p>
        </w:tc>
      </w:tr>
      <w:tr w:rsidR="00082D60" w:rsidRPr="006422B5" w14:paraId="69F9C04D" w14:textId="77777777" w:rsidTr="00082D60">
        <w:trPr>
          <w:trHeight w:val="380"/>
          <w:jc w:val="center"/>
        </w:trPr>
        <w:tc>
          <w:tcPr>
            <w:tcW w:w="1526" w:type="dxa"/>
            <w:shd w:val="clear" w:color="auto" w:fill="B8CCE4" w:themeFill="accent1" w:themeFillTint="66"/>
            <w:vAlign w:val="center"/>
          </w:tcPr>
          <w:p w14:paraId="5689722A" w14:textId="77777777" w:rsidR="00082D60" w:rsidRPr="006422B5" w:rsidRDefault="00082D60" w:rsidP="00FD0081">
            <w:pPr>
              <w:spacing w:before="60" w:after="60" w:line="259" w:lineRule="auto"/>
              <w:jc w:val="center"/>
              <w:rPr>
                <w:rFonts w:ascii="Calibri" w:eastAsia="Calibri" w:hAnsi="Calibri" w:cs="Times New Roman"/>
                <w:sz w:val="24"/>
                <w:szCs w:val="24"/>
              </w:rPr>
            </w:pPr>
            <w:r w:rsidRPr="006422B5">
              <w:rPr>
                <w:rFonts w:ascii="Calibri" w:eastAsia="Calibri" w:hAnsi="Calibri" w:cs="Times New Roman"/>
                <w:sz w:val="24"/>
                <w:szCs w:val="24"/>
              </w:rPr>
              <w:t>okrsek</w:t>
            </w:r>
          </w:p>
        </w:tc>
        <w:tc>
          <w:tcPr>
            <w:tcW w:w="4677" w:type="dxa"/>
            <w:shd w:val="clear" w:color="auto" w:fill="B8CCE4" w:themeFill="accent1" w:themeFillTint="66"/>
            <w:vAlign w:val="center"/>
          </w:tcPr>
          <w:p w14:paraId="07C349FA" w14:textId="273A8578" w:rsidR="00082D60" w:rsidRDefault="00082D60" w:rsidP="00082D60">
            <w:pPr>
              <w:spacing w:before="60" w:after="60" w:line="259" w:lineRule="auto"/>
              <w:jc w:val="center"/>
              <w:rPr>
                <w:rFonts w:ascii="Calibri" w:eastAsia="Calibri" w:hAnsi="Calibri" w:cs="Times New Roman"/>
                <w:b/>
                <w:sz w:val="24"/>
                <w:szCs w:val="24"/>
              </w:rPr>
            </w:pPr>
            <w:r>
              <w:rPr>
                <w:rFonts w:ascii="Calibri" w:eastAsia="Calibri" w:hAnsi="Calibri" w:cs="Times New Roman"/>
                <w:b/>
                <w:sz w:val="24"/>
                <w:szCs w:val="24"/>
              </w:rPr>
              <w:t>Trutnovská pahorkatina</w:t>
            </w:r>
          </w:p>
        </w:tc>
      </w:tr>
    </w:tbl>
    <w:p w14:paraId="2D534AED" w14:textId="3DB44FA8" w:rsidR="008F7EC6" w:rsidRPr="006422B5" w:rsidRDefault="008F7EC6" w:rsidP="008F7EC6">
      <w:pPr>
        <w:spacing w:after="160"/>
        <w:jc w:val="both"/>
        <w:rPr>
          <w:rFonts w:ascii="Calibri" w:eastAsia="Calibri" w:hAnsi="Calibri" w:cs="Times New Roman"/>
          <w:sz w:val="20"/>
          <w:szCs w:val="20"/>
        </w:rPr>
      </w:pPr>
      <w:r w:rsidRPr="006422B5">
        <w:rPr>
          <w:rFonts w:ascii="Calibri" w:eastAsia="Calibri" w:hAnsi="Calibri" w:cs="Times New Roman"/>
          <w:b/>
          <w:sz w:val="20"/>
          <w:szCs w:val="20"/>
        </w:rPr>
        <w:t>Zdroj:</w:t>
      </w:r>
      <w:r w:rsidRPr="006422B5">
        <w:rPr>
          <w:rFonts w:ascii="Calibri" w:eastAsia="Calibri" w:hAnsi="Calibri" w:cs="Times New Roman"/>
          <w:sz w:val="20"/>
          <w:szCs w:val="20"/>
        </w:rPr>
        <w:t xml:space="preserve"> </w:t>
      </w:r>
      <w:bookmarkStart w:id="58" w:name="_Hlk32353916"/>
      <w:r w:rsidRPr="006422B5">
        <w:rPr>
          <w:rFonts w:ascii="Calibri" w:eastAsia="Calibri" w:hAnsi="Calibri" w:cs="Times New Roman"/>
          <w:sz w:val="20"/>
          <w:szCs w:val="20"/>
        </w:rPr>
        <w:t xml:space="preserve">Internetové stránky Národního geoportálu INSPIRE </w:t>
      </w:r>
      <w:hyperlink r:id="rId23" w:history="1">
        <w:r w:rsidR="000E5D21" w:rsidRPr="008D7437">
          <w:rPr>
            <w:rStyle w:val="Hypertextovodkaz"/>
            <w:rFonts w:ascii="Calibri" w:eastAsia="Calibri" w:hAnsi="Calibri" w:cs="Times New Roman"/>
            <w:sz w:val="20"/>
            <w:szCs w:val="20"/>
          </w:rPr>
          <w:t>https://geoportal.gov.cz/</w:t>
        </w:r>
      </w:hyperlink>
      <w:bookmarkEnd w:id="58"/>
      <w:r w:rsidRPr="006422B5">
        <w:rPr>
          <w:rFonts w:ascii="Calibri" w:eastAsia="Calibri" w:hAnsi="Calibri" w:cs="Times New Roman"/>
          <w:sz w:val="20"/>
          <w:szCs w:val="20"/>
        </w:rPr>
        <w:t xml:space="preserve"> </w:t>
      </w:r>
    </w:p>
    <w:p w14:paraId="6F6E30B9" w14:textId="77777777" w:rsidR="008F7EC6" w:rsidRDefault="008F7EC6" w:rsidP="008F7EC6">
      <w:pPr>
        <w:spacing w:after="160" w:line="259" w:lineRule="auto"/>
        <w:jc w:val="both"/>
        <w:rPr>
          <w:rFonts w:ascii="Calibri" w:eastAsia="RWXLTG+TimesNewRoman" w:hAnsi="Calibri" w:cs="RWXLTG+TimesNewRoman"/>
        </w:rPr>
      </w:pPr>
    </w:p>
    <w:p w14:paraId="7150261C" w14:textId="3926FE21" w:rsidR="008147E6" w:rsidRDefault="008F7EC6" w:rsidP="008F7EC6">
      <w:pPr>
        <w:spacing w:after="160" w:line="259" w:lineRule="auto"/>
        <w:jc w:val="both"/>
        <w:rPr>
          <w:rFonts w:eastAsia="RWXLTG+TimesNewRoman" w:cs="RWXLTG+TimesNewRoman"/>
        </w:rPr>
      </w:pPr>
      <w:r>
        <w:rPr>
          <w:rFonts w:eastAsia="RWXLTG+TimesNewRoman" w:cs="RWXLTG+TimesNewRoman"/>
        </w:rPr>
        <w:t xml:space="preserve">Ze schématu 1 vyplývá, že </w:t>
      </w:r>
      <w:r w:rsidR="001B4AED">
        <w:rPr>
          <w:rFonts w:eastAsia="RWXLTG+TimesNewRoman" w:cs="RWXLTG+TimesNewRoman"/>
        </w:rPr>
        <w:t>celé</w:t>
      </w:r>
      <w:r w:rsidR="00E47E62" w:rsidRPr="006E56EF">
        <w:rPr>
          <w:rFonts w:eastAsia="RWXLTG+TimesNewRoman" w:cs="RWXLTG+TimesNewRoman"/>
        </w:rPr>
        <w:t xml:space="preserve"> území obce </w:t>
      </w:r>
      <w:r w:rsidR="001B4AED">
        <w:rPr>
          <w:rFonts w:eastAsia="RWXLTG+TimesNewRoman" w:cs="RWXLTG+TimesNewRoman"/>
        </w:rPr>
        <w:t>pokrývá</w:t>
      </w:r>
      <w:r w:rsidR="00E47E62" w:rsidRPr="006E56EF">
        <w:rPr>
          <w:rFonts w:eastAsia="RWXLTG+TimesNewRoman" w:cs="RWXLTG+TimesNewRoman"/>
        </w:rPr>
        <w:t xml:space="preserve"> </w:t>
      </w:r>
      <w:r w:rsidR="001B4AED">
        <w:rPr>
          <w:rFonts w:eastAsia="RWXLTG+TimesNewRoman" w:cs="RWXLTG+TimesNewRoman"/>
        </w:rPr>
        <w:t>jeden</w:t>
      </w:r>
      <w:r w:rsidR="00E47E62" w:rsidRPr="006E56EF">
        <w:rPr>
          <w:rFonts w:eastAsia="RWXLTG+TimesNewRoman" w:cs="RWXLTG+TimesNewRoman"/>
        </w:rPr>
        <w:t xml:space="preserve"> geomorfologick</w:t>
      </w:r>
      <w:r w:rsidR="001B4AED">
        <w:rPr>
          <w:rFonts w:eastAsia="RWXLTG+TimesNewRoman" w:cs="RWXLTG+TimesNewRoman"/>
        </w:rPr>
        <w:t>ý</w:t>
      </w:r>
      <w:r w:rsidR="00E47E62" w:rsidRPr="006E56EF">
        <w:rPr>
          <w:rFonts w:eastAsia="RWXLTG+TimesNewRoman" w:cs="RWXLTG+TimesNewRoman"/>
        </w:rPr>
        <w:t xml:space="preserve"> okrs</w:t>
      </w:r>
      <w:r w:rsidR="001B4AED">
        <w:rPr>
          <w:rFonts w:eastAsia="RWXLTG+TimesNewRoman" w:cs="RWXLTG+TimesNewRoman"/>
        </w:rPr>
        <w:t>e</w:t>
      </w:r>
      <w:r w:rsidR="00E47E62" w:rsidRPr="006E56EF">
        <w:rPr>
          <w:rFonts w:eastAsia="RWXLTG+TimesNewRoman" w:cs="RWXLTG+TimesNewRoman"/>
        </w:rPr>
        <w:t xml:space="preserve">k – </w:t>
      </w:r>
      <w:r w:rsidR="001B4AED">
        <w:rPr>
          <w:rFonts w:eastAsia="RWXLTG+TimesNewRoman" w:cs="RWXLTG+TimesNewRoman"/>
          <w:b/>
        </w:rPr>
        <w:t>Trutnovská pahorkatina</w:t>
      </w:r>
      <w:r w:rsidR="00D267C0">
        <w:rPr>
          <w:rFonts w:eastAsia="RWXLTG+TimesNewRoman" w:cs="RWXLTG+TimesNewRoman"/>
        </w:rPr>
        <w:t>.</w:t>
      </w:r>
    </w:p>
    <w:p w14:paraId="2AD2F895" w14:textId="77777777" w:rsidR="00581B0D" w:rsidRDefault="00581B0D" w:rsidP="008F7EC6">
      <w:pPr>
        <w:spacing w:after="160" w:line="259" w:lineRule="auto"/>
        <w:jc w:val="both"/>
        <w:rPr>
          <w:rFonts w:eastAsia="RWXLTG+TimesNewRoman" w:cs="RWXLTG+TimesNewRoman"/>
        </w:rPr>
      </w:pPr>
    </w:p>
    <w:p w14:paraId="7A974212" w14:textId="48A117D2" w:rsidR="00581B0D" w:rsidRDefault="00581B0D" w:rsidP="00581B0D">
      <w:pPr>
        <w:spacing w:after="160" w:line="259" w:lineRule="auto"/>
        <w:jc w:val="both"/>
        <w:rPr>
          <w:rFonts w:eastAsia="RWXLTG+TimesNewRoman" w:cs="RWXLTG+TimesNewRoman"/>
        </w:rPr>
      </w:pPr>
      <w:r w:rsidRPr="006E56EF">
        <w:t>Z h</w:t>
      </w:r>
      <w:r>
        <w:t xml:space="preserve">lediska geologického složení (obrázek </w:t>
      </w:r>
      <w:r w:rsidR="000A1336">
        <w:t>3</w:t>
      </w:r>
      <w:r>
        <w:t xml:space="preserve">) je </w:t>
      </w:r>
      <w:r w:rsidR="00C43838">
        <w:t>celé</w:t>
      </w:r>
      <w:r w:rsidR="002669D3">
        <w:t xml:space="preserve"> území obce tvořena</w:t>
      </w:r>
      <w:r w:rsidR="002669D3" w:rsidRPr="006E56EF">
        <w:t xml:space="preserve"> </w:t>
      </w:r>
      <w:r w:rsidR="002669D3" w:rsidRPr="00EE2D3C">
        <w:rPr>
          <w:b/>
        </w:rPr>
        <w:t xml:space="preserve">usazenými horninami mladších </w:t>
      </w:r>
      <w:r w:rsidR="00C43838">
        <w:rPr>
          <w:b/>
        </w:rPr>
        <w:t>prvohor</w:t>
      </w:r>
      <w:r w:rsidR="00C43838">
        <w:rPr>
          <w:bCs/>
        </w:rPr>
        <w:t>, převážně</w:t>
      </w:r>
      <w:r w:rsidR="002669D3" w:rsidRPr="00EE2D3C">
        <w:rPr>
          <w:b/>
        </w:rPr>
        <w:t xml:space="preserve"> </w:t>
      </w:r>
      <w:r w:rsidR="002669D3" w:rsidRPr="00B74D3E">
        <w:t xml:space="preserve">z období </w:t>
      </w:r>
      <w:r w:rsidR="00C43838">
        <w:t>spodního</w:t>
      </w:r>
      <w:r w:rsidR="002669D3" w:rsidRPr="00B74D3E">
        <w:t xml:space="preserve"> </w:t>
      </w:r>
      <w:r w:rsidR="00C43838">
        <w:t>permu</w:t>
      </w:r>
      <w:r w:rsidR="002669D3">
        <w:t xml:space="preserve"> – </w:t>
      </w:r>
      <w:r w:rsidR="00C43838">
        <w:t>rudými kalovci, pískovci, arkózami a slepenci</w:t>
      </w:r>
      <w:r w:rsidR="002669D3">
        <w:t xml:space="preserve">. Pouze </w:t>
      </w:r>
      <w:r w:rsidR="00414504">
        <w:t>dvě lokality v jižní</w:t>
      </w:r>
      <w:r w:rsidR="00857A92">
        <w:t xml:space="preserve"> část</w:t>
      </w:r>
      <w:r w:rsidR="00414504">
        <w:t>i</w:t>
      </w:r>
      <w:r w:rsidR="00857A92">
        <w:t xml:space="preserve"> území obce </w:t>
      </w:r>
      <w:r w:rsidR="002669D3">
        <w:t>j</w:t>
      </w:r>
      <w:r w:rsidR="00414504">
        <w:t>sou</w:t>
      </w:r>
      <w:r w:rsidR="002669D3">
        <w:t xml:space="preserve"> </w:t>
      </w:r>
      <w:r w:rsidR="00857A92">
        <w:rPr>
          <w:rFonts w:eastAsia="RWXLTG+TimesNewRoman" w:cs="RWXLTG+TimesNewRoman"/>
        </w:rPr>
        <w:t>tvořen</w:t>
      </w:r>
      <w:r w:rsidR="00414504">
        <w:rPr>
          <w:rFonts w:eastAsia="RWXLTG+TimesNewRoman" w:cs="RWXLTG+TimesNewRoman"/>
        </w:rPr>
        <w:t>y</w:t>
      </w:r>
      <w:r w:rsidR="00857A92">
        <w:rPr>
          <w:rFonts w:eastAsia="RWXLTG+TimesNewRoman" w:cs="RWXLTG+TimesNewRoman"/>
        </w:rPr>
        <w:t xml:space="preserve"> </w:t>
      </w:r>
      <w:r w:rsidR="00857A92" w:rsidRPr="00A61D25">
        <w:rPr>
          <w:rFonts w:eastAsia="RWXLTG+TimesNewRoman" w:cs="RWXLTG+TimesNewRoman"/>
          <w:b/>
          <w:bCs/>
        </w:rPr>
        <w:t>usazenými horninami mladších prvohor</w:t>
      </w:r>
      <w:r w:rsidR="00414504">
        <w:rPr>
          <w:rFonts w:eastAsia="RWXLTG+TimesNewRoman" w:cs="RWXLTG+TimesNewRoman"/>
        </w:rPr>
        <w:t xml:space="preserve"> z období svrchního permu</w:t>
      </w:r>
      <w:r w:rsidR="00857A92">
        <w:rPr>
          <w:rFonts w:eastAsia="RWXLTG+TimesNewRoman" w:cs="RWXLTG+TimesNewRoman"/>
        </w:rPr>
        <w:t xml:space="preserve"> – </w:t>
      </w:r>
      <w:r w:rsidR="00414504">
        <w:rPr>
          <w:rFonts w:eastAsia="RWXLTG+TimesNewRoman" w:cs="RWXLTG+TimesNewRoman"/>
        </w:rPr>
        <w:t>sladkovodními, brakickými a mořskými jílovci, dolomitickými a arkózovitými pískovci, slepenci a dolomity.</w:t>
      </w:r>
    </w:p>
    <w:p w14:paraId="17CE937E" w14:textId="77777777" w:rsidR="005F3F41" w:rsidRDefault="005F3F41" w:rsidP="00104970">
      <w:pPr>
        <w:spacing w:after="160" w:line="259" w:lineRule="auto"/>
        <w:jc w:val="both"/>
        <w:rPr>
          <w:rFonts w:eastAsia="RWXLTG+TimesNewRoman" w:cs="RWXLTG+TimesNewRoman"/>
        </w:rPr>
      </w:pPr>
      <w:r>
        <w:rPr>
          <w:rFonts w:eastAsia="RWXLTG+TimesNewRoman" w:cs="RWXLTG+TimesNewRoman"/>
        </w:rPr>
        <w:br w:type="page"/>
      </w:r>
    </w:p>
    <w:p w14:paraId="6AFD126D" w14:textId="51280B1C" w:rsidR="00104970" w:rsidRDefault="00104970" w:rsidP="00104970">
      <w:pPr>
        <w:pStyle w:val="OBRZEK0"/>
      </w:pPr>
      <w:bookmarkStart w:id="59" w:name="_Toc32578389"/>
      <w:bookmarkStart w:id="60" w:name="_Toc104473124"/>
      <w:bookmarkStart w:id="61" w:name="_Toc120652022"/>
      <w:r>
        <w:lastRenderedPageBreak/>
        <w:t xml:space="preserve">Obrázek </w:t>
      </w:r>
      <w:r w:rsidR="000A1336">
        <w:t>3</w:t>
      </w:r>
      <w:r>
        <w:t xml:space="preserve">: Geologické složení území obce </w:t>
      </w:r>
      <w:bookmarkEnd w:id="59"/>
      <w:r w:rsidR="0023305F">
        <w:t>Staré Buky</w:t>
      </w:r>
      <w:bookmarkEnd w:id="60"/>
      <w:bookmarkEnd w:id="61"/>
    </w:p>
    <w:p w14:paraId="09B8CEA5" w14:textId="2257E355" w:rsidR="00104970" w:rsidRDefault="0023305F" w:rsidP="00104970">
      <w:pPr>
        <w:spacing w:line="259" w:lineRule="auto"/>
        <w:jc w:val="center"/>
        <w:rPr>
          <w:rFonts w:eastAsia="RWXLTG+TimesNewRoman" w:cs="RWXLTG+TimesNewRoman"/>
        </w:rPr>
      </w:pPr>
      <w:r>
        <w:rPr>
          <w:rFonts w:eastAsia="RWXLTG+TimesNewRoman" w:cs="RWXLTG+TimesNewRoman"/>
          <w:noProof/>
        </w:rPr>
        <w:drawing>
          <wp:inline distT="0" distB="0" distL="0" distR="0" wp14:anchorId="20B8E6FB" wp14:editId="465550DF">
            <wp:extent cx="3635055" cy="424470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24">
                      <a:extLst>
                        <a:ext uri="{28A0092B-C50C-407E-A947-70E740481C1C}">
                          <a14:useLocalDpi xmlns:a14="http://schemas.microsoft.com/office/drawing/2010/main" val="0"/>
                        </a:ext>
                      </a:extLst>
                    </a:blip>
                    <a:stretch>
                      <a:fillRect/>
                    </a:stretch>
                  </pic:blipFill>
                  <pic:spPr>
                    <a:xfrm>
                      <a:off x="0" y="0"/>
                      <a:ext cx="3635055" cy="4244708"/>
                    </a:xfrm>
                    <a:prstGeom prst="rect">
                      <a:avLst/>
                    </a:prstGeom>
                  </pic:spPr>
                </pic:pic>
              </a:graphicData>
            </a:graphic>
          </wp:inline>
        </w:drawing>
      </w:r>
    </w:p>
    <w:p w14:paraId="11DC4AEA" w14:textId="77777777" w:rsidR="00104970" w:rsidRPr="004C192D" w:rsidRDefault="00104970" w:rsidP="00104970">
      <w:pPr>
        <w:jc w:val="both"/>
        <w:rPr>
          <w:rFonts w:ascii="Calibri" w:eastAsia="Calibri" w:hAnsi="Calibri" w:cs="Times New Roman"/>
          <w:sz w:val="20"/>
          <w:szCs w:val="20"/>
        </w:rPr>
      </w:pPr>
      <w:r>
        <w:rPr>
          <w:rFonts w:ascii="Calibri" w:eastAsia="Calibri" w:hAnsi="Calibri" w:cs="Times New Roman"/>
          <w:b/>
          <w:sz w:val="20"/>
          <w:szCs w:val="20"/>
        </w:rPr>
        <w:t xml:space="preserve">Poznámka: </w:t>
      </w:r>
      <w:r>
        <w:rPr>
          <w:rFonts w:ascii="Calibri" w:eastAsia="Calibri" w:hAnsi="Calibri" w:cs="Times New Roman"/>
          <w:sz w:val="20"/>
          <w:szCs w:val="20"/>
        </w:rPr>
        <w:t>stáří hornin je v legendě seřazeno od nejmladšího po nejstarší.</w:t>
      </w:r>
    </w:p>
    <w:p w14:paraId="4B32A49C" w14:textId="0A8220E2" w:rsidR="00104970" w:rsidRDefault="00104970" w:rsidP="00104970">
      <w:pPr>
        <w:spacing w:after="160" w:line="259" w:lineRule="auto"/>
        <w:jc w:val="both"/>
        <w:rPr>
          <w:rFonts w:eastAsia="RWXLTG+TimesNewRoman" w:cs="RWXLTG+TimesNewRoman"/>
        </w:rPr>
      </w:pPr>
      <w:r w:rsidRPr="006422B5">
        <w:rPr>
          <w:rFonts w:ascii="Calibri" w:eastAsia="Calibri" w:hAnsi="Calibri" w:cs="Times New Roman"/>
          <w:b/>
          <w:sz w:val="20"/>
          <w:szCs w:val="20"/>
        </w:rPr>
        <w:t>Zdroj:</w:t>
      </w:r>
      <w:r w:rsidRPr="006422B5">
        <w:rPr>
          <w:rFonts w:ascii="Calibri" w:eastAsia="Calibri" w:hAnsi="Calibri" w:cs="Times New Roman"/>
          <w:sz w:val="20"/>
          <w:szCs w:val="20"/>
        </w:rPr>
        <w:t xml:space="preserve"> Internetové stránky Národního geoportálu INSPIRE </w:t>
      </w:r>
      <w:hyperlink r:id="rId25" w:history="1">
        <w:r w:rsidR="000E5D21" w:rsidRPr="008D7437">
          <w:rPr>
            <w:rStyle w:val="Hypertextovodkaz"/>
            <w:rFonts w:ascii="Calibri" w:eastAsia="Calibri" w:hAnsi="Calibri" w:cs="Times New Roman"/>
            <w:sz w:val="20"/>
            <w:szCs w:val="20"/>
          </w:rPr>
          <w:t>https://geoportal.gov.cz/</w:t>
        </w:r>
      </w:hyperlink>
    </w:p>
    <w:p w14:paraId="70E1D7F3" w14:textId="5072D633" w:rsidR="00D55CE1" w:rsidRDefault="00D55CE1" w:rsidP="003F5F4C">
      <w:pPr>
        <w:spacing w:after="160" w:line="259" w:lineRule="auto"/>
        <w:jc w:val="both"/>
      </w:pPr>
    </w:p>
    <w:p w14:paraId="232678F8" w14:textId="525CF66F" w:rsidR="003C085A" w:rsidRDefault="00647D25" w:rsidP="003C085A">
      <w:pPr>
        <w:spacing w:after="160" w:line="259" w:lineRule="auto"/>
        <w:jc w:val="both"/>
        <w:rPr>
          <w:rFonts w:eastAsia="RWXLTG+TimesNewRoman" w:cs="RWXLTG+TimesNewRoman"/>
        </w:rPr>
      </w:pPr>
      <w:r w:rsidRPr="0028169A">
        <w:rPr>
          <w:b/>
        </w:rPr>
        <w:t>Na území obce se nenacházejí důlní díla a nezasahují do něj ani poddolované plochy</w:t>
      </w:r>
      <w:r w:rsidR="009126C7" w:rsidRPr="00954073">
        <w:rPr>
          <w:rStyle w:val="Znakapoznpodarou"/>
          <w:bCs/>
        </w:rPr>
        <w:footnoteReference w:id="8"/>
      </w:r>
      <w:r w:rsidRPr="006E56EF">
        <w:t>.</w:t>
      </w:r>
    </w:p>
    <w:p w14:paraId="15FB86F5" w14:textId="288096D9" w:rsidR="003C085A" w:rsidRPr="00E61CAD" w:rsidRDefault="00E84B79" w:rsidP="003C085A">
      <w:pPr>
        <w:spacing w:after="160" w:line="259" w:lineRule="auto"/>
        <w:jc w:val="both"/>
        <w:rPr>
          <w:rFonts w:eastAsia="RWXLTG+TimesNewRoman" w:cs="RWXLTG+TimesNewRoman"/>
        </w:rPr>
      </w:pPr>
      <w:r w:rsidRPr="00692B58">
        <w:rPr>
          <w:rFonts w:eastAsia="RWXLTG+TimesNewRoman" w:cs="RWXLTG+TimesNewRoman"/>
          <w:b/>
          <w:bCs/>
        </w:rPr>
        <w:t xml:space="preserve">Nejvyšší </w:t>
      </w:r>
      <w:r w:rsidR="00C61B21" w:rsidRPr="00692B58">
        <w:rPr>
          <w:rFonts w:eastAsia="RWXLTG+TimesNewRoman" w:cs="RWXLTG+TimesNewRoman"/>
          <w:b/>
          <w:bCs/>
        </w:rPr>
        <w:t>bod</w:t>
      </w:r>
      <w:r w:rsidRPr="00692B58">
        <w:rPr>
          <w:rFonts w:eastAsia="RWXLTG+TimesNewRoman" w:cs="RWXLTG+TimesNewRoman"/>
          <w:b/>
          <w:bCs/>
        </w:rPr>
        <w:t xml:space="preserve"> na území obce </w:t>
      </w:r>
      <w:r w:rsidR="00C61B21" w:rsidRPr="00692B58">
        <w:rPr>
          <w:rFonts w:eastAsia="RWXLTG+TimesNewRoman" w:cs="RWXLTG+TimesNewRoman"/>
          <w:b/>
          <w:bCs/>
        </w:rPr>
        <w:t>se nachází v</w:t>
      </w:r>
      <w:r w:rsidR="00EE4A89">
        <w:rPr>
          <w:rFonts w:eastAsia="RWXLTG+TimesNewRoman" w:cs="RWXLTG+TimesNewRoman"/>
          <w:b/>
          <w:bCs/>
        </w:rPr>
        <w:t> jihozápadní části</w:t>
      </w:r>
      <w:r w:rsidR="00C61B21" w:rsidRPr="00692B58">
        <w:rPr>
          <w:rFonts w:eastAsia="RWXLTG+TimesNewRoman" w:cs="RWXLTG+TimesNewRoman"/>
          <w:b/>
          <w:bCs/>
        </w:rPr>
        <w:t xml:space="preserve"> území obce</w:t>
      </w:r>
      <w:r w:rsidR="00C61B21">
        <w:rPr>
          <w:rFonts w:eastAsia="RWXLTG+TimesNewRoman" w:cs="RWXLTG+TimesNewRoman"/>
        </w:rPr>
        <w:t xml:space="preserve"> – jedná se o</w:t>
      </w:r>
      <w:r w:rsidRPr="00AB41DD">
        <w:rPr>
          <w:rFonts w:eastAsia="RWXLTG+TimesNewRoman" w:cs="RWXLTG+TimesNewRoman"/>
        </w:rPr>
        <w:t xml:space="preserve"> </w:t>
      </w:r>
      <w:r w:rsidR="00C61B21" w:rsidRPr="00EE4A89">
        <w:rPr>
          <w:rFonts w:eastAsia="RWXLTG+TimesNewRoman" w:cs="RWXLTG+TimesNewRoman"/>
        </w:rPr>
        <w:t>vrch</w:t>
      </w:r>
      <w:r w:rsidR="00EE4A89">
        <w:rPr>
          <w:rFonts w:eastAsia="RWXLTG+TimesNewRoman" w:cs="RWXLTG+TimesNewRoman"/>
        </w:rPr>
        <w:t xml:space="preserve"> Kamenec</w:t>
      </w:r>
      <w:r w:rsidR="00C61B21">
        <w:rPr>
          <w:rFonts w:eastAsia="RWXLTG+TimesNewRoman" w:cs="RWXLTG+TimesNewRoman"/>
        </w:rPr>
        <w:t xml:space="preserve"> (</w:t>
      </w:r>
      <w:r w:rsidR="00EE4A89">
        <w:rPr>
          <w:rFonts w:eastAsia="RWXLTG+TimesNewRoman" w:cs="RWXLTG+TimesNewRoman"/>
        </w:rPr>
        <w:t>533</w:t>
      </w:r>
      <w:r w:rsidR="00C61B21">
        <w:rPr>
          <w:rFonts w:eastAsia="RWXLTG+TimesNewRoman" w:cs="RWXLTG+TimesNewRoman"/>
        </w:rPr>
        <w:t xml:space="preserve"> m n. m.).</w:t>
      </w:r>
      <w:r w:rsidRPr="00AB41DD">
        <w:rPr>
          <w:rFonts w:eastAsia="RWXLTG+TimesNewRoman" w:cs="RWXLTG+TimesNewRoman"/>
        </w:rPr>
        <w:t xml:space="preserve"> </w:t>
      </w:r>
      <w:r w:rsidR="00E61CAD">
        <w:rPr>
          <w:rFonts w:eastAsia="RWXLTG+TimesNewRoman" w:cs="RWXLTG+TimesNewRoman"/>
        </w:rPr>
        <w:t>Z</w:t>
      </w:r>
      <w:r w:rsidR="00EE73B1">
        <w:rPr>
          <w:rFonts w:eastAsia="RWXLTG+TimesNewRoman" w:cs="RWXLTG+TimesNewRoman"/>
        </w:rPr>
        <w:t xml:space="preserve"> dalších </w:t>
      </w:r>
      <w:r w:rsidR="00E61CAD">
        <w:rPr>
          <w:rFonts w:eastAsia="RWXLTG+TimesNewRoman" w:cs="RWXLTG+TimesNewRoman"/>
        </w:rPr>
        <w:t xml:space="preserve">vrcholů lze jmenovat </w:t>
      </w:r>
      <w:r w:rsidR="00EE73B1">
        <w:rPr>
          <w:rFonts w:eastAsia="RWXLTG+TimesNewRoman" w:cs="RWXLTG+TimesNewRoman"/>
        </w:rPr>
        <w:t xml:space="preserve">bezejmenný </w:t>
      </w:r>
      <w:r w:rsidR="00E61CAD">
        <w:rPr>
          <w:rFonts w:eastAsia="RWXLTG+TimesNewRoman" w:cs="RWXLTG+TimesNewRoman"/>
        </w:rPr>
        <w:t xml:space="preserve">vrch </w:t>
      </w:r>
      <w:r w:rsidR="00EE73B1">
        <w:rPr>
          <w:rFonts w:eastAsia="RWXLTG+TimesNewRoman" w:cs="RWXLTG+TimesNewRoman"/>
        </w:rPr>
        <w:t>s nadmořskou výškou 532</w:t>
      </w:r>
      <w:r w:rsidR="00E61CAD">
        <w:rPr>
          <w:rFonts w:eastAsia="RWXLTG+TimesNewRoman" w:cs="RWXLTG+TimesNewRoman"/>
        </w:rPr>
        <w:t xml:space="preserve"> m n. m.</w:t>
      </w:r>
      <w:r w:rsidR="00EE73B1">
        <w:rPr>
          <w:rFonts w:eastAsia="RWXLTG+TimesNewRoman" w:cs="RWXLTG+TimesNewRoman"/>
        </w:rPr>
        <w:t xml:space="preserve"> (</w:t>
      </w:r>
      <w:r w:rsidR="00E61CAD">
        <w:rPr>
          <w:rFonts w:eastAsia="RWXLTG+TimesNewRoman" w:cs="RWXLTG+TimesNewRoman"/>
        </w:rPr>
        <w:t xml:space="preserve">nachází </w:t>
      </w:r>
      <w:r w:rsidR="00EE73B1">
        <w:rPr>
          <w:rFonts w:eastAsia="RWXLTG+TimesNewRoman" w:cs="RWXLTG+TimesNewRoman"/>
        </w:rPr>
        <w:t xml:space="preserve">se v jižní části území obce), </w:t>
      </w:r>
      <w:r w:rsidR="00EE73B1" w:rsidRPr="003C6D63">
        <w:rPr>
          <w:rFonts w:eastAsia="RWXLTG+TimesNewRoman" w:cs="RWXLTG+TimesNewRoman"/>
          <w:b/>
          <w:bCs/>
        </w:rPr>
        <w:t>Ovčárenský vrch</w:t>
      </w:r>
      <w:r w:rsidR="00EE73B1">
        <w:rPr>
          <w:rFonts w:eastAsia="RWXLTG+TimesNewRoman" w:cs="RWXLTG+TimesNewRoman"/>
        </w:rPr>
        <w:t xml:space="preserve"> (481 m n. m.)</w:t>
      </w:r>
      <w:r w:rsidR="003C6D63">
        <w:rPr>
          <w:rFonts w:eastAsia="RWXLTG+TimesNewRoman" w:cs="RWXLTG+TimesNewRoman"/>
        </w:rPr>
        <w:t>, který se nachází poblíž komunikace spojující Nový Rokytník a Prostřední Staré Buky</w:t>
      </w:r>
      <w:r w:rsidR="00860A85">
        <w:rPr>
          <w:rFonts w:eastAsia="RWXLTG+TimesNewRoman" w:cs="RWXLTG+TimesNewRoman"/>
        </w:rPr>
        <w:t xml:space="preserve"> a </w:t>
      </w:r>
      <w:r w:rsidR="00860A85" w:rsidRPr="00860A85">
        <w:rPr>
          <w:rFonts w:eastAsia="RWXLTG+TimesNewRoman" w:cs="RWXLTG+TimesNewRoman"/>
          <w:b/>
          <w:bCs/>
        </w:rPr>
        <w:t>Šibeniční vrch</w:t>
      </w:r>
      <w:r w:rsidR="00860A85">
        <w:rPr>
          <w:rFonts w:eastAsia="RWXLTG+TimesNewRoman" w:cs="RWXLTG+TimesNewRoman"/>
        </w:rPr>
        <w:t xml:space="preserve"> (467 m n. m.), který se nachází v západní části území obce</w:t>
      </w:r>
      <w:r w:rsidR="00E61CAD">
        <w:rPr>
          <w:rFonts w:eastAsia="RWXLTG+TimesNewRoman" w:cs="RWXLTG+TimesNewRoman"/>
        </w:rPr>
        <w:t>.</w:t>
      </w:r>
    </w:p>
    <w:p w14:paraId="4D4BB9E2" w14:textId="77777777" w:rsidR="002B346E" w:rsidRDefault="003F5F2F" w:rsidP="00C2057B">
      <w:pPr>
        <w:spacing w:after="60" w:line="259" w:lineRule="auto"/>
        <w:jc w:val="both"/>
        <w:rPr>
          <w:rFonts w:eastAsia="RWXLTG+TimesNewRoman" w:cs="RWXLTG+TimesNewRoman"/>
        </w:rPr>
      </w:pPr>
      <w:r>
        <w:rPr>
          <w:rFonts w:eastAsia="RWXLTG+TimesNewRoman" w:cs="RWXLTG+TimesNewRoman"/>
        </w:rPr>
        <w:t xml:space="preserve">Nejvýznamnějším tokem, který protéká přes území obce, </w:t>
      </w:r>
      <w:r w:rsidR="00574496">
        <w:rPr>
          <w:rFonts w:eastAsia="RWXLTG+TimesNewRoman" w:cs="RWXLTG+TimesNewRoman"/>
        </w:rPr>
        <w:t xml:space="preserve">je </w:t>
      </w:r>
      <w:r w:rsidR="00591B4F">
        <w:rPr>
          <w:rFonts w:eastAsia="RWXLTG+TimesNewRoman" w:cs="RWXLTG+TimesNewRoman"/>
          <w:b/>
          <w:bCs/>
        </w:rPr>
        <w:t>Starobucký potok</w:t>
      </w:r>
      <w:r w:rsidR="00574496">
        <w:rPr>
          <w:rFonts w:eastAsia="RWXLTG+TimesNewRoman" w:cs="RWXLTG+TimesNewRoman"/>
        </w:rPr>
        <w:t xml:space="preserve"> (ID</w:t>
      </w:r>
      <w:r w:rsidR="00574496">
        <w:rPr>
          <w:rStyle w:val="Znakapoznpodarou"/>
          <w:rFonts w:eastAsia="RWXLTG+TimesNewRoman" w:cs="RWXLTG+TimesNewRoman"/>
        </w:rPr>
        <w:footnoteReference w:id="9"/>
      </w:r>
      <w:r w:rsidR="00574496">
        <w:rPr>
          <w:rFonts w:eastAsia="RWXLTG+TimesNewRoman" w:cs="RWXLTG+TimesNewRoman"/>
        </w:rPr>
        <w:t xml:space="preserve"> </w:t>
      </w:r>
      <w:r w:rsidR="00DE212A" w:rsidRPr="00DE212A">
        <w:rPr>
          <w:rFonts w:eastAsia="RWXLTG+TimesNewRoman" w:cs="RWXLTG+TimesNewRoman"/>
          <w:b/>
          <w:bCs/>
        </w:rPr>
        <w:t>10101012</w:t>
      </w:r>
      <w:r w:rsidR="00574496">
        <w:rPr>
          <w:rFonts w:eastAsia="RWXLTG+TimesNewRoman" w:cs="RWXLTG+TimesNewRoman"/>
        </w:rPr>
        <w:t xml:space="preserve">), který pramení </w:t>
      </w:r>
      <w:r w:rsidR="00DE212A">
        <w:rPr>
          <w:rFonts w:eastAsia="RWXLTG+TimesNewRoman" w:cs="RWXLTG+TimesNewRoman"/>
        </w:rPr>
        <w:t>západně od zástavby Nového Rokytníku (místní část města Trutnov)</w:t>
      </w:r>
      <w:r w:rsidR="00574496">
        <w:rPr>
          <w:rFonts w:eastAsia="RWXLTG+TimesNewRoman" w:cs="RWXLTG+TimesNewRoman"/>
        </w:rPr>
        <w:t xml:space="preserve">, protéká </w:t>
      </w:r>
      <w:r w:rsidR="009F5347">
        <w:rPr>
          <w:rFonts w:eastAsia="RWXLTG+TimesNewRoman" w:cs="RWXLTG+TimesNewRoman"/>
        </w:rPr>
        <w:t xml:space="preserve">přes území obce </w:t>
      </w:r>
      <w:r w:rsidR="00DE212A">
        <w:rPr>
          <w:rFonts w:eastAsia="RWXLTG+TimesNewRoman" w:cs="RWXLTG+TimesNewRoman"/>
        </w:rPr>
        <w:t xml:space="preserve">nejprve </w:t>
      </w:r>
      <w:r w:rsidR="009F5347">
        <w:rPr>
          <w:rFonts w:eastAsia="RWXLTG+TimesNewRoman" w:cs="RWXLTG+TimesNewRoman"/>
        </w:rPr>
        <w:t>nezastavěným územím</w:t>
      </w:r>
      <w:r w:rsidR="00574496">
        <w:rPr>
          <w:rFonts w:eastAsia="RWXLTG+TimesNewRoman" w:cs="RWXLTG+TimesNewRoman"/>
        </w:rPr>
        <w:t xml:space="preserve"> a </w:t>
      </w:r>
      <w:r w:rsidR="00DE212A">
        <w:rPr>
          <w:rFonts w:eastAsia="RWXLTG+TimesNewRoman" w:cs="RWXLTG+TimesNewRoman"/>
        </w:rPr>
        <w:t xml:space="preserve">následně převážnou většinou zastavěného území obce a </w:t>
      </w:r>
      <w:r w:rsidR="009F5347">
        <w:rPr>
          <w:rFonts w:eastAsia="RWXLTG+TimesNewRoman" w:cs="RWXLTG+TimesNewRoman"/>
        </w:rPr>
        <w:t xml:space="preserve">na území </w:t>
      </w:r>
      <w:r w:rsidR="00CC01F5">
        <w:rPr>
          <w:rFonts w:eastAsia="RWXLTG+TimesNewRoman" w:cs="RWXLTG+TimesNewRoman"/>
        </w:rPr>
        <w:t>města Pilníkov</w:t>
      </w:r>
      <w:r w:rsidR="00574496">
        <w:rPr>
          <w:rFonts w:eastAsia="RWXLTG+TimesNewRoman" w:cs="RWXLTG+TimesNewRoman"/>
        </w:rPr>
        <w:t xml:space="preserve"> se </w:t>
      </w:r>
      <w:r w:rsidR="00CC01F5">
        <w:rPr>
          <w:rFonts w:eastAsia="RWXLTG+TimesNewRoman" w:cs="RWXLTG+TimesNewRoman"/>
        </w:rPr>
        <w:t xml:space="preserve">severně od budovy s č. p. 234 </w:t>
      </w:r>
      <w:r w:rsidR="00574496">
        <w:rPr>
          <w:rFonts w:eastAsia="RWXLTG+TimesNewRoman" w:cs="RWXLTG+TimesNewRoman"/>
        </w:rPr>
        <w:t xml:space="preserve">vlévá do </w:t>
      </w:r>
      <w:r w:rsidR="00CC01F5">
        <w:rPr>
          <w:rFonts w:eastAsia="RWXLTG+TimesNewRoman" w:cs="RWXLTG+TimesNewRoman"/>
        </w:rPr>
        <w:t>Pilníkovského potoka</w:t>
      </w:r>
      <w:r w:rsidR="00574496">
        <w:rPr>
          <w:rFonts w:eastAsia="RWXLTG+TimesNewRoman" w:cs="RWXLTG+TimesNewRoman"/>
        </w:rPr>
        <w:t>.</w:t>
      </w:r>
      <w:r w:rsidR="00DD09CA">
        <w:rPr>
          <w:rFonts w:eastAsia="RWXLTG+TimesNewRoman" w:cs="RWXLTG+TimesNewRoman"/>
        </w:rPr>
        <w:t xml:space="preserve"> </w:t>
      </w:r>
      <w:r w:rsidR="00F217CE">
        <w:rPr>
          <w:rFonts w:eastAsia="RWXLTG+TimesNewRoman" w:cs="RWXLTG+TimesNewRoman"/>
        </w:rPr>
        <w:t>Z d</w:t>
      </w:r>
      <w:r>
        <w:rPr>
          <w:rFonts w:eastAsia="RWXLTG+TimesNewRoman" w:cs="RWXLTG+TimesNewRoman"/>
        </w:rPr>
        <w:t>alší</w:t>
      </w:r>
      <w:r w:rsidR="00F217CE">
        <w:rPr>
          <w:rFonts w:eastAsia="RWXLTG+TimesNewRoman" w:cs="RWXLTG+TimesNewRoman"/>
        </w:rPr>
        <w:t>ch</w:t>
      </w:r>
      <w:r w:rsidR="00DD09CA">
        <w:rPr>
          <w:rFonts w:eastAsia="RWXLTG+TimesNewRoman" w:cs="RWXLTG+TimesNewRoman"/>
        </w:rPr>
        <w:t xml:space="preserve"> </w:t>
      </w:r>
      <w:r w:rsidR="00F217CE">
        <w:rPr>
          <w:rFonts w:eastAsia="RWXLTG+TimesNewRoman" w:cs="RWXLTG+TimesNewRoman"/>
        </w:rPr>
        <w:t>t</w:t>
      </w:r>
      <w:r>
        <w:rPr>
          <w:rFonts w:eastAsia="RWXLTG+TimesNewRoman" w:cs="RWXLTG+TimesNewRoman"/>
        </w:rPr>
        <w:t>ok</w:t>
      </w:r>
      <w:r w:rsidR="00F217CE">
        <w:rPr>
          <w:rFonts w:eastAsia="RWXLTG+TimesNewRoman" w:cs="RWXLTG+TimesNewRoman"/>
        </w:rPr>
        <w:t>ů</w:t>
      </w:r>
      <w:r w:rsidR="00DD09CA">
        <w:rPr>
          <w:rFonts w:eastAsia="RWXLTG+TimesNewRoman" w:cs="RWXLTG+TimesNewRoman"/>
        </w:rPr>
        <w:t xml:space="preserve"> </w:t>
      </w:r>
      <w:r w:rsidR="00F217CE">
        <w:rPr>
          <w:rFonts w:eastAsia="RWXLTG+TimesNewRoman" w:cs="RWXLTG+TimesNewRoman"/>
        </w:rPr>
        <w:t>lze</w:t>
      </w:r>
      <w:r w:rsidR="00DD09CA">
        <w:rPr>
          <w:rFonts w:eastAsia="RWXLTG+TimesNewRoman" w:cs="RWXLTG+TimesNewRoman"/>
        </w:rPr>
        <w:t xml:space="preserve"> </w:t>
      </w:r>
      <w:r w:rsidR="00F217CE">
        <w:rPr>
          <w:rFonts w:eastAsia="RWXLTG+TimesNewRoman" w:cs="RWXLTG+TimesNewRoman"/>
        </w:rPr>
        <w:t>jmenovat</w:t>
      </w:r>
      <w:r w:rsidR="002B346E">
        <w:rPr>
          <w:rFonts w:eastAsia="RWXLTG+TimesNewRoman" w:cs="RWXLTG+TimesNewRoman"/>
        </w:rPr>
        <w:t>:</w:t>
      </w:r>
    </w:p>
    <w:p w14:paraId="5B6CA19B" w14:textId="2905EB96" w:rsidR="00540ABA" w:rsidRDefault="00540ABA">
      <w:pPr>
        <w:pStyle w:val="Odstavecseseznamem"/>
        <w:numPr>
          <w:ilvl w:val="0"/>
          <w:numId w:val="17"/>
        </w:numPr>
        <w:spacing w:after="120"/>
        <w:ind w:left="425" w:hanging="357"/>
        <w:contextualSpacing w:val="0"/>
        <w:jc w:val="both"/>
        <w:rPr>
          <w:rFonts w:eastAsia="RWXLTG+TimesNewRoman" w:cs="RWXLTG+TimesNewRoman"/>
        </w:rPr>
      </w:pPr>
      <w:r>
        <w:rPr>
          <w:rFonts w:eastAsia="RWXLTG+TimesNewRoman" w:cs="RWXLTG+TimesNewRoman"/>
          <w:b/>
          <w:bCs/>
        </w:rPr>
        <w:t>Žďárský potok</w:t>
      </w:r>
      <w:r w:rsidR="008250C5" w:rsidRPr="00540ABA">
        <w:rPr>
          <w:rFonts w:eastAsia="RWXLTG+TimesNewRoman" w:cs="RWXLTG+TimesNewRoman"/>
        </w:rPr>
        <w:t xml:space="preserve"> (ID </w:t>
      </w:r>
      <w:r w:rsidRPr="00540ABA">
        <w:rPr>
          <w:rFonts w:eastAsia="RWXLTG+TimesNewRoman" w:cs="RWXLTG+TimesNewRoman"/>
          <w:b/>
          <w:bCs/>
        </w:rPr>
        <w:t>10166594</w:t>
      </w:r>
      <w:r w:rsidR="00574496" w:rsidRPr="00540ABA">
        <w:rPr>
          <w:rFonts w:eastAsia="RWXLTG+TimesNewRoman" w:cs="RWXLTG+TimesNewRoman"/>
        </w:rPr>
        <w:t>), kter</w:t>
      </w:r>
      <w:r w:rsidR="00AE373E" w:rsidRPr="00540ABA">
        <w:rPr>
          <w:rFonts w:eastAsia="RWXLTG+TimesNewRoman" w:cs="RWXLTG+TimesNewRoman"/>
        </w:rPr>
        <w:t>ý</w:t>
      </w:r>
      <w:r w:rsidR="00574496" w:rsidRPr="00540ABA">
        <w:rPr>
          <w:rFonts w:eastAsia="RWXLTG+TimesNewRoman" w:cs="RWXLTG+TimesNewRoman"/>
        </w:rPr>
        <w:t xml:space="preserve"> pramení </w:t>
      </w:r>
      <w:r>
        <w:rPr>
          <w:rFonts w:eastAsia="RWXLTG+TimesNewRoman" w:cs="RWXLTG+TimesNewRoman"/>
        </w:rPr>
        <w:t>jihozápadně</w:t>
      </w:r>
      <w:r w:rsidR="00AE373E" w:rsidRPr="00540ABA">
        <w:rPr>
          <w:rFonts w:eastAsia="RWXLTG+TimesNewRoman" w:cs="RWXLTG+TimesNewRoman"/>
        </w:rPr>
        <w:t xml:space="preserve"> od </w:t>
      </w:r>
      <w:r>
        <w:rPr>
          <w:rFonts w:eastAsia="RWXLTG+TimesNewRoman" w:cs="RWXLTG+TimesNewRoman"/>
        </w:rPr>
        <w:t>zástavby Horního Žďáru (část obce Hajnice)</w:t>
      </w:r>
      <w:r w:rsidR="00881C5A">
        <w:rPr>
          <w:rFonts w:eastAsia="RWXLTG+TimesNewRoman" w:cs="RWXLTG+TimesNewRoman"/>
        </w:rPr>
        <w:t>, protéká nezastavěným územím obce z jihu na sever</w:t>
      </w:r>
      <w:r w:rsidR="00671CFF">
        <w:rPr>
          <w:rFonts w:eastAsia="RWXLTG+TimesNewRoman" w:cs="RWXLTG+TimesNewRoman"/>
        </w:rPr>
        <w:t xml:space="preserve"> a poblíž </w:t>
      </w:r>
      <w:r w:rsidR="00AE373E" w:rsidRPr="00540ABA">
        <w:rPr>
          <w:rFonts w:eastAsia="RWXLTG+TimesNewRoman" w:cs="RWXLTG+TimesNewRoman"/>
        </w:rPr>
        <w:t xml:space="preserve">budovy s č. p. </w:t>
      </w:r>
      <w:r w:rsidR="00671CFF">
        <w:rPr>
          <w:rFonts w:eastAsia="RWXLTG+TimesNewRoman" w:cs="RWXLTG+TimesNewRoman"/>
        </w:rPr>
        <w:t>101</w:t>
      </w:r>
      <w:r w:rsidR="00715587" w:rsidRPr="00540ABA">
        <w:rPr>
          <w:rFonts w:eastAsia="RWXLTG+TimesNewRoman" w:cs="RWXLTG+TimesNewRoman"/>
        </w:rPr>
        <w:t xml:space="preserve"> </w:t>
      </w:r>
      <w:r w:rsidR="006F55D7" w:rsidRPr="00540ABA">
        <w:rPr>
          <w:rFonts w:eastAsia="RWXLTG+TimesNewRoman" w:cs="RWXLTG+TimesNewRoman"/>
        </w:rPr>
        <w:t xml:space="preserve">se vlévá do </w:t>
      </w:r>
      <w:r w:rsidR="00671CFF">
        <w:rPr>
          <w:rFonts w:eastAsia="RWXLTG+TimesNewRoman" w:cs="RWXLTG+TimesNewRoman"/>
        </w:rPr>
        <w:t>Starobuckého potoka</w:t>
      </w:r>
      <w:r w:rsidR="006F55D7" w:rsidRPr="00540ABA">
        <w:rPr>
          <w:rFonts w:eastAsia="RWXLTG+TimesNewRoman" w:cs="RWXLTG+TimesNewRoman"/>
        </w:rPr>
        <w:t xml:space="preserve">. </w:t>
      </w:r>
    </w:p>
    <w:p w14:paraId="0DF5C920" w14:textId="77777777" w:rsidR="002361B8" w:rsidRDefault="00273B90">
      <w:pPr>
        <w:pStyle w:val="Odstavecseseznamem"/>
        <w:numPr>
          <w:ilvl w:val="0"/>
          <w:numId w:val="17"/>
        </w:numPr>
        <w:spacing w:after="120"/>
        <w:ind w:left="425" w:hanging="357"/>
        <w:contextualSpacing w:val="0"/>
        <w:jc w:val="both"/>
        <w:rPr>
          <w:rFonts w:eastAsia="RWXLTG+TimesNewRoman" w:cs="RWXLTG+TimesNewRoman"/>
        </w:rPr>
      </w:pPr>
      <w:r w:rsidRPr="00273B90">
        <w:rPr>
          <w:rFonts w:eastAsia="RWXLTG+TimesNewRoman" w:cs="RWXLTG+TimesNewRoman"/>
          <w:b/>
          <w:bCs/>
        </w:rPr>
        <w:lastRenderedPageBreak/>
        <w:t>Dolnický</w:t>
      </w:r>
      <w:r w:rsidR="004F29E1" w:rsidRPr="00540ABA">
        <w:rPr>
          <w:rFonts w:eastAsia="RWXLTG+TimesNewRoman" w:cs="RWXLTG+TimesNewRoman"/>
          <w:b/>
          <w:bCs/>
        </w:rPr>
        <w:t xml:space="preserve"> </w:t>
      </w:r>
      <w:r>
        <w:rPr>
          <w:rFonts w:eastAsia="RWXLTG+TimesNewRoman" w:cs="RWXLTG+TimesNewRoman"/>
          <w:b/>
          <w:bCs/>
        </w:rPr>
        <w:t>po</w:t>
      </w:r>
      <w:r w:rsidR="004F29E1" w:rsidRPr="00540ABA">
        <w:rPr>
          <w:rFonts w:eastAsia="RWXLTG+TimesNewRoman" w:cs="RWXLTG+TimesNewRoman"/>
          <w:b/>
          <w:bCs/>
        </w:rPr>
        <w:t>tok</w:t>
      </w:r>
      <w:r w:rsidR="004F29E1" w:rsidRPr="00540ABA">
        <w:rPr>
          <w:rFonts w:eastAsia="RWXLTG+TimesNewRoman" w:cs="RWXLTG+TimesNewRoman"/>
        </w:rPr>
        <w:t xml:space="preserve"> (ID </w:t>
      </w:r>
      <w:r w:rsidRPr="00273B90">
        <w:rPr>
          <w:rFonts w:eastAsia="RWXLTG+TimesNewRoman" w:cs="RWXLTG+TimesNewRoman"/>
          <w:b/>
          <w:bCs/>
        </w:rPr>
        <w:t>10185333</w:t>
      </w:r>
      <w:r w:rsidR="004F29E1" w:rsidRPr="00540ABA">
        <w:rPr>
          <w:rFonts w:eastAsia="RWXLTG+TimesNewRoman" w:cs="RWXLTG+TimesNewRoman"/>
        </w:rPr>
        <w:t xml:space="preserve">), který pramení </w:t>
      </w:r>
      <w:r>
        <w:rPr>
          <w:rFonts w:eastAsia="RWXLTG+TimesNewRoman" w:cs="RWXLTG+TimesNewRoman"/>
        </w:rPr>
        <w:t xml:space="preserve">na úpatí vrchu Houska na území města Trutnova, protéká podél hranic mezi obcí Staré Buky a </w:t>
      </w:r>
      <w:r w:rsidR="00D307FC">
        <w:rPr>
          <w:rFonts w:eastAsia="RWXLTG+TimesNewRoman" w:cs="RWXLTG+TimesNewRoman"/>
        </w:rPr>
        <w:t>městem Trutnov přes rybniční soustavu Dolce</w:t>
      </w:r>
      <w:r w:rsidR="004F29E1" w:rsidRPr="00540ABA">
        <w:rPr>
          <w:rFonts w:eastAsia="RWXLTG+TimesNewRoman" w:cs="RWXLTG+TimesNewRoman"/>
        </w:rPr>
        <w:t xml:space="preserve"> </w:t>
      </w:r>
      <w:r w:rsidR="00D307FC">
        <w:rPr>
          <w:rFonts w:eastAsia="RWXLTG+TimesNewRoman" w:cs="RWXLTG+TimesNewRoman"/>
        </w:rPr>
        <w:t>a poblíž budovy s č. p. 37 se vlévá do Starobuckého potoka</w:t>
      </w:r>
      <w:r w:rsidR="002361B8">
        <w:rPr>
          <w:rFonts w:eastAsia="RWXLTG+TimesNewRoman" w:cs="RWXLTG+TimesNewRoman"/>
        </w:rPr>
        <w:t>.</w:t>
      </w:r>
    </w:p>
    <w:p w14:paraId="1B0D241B" w14:textId="25BC025B" w:rsidR="005C2462" w:rsidRPr="00540ABA" w:rsidRDefault="002361B8">
      <w:pPr>
        <w:pStyle w:val="Odstavecseseznamem"/>
        <w:numPr>
          <w:ilvl w:val="0"/>
          <w:numId w:val="17"/>
        </w:numPr>
        <w:spacing w:after="160"/>
        <w:ind w:left="425" w:hanging="357"/>
        <w:contextualSpacing w:val="0"/>
        <w:jc w:val="both"/>
        <w:rPr>
          <w:rFonts w:eastAsia="RWXLTG+TimesNewRoman" w:cs="RWXLTG+TimesNewRoman"/>
        </w:rPr>
      </w:pPr>
      <w:r w:rsidRPr="002361B8">
        <w:rPr>
          <w:rFonts w:eastAsia="RWXLTG+TimesNewRoman" w:cs="RWXLTG+TimesNewRoman"/>
        </w:rPr>
        <w:t>Přes</w:t>
      </w:r>
      <w:r>
        <w:rPr>
          <w:rFonts w:eastAsia="RWXLTG+TimesNewRoman" w:cs="RWXLTG+TimesNewRoman"/>
        </w:rPr>
        <w:t xml:space="preserve"> severní cíp území obce protéká </w:t>
      </w:r>
      <w:r w:rsidRPr="00C2057B">
        <w:rPr>
          <w:rFonts w:eastAsia="RWXLTG+TimesNewRoman" w:cs="RWXLTG+TimesNewRoman"/>
          <w:b/>
          <w:bCs/>
        </w:rPr>
        <w:t>Volanovský potok</w:t>
      </w:r>
      <w:r>
        <w:rPr>
          <w:rFonts w:eastAsia="RWXLTG+TimesNewRoman" w:cs="RWXLTG+TimesNewRoman"/>
        </w:rPr>
        <w:t xml:space="preserve"> (ID </w:t>
      </w:r>
      <w:r w:rsidRPr="002361B8">
        <w:rPr>
          <w:rFonts w:eastAsia="RWXLTG+TimesNewRoman" w:cs="RWXLTG+TimesNewRoman"/>
        </w:rPr>
        <w:t>10102038</w:t>
      </w:r>
      <w:r>
        <w:rPr>
          <w:rFonts w:eastAsia="RWXLTG+TimesNewRoman" w:cs="RWXLTG+TimesNewRoman"/>
        </w:rPr>
        <w:t>), který se na území města Pilníkov</w:t>
      </w:r>
      <w:r w:rsidR="00C2057B">
        <w:rPr>
          <w:rFonts w:eastAsia="RWXLTG+TimesNewRoman" w:cs="RWXLTG+TimesNewRoman"/>
        </w:rPr>
        <w:t xml:space="preserve"> poblíž budovy s č. p. 211 vlévá do Starobuckého potoka</w:t>
      </w:r>
      <w:r w:rsidR="00CE2E7C">
        <w:rPr>
          <w:rStyle w:val="Znakapoznpodarou"/>
          <w:rFonts w:eastAsia="RWXLTG+TimesNewRoman" w:cs="RWXLTG+TimesNewRoman"/>
        </w:rPr>
        <w:footnoteReference w:id="10"/>
      </w:r>
      <w:r w:rsidR="005C2462" w:rsidRPr="00540ABA">
        <w:rPr>
          <w:rFonts w:eastAsia="RWXLTG+TimesNewRoman" w:cs="RWXLTG+TimesNewRoman"/>
        </w:rPr>
        <w:t>.</w:t>
      </w:r>
    </w:p>
    <w:p w14:paraId="29FEDE54" w14:textId="77777777" w:rsidR="00C2057B" w:rsidRDefault="00C2057B" w:rsidP="00D737E9">
      <w:pPr>
        <w:spacing w:after="160" w:line="259" w:lineRule="auto"/>
        <w:jc w:val="both"/>
        <w:rPr>
          <w:rFonts w:eastAsia="RWXLTG+TimesNewRoman" w:cs="RWXLTG+TimesNewRoman"/>
          <w:b/>
        </w:rPr>
      </w:pPr>
    </w:p>
    <w:p w14:paraId="44D9FD45" w14:textId="68C2E2CB" w:rsidR="00B16D11" w:rsidRDefault="005C5377" w:rsidP="00D737E9">
      <w:pPr>
        <w:spacing w:after="160" w:line="259" w:lineRule="auto"/>
        <w:jc w:val="both"/>
        <w:rPr>
          <w:rFonts w:eastAsia="RWXLTG+TimesNewRoman" w:cs="RWXLTG+TimesNewRoman"/>
          <w:bCs/>
        </w:rPr>
      </w:pPr>
      <w:r w:rsidRPr="009D52D1">
        <w:rPr>
          <w:rFonts w:eastAsia="RWXLTG+TimesNewRoman" w:cs="RWXLTG+TimesNewRoman"/>
          <w:b/>
        </w:rPr>
        <w:t>Na území obce se</w:t>
      </w:r>
      <w:r w:rsidRPr="00661666">
        <w:rPr>
          <w:rFonts w:eastAsia="RWXLTG+TimesNewRoman" w:cs="RWXLTG+TimesNewRoman"/>
          <w:b/>
        </w:rPr>
        <w:t xml:space="preserve"> nachází </w:t>
      </w:r>
      <w:r w:rsidR="00B16D11">
        <w:rPr>
          <w:rFonts w:eastAsia="RWXLTG+TimesNewRoman" w:cs="RWXLTG+TimesNewRoman"/>
          <w:b/>
        </w:rPr>
        <w:t xml:space="preserve">jedna větší vodní </w:t>
      </w:r>
      <w:r w:rsidR="00B16D11" w:rsidRPr="00B16D11">
        <w:rPr>
          <w:rFonts w:eastAsia="RWXLTG+TimesNewRoman" w:cs="RWXLTG+TimesNewRoman"/>
          <w:bCs/>
        </w:rPr>
        <w:t>plocha</w:t>
      </w:r>
      <w:r w:rsidR="00B16D11">
        <w:rPr>
          <w:rFonts w:eastAsia="RWXLTG+TimesNewRoman" w:cs="RWXLTG+TimesNewRoman"/>
          <w:bCs/>
        </w:rPr>
        <w:t xml:space="preserve"> – jedná se o </w:t>
      </w:r>
      <w:r w:rsidR="00B16D11" w:rsidRPr="00B16D11">
        <w:rPr>
          <w:rFonts w:eastAsia="RWXLTG+TimesNewRoman" w:cs="RWXLTG+TimesNewRoman"/>
          <w:b/>
        </w:rPr>
        <w:t>rybník Dolce III</w:t>
      </w:r>
      <w:r w:rsidR="004D2394">
        <w:rPr>
          <w:rFonts w:eastAsia="RWXLTG+TimesNewRoman" w:cs="RWXLTG+TimesNewRoman"/>
          <w:bCs/>
        </w:rPr>
        <w:t xml:space="preserve"> (obrázek 4)</w:t>
      </w:r>
      <w:r w:rsidR="00B16D11">
        <w:rPr>
          <w:rFonts w:eastAsia="RWXLTG+TimesNewRoman" w:cs="RWXLTG+TimesNewRoman"/>
          <w:bCs/>
        </w:rPr>
        <w:t>, který se nachází v severní části území obce v lokalitě s místně zažitým názvem Severka.</w:t>
      </w:r>
    </w:p>
    <w:p w14:paraId="17837E9C" w14:textId="2A9CD9A0" w:rsidR="004D2394" w:rsidRDefault="004D2394" w:rsidP="00D737E9">
      <w:pPr>
        <w:spacing w:after="160" w:line="259" w:lineRule="auto"/>
        <w:jc w:val="both"/>
        <w:rPr>
          <w:rFonts w:eastAsia="RWXLTG+TimesNewRoman" w:cs="RWXLTG+TimesNewRoman"/>
          <w:bCs/>
        </w:rPr>
      </w:pPr>
    </w:p>
    <w:p w14:paraId="5E559661" w14:textId="70132182" w:rsidR="004D2394" w:rsidRDefault="004D2394" w:rsidP="004D2394">
      <w:pPr>
        <w:pStyle w:val="OBRZEK0"/>
      </w:pPr>
      <w:bookmarkStart w:id="62" w:name="_Toc104473125"/>
      <w:bookmarkStart w:id="63" w:name="_Toc120652023"/>
      <w:r>
        <w:t>Obrázek 4: Rybník Dolce III – stav ke květnu 2022</w:t>
      </w:r>
      <w:bookmarkEnd w:id="62"/>
      <w:bookmarkEnd w:id="63"/>
    </w:p>
    <w:p w14:paraId="28F97DE6" w14:textId="52A095F6" w:rsidR="004D2394" w:rsidRDefault="003D2736" w:rsidP="004D2394">
      <w:pPr>
        <w:spacing w:line="259" w:lineRule="auto"/>
        <w:jc w:val="both"/>
        <w:rPr>
          <w:rFonts w:eastAsia="RWXLTG+TimesNewRoman" w:cs="RWXLTG+TimesNewRoman"/>
          <w:bCs/>
        </w:rPr>
      </w:pPr>
      <w:r>
        <w:rPr>
          <w:rFonts w:eastAsia="RWXLTG+TimesNewRoman" w:cs="RWXLTG+TimesNewRoman"/>
          <w:bCs/>
          <w:noProof/>
        </w:rPr>
        <w:drawing>
          <wp:inline distT="0" distB="0" distL="0" distR="0" wp14:anchorId="75A5F22A" wp14:editId="62AFF5C3">
            <wp:extent cx="5760720" cy="270383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703830"/>
                    </a:xfrm>
                    <a:prstGeom prst="rect">
                      <a:avLst/>
                    </a:prstGeom>
                  </pic:spPr>
                </pic:pic>
              </a:graphicData>
            </a:graphic>
          </wp:inline>
        </w:drawing>
      </w:r>
    </w:p>
    <w:p w14:paraId="21C38343" w14:textId="512F5135" w:rsidR="004D2394" w:rsidRPr="004D2394" w:rsidRDefault="004D2394" w:rsidP="00D737E9">
      <w:pPr>
        <w:spacing w:after="160" w:line="259" w:lineRule="auto"/>
        <w:jc w:val="both"/>
        <w:rPr>
          <w:rFonts w:eastAsia="RWXLTG+TimesNewRoman" w:cs="RWXLTG+TimesNewRoman"/>
          <w:bCs/>
          <w:sz w:val="20"/>
          <w:szCs w:val="20"/>
        </w:rPr>
      </w:pPr>
      <w:r w:rsidRPr="004D2394">
        <w:rPr>
          <w:rFonts w:eastAsia="RWXLTG+TimesNewRoman" w:cs="RWXLTG+TimesNewRoman"/>
          <w:b/>
          <w:sz w:val="20"/>
          <w:szCs w:val="20"/>
        </w:rPr>
        <w:t>Zdroj:</w:t>
      </w:r>
      <w:r w:rsidRPr="004D2394">
        <w:rPr>
          <w:rFonts w:eastAsia="RWXLTG+TimesNewRoman" w:cs="RWXLTG+TimesNewRoman"/>
          <w:bCs/>
          <w:sz w:val="20"/>
          <w:szCs w:val="20"/>
        </w:rPr>
        <w:t xml:space="preserve"> vlastní průzkum</w:t>
      </w:r>
    </w:p>
    <w:p w14:paraId="33E6FCED" w14:textId="77777777" w:rsidR="004D2394" w:rsidRDefault="004D2394" w:rsidP="00D737E9">
      <w:pPr>
        <w:spacing w:after="160" w:line="259" w:lineRule="auto"/>
        <w:jc w:val="both"/>
        <w:rPr>
          <w:rFonts w:eastAsia="RWXLTG+TimesNewRoman" w:cs="RWXLTG+TimesNewRoman"/>
          <w:bCs/>
        </w:rPr>
      </w:pPr>
    </w:p>
    <w:p w14:paraId="368A2E6B" w14:textId="0A9E229B" w:rsidR="003F5F2F" w:rsidRPr="00A44F3E" w:rsidRDefault="00B16D11" w:rsidP="00D737E9">
      <w:pPr>
        <w:spacing w:after="160" w:line="259" w:lineRule="auto"/>
        <w:jc w:val="both"/>
        <w:rPr>
          <w:rFonts w:eastAsia="RWXLTG+TimesNewRoman" w:cs="RWXLTG+TimesNewRoman"/>
          <w:bCs/>
        </w:rPr>
      </w:pPr>
      <w:r>
        <w:rPr>
          <w:rFonts w:eastAsia="RWXLTG+TimesNewRoman" w:cs="RWXLTG+TimesNewRoman"/>
          <w:bCs/>
        </w:rPr>
        <w:t>Dá</w:t>
      </w:r>
      <w:r w:rsidR="00A44F3E">
        <w:rPr>
          <w:rFonts w:eastAsia="RWXLTG+TimesNewRoman" w:cs="RWXLTG+TimesNewRoman"/>
          <w:bCs/>
        </w:rPr>
        <w:t>le se na území obce nachází n</w:t>
      </w:r>
      <w:r w:rsidR="00AA489A" w:rsidRPr="00B16D11">
        <w:rPr>
          <w:rFonts w:eastAsia="RWXLTG+TimesNewRoman" w:cs="RWXLTG+TimesNewRoman"/>
          <w:bCs/>
        </w:rPr>
        <w:t>ěkolik</w:t>
      </w:r>
      <w:r w:rsidR="005C5377" w:rsidRPr="00661666">
        <w:rPr>
          <w:rFonts w:eastAsia="RWXLTG+TimesNewRoman" w:cs="RWXLTG+TimesNewRoman"/>
          <w:b/>
        </w:rPr>
        <w:t xml:space="preserve"> </w:t>
      </w:r>
      <w:r w:rsidR="009D52D1">
        <w:rPr>
          <w:rFonts w:eastAsia="RWXLTG+TimesNewRoman" w:cs="RWXLTG+TimesNewRoman"/>
          <w:b/>
        </w:rPr>
        <w:t>menší</w:t>
      </w:r>
      <w:r w:rsidR="00AA489A">
        <w:rPr>
          <w:rFonts w:eastAsia="RWXLTG+TimesNewRoman" w:cs="RWXLTG+TimesNewRoman"/>
          <w:b/>
        </w:rPr>
        <w:t>ch</w:t>
      </w:r>
      <w:r w:rsidR="005C5377" w:rsidRPr="00661666">
        <w:rPr>
          <w:rFonts w:eastAsia="RWXLTG+TimesNewRoman" w:cs="RWXLTG+TimesNewRoman"/>
          <w:b/>
        </w:rPr>
        <w:t xml:space="preserve"> vodní</w:t>
      </w:r>
      <w:r w:rsidR="00AA489A">
        <w:rPr>
          <w:rFonts w:eastAsia="RWXLTG+TimesNewRoman" w:cs="RWXLTG+TimesNewRoman"/>
          <w:b/>
        </w:rPr>
        <w:t>ch</w:t>
      </w:r>
      <w:r w:rsidR="005C5377" w:rsidRPr="00661666">
        <w:rPr>
          <w:rFonts w:eastAsia="RWXLTG+TimesNewRoman" w:cs="RWXLTG+TimesNewRoman"/>
          <w:b/>
        </w:rPr>
        <w:t xml:space="preserve"> ploch</w:t>
      </w:r>
      <w:r w:rsidR="00AA489A">
        <w:rPr>
          <w:rFonts w:eastAsia="RWXLTG+TimesNewRoman" w:cs="RWXLTG+TimesNewRoman"/>
          <w:bCs/>
        </w:rPr>
        <w:t>.</w:t>
      </w:r>
      <w:r w:rsidR="009D52D1">
        <w:rPr>
          <w:rFonts w:eastAsia="RWXLTG+TimesNewRoman" w:cs="RWXLTG+TimesNewRoman"/>
          <w:bCs/>
        </w:rPr>
        <w:t xml:space="preserve"> </w:t>
      </w:r>
      <w:r w:rsidR="00AA489A">
        <w:rPr>
          <w:rFonts w:eastAsia="RWXLTG+TimesNewRoman" w:cs="RWXLTG+TimesNewRoman"/>
          <w:bCs/>
        </w:rPr>
        <w:t>K</w:t>
      </w:r>
      <w:r w:rsidR="009D52D1">
        <w:rPr>
          <w:rFonts w:eastAsia="RWXLTG+TimesNewRoman" w:cs="RWXLTG+TimesNewRoman"/>
          <w:bCs/>
        </w:rPr>
        <w:t xml:space="preserve">onkrétně </w:t>
      </w:r>
      <w:r w:rsidR="00AA489A">
        <w:rPr>
          <w:rFonts w:eastAsia="RWXLTG+TimesNewRoman" w:cs="RWXLTG+TimesNewRoman"/>
          <w:bCs/>
        </w:rPr>
        <w:t xml:space="preserve">se jedná o </w:t>
      </w:r>
      <w:r w:rsidR="00A44F3E" w:rsidRPr="00BE7268">
        <w:rPr>
          <w:rFonts w:eastAsia="RWXLTG+TimesNewRoman" w:cs="RWXLTG+TimesNewRoman"/>
          <w:bCs/>
        </w:rPr>
        <w:t xml:space="preserve">první </w:t>
      </w:r>
      <w:r w:rsidR="009D52D1" w:rsidRPr="00BE7268">
        <w:rPr>
          <w:rFonts w:eastAsia="RWXLTG+TimesNewRoman" w:cs="RWXLTG+TimesNewRoman"/>
          <w:bCs/>
        </w:rPr>
        <w:t xml:space="preserve">rybník </w:t>
      </w:r>
      <w:r w:rsidR="00A44F3E" w:rsidRPr="00BE7268">
        <w:rPr>
          <w:rFonts w:eastAsia="RWXLTG+TimesNewRoman" w:cs="RWXLTG+TimesNewRoman"/>
          <w:bCs/>
        </w:rPr>
        <w:t>vodní soustavy Dolce</w:t>
      </w:r>
      <w:r w:rsidR="00B41CC5" w:rsidRPr="00BE7268">
        <w:rPr>
          <w:rFonts w:eastAsia="RWXLTG+TimesNewRoman" w:cs="RWXLTG+TimesNewRoman"/>
          <w:bCs/>
        </w:rPr>
        <w:t>,</w:t>
      </w:r>
      <w:r w:rsidR="00B41CC5" w:rsidRPr="00BE7268">
        <w:rPr>
          <w:rFonts w:eastAsia="RWXLTG+TimesNewRoman" w:cs="RWXLTG+TimesNewRoman"/>
          <w:b/>
        </w:rPr>
        <w:t xml:space="preserve"> </w:t>
      </w:r>
      <w:r w:rsidR="00B41CC5" w:rsidRPr="00BE7268">
        <w:rPr>
          <w:rFonts w:eastAsia="RWXLTG+TimesNewRoman" w:cs="RWXLTG+TimesNewRoman"/>
          <w:bCs/>
        </w:rPr>
        <w:t>který se rozprostírá</w:t>
      </w:r>
      <w:r w:rsidR="00A44F3E" w:rsidRPr="00BE7268">
        <w:rPr>
          <w:rFonts w:eastAsia="RWXLTG+TimesNewRoman" w:cs="RWXLTG+TimesNewRoman"/>
          <w:bCs/>
        </w:rPr>
        <w:t xml:space="preserve"> severozápadně od zastavěného území ZSJ Dolníky,</w:t>
      </w:r>
      <w:r w:rsidR="00B41CC5" w:rsidRPr="00BE7268">
        <w:rPr>
          <w:rFonts w:eastAsia="RWXLTG+TimesNewRoman" w:cs="RWXLTG+TimesNewRoman"/>
          <w:bCs/>
        </w:rPr>
        <w:t xml:space="preserve"> dále o vodní plochu nacházející se v místní části Dolní Staré Buky jihovýchodně od budovy s č. p. 13</w:t>
      </w:r>
      <w:r w:rsidR="009E7DF1" w:rsidRPr="00BE7268">
        <w:rPr>
          <w:rFonts w:eastAsia="RWXLTG+TimesNewRoman" w:cs="RWXLTG+TimesNewRoman"/>
          <w:bCs/>
        </w:rPr>
        <w:t>,</w:t>
      </w:r>
      <w:r w:rsidR="009E7DF1">
        <w:rPr>
          <w:rFonts w:eastAsia="RWXLTG+TimesNewRoman" w:cs="RWXLTG+TimesNewRoman"/>
          <w:bCs/>
        </w:rPr>
        <w:t xml:space="preserve"> vodní plochu nacházející se v místní části Dolní Staré Buky </w:t>
      </w:r>
      <w:r w:rsidR="00BE7268">
        <w:rPr>
          <w:rFonts w:eastAsia="RWXLTG+TimesNewRoman" w:cs="RWXLTG+TimesNewRoman"/>
          <w:bCs/>
        </w:rPr>
        <w:t xml:space="preserve">jihozápadně od budovy s č. p. 7 a dvě vodní plochy nacházející se v místní části Horní Staré Buky jižně až </w:t>
      </w:r>
      <w:r w:rsidR="009E7DF1">
        <w:rPr>
          <w:rFonts w:eastAsia="RWXLTG+TimesNewRoman" w:cs="RWXLTG+TimesNewRoman"/>
          <w:bCs/>
        </w:rPr>
        <w:t>jiho</w:t>
      </w:r>
      <w:r w:rsidR="00BE7268">
        <w:rPr>
          <w:rFonts w:eastAsia="RWXLTG+TimesNewRoman" w:cs="RWXLTG+TimesNewRoman"/>
          <w:bCs/>
        </w:rPr>
        <w:t>východně</w:t>
      </w:r>
      <w:r w:rsidR="009E7DF1">
        <w:rPr>
          <w:rFonts w:eastAsia="RWXLTG+TimesNewRoman" w:cs="RWXLTG+TimesNewRoman"/>
          <w:bCs/>
        </w:rPr>
        <w:t xml:space="preserve"> od budovy s č. p. </w:t>
      </w:r>
      <w:r w:rsidR="00BE7268">
        <w:rPr>
          <w:rFonts w:eastAsia="RWXLTG+TimesNewRoman" w:cs="RWXLTG+TimesNewRoman"/>
          <w:bCs/>
        </w:rPr>
        <w:t>202</w:t>
      </w:r>
      <w:r w:rsidR="00CF77A3">
        <w:rPr>
          <w:rStyle w:val="Znakapoznpodarou"/>
          <w:rFonts w:eastAsia="RWXLTG+TimesNewRoman" w:cs="RWXLTG+TimesNewRoman"/>
          <w:bCs/>
        </w:rPr>
        <w:footnoteReference w:id="11"/>
      </w:r>
      <w:r w:rsidR="00BE7268">
        <w:rPr>
          <w:rFonts w:eastAsia="RWXLTG+TimesNewRoman" w:cs="RWXLTG+TimesNewRoman"/>
          <w:bCs/>
        </w:rPr>
        <w:t>.</w:t>
      </w:r>
    </w:p>
    <w:p w14:paraId="09C75C5C" w14:textId="20A42D0F" w:rsidR="003F5F2F" w:rsidRPr="00C54952" w:rsidRDefault="00C54952" w:rsidP="00C54952">
      <w:pPr>
        <w:spacing w:after="160" w:line="259" w:lineRule="auto"/>
        <w:jc w:val="both"/>
        <w:rPr>
          <w:rFonts w:eastAsia="RWXLTG+TimesNewRoman" w:cs="RWXLTG+TimesNewRoman"/>
        </w:rPr>
      </w:pPr>
      <w:r w:rsidRPr="00C54952">
        <w:rPr>
          <w:rFonts w:eastAsia="RWXLTG+TimesNewRoman" w:cs="RWXLTG+TimesNewRoman"/>
        </w:rPr>
        <w:t xml:space="preserve">Na území obce se </w:t>
      </w:r>
      <w:r w:rsidR="007E2603">
        <w:rPr>
          <w:rFonts w:eastAsia="RWXLTG+TimesNewRoman" w:cs="RWXLTG+TimesNewRoman"/>
        </w:rPr>
        <w:t>nachází jeden vodní zdroj</w:t>
      </w:r>
      <w:r w:rsidRPr="00C54952">
        <w:rPr>
          <w:rFonts w:eastAsia="RWXLTG+TimesNewRoman" w:cs="RWXLTG+TimesNewRoman"/>
        </w:rPr>
        <w:t xml:space="preserve">, který </w:t>
      </w:r>
      <w:r w:rsidR="007E2603">
        <w:rPr>
          <w:rFonts w:eastAsia="RWXLTG+TimesNewRoman" w:cs="RWXLTG+TimesNewRoman"/>
        </w:rPr>
        <w:t>je</w:t>
      </w:r>
      <w:r w:rsidRPr="00C54952">
        <w:rPr>
          <w:rFonts w:eastAsia="RWXLTG+TimesNewRoman" w:cs="RWXLTG+TimesNewRoman"/>
        </w:rPr>
        <w:t xml:space="preserve"> evidován v rámci </w:t>
      </w:r>
      <w:r>
        <w:t>Národního registru pramenů a studánek</w:t>
      </w:r>
      <w:r w:rsidR="007E2603">
        <w:t xml:space="preserve">. Konkrétně se jedná o </w:t>
      </w:r>
      <w:r w:rsidR="007E2603" w:rsidRPr="007E2603">
        <w:rPr>
          <w:b/>
          <w:bCs/>
        </w:rPr>
        <w:t>pramen s názvem U hájenky</w:t>
      </w:r>
      <w:r w:rsidR="007E2603">
        <w:t xml:space="preserve"> nacházející se ve východním cípu území obce poblíž Starobuckého potoka</w:t>
      </w:r>
      <w:r>
        <w:rPr>
          <w:rStyle w:val="Znakapoznpodarou"/>
          <w:rFonts w:eastAsia="RWXLTG+TimesNewRoman" w:cs="RWXLTG+TimesNewRoman"/>
        </w:rPr>
        <w:footnoteReference w:id="12"/>
      </w:r>
      <w:r>
        <w:t>.</w:t>
      </w:r>
    </w:p>
    <w:p w14:paraId="78D69390" w14:textId="371AA604" w:rsidR="008147E6" w:rsidRDefault="00331D87" w:rsidP="00A665F8">
      <w:pPr>
        <w:spacing w:after="160" w:line="259" w:lineRule="auto"/>
        <w:jc w:val="both"/>
        <w:rPr>
          <w:rFonts w:eastAsia="RWXLTG+TimesNewRoman" w:cs="RWXLTG+TimesNewRoman"/>
        </w:rPr>
      </w:pPr>
      <w:r w:rsidRPr="00CA4FA6">
        <w:rPr>
          <w:rFonts w:eastAsia="RWXLTG+TimesNewRoman" w:cs="RWXLTG+TimesNewRoman"/>
          <w:bCs/>
        </w:rPr>
        <w:t xml:space="preserve">Obec </w:t>
      </w:r>
      <w:r w:rsidR="00957554">
        <w:rPr>
          <w:rFonts w:eastAsia="RWXLTG+TimesNewRoman" w:cs="RWXLTG+TimesNewRoman"/>
          <w:bCs/>
        </w:rPr>
        <w:t>Staré Buky</w:t>
      </w:r>
      <w:r w:rsidRPr="00CA4FA6">
        <w:rPr>
          <w:rFonts w:eastAsia="RWXLTG+TimesNewRoman" w:cs="RWXLTG+TimesNewRoman"/>
          <w:b/>
        </w:rPr>
        <w:t xml:space="preserve"> z klimatologického</w:t>
      </w:r>
      <w:r w:rsidRPr="003025FA">
        <w:rPr>
          <w:rFonts w:eastAsia="RWXLTG+TimesNewRoman" w:cs="RWXLTG+TimesNewRoman"/>
          <w:b/>
        </w:rPr>
        <w:t xml:space="preserve"> hlediska</w:t>
      </w:r>
      <w:r>
        <w:rPr>
          <w:rFonts w:eastAsia="RWXLTG+TimesNewRoman" w:cs="RWXLTG+TimesNewRoman"/>
        </w:rPr>
        <w:t xml:space="preserve"> spadá </w:t>
      </w:r>
      <w:r w:rsidR="00CA4FA6" w:rsidRPr="00823A36">
        <w:rPr>
          <w:rFonts w:eastAsia="RWXLTG+TimesNewRoman" w:cs="RWXLTG+TimesNewRoman"/>
          <w:b/>
        </w:rPr>
        <w:t>do mírně teplé podnebné oblasti</w:t>
      </w:r>
      <w:r w:rsidR="00CA4FA6">
        <w:rPr>
          <w:rFonts w:eastAsia="RWXLTG+TimesNewRoman" w:cs="RWXLTG+TimesNewRoman"/>
        </w:rPr>
        <w:t>. Úhrn srážek se pohybuje přibližně v rozmezí 200 až 400 mm jak v létě, tak v zimě. Průměrná teplota v létě se pohybuje v rozmezí 13-15 °C, v zimě v rozmezí -2 až -3 °C</w:t>
      </w:r>
      <w:r>
        <w:rPr>
          <w:rStyle w:val="Znakapoznpodarou"/>
          <w:rFonts w:eastAsia="RWXLTG+TimesNewRoman" w:cs="RWXLTG+TimesNewRoman"/>
        </w:rPr>
        <w:footnoteReference w:id="13"/>
      </w:r>
      <w:r w:rsidR="000F5EDB">
        <w:rPr>
          <w:rFonts w:eastAsia="RWXLTG+TimesNewRoman" w:cs="RWXLTG+TimesNewRoman"/>
        </w:rPr>
        <w:t>.</w:t>
      </w:r>
    </w:p>
    <w:p w14:paraId="5AE806AE" w14:textId="4AA346E4" w:rsidR="00B45004" w:rsidRPr="00B45004" w:rsidRDefault="00B603B5" w:rsidP="00B45004">
      <w:pPr>
        <w:spacing w:after="160" w:line="259" w:lineRule="auto"/>
        <w:jc w:val="both"/>
        <w:rPr>
          <w:rFonts w:eastAsia="TimesNewRoman" w:cs="TimesNewRoman"/>
          <w:color w:val="FF0000"/>
        </w:rPr>
      </w:pPr>
      <w:r w:rsidRPr="006B40FF">
        <w:rPr>
          <w:rFonts w:eastAsia="TimesNewRoman" w:cs="TimesNewRoman"/>
        </w:rPr>
        <w:lastRenderedPageBreak/>
        <w:t>U lesních porostů</w:t>
      </w:r>
      <w:r>
        <w:rPr>
          <w:rFonts w:eastAsia="TimesNewRoman" w:cs="TimesNewRoman"/>
        </w:rPr>
        <w:t xml:space="preserve"> v současné době </w:t>
      </w:r>
      <w:r w:rsidRPr="00692015">
        <w:rPr>
          <w:rFonts w:eastAsia="TimesNewRoman" w:cs="TimesNewRoman"/>
          <w:b/>
        </w:rPr>
        <w:t xml:space="preserve">dominují </w:t>
      </w:r>
      <w:r w:rsidRPr="00A858CD">
        <w:rPr>
          <w:rFonts w:eastAsia="TimesNewRoman" w:cs="TimesNewRoman"/>
          <w:b/>
        </w:rPr>
        <w:t>monokultury nepůvodních druhů smrku</w:t>
      </w:r>
      <w:r w:rsidRPr="00A858CD">
        <w:rPr>
          <w:rFonts w:eastAsia="TimesNewRoman" w:cs="TimesNewRoman"/>
        </w:rPr>
        <w:t xml:space="preserve">. Přirozenou vegetací </w:t>
      </w:r>
      <w:r w:rsidR="00E82A24">
        <w:rPr>
          <w:rFonts w:eastAsia="TimesNewRoman" w:cs="TimesNewRoman"/>
        </w:rPr>
        <w:t>v severní a střední části</w:t>
      </w:r>
      <w:r w:rsidR="002E0C8E" w:rsidRPr="00A858CD">
        <w:rPr>
          <w:rFonts w:eastAsia="TimesNewRoman" w:cs="TimesNewRoman"/>
        </w:rPr>
        <w:t xml:space="preserve"> území obce </w:t>
      </w:r>
      <w:r w:rsidR="0046610B">
        <w:rPr>
          <w:rFonts w:eastAsia="TimesNewRoman" w:cs="TimesNewRoman"/>
        </w:rPr>
        <w:t xml:space="preserve">by byla </w:t>
      </w:r>
      <w:r w:rsidR="00E82A24">
        <w:rPr>
          <w:rFonts w:eastAsia="TimesNewRoman" w:cs="TimesNewRoman"/>
        </w:rPr>
        <w:t>biková bučina, v jižní části území obce bučina s kyčelnicí devítilistou</w:t>
      </w:r>
      <w:r w:rsidRPr="00A858CD">
        <w:rPr>
          <w:rStyle w:val="Znakapoznpodarou"/>
          <w:rFonts w:eastAsia="TimesNewRoman" w:cs="TimesNewRoman"/>
        </w:rPr>
        <w:footnoteReference w:id="14"/>
      </w:r>
      <w:r w:rsidRPr="00A858CD">
        <w:rPr>
          <w:rFonts w:eastAsia="TimesNewRoman" w:cs="TimesNewRoman"/>
        </w:rPr>
        <w:t>.</w:t>
      </w:r>
      <w:r>
        <w:rPr>
          <w:rFonts w:eastAsia="TimesNewRoman" w:cs="TimesNewRoman"/>
        </w:rPr>
        <w:t xml:space="preserve"> Nahrazení přirozené vegetace monokulturou smrku má za následek sníženou schopnost retence území či větší náchylnost k poškození živými škůdci</w:t>
      </w:r>
      <w:r w:rsidR="00983E17">
        <w:rPr>
          <w:rFonts w:eastAsia="TimesNewRoman" w:cs="TimesNewRoman"/>
        </w:rPr>
        <w:t xml:space="preserve"> (např. kůrovec)</w:t>
      </w:r>
      <w:r>
        <w:rPr>
          <w:rFonts w:eastAsia="TimesNewRoman" w:cs="TimesNewRoman"/>
        </w:rPr>
        <w:t xml:space="preserve"> i vnějšími činiteli (např. mráz, vítr). Z fauny jsou typické běžné druhy lovné zvěře (srny, zajíci, divoká prasata atd.).</w:t>
      </w:r>
    </w:p>
    <w:p w14:paraId="1255155C" w14:textId="7C2A286D" w:rsidR="00B45004" w:rsidRDefault="00B45004" w:rsidP="00B45004">
      <w:pPr>
        <w:spacing w:after="160" w:line="259" w:lineRule="auto"/>
        <w:jc w:val="both"/>
        <w:rPr>
          <w:bCs/>
          <w:shd w:val="clear" w:color="auto" w:fill="FFFFFF"/>
        </w:rPr>
      </w:pPr>
      <w:r w:rsidRPr="001B2791">
        <w:rPr>
          <w:bCs/>
          <w:shd w:val="clear" w:color="auto" w:fill="FFFFFF"/>
        </w:rPr>
        <w:t xml:space="preserve">Z pedologického hlediska jsou na </w:t>
      </w:r>
      <w:r w:rsidR="00C77747">
        <w:rPr>
          <w:bCs/>
          <w:shd w:val="clear" w:color="auto" w:fill="FFFFFF"/>
        </w:rPr>
        <w:t>celém</w:t>
      </w:r>
      <w:r w:rsidR="006A2F31" w:rsidRPr="001B2791">
        <w:rPr>
          <w:bCs/>
          <w:shd w:val="clear" w:color="auto" w:fill="FFFFFF"/>
        </w:rPr>
        <w:t xml:space="preserve"> </w:t>
      </w:r>
      <w:r w:rsidRPr="001B2791">
        <w:rPr>
          <w:bCs/>
          <w:shd w:val="clear" w:color="auto" w:fill="FFFFFF"/>
        </w:rPr>
        <w:t xml:space="preserve">území obce zastoupeny </w:t>
      </w:r>
      <w:r w:rsidRPr="001B2791">
        <w:rPr>
          <w:b/>
          <w:bCs/>
          <w:shd w:val="clear" w:color="auto" w:fill="FFFFFF"/>
        </w:rPr>
        <w:t>kambizemě</w:t>
      </w:r>
      <w:r w:rsidR="00C77747">
        <w:rPr>
          <w:bCs/>
          <w:shd w:val="clear" w:color="auto" w:fill="FFFFFF"/>
        </w:rPr>
        <w:t>. Převážně se</w:t>
      </w:r>
      <w:r w:rsidR="006A2F31" w:rsidRPr="001B2791">
        <w:rPr>
          <w:bCs/>
          <w:shd w:val="clear" w:color="auto" w:fill="FFFFFF"/>
        </w:rPr>
        <w:t xml:space="preserve"> jedná o subtyp</w:t>
      </w:r>
      <w:r w:rsidR="001512FF">
        <w:rPr>
          <w:bCs/>
          <w:shd w:val="clear" w:color="auto" w:fill="FFFFFF"/>
        </w:rPr>
        <w:t xml:space="preserve"> </w:t>
      </w:r>
      <w:r w:rsidR="00A14933" w:rsidRPr="001B2791">
        <w:rPr>
          <w:bCs/>
          <w:shd w:val="clear" w:color="auto" w:fill="FFFFFF"/>
        </w:rPr>
        <w:t>kyselá</w:t>
      </w:r>
      <w:r w:rsidR="00C77747">
        <w:rPr>
          <w:bCs/>
          <w:shd w:val="clear" w:color="auto" w:fill="FFFFFF"/>
        </w:rPr>
        <w:t>, v severozápadní části území obce o subtyp modální</w:t>
      </w:r>
      <w:r w:rsidR="00CF5722" w:rsidRPr="001B2791">
        <w:rPr>
          <w:bCs/>
          <w:shd w:val="clear" w:color="auto" w:fill="FFFFFF"/>
        </w:rPr>
        <w:t xml:space="preserve"> (obrázek </w:t>
      </w:r>
      <w:r w:rsidR="003D2736">
        <w:rPr>
          <w:bCs/>
          <w:shd w:val="clear" w:color="auto" w:fill="FFFFFF"/>
        </w:rPr>
        <w:t>5</w:t>
      </w:r>
      <w:r w:rsidR="00CF5722" w:rsidRPr="001B2791">
        <w:rPr>
          <w:bCs/>
          <w:shd w:val="clear" w:color="auto" w:fill="FFFFFF"/>
        </w:rPr>
        <w:t>)</w:t>
      </w:r>
      <w:r w:rsidRPr="001B2791">
        <w:rPr>
          <w:rStyle w:val="Znakapoznpodarou"/>
          <w:bCs/>
          <w:shd w:val="clear" w:color="auto" w:fill="FFFFFF"/>
        </w:rPr>
        <w:footnoteReference w:id="15"/>
      </w:r>
      <w:r w:rsidRPr="001B2791">
        <w:rPr>
          <w:bCs/>
          <w:shd w:val="clear" w:color="auto" w:fill="FFFFFF"/>
        </w:rPr>
        <w:t>.</w:t>
      </w:r>
    </w:p>
    <w:p w14:paraId="18BEA263" w14:textId="137431E1" w:rsidR="003633DB" w:rsidRDefault="003633DB" w:rsidP="00B45004">
      <w:pPr>
        <w:spacing w:after="160" w:line="259" w:lineRule="auto"/>
        <w:jc w:val="both"/>
        <w:rPr>
          <w:bCs/>
          <w:shd w:val="clear" w:color="auto" w:fill="FFFFFF"/>
        </w:rPr>
      </w:pPr>
    </w:p>
    <w:p w14:paraId="65211D39" w14:textId="41F66B88" w:rsidR="00B45004" w:rsidRDefault="00B45004" w:rsidP="00B45004">
      <w:pPr>
        <w:pStyle w:val="OBRZEK0"/>
        <w:rPr>
          <w:shd w:val="clear" w:color="auto" w:fill="FFFFFF"/>
        </w:rPr>
      </w:pPr>
      <w:bookmarkStart w:id="66" w:name="_Toc32578391"/>
      <w:bookmarkStart w:id="67" w:name="_Toc104473126"/>
      <w:bookmarkStart w:id="68" w:name="_Toc120652024"/>
      <w:r>
        <w:rPr>
          <w:shd w:val="clear" w:color="auto" w:fill="FFFFFF"/>
        </w:rPr>
        <w:t xml:space="preserve">Obrázek </w:t>
      </w:r>
      <w:r w:rsidR="003D2736">
        <w:rPr>
          <w:shd w:val="clear" w:color="auto" w:fill="FFFFFF"/>
        </w:rPr>
        <w:t>5</w:t>
      </w:r>
      <w:r>
        <w:rPr>
          <w:shd w:val="clear" w:color="auto" w:fill="FFFFFF"/>
        </w:rPr>
        <w:t xml:space="preserve">: Zastoupení půdních typů na území obce </w:t>
      </w:r>
      <w:bookmarkEnd w:id="66"/>
      <w:r w:rsidR="00C77747">
        <w:rPr>
          <w:shd w:val="clear" w:color="auto" w:fill="FFFFFF"/>
        </w:rPr>
        <w:t>Staré Buky</w:t>
      </w:r>
      <w:bookmarkEnd w:id="67"/>
      <w:bookmarkEnd w:id="68"/>
    </w:p>
    <w:p w14:paraId="426AF364" w14:textId="7EA34BDC" w:rsidR="00B45004" w:rsidRDefault="00C77747" w:rsidP="00B45004">
      <w:pPr>
        <w:spacing w:line="259" w:lineRule="auto"/>
        <w:jc w:val="center"/>
        <w:rPr>
          <w:rFonts w:eastAsia="RWXLTG+TimesNewRoman" w:cs="RWXLTG+TimesNewRoman"/>
        </w:rPr>
      </w:pPr>
      <w:r>
        <w:rPr>
          <w:rFonts w:eastAsia="RWXLTG+TimesNewRoman" w:cs="RWXLTG+TimesNewRoman"/>
          <w:noProof/>
        </w:rPr>
        <w:drawing>
          <wp:inline distT="0" distB="0" distL="0" distR="0" wp14:anchorId="59A23087" wp14:editId="7D803778">
            <wp:extent cx="2903220" cy="3507538"/>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27">
                      <a:extLst>
                        <a:ext uri="{28A0092B-C50C-407E-A947-70E740481C1C}">
                          <a14:useLocalDpi xmlns:a14="http://schemas.microsoft.com/office/drawing/2010/main" val="0"/>
                        </a:ext>
                      </a:extLst>
                    </a:blip>
                    <a:stretch>
                      <a:fillRect/>
                    </a:stretch>
                  </pic:blipFill>
                  <pic:spPr>
                    <a:xfrm>
                      <a:off x="0" y="0"/>
                      <a:ext cx="2906721" cy="3511768"/>
                    </a:xfrm>
                    <a:prstGeom prst="rect">
                      <a:avLst/>
                    </a:prstGeom>
                  </pic:spPr>
                </pic:pic>
              </a:graphicData>
            </a:graphic>
          </wp:inline>
        </w:drawing>
      </w:r>
    </w:p>
    <w:p w14:paraId="1C081B72" w14:textId="251F8CEB" w:rsidR="00B45004" w:rsidRPr="00223B38" w:rsidRDefault="00B45004" w:rsidP="00B45004">
      <w:pPr>
        <w:spacing w:after="160" w:line="259" w:lineRule="auto"/>
        <w:jc w:val="both"/>
        <w:rPr>
          <w:rFonts w:eastAsia="RWXLTG+TimesNewRoman" w:cs="RWXLTG+TimesNewRoman"/>
          <w:sz w:val="20"/>
          <w:szCs w:val="20"/>
        </w:rPr>
      </w:pPr>
      <w:r w:rsidRPr="00223B38">
        <w:rPr>
          <w:rFonts w:eastAsia="RWXLTG+TimesNewRoman" w:cs="RWXLTG+TimesNewRoman"/>
          <w:b/>
          <w:sz w:val="20"/>
          <w:szCs w:val="20"/>
        </w:rPr>
        <w:t>Zdroj:</w:t>
      </w:r>
      <w:r w:rsidRPr="00223B38">
        <w:rPr>
          <w:rFonts w:eastAsia="RWXLTG+TimesNewRoman" w:cs="RWXLTG+TimesNewRoman"/>
          <w:sz w:val="20"/>
          <w:szCs w:val="20"/>
        </w:rPr>
        <w:t xml:space="preserve"> </w:t>
      </w:r>
      <w:r w:rsidRPr="006422B5">
        <w:rPr>
          <w:rFonts w:ascii="Calibri" w:eastAsia="Calibri" w:hAnsi="Calibri" w:cs="Times New Roman"/>
          <w:sz w:val="20"/>
          <w:szCs w:val="20"/>
        </w:rPr>
        <w:t xml:space="preserve">Internetové stránky Národního geoportálu INSPIRE </w:t>
      </w:r>
      <w:hyperlink r:id="rId28" w:history="1">
        <w:r w:rsidR="000E5D21" w:rsidRPr="008D7437">
          <w:rPr>
            <w:rStyle w:val="Hypertextovodkaz"/>
            <w:rFonts w:ascii="Calibri" w:eastAsia="Calibri" w:hAnsi="Calibri" w:cs="Times New Roman"/>
            <w:sz w:val="20"/>
            <w:szCs w:val="20"/>
          </w:rPr>
          <w:t>https://geoportal.gov.cz/</w:t>
        </w:r>
      </w:hyperlink>
    </w:p>
    <w:p w14:paraId="7E11AF44" w14:textId="73801C3E" w:rsidR="003D2736" w:rsidRDefault="003D2736" w:rsidP="008147E6">
      <w:pPr>
        <w:spacing w:after="160" w:line="259" w:lineRule="auto"/>
        <w:jc w:val="both"/>
        <w:rPr>
          <w:rFonts w:eastAsia="TimesNewRoman" w:cs="TimesNewRoman"/>
        </w:rPr>
      </w:pPr>
      <w:r>
        <w:rPr>
          <w:rFonts w:eastAsia="TimesNewRoman" w:cs="TimesNewRoman"/>
        </w:rPr>
        <w:br w:type="page"/>
      </w:r>
    </w:p>
    <w:p w14:paraId="32179B04" w14:textId="17FCF6EE" w:rsidR="00A459FD" w:rsidRPr="0023345A" w:rsidRDefault="00A459FD" w:rsidP="00A459FD">
      <w:pPr>
        <w:pStyle w:val="GRAF0"/>
        <w:rPr>
          <w:rFonts w:eastAsia="RWXLTG+TimesNewRoman" w:cs="RWXLTG+TimesNewRoman"/>
        </w:rPr>
      </w:pPr>
      <w:bookmarkStart w:id="69" w:name="_Toc450153539"/>
      <w:bookmarkStart w:id="70" w:name="_Toc32577901"/>
      <w:bookmarkStart w:id="71" w:name="_Toc104472746"/>
      <w:bookmarkStart w:id="72" w:name="_Toc120651980"/>
      <w:r w:rsidRPr="0023345A">
        <w:rPr>
          <w:rFonts w:eastAsia="RWXLTG+TimesNewRoman" w:cs="RWXLTG+TimesNewRoman"/>
        </w:rPr>
        <w:lastRenderedPageBreak/>
        <w:t xml:space="preserve">Graf 1: </w:t>
      </w:r>
      <w:r w:rsidRPr="0023345A">
        <w:t xml:space="preserve">Struktura druhů pozemků v obci </w:t>
      </w:r>
      <w:r w:rsidR="00C946A6">
        <w:t>Staré Buky</w:t>
      </w:r>
      <w:r w:rsidRPr="0023345A">
        <w:t xml:space="preserve"> k </w:t>
      </w:r>
      <w:r w:rsidR="00C946A6">
        <w:t>8</w:t>
      </w:r>
      <w:r w:rsidRPr="0023345A">
        <w:t xml:space="preserve">. </w:t>
      </w:r>
      <w:r w:rsidR="00C946A6">
        <w:t>5</w:t>
      </w:r>
      <w:r w:rsidRPr="0023345A">
        <w:t>. 202</w:t>
      </w:r>
      <w:r>
        <w:t>2</w:t>
      </w:r>
      <w:r w:rsidRPr="0023345A">
        <w:t xml:space="preserve"> (v %)</w:t>
      </w:r>
      <w:bookmarkEnd w:id="69"/>
      <w:bookmarkEnd w:id="70"/>
      <w:bookmarkEnd w:id="71"/>
      <w:bookmarkEnd w:id="72"/>
    </w:p>
    <w:p w14:paraId="4EA2AD50" w14:textId="45AD08F6" w:rsidR="00A459FD" w:rsidRPr="00A910D9" w:rsidRDefault="00D76098" w:rsidP="00A459FD">
      <w:pPr>
        <w:spacing w:line="360" w:lineRule="auto"/>
        <w:jc w:val="center"/>
        <w:rPr>
          <w:rFonts w:eastAsia="RWXLTG+TimesNewRoman" w:cs="RWXLTG+TimesNewRoman"/>
          <w:highlight w:val="yellow"/>
        </w:rPr>
      </w:pPr>
      <w:r>
        <w:rPr>
          <w:noProof/>
        </w:rPr>
        <w:drawing>
          <wp:inline distT="0" distB="0" distL="0" distR="0" wp14:anchorId="1A3D964B" wp14:editId="47BB7551">
            <wp:extent cx="4853940" cy="3230880"/>
            <wp:effectExtent l="0" t="0" r="3810" b="7620"/>
            <wp:docPr id="1" name="Graf 1">
              <a:extLst xmlns:a="http://schemas.openxmlformats.org/drawingml/2006/main">
                <a:ext uri="{FF2B5EF4-FFF2-40B4-BE49-F238E27FC236}">
                  <a16:creationId xmlns:a16="http://schemas.microsoft.com/office/drawing/2014/main" id="{20D33B76-F421-4F38-8343-CA531A9D3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DFAD21" w14:textId="77777777" w:rsidR="00A459FD" w:rsidRPr="0023345A" w:rsidRDefault="00A459FD" w:rsidP="00A459FD">
      <w:pPr>
        <w:spacing w:after="160" w:line="259" w:lineRule="auto"/>
        <w:jc w:val="both"/>
        <w:rPr>
          <w:rFonts w:eastAsia="TimesNewRoman" w:cs="TimesNewRoman"/>
        </w:rPr>
      </w:pPr>
      <w:r w:rsidRPr="0023345A">
        <w:rPr>
          <w:rFonts w:eastAsia="TimesNewRoman" w:cs="TimesNewRoman"/>
          <w:b/>
          <w:sz w:val="20"/>
          <w:szCs w:val="20"/>
        </w:rPr>
        <w:t>Zdroj:</w:t>
      </w:r>
      <w:r w:rsidRPr="0023345A">
        <w:rPr>
          <w:sz w:val="20"/>
          <w:szCs w:val="20"/>
        </w:rPr>
        <w:t xml:space="preserve"> Aplikace Českého úřadu zeměměřického a katastrálního „Nahlížení do katastru nemovitostí“ </w:t>
      </w:r>
      <w:hyperlink r:id="rId30" w:history="1">
        <w:r w:rsidRPr="0023345A">
          <w:rPr>
            <w:rStyle w:val="Hypertextovodkaz"/>
            <w:rFonts w:eastAsia="TimesNewRoman" w:cs="TimesNewRoman"/>
            <w:sz w:val="20"/>
            <w:szCs w:val="20"/>
          </w:rPr>
          <w:t>https://nahlizenidokn.cuzk.cz/</w:t>
        </w:r>
      </w:hyperlink>
    </w:p>
    <w:p w14:paraId="0D01A761" w14:textId="77777777" w:rsidR="00A459FD" w:rsidRPr="00A910D9" w:rsidRDefault="00A459FD" w:rsidP="00A459FD">
      <w:pPr>
        <w:spacing w:after="160" w:line="259" w:lineRule="auto"/>
        <w:jc w:val="both"/>
        <w:rPr>
          <w:rFonts w:eastAsia="TimesNewRoman" w:cs="TimesNewRoman"/>
          <w:highlight w:val="yellow"/>
        </w:rPr>
      </w:pPr>
    </w:p>
    <w:p w14:paraId="5F6D4FA9" w14:textId="77777777" w:rsidR="00D76098" w:rsidRDefault="00D76098" w:rsidP="00A459FD">
      <w:pPr>
        <w:spacing w:after="160" w:line="259" w:lineRule="auto"/>
        <w:jc w:val="both"/>
        <w:rPr>
          <w:rFonts w:eastAsia="TimesNewRoman" w:cs="TimesNewRoman"/>
        </w:rPr>
      </w:pPr>
    </w:p>
    <w:p w14:paraId="508F4F8D" w14:textId="77777777" w:rsidR="00D76098" w:rsidRDefault="00D76098" w:rsidP="00D76098">
      <w:pPr>
        <w:spacing w:after="160" w:line="259" w:lineRule="auto"/>
        <w:jc w:val="both"/>
        <w:rPr>
          <w:rFonts w:eastAsia="RWXLTG+TimesNewRoman" w:cs="RWXLTG+TimesNewRoman"/>
        </w:rPr>
      </w:pPr>
      <w:r w:rsidRPr="00633BC7">
        <w:rPr>
          <w:rFonts w:eastAsia="RWXLTG+TimesNewRoman" w:cs="RWXLTG+TimesNewRoman"/>
        </w:rPr>
        <w:t xml:space="preserve">Co se týče struktury krajiny, tak k </w:t>
      </w:r>
      <w:r>
        <w:rPr>
          <w:rFonts w:eastAsia="RWXLTG+TimesNewRoman" w:cs="RWXLTG+TimesNewRoman"/>
        </w:rPr>
        <w:t>8</w:t>
      </w:r>
      <w:r w:rsidRPr="00633BC7">
        <w:rPr>
          <w:rFonts w:eastAsia="RWXLTG+TimesNewRoman" w:cs="RWXLTG+TimesNewRoman"/>
        </w:rPr>
        <w:t xml:space="preserve">. </w:t>
      </w:r>
      <w:r>
        <w:rPr>
          <w:rFonts w:eastAsia="RWXLTG+TimesNewRoman" w:cs="RWXLTG+TimesNewRoman"/>
        </w:rPr>
        <w:t>5</w:t>
      </w:r>
      <w:r w:rsidRPr="00633BC7">
        <w:rPr>
          <w:rFonts w:eastAsia="RWXLTG+TimesNewRoman" w:cs="RWXLTG+TimesNewRoman"/>
        </w:rPr>
        <w:t>. 202</w:t>
      </w:r>
      <w:r>
        <w:rPr>
          <w:rFonts w:eastAsia="RWXLTG+TimesNewRoman" w:cs="RWXLTG+TimesNewRoman"/>
        </w:rPr>
        <w:t>2</w:t>
      </w:r>
      <w:r w:rsidRPr="00633BC7">
        <w:rPr>
          <w:rFonts w:eastAsia="RWXLTG+TimesNewRoman" w:cs="RWXLTG+TimesNewRoman"/>
        </w:rPr>
        <w:t xml:space="preserve"> </w:t>
      </w:r>
      <w:r w:rsidRPr="00633BC7">
        <w:rPr>
          <w:rFonts w:eastAsia="RWXLTG+TimesNewRoman" w:cs="RWXLTG+TimesNewRoman"/>
          <w:b/>
        </w:rPr>
        <w:t>největší podíl zaujíma</w:t>
      </w:r>
      <w:r>
        <w:rPr>
          <w:rFonts w:eastAsia="RWXLTG+TimesNewRoman" w:cs="RWXLTG+TimesNewRoman"/>
          <w:b/>
        </w:rPr>
        <w:t>ly</w:t>
      </w:r>
      <w:r w:rsidRPr="00633BC7">
        <w:rPr>
          <w:rFonts w:eastAsia="RWXLTG+TimesNewRoman" w:cs="RWXLTG+TimesNewRoman"/>
          <w:b/>
        </w:rPr>
        <w:t xml:space="preserve"> lesní pozemky</w:t>
      </w:r>
      <w:r w:rsidRPr="00633BC7">
        <w:rPr>
          <w:rFonts w:eastAsia="RWXLTG+TimesNewRoman" w:cs="RWXLTG+TimesNewRoman"/>
        </w:rPr>
        <w:t xml:space="preserve"> (</w:t>
      </w:r>
      <w:r>
        <w:rPr>
          <w:rFonts w:eastAsia="RWXLTG+TimesNewRoman" w:cs="RWXLTG+TimesNewRoman"/>
        </w:rPr>
        <w:t>765,8</w:t>
      </w:r>
      <w:r w:rsidRPr="00633BC7">
        <w:rPr>
          <w:rFonts w:eastAsia="RWXLTG+TimesNewRoman" w:cs="RWXLTG+TimesNewRoman"/>
        </w:rPr>
        <w:t xml:space="preserve"> ha, </w:t>
      </w:r>
      <w:r>
        <w:rPr>
          <w:rFonts w:eastAsia="RWXLTG+TimesNewRoman" w:cs="RWXLTG+TimesNewRoman"/>
        </w:rPr>
        <w:t>42</w:t>
      </w:r>
      <w:r w:rsidRPr="00633BC7">
        <w:rPr>
          <w:rFonts w:eastAsia="RWXLTG+TimesNewRoman" w:cs="RWXLTG+TimesNewRoman"/>
        </w:rPr>
        <w:t>,</w:t>
      </w:r>
      <w:r>
        <w:rPr>
          <w:rFonts w:eastAsia="RWXLTG+TimesNewRoman" w:cs="RWXLTG+TimesNewRoman"/>
        </w:rPr>
        <w:t>8</w:t>
      </w:r>
      <w:r w:rsidRPr="00633BC7">
        <w:rPr>
          <w:rFonts w:eastAsia="RWXLTG+TimesNewRoman" w:cs="RWXLTG+TimesNewRoman"/>
        </w:rPr>
        <w:t xml:space="preserve"> % území obce). Násled</w:t>
      </w:r>
      <w:r>
        <w:rPr>
          <w:rFonts w:eastAsia="RWXLTG+TimesNewRoman" w:cs="RWXLTG+TimesNewRoman"/>
        </w:rPr>
        <w:t>ovaly</w:t>
      </w:r>
      <w:r w:rsidRPr="00633BC7">
        <w:rPr>
          <w:rFonts w:eastAsia="RWXLTG+TimesNewRoman" w:cs="RWXLTG+TimesNewRoman"/>
        </w:rPr>
        <w:t xml:space="preserve"> </w:t>
      </w:r>
      <w:r w:rsidRPr="00633BC7">
        <w:rPr>
          <w:rFonts w:eastAsia="RWXLTG+TimesNewRoman" w:cs="RWXLTG+TimesNewRoman"/>
          <w:b/>
        </w:rPr>
        <w:t>trvalé travní porosty</w:t>
      </w:r>
      <w:r w:rsidRPr="00633BC7">
        <w:rPr>
          <w:rFonts w:eastAsia="RWXLTG+TimesNewRoman" w:cs="RWXLTG+TimesNewRoman"/>
        </w:rPr>
        <w:t xml:space="preserve"> (</w:t>
      </w:r>
      <w:r>
        <w:rPr>
          <w:rFonts w:eastAsia="RWXLTG+TimesNewRoman" w:cs="RWXLTG+TimesNewRoman"/>
        </w:rPr>
        <w:t>481,9</w:t>
      </w:r>
      <w:r w:rsidRPr="00633BC7">
        <w:rPr>
          <w:rFonts w:eastAsia="RWXLTG+TimesNewRoman" w:cs="RWXLTG+TimesNewRoman"/>
        </w:rPr>
        <w:t xml:space="preserve"> ha, </w:t>
      </w:r>
      <w:r>
        <w:rPr>
          <w:rFonts w:eastAsia="RWXLTG+TimesNewRoman" w:cs="RWXLTG+TimesNewRoman"/>
        </w:rPr>
        <w:t>26,9</w:t>
      </w:r>
      <w:r w:rsidRPr="00633BC7">
        <w:rPr>
          <w:rFonts w:eastAsia="RWXLTG+TimesNewRoman" w:cs="RWXLTG+TimesNewRoman"/>
        </w:rPr>
        <w:t xml:space="preserve"> %)</w:t>
      </w:r>
      <w:r>
        <w:rPr>
          <w:rFonts w:eastAsia="RWXLTG+TimesNewRoman" w:cs="RWXLTG+TimesNewRoman"/>
        </w:rPr>
        <w:t xml:space="preserve"> a </w:t>
      </w:r>
      <w:r w:rsidRPr="00633BC7">
        <w:rPr>
          <w:rFonts w:eastAsia="RWXLTG+TimesNewRoman" w:cs="RWXLTG+TimesNewRoman"/>
          <w:b/>
        </w:rPr>
        <w:t xml:space="preserve">orná půda </w:t>
      </w:r>
      <w:r w:rsidRPr="00633BC7">
        <w:rPr>
          <w:rFonts w:eastAsia="RWXLTG+TimesNewRoman" w:cs="RWXLTG+TimesNewRoman"/>
        </w:rPr>
        <w:t>(</w:t>
      </w:r>
      <w:r>
        <w:rPr>
          <w:rFonts w:eastAsia="RWXLTG+TimesNewRoman" w:cs="RWXLTG+TimesNewRoman"/>
        </w:rPr>
        <w:t>360,6</w:t>
      </w:r>
      <w:r w:rsidRPr="00633BC7">
        <w:rPr>
          <w:rFonts w:eastAsia="RWXLTG+TimesNewRoman" w:cs="RWXLTG+TimesNewRoman"/>
        </w:rPr>
        <w:t xml:space="preserve"> ha, </w:t>
      </w:r>
      <w:r>
        <w:rPr>
          <w:rFonts w:eastAsia="RWXLTG+TimesNewRoman" w:cs="RWXLTG+TimesNewRoman"/>
        </w:rPr>
        <w:t>20,2</w:t>
      </w:r>
      <w:r w:rsidRPr="00633BC7">
        <w:rPr>
          <w:rFonts w:eastAsia="RWXLTG+TimesNewRoman" w:cs="RWXLTG+TimesNewRoman"/>
        </w:rPr>
        <w:t xml:space="preserve"> %)</w:t>
      </w:r>
      <w:r>
        <w:rPr>
          <w:rFonts w:eastAsia="RWXLTG+TimesNewRoman" w:cs="RWXLTG+TimesNewRoman"/>
        </w:rPr>
        <w:t>.</w:t>
      </w:r>
    </w:p>
    <w:p w14:paraId="24EBC537" w14:textId="77777777" w:rsidR="00D76098" w:rsidRPr="00633BC7" w:rsidRDefault="00D76098" w:rsidP="00D76098">
      <w:pPr>
        <w:spacing w:after="160" w:line="259" w:lineRule="auto"/>
        <w:jc w:val="both"/>
        <w:rPr>
          <w:rFonts w:eastAsia="RWXLTG+TimesNewRoman" w:cs="RWXLTG+TimesNewRoman"/>
        </w:rPr>
      </w:pPr>
      <w:r w:rsidRPr="00633BC7">
        <w:rPr>
          <w:rFonts w:eastAsia="RWXLTG+TimesNewRoman" w:cs="RWXLTG+TimesNewRoman"/>
        </w:rPr>
        <w:t xml:space="preserve">Další druhy pozemků </w:t>
      </w:r>
      <w:r>
        <w:rPr>
          <w:rFonts w:eastAsia="RWXLTG+TimesNewRoman" w:cs="RWXLTG+TimesNewRoman"/>
        </w:rPr>
        <w:t>byly</w:t>
      </w:r>
      <w:r w:rsidRPr="00633BC7">
        <w:rPr>
          <w:rFonts w:eastAsia="RWXLTG+TimesNewRoman" w:cs="RWXLTG+TimesNewRoman"/>
        </w:rPr>
        <w:t xml:space="preserve"> svojí výměrou zastoupeny méně – </w:t>
      </w:r>
      <w:r>
        <w:rPr>
          <w:rFonts w:eastAsia="RWXLTG+TimesNewRoman" w:cs="RWXLTG+TimesNewRoman"/>
        </w:rPr>
        <w:t xml:space="preserve">ostatní plochy (120,3 ha, 6,7 %), </w:t>
      </w:r>
      <w:r w:rsidRPr="00633BC7">
        <w:rPr>
          <w:rFonts w:eastAsia="RWXLTG+TimesNewRoman" w:cs="RWXLTG+TimesNewRoman"/>
        </w:rPr>
        <w:t>vodní plochy (</w:t>
      </w:r>
      <w:r>
        <w:rPr>
          <w:rFonts w:eastAsia="RWXLTG+TimesNewRoman" w:cs="RWXLTG+TimesNewRoman"/>
        </w:rPr>
        <w:t>27,1</w:t>
      </w:r>
      <w:r w:rsidRPr="00633BC7">
        <w:rPr>
          <w:rFonts w:eastAsia="RWXLTG+TimesNewRoman" w:cs="RWXLTG+TimesNewRoman"/>
        </w:rPr>
        <w:t xml:space="preserve"> ha, </w:t>
      </w:r>
      <w:r>
        <w:rPr>
          <w:rFonts w:eastAsia="RWXLTG+TimesNewRoman" w:cs="RWXLTG+TimesNewRoman"/>
        </w:rPr>
        <w:t>1</w:t>
      </w:r>
      <w:r w:rsidRPr="00633BC7">
        <w:rPr>
          <w:rFonts w:eastAsia="RWXLTG+TimesNewRoman" w:cs="RWXLTG+TimesNewRoman"/>
        </w:rPr>
        <w:t>,</w:t>
      </w:r>
      <w:r>
        <w:rPr>
          <w:rFonts w:eastAsia="RWXLTG+TimesNewRoman" w:cs="RWXLTG+TimesNewRoman"/>
        </w:rPr>
        <w:t>5</w:t>
      </w:r>
      <w:r w:rsidRPr="00633BC7">
        <w:rPr>
          <w:rFonts w:eastAsia="RWXLTG+TimesNewRoman" w:cs="RWXLTG+TimesNewRoman"/>
        </w:rPr>
        <w:t xml:space="preserve"> %)</w:t>
      </w:r>
      <w:r>
        <w:rPr>
          <w:rFonts w:eastAsia="RWXLTG+TimesNewRoman" w:cs="RWXLTG+TimesNewRoman"/>
        </w:rPr>
        <w:t>,</w:t>
      </w:r>
      <w:r w:rsidRPr="00633BC7">
        <w:rPr>
          <w:rFonts w:eastAsia="RWXLTG+TimesNewRoman" w:cs="RWXLTG+TimesNewRoman"/>
        </w:rPr>
        <w:t xml:space="preserve"> </w:t>
      </w:r>
      <w:r w:rsidRPr="00633BC7">
        <w:rPr>
          <w:rFonts w:eastAsia="RWXLTG+TimesNewRoman" w:cs="RWXLTG+TimesNewRoman"/>
          <w:bCs/>
        </w:rPr>
        <w:t>zahrady</w:t>
      </w:r>
      <w:r w:rsidRPr="00633BC7">
        <w:rPr>
          <w:rFonts w:eastAsia="RWXLTG+TimesNewRoman" w:cs="RWXLTG+TimesNewRoman"/>
        </w:rPr>
        <w:t xml:space="preserve"> (</w:t>
      </w:r>
      <w:r>
        <w:rPr>
          <w:rFonts w:eastAsia="RWXLTG+TimesNewRoman" w:cs="RWXLTG+TimesNewRoman"/>
        </w:rPr>
        <w:t>23,8</w:t>
      </w:r>
      <w:r w:rsidRPr="00633BC7">
        <w:rPr>
          <w:rFonts w:eastAsia="RWXLTG+TimesNewRoman" w:cs="RWXLTG+TimesNewRoman"/>
        </w:rPr>
        <w:t xml:space="preserve"> ha, </w:t>
      </w:r>
      <w:r>
        <w:rPr>
          <w:rFonts w:eastAsia="RWXLTG+TimesNewRoman" w:cs="RWXLTG+TimesNewRoman"/>
        </w:rPr>
        <w:t>1,3</w:t>
      </w:r>
      <w:r w:rsidRPr="00633BC7">
        <w:rPr>
          <w:rFonts w:eastAsia="RWXLTG+TimesNewRoman" w:cs="RWXLTG+TimesNewRoman"/>
        </w:rPr>
        <w:t xml:space="preserve"> %)</w:t>
      </w:r>
      <w:r>
        <w:rPr>
          <w:rFonts w:eastAsia="RWXLTG+TimesNewRoman" w:cs="RWXLTG+TimesNewRoman"/>
        </w:rPr>
        <w:t xml:space="preserve"> a</w:t>
      </w:r>
      <w:r w:rsidRPr="00633BC7">
        <w:rPr>
          <w:rFonts w:eastAsia="RWXLTG+TimesNewRoman" w:cs="RWXLTG+TimesNewRoman"/>
        </w:rPr>
        <w:t xml:space="preserve"> zastavěné plochy (</w:t>
      </w:r>
      <w:r>
        <w:rPr>
          <w:rFonts w:eastAsia="RWXLTG+TimesNewRoman" w:cs="RWXLTG+TimesNewRoman"/>
        </w:rPr>
        <w:t>10,1</w:t>
      </w:r>
      <w:r w:rsidRPr="00633BC7">
        <w:rPr>
          <w:rFonts w:eastAsia="RWXLTG+TimesNewRoman" w:cs="RWXLTG+TimesNewRoman"/>
        </w:rPr>
        <w:t xml:space="preserve"> ha, </w:t>
      </w:r>
      <w:r>
        <w:rPr>
          <w:rFonts w:eastAsia="RWXLTG+TimesNewRoman" w:cs="RWXLTG+TimesNewRoman"/>
        </w:rPr>
        <w:t>0,6</w:t>
      </w:r>
      <w:r w:rsidRPr="00633BC7">
        <w:rPr>
          <w:rFonts w:eastAsia="RWXLTG+TimesNewRoman" w:cs="RWXLTG+TimesNewRoman"/>
        </w:rPr>
        <w:t xml:space="preserve"> %)</w:t>
      </w:r>
      <w:r w:rsidRPr="00633BC7">
        <w:rPr>
          <w:rFonts w:eastAsia="RWXLTG+TimesNewRoman" w:cs="RWXLTG+TimesNewRoman"/>
          <w:vertAlign w:val="superscript"/>
        </w:rPr>
        <w:footnoteReference w:id="16"/>
      </w:r>
      <w:r w:rsidRPr="00633BC7">
        <w:rPr>
          <w:rFonts w:eastAsia="RWXLTG+TimesNewRoman" w:cs="RWXLTG+TimesNewRoman"/>
        </w:rPr>
        <w:t>. Struktura druhů pozemků v obci je graficky znázorněna na grafu 1.</w:t>
      </w:r>
    </w:p>
    <w:p w14:paraId="36EA2B63" w14:textId="77777777" w:rsidR="00D76098" w:rsidRDefault="00D76098" w:rsidP="00A459FD">
      <w:pPr>
        <w:spacing w:after="160" w:line="259" w:lineRule="auto"/>
        <w:jc w:val="both"/>
        <w:rPr>
          <w:rFonts w:eastAsia="TimesNewRoman" w:cs="TimesNewRoman"/>
        </w:rPr>
      </w:pPr>
    </w:p>
    <w:p w14:paraId="137EE64B" w14:textId="7540E71F" w:rsidR="00A459FD" w:rsidRPr="000F522A" w:rsidRDefault="00A459FD" w:rsidP="00A459FD">
      <w:pPr>
        <w:spacing w:after="160" w:line="259" w:lineRule="auto"/>
        <w:jc w:val="both"/>
        <w:rPr>
          <w:rFonts w:eastAsia="TimesNewRoman" w:cs="TimesNewRoman"/>
        </w:rPr>
      </w:pPr>
      <w:r w:rsidRPr="000F522A">
        <w:rPr>
          <w:rFonts w:eastAsia="TimesNewRoman" w:cs="TimesNewRoman"/>
        </w:rPr>
        <w:t xml:space="preserve">Struktura druhů pozemků půdního fondu podle jednotlivých k.ú. je zobrazena v tabulce 2, kde jsou absolutní hodnoty uvedené v hektarech, a v grafu 2, kde je znázorněno procentuální zastoupení druhů pozemků v jednotlivých k.ú. obce </w:t>
      </w:r>
      <w:r w:rsidR="00FB4305">
        <w:rPr>
          <w:rFonts w:eastAsia="TimesNewRoman" w:cs="TimesNewRoman"/>
        </w:rPr>
        <w:t>Staré Buky</w:t>
      </w:r>
      <w:r w:rsidRPr="000F522A">
        <w:rPr>
          <w:rFonts w:eastAsia="TimesNewRoman" w:cs="TimesNewRoman"/>
        </w:rPr>
        <w:t>.</w:t>
      </w:r>
    </w:p>
    <w:p w14:paraId="06558B9D" w14:textId="34821E60" w:rsidR="003D2736" w:rsidRDefault="003D2736" w:rsidP="00A459FD">
      <w:pPr>
        <w:spacing w:after="160" w:line="259" w:lineRule="auto"/>
        <w:jc w:val="both"/>
        <w:rPr>
          <w:rFonts w:eastAsia="TimesNewRoman" w:cs="TimesNewRoman"/>
        </w:rPr>
      </w:pPr>
      <w:r>
        <w:rPr>
          <w:rFonts w:eastAsia="TimesNewRoman" w:cs="TimesNewRoman"/>
        </w:rPr>
        <w:br w:type="page"/>
      </w:r>
    </w:p>
    <w:p w14:paraId="1AD9BAA3" w14:textId="0C8B589F" w:rsidR="00A459FD" w:rsidRPr="00745390" w:rsidRDefault="00A459FD" w:rsidP="00745390">
      <w:pPr>
        <w:pStyle w:val="TABULKA0"/>
      </w:pPr>
      <w:bookmarkStart w:id="74" w:name="_Toc441221906"/>
      <w:bookmarkStart w:id="75" w:name="_Toc32577778"/>
      <w:bookmarkStart w:id="76" w:name="_Toc120651924"/>
      <w:r w:rsidRPr="00745390">
        <w:lastRenderedPageBreak/>
        <w:t xml:space="preserve">Tabulka 2: Struktura druhů pozemků půdního fondu v obci </w:t>
      </w:r>
      <w:r w:rsidR="00745390">
        <w:t>Staré Buky</w:t>
      </w:r>
      <w:r w:rsidRPr="00745390">
        <w:t xml:space="preserve"> podle katastrálních území k </w:t>
      </w:r>
      <w:r w:rsidR="00745390">
        <w:t>8</w:t>
      </w:r>
      <w:r w:rsidRPr="00745390">
        <w:t xml:space="preserve">. </w:t>
      </w:r>
      <w:r w:rsidR="00745390">
        <w:t>5</w:t>
      </w:r>
      <w:r w:rsidRPr="00745390">
        <w:t>. 2022 (v ha)</w:t>
      </w:r>
      <w:bookmarkEnd w:id="74"/>
      <w:bookmarkEnd w:id="75"/>
      <w:bookmarkEnd w:id="76"/>
    </w:p>
    <w:tbl>
      <w:tblPr>
        <w:tblW w:w="4723" w:type="pct"/>
        <w:jc w:val="center"/>
        <w:tblLayout w:type="fixed"/>
        <w:tblCellMar>
          <w:left w:w="70" w:type="dxa"/>
          <w:right w:w="70" w:type="dxa"/>
        </w:tblCellMar>
        <w:tblLook w:val="04A0" w:firstRow="1" w:lastRow="0" w:firstColumn="1" w:lastColumn="0" w:noHBand="0" w:noVBand="1"/>
      </w:tblPr>
      <w:tblGrid>
        <w:gridCol w:w="2379"/>
        <w:gridCol w:w="1525"/>
        <w:gridCol w:w="1594"/>
        <w:gridCol w:w="1646"/>
        <w:gridCol w:w="1558"/>
      </w:tblGrid>
      <w:tr w:rsidR="00360527" w:rsidRPr="00CB0F5E" w14:paraId="3530D2E1" w14:textId="77777777" w:rsidTr="00360527">
        <w:trPr>
          <w:trHeight w:val="23"/>
          <w:jc w:val="center"/>
        </w:trPr>
        <w:tc>
          <w:tcPr>
            <w:tcW w:w="1367" w:type="pct"/>
            <w:vMerge w:val="restart"/>
            <w:tcBorders>
              <w:top w:val="single" w:sz="18" w:space="0" w:color="auto"/>
              <w:left w:val="single" w:sz="18" w:space="0" w:color="auto"/>
              <w:bottom w:val="single" w:sz="12" w:space="0" w:color="auto"/>
              <w:right w:val="single" w:sz="12" w:space="0" w:color="auto"/>
            </w:tcBorders>
            <w:shd w:val="clear" w:color="auto" w:fill="FFC000"/>
            <w:noWrap/>
            <w:vAlign w:val="center"/>
            <w:hideMark/>
          </w:tcPr>
          <w:p w14:paraId="2DD9C653" w14:textId="77777777" w:rsidR="00A459FD" w:rsidRPr="00CB0F5E" w:rsidRDefault="00A459FD" w:rsidP="00542759">
            <w:pPr>
              <w:jc w:val="center"/>
              <w:rPr>
                <w:rFonts w:eastAsia="Times New Roman" w:cstheme="minorHAnsi"/>
                <w:b/>
                <w:color w:val="000000"/>
                <w:sz w:val="20"/>
                <w:szCs w:val="20"/>
                <w:lang w:eastAsia="cs-CZ"/>
              </w:rPr>
            </w:pPr>
            <w:r w:rsidRPr="00CB0F5E">
              <w:rPr>
                <w:rFonts w:eastAsia="Times New Roman" w:cstheme="minorHAnsi"/>
                <w:b/>
                <w:color w:val="000000"/>
                <w:sz w:val="20"/>
                <w:szCs w:val="20"/>
                <w:lang w:eastAsia="cs-CZ"/>
              </w:rPr>
              <w:t>Druh pozemku</w:t>
            </w:r>
          </w:p>
        </w:tc>
        <w:tc>
          <w:tcPr>
            <w:tcW w:w="2738" w:type="pct"/>
            <w:gridSpan w:val="3"/>
            <w:tcBorders>
              <w:top w:val="single" w:sz="18" w:space="0" w:color="auto"/>
              <w:left w:val="single" w:sz="12" w:space="0" w:color="auto"/>
              <w:bottom w:val="single" w:sz="12" w:space="0" w:color="auto"/>
              <w:right w:val="single" w:sz="12" w:space="0" w:color="auto"/>
            </w:tcBorders>
            <w:shd w:val="clear" w:color="auto" w:fill="FFC000"/>
          </w:tcPr>
          <w:p w14:paraId="169A2018" w14:textId="77777777" w:rsidR="00A459FD" w:rsidRPr="00CB0F5E" w:rsidRDefault="00A459FD" w:rsidP="00542759">
            <w:pPr>
              <w:jc w:val="center"/>
              <w:rPr>
                <w:rFonts w:eastAsia="Times New Roman" w:cstheme="minorHAnsi"/>
                <w:b/>
                <w:bCs/>
                <w:color w:val="000000"/>
                <w:sz w:val="20"/>
                <w:szCs w:val="20"/>
                <w:lang w:eastAsia="cs-CZ"/>
              </w:rPr>
            </w:pPr>
            <w:r w:rsidRPr="00CB0F5E">
              <w:rPr>
                <w:rFonts w:eastAsia="Times New Roman" w:cstheme="minorHAnsi"/>
                <w:b/>
                <w:color w:val="000000"/>
                <w:sz w:val="20"/>
                <w:szCs w:val="20"/>
                <w:lang w:eastAsia="cs-CZ"/>
              </w:rPr>
              <w:t>Katastrální území</w:t>
            </w:r>
          </w:p>
        </w:tc>
        <w:tc>
          <w:tcPr>
            <w:tcW w:w="895" w:type="pct"/>
            <w:vMerge w:val="restart"/>
            <w:tcBorders>
              <w:top w:val="single" w:sz="18" w:space="0" w:color="auto"/>
              <w:left w:val="single" w:sz="12" w:space="0" w:color="auto"/>
              <w:bottom w:val="single" w:sz="12" w:space="0" w:color="auto"/>
              <w:right w:val="single" w:sz="18" w:space="0" w:color="auto"/>
            </w:tcBorders>
            <w:shd w:val="clear" w:color="auto" w:fill="FFC000"/>
            <w:noWrap/>
            <w:vAlign w:val="center"/>
            <w:hideMark/>
          </w:tcPr>
          <w:p w14:paraId="31CDE634" w14:textId="2E07FA66" w:rsidR="00A459FD" w:rsidRPr="00CB0F5E" w:rsidRDefault="00A459FD" w:rsidP="00542759">
            <w:pPr>
              <w:jc w:val="center"/>
              <w:rPr>
                <w:rFonts w:eastAsia="Times New Roman" w:cstheme="minorHAnsi"/>
                <w:b/>
                <w:bCs/>
                <w:color w:val="000000"/>
                <w:sz w:val="20"/>
                <w:szCs w:val="20"/>
                <w:lang w:eastAsia="cs-CZ"/>
              </w:rPr>
            </w:pPr>
            <w:r w:rsidRPr="00CB0F5E">
              <w:rPr>
                <w:rFonts w:eastAsia="Times New Roman" w:cstheme="minorHAnsi"/>
                <w:b/>
                <w:bCs/>
                <w:color w:val="000000"/>
                <w:sz w:val="20"/>
                <w:szCs w:val="20"/>
                <w:lang w:eastAsia="cs-CZ"/>
              </w:rPr>
              <w:t xml:space="preserve">Obec </w:t>
            </w:r>
            <w:r w:rsidR="00745390">
              <w:rPr>
                <w:rFonts w:ascii="Calibri" w:hAnsi="Calibri" w:cs="Calibri"/>
                <w:b/>
                <w:bCs/>
                <w:color w:val="000000"/>
                <w:sz w:val="20"/>
                <w:szCs w:val="20"/>
              </w:rPr>
              <w:t>Staré Buky</w:t>
            </w:r>
          </w:p>
          <w:p w14:paraId="4305162F" w14:textId="77777777" w:rsidR="00A459FD" w:rsidRPr="00CB0F5E" w:rsidRDefault="00A459FD" w:rsidP="00542759">
            <w:pPr>
              <w:jc w:val="center"/>
              <w:rPr>
                <w:rFonts w:eastAsia="Times New Roman" w:cstheme="minorHAnsi"/>
                <w:b/>
                <w:color w:val="000000"/>
                <w:sz w:val="20"/>
                <w:szCs w:val="20"/>
                <w:lang w:eastAsia="cs-CZ"/>
              </w:rPr>
            </w:pPr>
            <w:r w:rsidRPr="00CB0F5E">
              <w:rPr>
                <w:rFonts w:eastAsia="Times New Roman" w:cstheme="minorHAnsi"/>
                <w:b/>
                <w:bCs/>
                <w:color w:val="000000"/>
                <w:sz w:val="20"/>
                <w:szCs w:val="20"/>
                <w:lang w:eastAsia="cs-CZ"/>
              </w:rPr>
              <w:t>celkem</w:t>
            </w:r>
          </w:p>
        </w:tc>
      </w:tr>
      <w:tr w:rsidR="00360527" w:rsidRPr="00CB0F5E" w14:paraId="0E30B00C" w14:textId="77777777" w:rsidTr="00360527">
        <w:trPr>
          <w:trHeight w:val="300"/>
          <w:jc w:val="center"/>
        </w:trPr>
        <w:tc>
          <w:tcPr>
            <w:tcW w:w="1367" w:type="pct"/>
            <w:vMerge/>
            <w:tcBorders>
              <w:top w:val="single" w:sz="12" w:space="0" w:color="auto"/>
              <w:left w:val="single" w:sz="18" w:space="0" w:color="auto"/>
              <w:bottom w:val="single" w:sz="12" w:space="0" w:color="auto"/>
              <w:right w:val="single" w:sz="12" w:space="0" w:color="auto"/>
            </w:tcBorders>
            <w:shd w:val="clear" w:color="auto" w:fill="auto"/>
            <w:noWrap/>
            <w:vAlign w:val="bottom"/>
            <w:hideMark/>
          </w:tcPr>
          <w:p w14:paraId="2D16D85B" w14:textId="77777777" w:rsidR="00A459FD" w:rsidRPr="00CB0F5E" w:rsidRDefault="00A459FD" w:rsidP="00542759">
            <w:pPr>
              <w:rPr>
                <w:rFonts w:eastAsia="Times New Roman" w:cstheme="minorHAnsi"/>
                <w:color w:val="000000"/>
                <w:sz w:val="20"/>
                <w:szCs w:val="20"/>
                <w:lang w:eastAsia="cs-CZ"/>
              </w:rPr>
            </w:pPr>
          </w:p>
        </w:tc>
        <w:tc>
          <w:tcPr>
            <w:tcW w:w="876" w:type="pct"/>
            <w:tcBorders>
              <w:top w:val="single" w:sz="12" w:space="0" w:color="auto"/>
              <w:left w:val="single" w:sz="12" w:space="0" w:color="auto"/>
              <w:bottom w:val="single" w:sz="12" w:space="0" w:color="auto"/>
              <w:right w:val="single" w:sz="12" w:space="0" w:color="auto"/>
            </w:tcBorders>
            <w:shd w:val="clear" w:color="auto" w:fill="FFC000"/>
            <w:noWrap/>
            <w:vAlign w:val="center"/>
          </w:tcPr>
          <w:p w14:paraId="6076F3FF" w14:textId="5A23F815" w:rsidR="00A459FD" w:rsidRPr="00313D78" w:rsidRDefault="00745390" w:rsidP="00542759">
            <w:pPr>
              <w:jc w:val="center"/>
              <w:rPr>
                <w:rFonts w:eastAsia="Times New Roman" w:cstheme="minorHAnsi"/>
                <w:b/>
                <w:bCs/>
                <w:color w:val="000000"/>
                <w:sz w:val="20"/>
                <w:szCs w:val="20"/>
                <w:lang w:eastAsia="cs-CZ"/>
              </w:rPr>
            </w:pPr>
            <w:r>
              <w:rPr>
                <w:rFonts w:ascii="Calibri" w:hAnsi="Calibri" w:cs="Calibri"/>
                <w:b/>
                <w:bCs/>
                <w:color w:val="000000"/>
                <w:sz w:val="20"/>
                <w:szCs w:val="20"/>
              </w:rPr>
              <w:t>Dolní Staré Buky</w:t>
            </w:r>
          </w:p>
        </w:tc>
        <w:tc>
          <w:tcPr>
            <w:tcW w:w="916" w:type="pct"/>
            <w:tcBorders>
              <w:top w:val="single" w:sz="12" w:space="0" w:color="auto"/>
              <w:left w:val="single" w:sz="12" w:space="0" w:color="auto"/>
              <w:bottom w:val="single" w:sz="12" w:space="0" w:color="auto"/>
              <w:right w:val="single" w:sz="12" w:space="0" w:color="auto"/>
            </w:tcBorders>
            <w:shd w:val="clear" w:color="auto" w:fill="FFC000"/>
            <w:vAlign w:val="center"/>
          </w:tcPr>
          <w:p w14:paraId="4E7B6EC7" w14:textId="038FC040" w:rsidR="00A459FD" w:rsidRPr="00313D78" w:rsidRDefault="00745390" w:rsidP="00542759">
            <w:pPr>
              <w:jc w:val="center"/>
              <w:rPr>
                <w:rFonts w:eastAsia="Times New Roman" w:cstheme="minorHAnsi"/>
                <w:b/>
                <w:bCs/>
                <w:color w:val="000000"/>
                <w:sz w:val="20"/>
                <w:szCs w:val="20"/>
                <w:lang w:eastAsia="cs-CZ"/>
              </w:rPr>
            </w:pPr>
            <w:r>
              <w:rPr>
                <w:rFonts w:ascii="Calibri" w:hAnsi="Calibri" w:cs="Calibri"/>
                <w:b/>
                <w:bCs/>
                <w:color w:val="000000"/>
                <w:sz w:val="20"/>
                <w:szCs w:val="20"/>
              </w:rPr>
              <w:t>Horní Staré Buky</w:t>
            </w:r>
          </w:p>
        </w:tc>
        <w:tc>
          <w:tcPr>
            <w:tcW w:w="946" w:type="pct"/>
            <w:tcBorders>
              <w:top w:val="single" w:sz="12" w:space="0" w:color="auto"/>
              <w:left w:val="single" w:sz="12" w:space="0" w:color="auto"/>
              <w:bottom w:val="single" w:sz="12" w:space="0" w:color="auto"/>
              <w:right w:val="single" w:sz="12" w:space="0" w:color="auto"/>
            </w:tcBorders>
            <w:shd w:val="clear" w:color="auto" w:fill="FFC000"/>
            <w:noWrap/>
            <w:vAlign w:val="center"/>
          </w:tcPr>
          <w:p w14:paraId="7055ACC5" w14:textId="17AA207F" w:rsidR="00A459FD" w:rsidRPr="00313D78" w:rsidRDefault="00745390" w:rsidP="00542759">
            <w:pPr>
              <w:jc w:val="center"/>
              <w:rPr>
                <w:rFonts w:eastAsia="Times New Roman" w:cstheme="minorHAnsi"/>
                <w:b/>
                <w:bCs/>
                <w:color w:val="000000"/>
                <w:sz w:val="20"/>
                <w:szCs w:val="20"/>
                <w:lang w:eastAsia="cs-CZ"/>
              </w:rPr>
            </w:pPr>
            <w:r>
              <w:rPr>
                <w:rFonts w:ascii="Calibri" w:hAnsi="Calibri" w:cs="Calibri"/>
                <w:b/>
                <w:bCs/>
                <w:color w:val="000000"/>
                <w:sz w:val="20"/>
                <w:szCs w:val="20"/>
              </w:rPr>
              <w:t xml:space="preserve">Prostřední </w:t>
            </w:r>
            <w:r w:rsidR="00360527">
              <w:rPr>
                <w:rFonts w:ascii="Calibri" w:hAnsi="Calibri" w:cs="Calibri"/>
                <w:b/>
                <w:bCs/>
                <w:color w:val="000000"/>
                <w:sz w:val="20"/>
                <w:szCs w:val="20"/>
              </w:rPr>
              <w:br/>
            </w:r>
            <w:r>
              <w:rPr>
                <w:rFonts w:ascii="Calibri" w:hAnsi="Calibri" w:cs="Calibri"/>
                <w:b/>
                <w:bCs/>
                <w:color w:val="000000"/>
                <w:sz w:val="20"/>
                <w:szCs w:val="20"/>
              </w:rPr>
              <w:t>Staré Buky</w:t>
            </w:r>
          </w:p>
        </w:tc>
        <w:tc>
          <w:tcPr>
            <w:tcW w:w="895" w:type="pct"/>
            <w:vMerge/>
            <w:tcBorders>
              <w:top w:val="single" w:sz="12" w:space="0" w:color="auto"/>
              <w:left w:val="single" w:sz="12" w:space="0" w:color="auto"/>
              <w:bottom w:val="single" w:sz="12" w:space="0" w:color="auto"/>
              <w:right w:val="single" w:sz="18" w:space="0" w:color="auto"/>
            </w:tcBorders>
            <w:shd w:val="clear" w:color="auto" w:fill="auto"/>
            <w:noWrap/>
            <w:vAlign w:val="bottom"/>
            <w:hideMark/>
          </w:tcPr>
          <w:p w14:paraId="21D1F1A9" w14:textId="77777777" w:rsidR="00A459FD" w:rsidRPr="00CB0F5E" w:rsidRDefault="00A459FD" w:rsidP="00542759">
            <w:pPr>
              <w:rPr>
                <w:rFonts w:eastAsia="Times New Roman" w:cstheme="minorHAnsi"/>
                <w:b/>
                <w:bCs/>
                <w:color w:val="000000"/>
                <w:sz w:val="20"/>
                <w:szCs w:val="20"/>
                <w:lang w:eastAsia="cs-CZ"/>
              </w:rPr>
            </w:pPr>
          </w:p>
        </w:tc>
      </w:tr>
      <w:tr w:rsidR="00360527" w:rsidRPr="00CB0F5E" w14:paraId="459E9D31" w14:textId="77777777" w:rsidTr="00360527">
        <w:trPr>
          <w:trHeight w:val="38"/>
          <w:jc w:val="center"/>
        </w:trPr>
        <w:tc>
          <w:tcPr>
            <w:tcW w:w="1367" w:type="pct"/>
            <w:tcBorders>
              <w:top w:val="single" w:sz="12" w:space="0" w:color="auto"/>
              <w:left w:val="single" w:sz="18" w:space="0" w:color="auto"/>
              <w:bottom w:val="single" w:sz="4" w:space="0" w:color="auto"/>
              <w:right w:val="single" w:sz="12" w:space="0" w:color="auto"/>
            </w:tcBorders>
            <w:shd w:val="clear" w:color="auto" w:fill="D9D9D9" w:themeFill="background1" w:themeFillShade="D9"/>
            <w:noWrap/>
            <w:vAlign w:val="center"/>
            <w:hideMark/>
          </w:tcPr>
          <w:p w14:paraId="7CDE730E" w14:textId="77777777" w:rsidR="00360527" w:rsidRPr="00CB0F5E" w:rsidRDefault="00360527" w:rsidP="00360527">
            <w:pPr>
              <w:rPr>
                <w:rFonts w:eastAsia="Times New Roman" w:cstheme="minorHAnsi"/>
                <w:color w:val="000000"/>
                <w:sz w:val="20"/>
                <w:szCs w:val="20"/>
                <w:lang w:eastAsia="cs-CZ"/>
              </w:rPr>
            </w:pPr>
            <w:r w:rsidRPr="00CB0F5E">
              <w:rPr>
                <w:rFonts w:eastAsia="Times New Roman" w:cstheme="minorHAnsi"/>
                <w:color w:val="000000"/>
                <w:sz w:val="20"/>
                <w:szCs w:val="20"/>
                <w:lang w:eastAsia="cs-CZ"/>
              </w:rPr>
              <w:t>orná půda</w:t>
            </w:r>
          </w:p>
        </w:tc>
        <w:tc>
          <w:tcPr>
            <w:tcW w:w="876" w:type="pct"/>
            <w:tcBorders>
              <w:top w:val="single" w:sz="12" w:space="0" w:color="auto"/>
              <w:left w:val="single" w:sz="12" w:space="0" w:color="auto"/>
              <w:bottom w:val="single" w:sz="4" w:space="0" w:color="auto"/>
              <w:right w:val="single" w:sz="12" w:space="0" w:color="auto"/>
            </w:tcBorders>
            <w:shd w:val="clear" w:color="auto" w:fill="auto"/>
            <w:noWrap/>
            <w:vAlign w:val="center"/>
          </w:tcPr>
          <w:p w14:paraId="7CF0D0DA" w14:textId="61B589E4" w:rsidR="00360527" w:rsidRPr="00CB0F5E" w:rsidRDefault="00360527" w:rsidP="00360527">
            <w:pPr>
              <w:jc w:val="right"/>
              <w:rPr>
                <w:rFonts w:cstheme="minorHAnsi"/>
                <w:color w:val="000000"/>
                <w:sz w:val="20"/>
                <w:szCs w:val="20"/>
              </w:rPr>
            </w:pPr>
            <w:r>
              <w:rPr>
                <w:rFonts w:ascii="Calibri" w:hAnsi="Calibri" w:cs="Calibri"/>
                <w:color w:val="000000"/>
              </w:rPr>
              <w:t>103,4</w:t>
            </w:r>
          </w:p>
        </w:tc>
        <w:tc>
          <w:tcPr>
            <w:tcW w:w="916" w:type="pct"/>
            <w:tcBorders>
              <w:top w:val="single" w:sz="12" w:space="0" w:color="auto"/>
              <w:left w:val="single" w:sz="12" w:space="0" w:color="auto"/>
              <w:bottom w:val="single" w:sz="4" w:space="0" w:color="auto"/>
              <w:right w:val="single" w:sz="12" w:space="0" w:color="auto"/>
            </w:tcBorders>
            <w:vAlign w:val="center"/>
          </w:tcPr>
          <w:p w14:paraId="3D892345" w14:textId="0C77E2C6" w:rsidR="00360527" w:rsidRPr="00CB0F5E" w:rsidRDefault="00360527" w:rsidP="00360527">
            <w:pPr>
              <w:jc w:val="right"/>
              <w:rPr>
                <w:rFonts w:cstheme="minorHAnsi"/>
                <w:color w:val="000000"/>
                <w:sz w:val="20"/>
                <w:szCs w:val="20"/>
              </w:rPr>
            </w:pPr>
            <w:r>
              <w:rPr>
                <w:rFonts w:ascii="Calibri" w:hAnsi="Calibri" w:cs="Calibri"/>
                <w:color w:val="000000"/>
              </w:rPr>
              <w:t>127,8</w:t>
            </w:r>
          </w:p>
        </w:tc>
        <w:tc>
          <w:tcPr>
            <w:tcW w:w="946" w:type="pct"/>
            <w:tcBorders>
              <w:top w:val="single" w:sz="12" w:space="0" w:color="auto"/>
              <w:left w:val="single" w:sz="12" w:space="0" w:color="auto"/>
              <w:bottom w:val="single" w:sz="4" w:space="0" w:color="auto"/>
              <w:right w:val="single" w:sz="12" w:space="0" w:color="auto"/>
            </w:tcBorders>
            <w:shd w:val="clear" w:color="auto" w:fill="auto"/>
            <w:noWrap/>
            <w:vAlign w:val="center"/>
          </w:tcPr>
          <w:p w14:paraId="511AF372" w14:textId="6E436B77" w:rsidR="00360527" w:rsidRPr="00CB0F5E" w:rsidRDefault="00360527" w:rsidP="00360527">
            <w:pPr>
              <w:jc w:val="right"/>
              <w:rPr>
                <w:rFonts w:cstheme="minorHAnsi"/>
                <w:color w:val="000000"/>
                <w:sz w:val="20"/>
                <w:szCs w:val="20"/>
              </w:rPr>
            </w:pPr>
            <w:r>
              <w:rPr>
                <w:rFonts w:ascii="Calibri" w:hAnsi="Calibri" w:cs="Calibri"/>
                <w:color w:val="000000"/>
              </w:rPr>
              <w:t>129,4</w:t>
            </w:r>
          </w:p>
        </w:tc>
        <w:tc>
          <w:tcPr>
            <w:tcW w:w="895" w:type="pct"/>
            <w:tcBorders>
              <w:top w:val="single" w:sz="12" w:space="0" w:color="auto"/>
              <w:left w:val="single" w:sz="12" w:space="0" w:color="auto"/>
              <w:bottom w:val="single" w:sz="4" w:space="0" w:color="auto"/>
              <w:right w:val="single" w:sz="18" w:space="0" w:color="auto"/>
            </w:tcBorders>
            <w:shd w:val="clear" w:color="auto" w:fill="auto"/>
            <w:noWrap/>
            <w:vAlign w:val="center"/>
          </w:tcPr>
          <w:p w14:paraId="11FA2D0A" w14:textId="1725DCBB" w:rsidR="00360527" w:rsidRPr="00CB0F5E" w:rsidRDefault="00360527" w:rsidP="00360527">
            <w:pPr>
              <w:jc w:val="right"/>
              <w:rPr>
                <w:rFonts w:cstheme="minorHAnsi"/>
                <w:color w:val="000000"/>
                <w:sz w:val="20"/>
                <w:szCs w:val="20"/>
              </w:rPr>
            </w:pPr>
            <w:r>
              <w:rPr>
                <w:rFonts w:ascii="Calibri" w:hAnsi="Calibri" w:cs="Calibri"/>
                <w:color w:val="000000"/>
              </w:rPr>
              <w:t>360,6</w:t>
            </w:r>
          </w:p>
        </w:tc>
      </w:tr>
      <w:tr w:rsidR="00360527" w:rsidRPr="00CB0F5E" w14:paraId="0678EA67" w14:textId="77777777" w:rsidTr="00360527">
        <w:trPr>
          <w:trHeight w:val="58"/>
          <w:jc w:val="center"/>
        </w:trPr>
        <w:tc>
          <w:tcPr>
            <w:tcW w:w="1367" w:type="pct"/>
            <w:tcBorders>
              <w:top w:val="nil"/>
              <w:left w:val="single" w:sz="18" w:space="0" w:color="auto"/>
              <w:bottom w:val="single" w:sz="4" w:space="0" w:color="auto"/>
              <w:right w:val="single" w:sz="12" w:space="0" w:color="auto"/>
            </w:tcBorders>
            <w:shd w:val="clear" w:color="auto" w:fill="D9D9D9" w:themeFill="background1" w:themeFillShade="D9"/>
            <w:noWrap/>
            <w:vAlign w:val="center"/>
            <w:hideMark/>
          </w:tcPr>
          <w:p w14:paraId="7101425B" w14:textId="77777777" w:rsidR="00360527" w:rsidRPr="00CB0F5E" w:rsidRDefault="00360527" w:rsidP="00360527">
            <w:pPr>
              <w:rPr>
                <w:rFonts w:eastAsia="Times New Roman" w:cstheme="minorHAnsi"/>
                <w:color w:val="000000"/>
                <w:sz w:val="20"/>
                <w:szCs w:val="20"/>
                <w:lang w:eastAsia="cs-CZ"/>
              </w:rPr>
            </w:pPr>
            <w:r w:rsidRPr="00CB0F5E">
              <w:rPr>
                <w:rFonts w:eastAsia="Times New Roman" w:cstheme="minorHAnsi"/>
                <w:color w:val="000000"/>
                <w:sz w:val="20"/>
                <w:szCs w:val="20"/>
                <w:lang w:eastAsia="cs-CZ"/>
              </w:rPr>
              <w:t>zahrada</w:t>
            </w:r>
          </w:p>
        </w:tc>
        <w:tc>
          <w:tcPr>
            <w:tcW w:w="876" w:type="pct"/>
            <w:tcBorders>
              <w:top w:val="nil"/>
              <w:left w:val="single" w:sz="12" w:space="0" w:color="auto"/>
              <w:bottom w:val="single" w:sz="4" w:space="0" w:color="auto"/>
              <w:right w:val="single" w:sz="12" w:space="0" w:color="auto"/>
            </w:tcBorders>
            <w:shd w:val="clear" w:color="auto" w:fill="auto"/>
            <w:noWrap/>
            <w:vAlign w:val="center"/>
          </w:tcPr>
          <w:p w14:paraId="585B89EE" w14:textId="2B7EB482" w:rsidR="00360527" w:rsidRPr="00CB0F5E" w:rsidRDefault="00360527" w:rsidP="00360527">
            <w:pPr>
              <w:jc w:val="right"/>
              <w:rPr>
                <w:rFonts w:cstheme="minorHAnsi"/>
                <w:color w:val="000000"/>
                <w:sz w:val="20"/>
                <w:szCs w:val="20"/>
              </w:rPr>
            </w:pPr>
            <w:r>
              <w:rPr>
                <w:rFonts w:ascii="Calibri" w:hAnsi="Calibri" w:cs="Calibri"/>
                <w:color w:val="000000"/>
              </w:rPr>
              <w:t>1,9</w:t>
            </w:r>
          </w:p>
        </w:tc>
        <w:tc>
          <w:tcPr>
            <w:tcW w:w="916" w:type="pct"/>
            <w:tcBorders>
              <w:top w:val="nil"/>
              <w:left w:val="single" w:sz="12" w:space="0" w:color="auto"/>
              <w:bottom w:val="single" w:sz="4" w:space="0" w:color="auto"/>
              <w:right w:val="single" w:sz="12" w:space="0" w:color="auto"/>
            </w:tcBorders>
            <w:vAlign w:val="center"/>
          </w:tcPr>
          <w:p w14:paraId="4AC74674" w14:textId="36DFB7DE" w:rsidR="00360527" w:rsidRPr="00CB0F5E" w:rsidRDefault="00360527" w:rsidP="00360527">
            <w:pPr>
              <w:jc w:val="right"/>
              <w:rPr>
                <w:rFonts w:cstheme="minorHAnsi"/>
                <w:color w:val="000000"/>
                <w:sz w:val="20"/>
                <w:szCs w:val="20"/>
              </w:rPr>
            </w:pPr>
            <w:r>
              <w:rPr>
                <w:rFonts w:ascii="Calibri" w:hAnsi="Calibri" w:cs="Calibri"/>
                <w:color w:val="000000"/>
              </w:rPr>
              <w:t>7,0</w:t>
            </w:r>
          </w:p>
        </w:tc>
        <w:tc>
          <w:tcPr>
            <w:tcW w:w="946" w:type="pct"/>
            <w:tcBorders>
              <w:top w:val="nil"/>
              <w:left w:val="single" w:sz="12" w:space="0" w:color="auto"/>
              <w:bottom w:val="single" w:sz="4" w:space="0" w:color="auto"/>
              <w:right w:val="single" w:sz="12" w:space="0" w:color="auto"/>
            </w:tcBorders>
            <w:shd w:val="clear" w:color="auto" w:fill="auto"/>
            <w:noWrap/>
            <w:vAlign w:val="center"/>
          </w:tcPr>
          <w:p w14:paraId="59E6A58F" w14:textId="3F9D94EB" w:rsidR="00360527" w:rsidRPr="00CB0F5E" w:rsidRDefault="00360527" w:rsidP="00360527">
            <w:pPr>
              <w:jc w:val="right"/>
              <w:rPr>
                <w:rFonts w:cstheme="minorHAnsi"/>
                <w:color w:val="000000"/>
                <w:sz w:val="20"/>
                <w:szCs w:val="20"/>
              </w:rPr>
            </w:pPr>
            <w:r>
              <w:rPr>
                <w:rFonts w:ascii="Calibri" w:hAnsi="Calibri" w:cs="Calibri"/>
                <w:color w:val="000000"/>
              </w:rPr>
              <w:t>14,9</w:t>
            </w:r>
          </w:p>
        </w:tc>
        <w:tc>
          <w:tcPr>
            <w:tcW w:w="895" w:type="pct"/>
            <w:tcBorders>
              <w:top w:val="nil"/>
              <w:left w:val="single" w:sz="12" w:space="0" w:color="auto"/>
              <w:bottom w:val="single" w:sz="4" w:space="0" w:color="auto"/>
              <w:right w:val="single" w:sz="18" w:space="0" w:color="auto"/>
            </w:tcBorders>
            <w:shd w:val="clear" w:color="auto" w:fill="auto"/>
            <w:noWrap/>
            <w:vAlign w:val="center"/>
          </w:tcPr>
          <w:p w14:paraId="006A3B7D" w14:textId="2291BB71" w:rsidR="00360527" w:rsidRPr="00CB0F5E" w:rsidRDefault="00360527" w:rsidP="00360527">
            <w:pPr>
              <w:jc w:val="right"/>
              <w:rPr>
                <w:rFonts w:cstheme="minorHAnsi"/>
                <w:color w:val="000000"/>
                <w:sz w:val="20"/>
                <w:szCs w:val="20"/>
              </w:rPr>
            </w:pPr>
            <w:r>
              <w:rPr>
                <w:rFonts w:ascii="Calibri" w:hAnsi="Calibri" w:cs="Calibri"/>
                <w:color w:val="000000"/>
              </w:rPr>
              <w:t>23,8</w:t>
            </w:r>
          </w:p>
        </w:tc>
      </w:tr>
      <w:tr w:rsidR="00360527" w:rsidRPr="00CB0F5E" w14:paraId="49706C07" w14:textId="77777777" w:rsidTr="00360527">
        <w:trPr>
          <w:trHeight w:val="58"/>
          <w:jc w:val="center"/>
        </w:trPr>
        <w:tc>
          <w:tcPr>
            <w:tcW w:w="1367" w:type="pct"/>
            <w:tcBorders>
              <w:top w:val="nil"/>
              <w:left w:val="single" w:sz="18" w:space="0" w:color="auto"/>
              <w:bottom w:val="single" w:sz="4" w:space="0" w:color="auto"/>
              <w:right w:val="single" w:sz="12" w:space="0" w:color="auto"/>
            </w:tcBorders>
            <w:shd w:val="clear" w:color="auto" w:fill="D9D9D9" w:themeFill="background1" w:themeFillShade="D9"/>
            <w:noWrap/>
            <w:vAlign w:val="center"/>
            <w:hideMark/>
          </w:tcPr>
          <w:p w14:paraId="67C5298A" w14:textId="77777777" w:rsidR="00360527" w:rsidRPr="00CB0F5E" w:rsidRDefault="00360527" w:rsidP="00360527">
            <w:pPr>
              <w:rPr>
                <w:rFonts w:eastAsia="Times New Roman" w:cstheme="minorHAnsi"/>
                <w:color w:val="000000"/>
                <w:sz w:val="20"/>
                <w:szCs w:val="20"/>
                <w:lang w:eastAsia="cs-CZ"/>
              </w:rPr>
            </w:pPr>
            <w:r w:rsidRPr="00CB0F5E">
              <w:rPr>
                <w:rFonts w:eastAsia="Times New Roman" w:cstheme="minorHAnsi"/>
                <w:color w:val="000000"/>
                <w:sz w:val="20"/>
                <w:szCs w:val="20"/>
                <w:lang w:eastAsia="cs-CZ"/>
              </w:rPr>
              <w:t>ovocný sad</w:t>
            </w:r>
          </w:p>
        </w:tc>
        <w:tc>
          <w:tcPr>
            <w:tcW w:w="876" w:type="pct"/>
            <w:tcBorders>
              <w:top w:val="nil"/>
              <w:left w:val="single" w:sz="12" w:space="0" w:color="auto"/>
              <w:bottom w:val="single" w:sz="4" w:space="0" w:color="auto"/>
              <w:right w:val="single" w:sz="12" w:space="0" w:color="auto"/>
            </w:tcBorders>
            <w:shd w:val="clear" w:color="auto" w:fill="auto"/>
            <w:noWrap/>
            <w:vAlign w:val="center"/>
          </w:tcPr>
          <w:p w14:paraId="11D77A58" w14:textId="1B66C9F9" w:rsidR="00360527" w:rsidRPr="00CB0F5E" w:rsidRDefault="00360527" w:rsidP="00360527">
            <w:pPr>
              <w:jc w:val="right"/>
              <w:rPr>
                <w:rFonts w:cstheme="minorHAnsi"/>
                <w:color w:val="000000"/>
                <w:sz w:val="20"/>
                <w:szCs w:val="20"/>
              </w:rPr>
            </w:pPr>
            <w:r>
              <w:rPr>
                <w:rFonts w:ascii="Calibri" w:hAnsi="Calibri" w:cs="Calibri"/>
                <w:color w:val="000000"/>
              </w:rPr>
              <w:t>0,0</w:t>
            </w:r>
          </w:p>
        </w:tc>
        <w:tc>
          <w:tcPr>
            <w:tcW w:w="916" w:type="pct"/>
            <w:tcBorders>
              <w:top w:val="nil"/>
              <w:left w:val="single" w:sz="12" w:space="0" w:color="auto"/>
              <w:bottom w:val="single" w:sz="4" w:space="0" w:color="auto"/>
              <w:right w:val="single" w:sz="12" w:space="0" w:color="auto"/>
            </w:tcBorders>
            <w:vAlign w:val="center"/>
          </w:tcPr>
          <w:p w14:paraId="127D4914" w14:textId="515F1DB0" w:rsidR="00360527" w:rsidRPr="00CB0F5E" w:rsidRDefault="00360527" w:rsidP="00360527">
            <w:pPr>
              <w:jc w:val="right"/>
              <w:rPr>
                <w:rFonts w:cstheme="minorHAnsi"/>
                <w:color w:val="000000"/>
                <w:sz w:val="20"/>
                <w:szCs w:val="20"/>
              </w:rPr>
            </w:pPr>
            <w:r>
              <w:rPr>
                <w:rFonts w:ascii="Calibri" w:hAnsi="Calibri" w:cs="Calibri"/>
                <w:color w:val="000000"/>
              </w:rPr>
              <w:t>0,0</w:t>
            </w:r>
          </w:p>
        </w:tc>
        <w:tc>
          <w:tcPr>
            <w:tcW w:w="946" w:type="pct"/>
            <w:tcBorders>
              <w:top w:val="nil"/>
              <w:left w:val="single" w:sz="12" w:space="0" w:color="auto"/>
              <w:bottom w:val="single" w:sz="4" w:space="0" w:color="auto"/>
              <w:right w:val="single" w:sz="12" w:space="0" w:color="auto"/>
            </w:tcBorders>
            <w:shd w:val="clear" w:color="auto" w:fill="auto"/>
            <w:noWrap/>
            <w:vAlign w:val="center"/>
          </w:tcPr>
          <w:p w14:paraId="6B694633" w14:textId="4902C6AC" w:rsidR="00360527" w:rsidRPr="00CB0F5E" w:rsidRDefault="00360527" w:rsidP="00360527">
            <w:pPr>
              <w:jc w:val="right"/>
              <w:rPr>
                <w:rFonts w:cstheme="minorHAnsi"/>
                <w:color w:val="000000"/>
                <w:sz w:val="20"/>
                <w:szCs w:val="20"/>
              </w:rPr>
            </w:pPr>
            <w:r>
              <w:rPr>
                <w:rFonts w:ascii="Calibri" w:hAnsi="Calibri" w:cs="Calibri"/>
                <w:color w:val="000000"/>
              </w:rPr>
              <w:t>0,0</w:t>
            </w:r>
          </w:p>
        </w:tc>
        <w:tc>
          <w:tcPr>
            <w:tcW w:w="895" w:type="pct"/>
            <w:tcBorders>
              <w:top w:val="nil"/>
              <w:left w:val="single" w:sz="12" w:space="0" w:color="auto"/>
              <w:bottom w:val="single" w:sz="4" w:space="0" w:color="auto"/>
              <w:right w:val="single" w:sz="18" w:space="0" w:color="auto"/>
            </w:tcBorders>
            <w:shd w:val="clear" w:color="auto" w:fill="auto"/>
            <w:noWrap/>
            <w:vAlign w:val="center"/>
          </w:tcPr>
          <w:p w14:paraId="40B70CBC" w14:textId="74F25401" w:rsidR="00360527" w:rsidRPr="00CB0F5E" w:rsidRDefault="00360527" w:rsidP="00360527">
            <w:pPr>
              <w:jc w:val="right"/>
              <w:rPr>
                <w:rFonts w:cstheme="minorHAnsi"/>
                <w:color w:val="000000"/>
                <w:sz w:val="20"/>
                <w:szCs w:val="20"/>
              </w:rPr>
            </w:pPr>
            <w:r>
              <w:rPr>
                <w:rFonts w:ascii="Calibri" w:hAnsi="Calibri" w:cs="Calibri"/>
                <w:color w:val="000000"/>
              </w:rPr>
              <w:t>0,0</w:t>
            </w:r>
          </w:p>
        </w:tc>
      </w:tr>
      <w:tr w:rsidR="00360527" w:rsidRPr="00CB0F5E" w14:paraId="01B77242" w14:textId="77777777" w:rsidTr="00360527">
        <w:trPr>
          <w:trHeight w:val="58"/>
          <w:jc w:val="center"/>
        </w:trPr>
        <w:tc>
          <w:tcPr>
            <w:tcW w:w="1367" w:type="pct"/>
            <w:tcBorders>
              <w:top w:val="nil"/>
              <w:left w:val="single" w:sz="18" w:space="0" w:color="auto"/>
              <w:bottom w:val="single" w:sz="4" w:space="0" w:color="auto"/>
              <w:right w:val="single" w:sz="12" w:space="0" w:color="auto"/>
            </w:tcBorders>
            <w:shd w:val="clear" w:color="auto" w:fill="D9D9D9" w:themeFill="background1" w:themeFillShade="D9"/>
            <w:noWrap/>
            <w:vAlign w:val="center"/>
            <w:hideMark/>
          </w:tcPr>
          <w:p w14:paraId="78ED1950" w14:textId="77777777" w:rsidR="00360527" w:rsidRPr="00CB0F5E" w:rsidRDefault="00360527" w:rsidP="00360527">
            <w:pPr>
              <w:rPr>
                <w:rFonts w:eastAsia="Times New Roman" w:cstheme="minorHAnsi"/>
                <w:color w:val="000000"/>
                <w:sz w:val="20"/>
                <w:szCs w:val="20"/>
                <w:lang w:eastAsia="cs-CZ"/>
              </w:rPr>
            </w:pPr>
            <w:r w:rsidRPr="00CB0F5E">
              <w:rPr>
                <w:rFonts w:eastAsia="Times New Roman" w:cstheme="minorHAnsi"/>
                <w:color w:val="000000"/>
                <w:sz w:val="20"/>
                <w:szCs w:val="20"/>
                <w:lang w:eastAsia="cs-CZ"/>
              </w:rPr>
              <w:t>trvalý travní porost</w:t>
            </w:r>
          </w:p>
        </w:tc>
        <w:tc>
          <w:tcPr>
            <w:tcW w:w="876" w:type="pct"/>
            <w:tcBorders>
              <w:top w:val="nil"/>
              <w:left w:val="single" w:sz="12" w:space="0" w:color="auto"/>
              <w:bottom w:val="single" w:sz="4" w:space="0" w:color="auto"/>
              <w:right w:val="single" w:sz="12" w:space="0" w:color="auto"/>
            </w:tcBorders>
            <w:shd w:val="clear" w:color="auto" w:fill="auto"/>
            <w:noWrap/>
            <w:vAlign w:val="center"/>
          </w:tcPr>
          <w:p w14:paraId="3AF10AEC" w14:textId="0A8C973E" w:rsidR="00360527" w:rsidRPr="00CB0F5E" w:rsidRDefault="00360527" w:rsidP="00360527">
            <w:pPr>
              <w:jc w:val="right"/>
              <w:rPr>
                <w:rFonts w:cstheme="minorHAnsi"/>
                <w:color w:val="000000"/>
                <w:sz w:val="20"/>
                <w:szCs w:val="20"/>
              </w:rPr>
            </w:pPr>
            <w:r>
              <w:rPr>
                <w:rFonts w:ascii="Calibri" w:hAnsi="Calibri" w:cs="Calibri"/>
                <w:color w:val="000000"/>
              </w:rPr>
              <w:t>123,0</w:t>
            </w:r>
          </w:p>
        </w:tc>
        <w:tc>
          <w:tcPr>
            <w:tcW w:w="916" w:type="pct"/>
            <w:tcBorders>
              <w:top w:val="nil"/>
              <w:left w:val="single" w:sz="12" w:space="0" w:color="auto"/>
              <w:bottom w:val="single" w:sz="4" w:space="0" w:color="auto"/>
              <w:right w:val="single" w:sz="12" w:space="0" w:color="auto"/>
            </w:tcBorders>
            <w:vAlign w:val="center"/>
          </w:tcPr>
          <w:p w14:paraId="4C3CD920" w14:textId="4E92E86F" w:rsidR="00360527" w:rsidRPr="00CB0F5E" w:rsidRDefault="00360527" w:rsidP="00360527">
            <w:pPr>
              <w:jc w:val="right"/>
              <w:rPr>
                <w:rFonts w:cstheme="minorHAnsi"/>
                <w:color w:val="000000"/>
                <w:sz w:val="20"/>
                <w:szCs w:val="20"/>
              </w:rPr>
            </w:pPr>
            <w:r>
              <w:rPr>
                <w:rFonts w:ascii="Calibri" w:hAnsi="Calibri" w:cs="Calibri"/>
                <w:color w:val="000000"/>
              </w:rPr>
              <w:t>233,8</w:t>
            </w:r>
          </w:p>
        </w:tc>
        <w:tc>
          <w:tcPr>
            <w:tcW w:w="946" w:type="pct"/>
            <w:tcBorders>
              <w:top w:val="nil"/>
              <w:left w:val="single" w:sz="12" w:space="0" w:color="auto"/>
              <w:bottom w:val="single" w:sz="4" w:space="0" w:color="auto"/>
              <w:right w:val="single" w:sz="12" w:space="0" w:color="auto"/>
            </w:tcBorders>
            <w:shd w:val="clear" w:color="auto" w:fill="auto"/>
            <w:noWrap/>
            <w:vAlign w:val="center"/>
          </w:tcPr>
          <w:p w14:paraId="55626ED9" w14:textId="74EBCC07" w:rsidR="00360527" w:rsidRPr="00CB0F5E" w:rsidRDefault="00360527" w:rsidP="00360527">
            <w:pPr>
              <w:jc w:val="right"/>
              <w:rPr>
                <w:rFonts w:cstheme="minorHAnsi"/>
                <w:color w:val="000000"/>
                <w:sz w:val="20"/>
                <w:szCs w:val="20"/>
              </w:rPr>
            </w:pPr>
            <w:r>
              <w:rPr>
                <w:rFonts w:ascii="Calibri" w:hAnsi="Calibri" w:cs="Calibri"/>
                <w:color w:val="000000"/>
              </w:rPr>
              <w:t>125,1</w:t>
            </w:r>
          </w:p>
        </w:tc>
        <w:tc>
          <w:tcPr>
            <w:tcW w:w="895" w:type="pct"/>
            <w:tcBorders>
              <w:top w:val="nil"/>
              <w:left w:val="single" w:sz="12" w:space="0" w:color="auto"/>
              <w:bottom w:val="single" w:sz="4" w:space="0" w:color="auto"/>
              <w:right w:val="single" w:sz="18" w:space="0" w:color="auto"/>
            </w:tcBorders>
            <w:shd w:val="clear" w:color="auto" w:fill="auto"/>
            <w:noWrap/>
            <w:vAlign w:val="center"/>
          </w:tcPr>
          <w:p w14:paraId="3C436CF3" w14:textId="1C828D2C" w:rsidR="00360527" w:rsidRPr="00CB0F5E" w:rsidRDefault="00360527" w:rsidP="00360527">
            <w:pPr>
              <w:jc w:val="right"/>
              <w:rPr>
                <w:rFonts w:cstheme="minorHAnsi"/>
                <w:color w:val="000000"/>
                <w:sz w:val="20"/>
                <w:szCs w:val="20"/>
              </w:rPr>
            </w:pPr>
            <w:r>
              <w:rPr>
                <w:rFonts w:ascii="Calibri" w:hAnsi="Calibri" w:cs="Calibri"/>
                <w:color w:val="000000"/>
              </w:rPr>
              <w:t>481,9</w:t>
            </w:r>
          </w:p>
        </w:tc>
      </w:tr>
      <w:tr w:rsidR="00360527" w:rsidRPr="00CB0F5E" w14:paraId="6C3E8D20" w14:textId="77777777" w:rsidTr="00360527">
        <w:trPr>
          <w:trHeight w:val="58"/>
          <w:jc w:val="center"/>
        </w:trPr>
        <w:tc>
          <w:tcPr>
            <w:tcW w:w="1367" w:type="pct"/>
            <w:tcBorders>
              <w:top w:val="nil"/>
              <w:left w:val="single" w:sz="18" w:space="0" w:color="auto"/>
              <w:bottom w:val="single" w:sz="4" w:space="0" w:color="auto"/>
              <w:right w:val="single" w:sz="12" w:space="0" w:color="auto"/>
            </w:tcBorders>
            <w:shd w:val="clear" w:color="auto" w:fill="D9D9D9" w:themeFill="background1" w:themeFillShade="D9"/>
            <w:noWrap/>
            <w:vAlign w:val="center"/>
            <w:hideMark/>
          </w:tcPr>
          <w:p w14:paraId="75A7087E" w14:textId="77777777" w:rsidR="00360527" w:rsidRPr="00CB0F5E" w:rsidRDefault="00360527" w:rsidP="00360527">
            <w:pPr>
              <w:rPr>
                <w:rFonts w:eastAsia="Times New Roman" w:cstheme="minorHAnsi"/>
                <w:color w:val="000000"/>
                <w:sz w:val="20"/>
                <w:szCs w:val="20"/>
                <w:lang w:eastAsia="cs-CZ"/>
              </w:rPr>
            </w:pPr>
            <w:r w:rsidRPr="00CB0F5E">
              <w:rPr>
                <w:rFonts w:eastAsia="Times New Roman" w:cstheme="minorHAnsi"/>
                <w:color w:val="000000"/>
                <w:sz w:val="20"/>
                <w:szCs w:val="20"/>
                <w:lang w:eastAsia="cs-CZ"/>
              </w:rPr>
              <w:t>lesní pozemek</w:t>
            </w:r>
          </w:p>
        </w:tc>
        <w:tc>
          <w:tcPr>
            <w:tcW w:w="876" w:type="pct"/>
            <w:tcBorders>
              <w:top w:val="nil"/>
              <w:left w:val="single" w:sz="12" w:space="0" w:color="auto"/>
              <w:bottom w:val="single" w:sz="4" w:space="0" w:color="auto"/>
              <w:right w:val="single" w:sz="12" w:space="0" w:color="auto"/>
            </w:tcBorders>
            <w:shd w:val="clear" w:color="auto" w:fill="auto"/>
            <w:noWrap/>
            <w:vAlign w:val="center"/>
          </w:tcPr>
          <w:p w14:paraId="23FDC4A9" w14:textId="14FF235A" w:rsidR="00360527" w:rsidRPr="00CB0F5E" w:rsidRDefault="00360527" w:rsidP="00360527">
            <w:pPr>
              <w:jc w:val="right"/>
              <w:rPr>
                <w:rFonts w:cstheme="minorHAnsi"/>
                <w:color w:val="000000"/>
                <w:sz w:val="20"/>
                <w:szCs w:val="20"/>
              </w:rPr>
            </w:pPr>
            <w:r>
              <w:rPr>
                <w:rFonts w:ascii="Calibri" w:hAnsi="Calibri" w:cs="Calibri"/>
                <w:color w:val="000000"/>
              </w:rPr>
              <w:t>78,4</w:t>
            </w:r>
          </w:p>
        </w:tc>
        <w:tc>
          <w:tcPr>
            <w:tcW w:w="916" w:type="pct"/>
            <w:tcBorders>
              <w:top w:val="nil"/>
              <w:left w:val="single" w:sz="12" w:space="0" w:color="auto"/>
              <w:bottom w:val="single" w:sz="4" w:space="0" w:color="auto"/>
              <w:right w:val="single" w:sz="12" w:space="0" w:color="auto"/>
            </w:tcBorders>
            <w:vAlign w:val="center"/>
          </w:tcPr>
          <w:p w14:paraId="596E4DC0" w14:textId="1AFC0273" w:rsidR="00360527" w:rsidRPr="00CB0F5E" w:rsidRDefault="00360527" w:rsidP="00360527">
            <w:pPr>
              <w:jc w:val="right"/>
              <w:rPr>
                <w:rFonts w:cstheme="minorHAnsi"/>
                <w:color w:val="000000"/>
                <w:sz w:val="20"/>
                <w:szCs w:val="20"/>
              </w:rPr>
            </w:pPr>
            <w:r>
              <w:rPr>
                <w:rFonts w:ascii="Calibri" w:hAnsi="Calibri" w:cs="Calibri"/>
                <w:color w:val="000000"/>
              </w:rPr>
              <w:t>417,5</w:t>
            </w:r>
          </w:p>
        </w:tc>
        <w:tc>
          <w:tcPr>
            <w:tcW w:w="946" w:type="pct"/>
            <w:tcBorders>
              <w:top w:val="nil"/>
              <w:left w:val="single" w:sz="12" w:space="0" w:color="auto"/>
              <w:bottom w:val="single" w:sz="4" w:space="0" w:color="auto"/>
              <w:right w:val="single" w:sz="12" w:space="0" w:color="auto"/>
            </w:tcBorders>
            <w:shd w:val="clear" w:color="auto" w:fill="auto"/>
            <w:noWrap/>
            <w:vAlign w:val="center"/>
          </w:tcPr>
          <w:p w14:paraId="77A9AE17" w14:textId="50F6A595" w:rsidR="00360527" w:rsidRPr="00CB0F5E" w:rsidRDefault="00360527" w:rsidP="00360527">
            <w:pPr>
              <w:jc w:val="right"/>
              <w:rPr>
                <w:rFonts w:cstheme="minorHAnsi"/>
                <w:color w:val="000000"/>
                <w:sz w:val="20"/>
                <w:szCs w:val="20"/>
              </w:rPr>
            </w:pPr>
            <w:r>
              <w:rPr>
                <w:rFonts w:ascii="Calibri" w:hAnsi="Calibri" w:cs="Calibri"/>
                <w:color w:val="000000"/>
              </w:rPr>
              <w:t>269,9</w:t>
            </w:r>
          </w:p>
        </w:tc>
        <w:tc>
          <w:tcPr>
            <w:tcW w:w="895" w:type="pct"/>
            <w:tcBorders>
              <w:top w:val="nil"/>
              <w:left w:val="single" w:sz="12" w:space="0" w:color="auto"/>
              <w:bottom w:val="single" w:sz="4" w:space="0" w:color="auto"/>
              <w:right w:val="single" w:sz="18" w:space="0" w:color="auto"/>
            </w:tcBorders>
            <w:shd w:val="clear" w:color="auto" w:fill="auto"/>
            <w:noWrap/>
            <w:vAlign w:val="center"/>
          </w:tcPr>
          <w:p w14:paraId="4388A569" w14:textId="576E9A43" w:rsidR="00360527" w:rsidRPr="00CB0F5E" w:rsidRDefault="00360527" w:rsidP="00360527">
            <w:pPr>
              <w:jc w:val="right"/>
              <w:rPr>
                <w:rFonts w:cstheme="minorHAnsi"/>
                <w:color w:val="000000"/>
                <w:sz w:val="20"/>
                <w:szCs w:val="20"/>
              </w:rPr>
            </w:pPr>
            <w:r>
              <w:rPr>
                <w:rFonts w:ascii="Calibri" w:hAnsi="Calibri" w:cs="Calibri"/>
                <w:color w:val="000000"/>
              </w:rPr>
              <w:t>765,8</w:t>
            </w:r>
          </w:p>
        </w:tc>
      </w:tr>
      <w:tr w:rsidR="00360527" w:rsidRPr="00CB0F5E" w14:paraId="45BC372C" w14:textId="77777777" w:rsidTr="00360527">
        <w:trPr>
          <w:trHeight w:val="58"/>
          <w:jc w:val="center"/>
        </w:trPr>
        <w:tc>
          <w:tcPr>
            <w:tcW w:w="1367" w:type="pct"/>
            <w:tcBorders>
              <w:top w:val="nil"/>
              <w:left w:val="single" w:sz="18" w:space="0" w:color="auto"/>
              <w:bottom w:val="single" w:sz="4" w:space="0" w:color="auto"/>
              <w:right w:val="single" w:sz="12" w:space="0" w:color="auto"/>
            </w:tcBorders>
            <w:shd w:val="clear" w:color="auto" w:fill="D9D9D9" w:themeFill="background1" w:themeFillShade="D9"/>
            <w:noWrap/>
            <w:vAlign w:val="center"/>
            <w:hideMark/>
          </w:tcPr>
          <w:p w14:paraId="36B8F89D" w14:textId="77777777" w:rsidR="00360527" w:rsidRPr="00CB0F5E" w:rsidRDefault="00360527" w:rsidP="00360527">
            <w:pPr>
              <w:rPr>
                <w:rFonts w:eastAsia="Times New Roman" w:cstheme="minorHAnsi"/>
                <w:color w:val="000000"/>
                <w:sz w:val="20"/>
                <w:szCs w:val="20"/>
                <w:lang w:eastAsia="cs-CZ"/>
              </w:rPr>
            </w:pPr>
            <w:r w:rsidRPr="00CB0F5E">
              <w:rPr>
                <w:rFonts w:eastAsia="Times New Roman" w:cstheme="minorHAnsi"/>
                <w:color w:val="000000"/>
                <w:sz w:val="20"/>
                <w:szCs w:val="20"/>
                <w:lang w:eastAsia="cs-CZ"/>
              </w:rPr>
              <w:t>vodní plocha</w:t>
            </w:r>
          </w:p>
        </w:tc>
        <w:tc>
          <w:tcPr>
            <w:tcW w:w="876" w:type="pct"/>
            <w:tcBorders>
              <w:top w:val="nil"/>
              <w:left w:val="single" w:sz="12" w:space="0" w:color="auto"/>
              <w:bottom w:val="single" w:sz="4" w:space="0" w:color="auto"/>
              <w:right w:val="single" w:sz="12" w:space="0" w:color="auto"/>
            </w:tcBorders>
            <w:shd w:val="clear" w:color="auto" w:fill="auto"/>
            <w:noWrap/>
            <w:vAlign w:val="center"/>
          </w:tcPr>
          <w:p w14:paraId="71267FC4" w14:textId="213B1AA0" w:rsidR="00360527" w:rsidRPr="00CB0F5E" w:rsidRDefault="00360527" w:rsidP="00360527">
            <w:pPr>
              <w:jc w:val="right"/>
              <w:rPr>
                <w:rFonts w:cstheme="minorHAnsi"/>
                <w:color w:val="000000"/>
                <w:sz w:val="20"/>
                <w:szCs w:val="20"/>
              </w:rPr>
            </w:pPr>
            <w:r>
              <w:rPr>
                <w:rFonts w:ascii="Calibri" w:hAnsi="Calibri" w:cs="Calibri"/>
                <w:color w:val="000000"/>
              </w:rPr>
              <w:t>7,8</w:t>
            </w:r>
          </w:p>
        </w:tc>
        <w:tc>
          <w:tcPr>
            <w:tcW w:w="916" w:type="pct"/>
            <w:tcBorders>
              <w:top w:val="nil"/>
              <w:left w:val="single" w:sz="12" w:space="0" w:color="auto"/>
              <w:bottom w:val="single" w:sz="4" w:space="0" w:color="auto"/>
              <w:right w:val="single" w:sz="12" w:space="0" w:color="auto"/>
            </w:tcBorders>
            <w:vAlign w:val="center"/>
          </w:tcPr>
          <w:p w14:paraId="6D006F25" w14:textId="73792944" w:rsidR="00360527" w:rsidRPr="00CB0F5E" w:rsidRDefault="00360527" w:rsidP="00360527">
            <w:pPr>
              <w:jc w:val="right"/>
              <w:rPr>
                <w:rFonts w:cstheme="minorHAnsi"/>
                <w:color w:val="000000"/>
                <w:sz w:val="20"/>
                <w:szCs w:val="20"/>
              </w:rPr>
            </w:pPr>
            <w:r>
              <w:rPr>
                <w:rFonts w:ascii="Calibri" w:hAnsi="Calibri" w:cs="Calibri"/>
                <w:color w:val="000000"/>
              </w:rPr>
              <w:t>2,0</w:t>
            </w:r>
          </w:p>
        </w:tc>
        <w:tc>
          <w:tcPr>
            <w:tcW w:w="946" w:type="pct"/>
            <w:tcBorders>
              <w:top w:val="nil"/>
              <w:left w:val="single" w:sz="12" w:space="0" w:color="auto"/>
              <w:bottom w:val="single" w:sz="4" w:space="0" w:color="auto"/>
              <w:right w:val="single" w:sz="12" w:space="0" w:color="auto"/>
            </w:tcBorders>
            <w:shd w:val="clear" w:color="auto" w:fill="auto"/>
            <w:noWrap/>
            <w:vAlign w:val="center"/>
          </w:tcPr>
          <w:p w14:paraId="44B4E2D7" w14:textId="0A30F7F0" w:rsidR="00360527" w:rsidRPr="00CB0F5E" w:rsidRDefault="00360527" w:rsidP="00360527">
            <w:pPr>
              <w:jc w:val="right"/>
              <w:rPr>
                <w:rFonts w:cstheme="minorHAnsi"/>
                <w:color w:val="000000"/>
                <w:sz w:val="20"/>
                <w:szCs w:val="20"/>
              </w:rPr>
            </w:pPr>
            <w:r>
              <w:rPr>
                <w:rFonts w:ascii="Calibri" w:hAnsi="Calibri" w:cs="Calibri"/>
                <w:color w:val="000000"/>
              </w:rPr>
              <w:t>17,3</w:t>
            </w:r>
          </w:p>
        </w:tc>
        <w:tc>
          <w:tcPr>
            <w:tcW w:w="895" w:type="pct"/>
            <w:tcBorders>
              <w:top w:val="nil"/>
              <w:left w:val="single" w:sz="12" w:space="0" w:color="auto"/>
              <w:bottom w:val="single" w:sz="4" w:space="0" w:color="auto"/>
              <w:right w:val="single" w:sz="18" w:space="0" w:color="auto"/>
            </w:tcBorders>
            <w:shd w:val="clear" w:color="auto" w:fill="auto"/>
            <w:noWrap/>
            <w:vAlign w:val="center"/>
          </w:tcPr>
          <w:p w14:paraId="6A6F2A72" w14:textId="4920EEE8" w:rsidR="00360527" w:rsidRPr="00CB0F5E" w:rsidRDefault="00360527" w:rsidP="00360527">
            <w:pPr>
              <w:jc w:val="right"/>
              <w:rPr>
                <w:rFonts w:cstheme="minorHAnsi"/>
                <w:color w:val="000000"/>
                <w:sz w:val="20"/>
                <w:szCs w:val="20"/>
              </w:rPr>
            </w:pPr>
            <w:r>
              <w:rPr>
                <w:rFonts w:ascii="Calibri" w:hAnsi="Calibri" w:cs="Calibri"/>
                <w:color w:val="000000"/>
              </w:rPr>
              <w:t>27,1</w:t>
            </w:r>
          </w:p>
        </w:tc>
      </w:tr>
      <w:tr w:rsidR="00360527" w:rsidRPr="00CB0F5E" w14:paraId="4164F3CC" w14:textId="77777777" w:rsidTr="00360527">
        <w:trPr>
          <w:trHeight w:val="58"/>
          <w:jc w:val="center"/>
        </w:trPr>
        <w:tc>
          <w:tcPr>
            <w:tcW w:w="1367" w:type="pct"/>
            <w:tcBorders>
              <w:top w:val="nil"/>
              <w:left w:val="single" w:sz="18" w:space="0" w:color="auto"/>
              <w:bottom w:val="single" w:sz="4" w:space="0" w:color="auto"/>
              <w:right w:val="single" w:sz="12" w:space="0" w:color="auto"/>
            </w:tcBorders>
            <w:shd w:val="clear" w:color="auto" w:fill="D9D9D9" w:themeFill="background1" w:themeFillShade="D9"/>
            <w:noWrap/>
            <w:vAlign w:val="center"/>
            <w:hideMark/>
          </w:tcPr>
          <w:p w14:paraId="609D7211" w14:textId="77777777" w:rsidR="00360527" w:rsidRPr="00CB0F5E" w:rsidRDefault="00360527" w:rsidP="00360527">
            <w:pPr>
              <w:rPr>
                <w:rFonts w:eastAsia="Times New Roman" w:cstheme="minorHAnsi"/>
                <w:color w:val="000000"/>
                <w:sz w:val="20"/>
                <w:szCs w:val="20"/>
                <w:lang w:eastAsia="cs-CZ"/>
              </w:rPr>
            </w:pPr>
            <w:r w:rsidRPr="00CB0F5E">
              <w:rPr>
                <w:rFonts w:eastAsia="Times New Roman" w:cstheme="minorHAnsi"/>
                <w:color w:val="000000"/>
                <w:sz w:val="20"/>
                <w:szCs w:val="20"/>
                <w:lang w:eastAsia="cs-CZ"/>
              </w:rPr>
              <w:t>zastavěná plocha a nádvoří</w:t>
            </w:r>
          </w:p>
        </w:tc>
        <w:tc>
          <w:tcPr>
            <w:tcW w:w="876" w:type="pct"/>
            <w:tcBorders>
              <w:top w:val="nil"/>
              <w:left w:val="single" w:sz="12" w:space="0" w:color="auto"/>
              <w:bottom w:val="single" w:sz="4" w:space="0" w:color="auto"/>
              <w:right w:val="single" w:sz="12" w:space="0" w:color="auto"/>
            </w:tcBorders>
            <w:shd w:val="clear" w:color="auto" w:fill="auto"/>
            <w:noWrap/>
            <w:vAlign w:val="center"/>
          </w:tcPr>
          <w:p w14:paraId="132DE346" w14:textId="13A46AC3" w:rsidR="00360527" w:rsidRPr="00CB0F5E" w:rsidRDefault="00360527" w:rsidP="00360527">
            <w:pPr>
              <w:jc w:val="right"/>
              <w:rPr>
                <w:rFonts w:cstheme="minorHAnsi"/>
                <w:color w:val="000000"/>
                <w:sz w:val="20"/>
                <w:szCs w:val="20"/>
              </w:rPr>
            </w:pPr>
            <w:r>
              <w:rPr>
                <w:rFonts w:ascii="Calibri" w:hAnsi="Calibri" w:cs="Calibri"/>
                <w:color w:val="000000"/>
              </w:rPr>
              <w:t>2,6</w:t>
            </w:r>
          </w:p>
        </w:tc>
        <w:tc>
          <w:tcPr>
            <w:tcW w:w="916" w:type="pct"/>
            <w:tcBorders>
              <w:top w:val="nil"/>
              <w:left w:val="single" w:sz="12" w:space="0" w:color="auto"/>
              <w:bottom w:val="single" w:sz="4" w:space="0" w:color="auto"/>
              <w:right w:val="single" w:sz="12" w:space="0" w:color="auto"/>
            </w:tcBorders>
            <w:vAlign w:val="center"/>
          </w:tcPr>
          <w:p w14:paraId="6274B9E3" w14:textId="25A073A3" w:rsidR="00360527" w:rsidRPr="00CB0F5E" w:rsidRDefault="00360527" w:rsidP="00360527">
            <w:pPr>
              <w:jc w:val="right"/>
              <w:rPr>
                <w:rFonts w:cstheme="minorHAnsi"/>
                <w:color w:val="000000"/>
                <w:sz w:val="20"/>
                <w:szCs w:val="20"/>
              </w:rPr>
            </w:pPr>
            <w:r>
              <w:rPr>
                <w:rFonts w:ascii="Calibri" w:hAnsi="Calibri" w:cs="Calibri"/>
                <w:color w:val="000000"/>
              </w:rPr>
              <w:t>3,6</w:t>
            </w:r>
          </w:p>
        </w:tc>
        <w:tc>
          <w:tcPr>
            <w:tcW w:w="946" w:type="pct"/>
            <w:tcBorders>
              <w:top w:val="nil"/>
              <w:left w:val="single" w:sz="12" w:space="0" w:color="auto"/>
              <w:bottom w:val="single" w:sz="4" w:space="0" w:color="auto"/>
              <w:right w:val="single" w:sz="12" w:space="0" w:color="auto"/>
            </w:tcBorders>
            <w:shd w:val="clear" w:color="auto" w:fill="auto"/>
            <w:noWrap/>
            <w:vAlign w:val="center"/>
          </w:tcPr>
          <w:p w14:paraId="330C21EA" w14:textId="178101EB" w:rsidR="00360527" w:rsidRPr="00CB0F5E" w:rsidRDefault="00360527" w:rsidP="00360527">
            <w:pPr>
              <w:jc w:val="right"/>
              <w:rPr>
                <w:rFonts w:cstheme="minorHAnsi"/>
                <w:color w:val="000000"/>
                <w:sz w:val="20"/>
                <w:szCs w:val="20"/>
              </w:rPr>
            </w:pPr>
            <w:r>
              <w:rPr>
                <w:rFonts w:ascii="Calibri" w:hAnsi="Calibri" w:cs="Calibri"/>
                <w:color w:val="000000"/>
              </w:rPr>
              <w:t>4,0</w:t>
            </w:r>
          </w:p>
        </w:tc>
        <w:tc>
          <w:tcPr>
            <w:tcW w:w="895" w:type="pct"/>
            <w:tcBorders>
              <w:top w:val="nil"/>
              <w:left w:val="single" w:sz="12" w:space="0" w:color="auto"/>
              <w:bottom w:val="single" w:sz="4" w:space="0" w:color="auto"/>
              <w:right w:val="single" w:sz="18" w:space="0" w:color="auto"/>
            </w:tcBorders>
            <w:shd w:val="clear" w:color="auto" w:fill="auto"/>
            <w:noWrap/>
            <w:vAlign w:val="center"/>
          </w:tcPr>
          <w:p w14:paraId="737DEFC9" w14:textId="0F7A09B5" w:rsidR="00360527" w:rsidRPr="00CB0F5E" w:rsidRDefault="00360527" w:rsidP="00360527">
            <w:pPr>
              <w:jc w:val="right"/>
              <w:rPr>
                <w:rFonts w:cstheme="minorHAnsi"/>
                <w:color w:val="000000"/>
                <w:sz w:val="20"/>
                <w:szCs w:val="20"/>
              </w:rPr>
            </w:pPr>
            <w:r>
              <w:rPr>
                <w:rFonts w:ascii="Calibri" w:hAnsi="Calibri" w:cs="Calibri"/>
                <w:color w:val="000000"/>
              </w:rPr>
              <w:t>10,1</w:t>
            </w:r>
          </w:p>
        </w:tc>
      </w:tr>
      <w:tr w:rsidR="00360527" w:rsidRPr="00CB0F5E" w14:paraId="6FCDC30E" w14:textId="77777777" w:rsidTr="00360527">
        <w:trPr>
          <w:trHeight w:val="58"/>
          <w:jc w:val="center"/>
        </w:trPr>
        <w:tc>
          <w:tcPr>
            <w:tcW w:w="1367" w:type="pct"/>
            <w:tcBorders>
              <w:top w:val="single" w:sz="4" w:space="0" w:color="auto"/>
              <w:left w:val="single" w:sz="18" w:space="0" w:color="auto"/>
              <w:bottom w:val="single" w:sz="8" w:space="0" w:color="auto"/>
              <w:right w:val="single" w:sz="12" w:space="0" w:color="auto"/>
            </w:tcBorders>
            <w:shd w:val="clear" w:color="auto" w:fill="D9D9D9" w:themeFill="background1" w:themeFillShade="D9"/>
            <w:noWrap/>
            <w:vAlign w:val="center"/>
            <w:hideMark/>
          </w:tcPr>
          <w:p w14:paraId="58E9A3A9" w14:textId="77777777" w:rsidR="00360527" w:rsidRPr="00CB0F5E" w:rsidRDefault="00360527" w:rsidP="00360527">
            <w:pPr>
              <w:rPr>
                <w:rFonts w:eastAsia="Times New Roman" w:cstheme="minorHAnsi"/>
                <w:color w:val="000000"/>
                <w:sz w:val="20"/>
                <w:szCs w:val="20"/>
                <w:lang w:eastAsia="cs-CZ"/>
              </w:rPr>
            </w:pPr>
            <w:r w:rsidRPr="00CB0F5E">
              <w:rPr>
                <w:rFonts w:eastAsia="Times New Roman" w:cstheme="minorHAnsi"/>
                <w:color w:val="000000"/>
                <w:sz w:val="20"/>
                <w:szCs w:val="20"/>
                <w:lang w:eastAsia="cs-CZ"/>
              </w:rPr>
              <w:t>ostatní plocha</w:t>
            </w:r>
          </w:p>
        </w:tc>
        <w:tc>
          <w:tcPr>
            <w:tcW w:w="876" w:type="pct"/>
            <w:tcBorders>
              <w:top w:val="single" w:sz="4" w:space="0" w:color="auto"/>
              <w:left w:val="single" w:sz="12" w:space="0" w:color="auto"/>
              <w:bottom w:val="single" w:sz="8" w:space="0" w:color="auto"/>
              <w:right w:val="single" w:sz="12" w:space="0" w:color="auto"/>
            </w:tcBorders>
            <w:shd w:val="clear" w:color="auto" w:fill="auto"/>
            <w:noWrap/>
            <w:vAlign w:val="center"/>
          </w:tcPr>
          <w:p w14:paraId="16388056" w14:textId="4B3355B5" w:rsidR="00360527" w:rsidRPr="00CB0F5E" w:rsidRDefault="00360527" w:rsidP="00360527">
            <w:pPr>
              <w:jc w:val="right"/>
              <w:rPr>
                <w:rFonts w:cstheme="minorHAnsi"/>
                <w:color w:val="000000"/>
                <w:sz w:val="20"/>
                <w:szCs w:val="20"/>
              </w:rPr>
            </w:pPr>
            <w:r>
              <w:rPr>
                <w:rFonts w:ascii="Calibri" w:hAnsi="Calibri" w:cs="Calibri"/>
                <w:color w:val="000000"/>
              </w:rPr>
              <w:t>41,7</w:t>
            </w:r>
          </w:p>
        </w:tc>
        <w:tc>
          <w:tcPr>
            <w:tcW w:w="916" w:type="pct"/>
            <w:tcBorders>
              <w:top w:val="single" w:sz="4" w:space="0" w:color="auto"/>
              <w:left w:val="single" w:sz="12" w:space="0" w:color="auto"/>
              <w:bottom w:val="single" w:sz="8" w:space="0" w:color="auto"/>
              <w:right w:val="single" w:sz="12" w:space="0" w:color="auto"/>
            </w:tcBorders>
            <w:vAlign w:val="center"/>
          </w:tcPr>
          <w:p w14:paraId="10A012FA" w14:textId="0B6BE995" w:rsidR="00360527" w:rsidRPr="00CB0F5E" w:rsidRDefault="00360527" w:rsidP="00360527">
            <w:pPr>
              <w:jc w:val="right"/>
              <w:rPr>
                <w:rFonts w:cstheme="minorHAnsi"/>
                <w:color w:val="000000"/>
                <w:sz w:val="20"/>
                <w:szCs w:val="20"/>
              </w:rPr>
            </w:pPr>
            <w:r>
              <w:rPr>
                <w:rFonts w:ascii="Calibri" w:hAnsi="Calibri" w:cs="Calibri"/>
                <w:color w:val="000000"/>
              </w:rPr>
              <w:t>32,3</w:t>
            </w:r>
          </w:p>
        </w:tc>
        <w:tc>
          <w:tcPr>
            <w:tcW w:w="946" w:type="pct"/>
            <w:tcBorders>
              <w:top w:val="single" w:sz="4" w:space="0" w:color="auto"/>
              <w:left w:val="single" w:sz="12" w:space="0" w:color="auto"/>
              <w:bottom w:val="single" w:sz="8" w:space="0" w:color="auto"/>
              <w:right w:val="single" w:sz="12" w:space="0" w:color="auto"/>
            </w:tcBorders>
            <w:shd w:val="clear" w:color="auto" w:fill="auto"/>
            <w:noWrap/>
            <w:vAlign w:val="center"/>
          </w:tcPr>
          <w:p w14:paraId="6804A8FB" w14:textId="45ECB106" w:rsidR="00360527" w:rsidRPr="00CB0F5E" w:rsidRDefault="00360527" w:rsidP="00360527">
            <w:pPr>
              <w:jc w:val="right"/>
              <w:rPr>
                <w:rFonts w:cstheme="minorHAnsi"/>
                <w:color w:val="000000"/>
                <w:sz w:val="20"/>
                <w:szCs w:val="20"/>
              </w:rPr>
            </w:pPr>
            <w:r>
              <w:rPr>
                <w:rFonts w:ascii="Calibri" w:hAnsi="Calibri" w:cs="Calibri"/>
                <w:color w:val="000000"/>
              </w:rPr>
              <w:t>46,3</w:t>
            </w:r>
          </w:p>
        </w:tc>
        <w:tc>
          <w:tcPr>
            <w:tcW w:w="895" w:type="pct"/>
            <w:tcBorders>
              <w:top w:val="single" w:sz="4" w:space="0" w:color="auto"/>
              <w:left w:val="single" w:sz="12" w:space="0" w:color="auto"/>
              <w:bottom w:val="single" w:sz="8" w:space="0" w:color="auto"/>
              <w:right w:val="single" w:sz="18" w:space="0" w:color="auto"/>
            </w:tcBorders>
            <w:shd w:val="clear" w:color="auto" w:fill="auto"/>
            <w:noWrap/>
            <w:vAlign w:val="center"/>
          </w:tcPr>
          <w:p w14:paraId="15D38CD0" w14:textId="57D32CE9" w:rsidR="00360527" w:rsidRPr="00CB0F5E" w:rsidRDefault="00360527" w:rsidP="00360527">
            <w:pPr>
              <w:jc w:val="right"/>
              <w:rPr>
                <w:rFonts w:cstheme="minorHAnsi"/>
                <w:color w:val="000000"/>
                <w:sz w:val="20"/>
                <w:szCs w:val="20"/>
              </w:rPr>
            </w:pPr>
            <w:r>
              <w:rPr>
                <w:rFonts w:ascii="Calibri" w:hAnsi="Calibri" w:cs="Calibri"/>
                <w:color w:val="000000"/>
              </w:rPr>
              <w:t>120,3</w:t>
            </w:r>
          </w:p>
        </w:tc>
      </w:tr>
      <w:tr w:rsidR="00360527" w:rsidRPr="00CB0F5E" w14:paraId="5B61941E" w14:textId="77777777" w:rsidTr="00360527">
        <w:trPr>
          <w:trHeight w:val="38"/>
          <w:jc w:val="center"/>
        </w:trPr>
        <w:tc>
          <w:tcPr>
            <w:tcW w:w="1367" w:type="pct"/>
            <w:tcBorders>
              <w:top w:val="single" w:sz="8" w:space="0" w:color="auto"/>
              <w:left w:val="single" w:sz="18" w:space="0" w:color="auto"/>
              <w:bottom w:val="single" w:sz="18" w:space="0" w:color="auto"/>
              <w:right w:val="single" w:sz="12" w:space="0" w:color="auto"/>
            </w:tcBorders>
            <w:shd w:val="clear" w:color="auto" w:fill="D9D9D9" w:themeFill="background1" w:themeFillShade="D9"/>
            <w:noWrap/>
            <w:vAlign w:val="center"/>
            <w:hideMark/>
          </w:tcPr>
          <w:p w14:paraId="43C0D278" w14:textId="77777777" w:rsidR="00360527" w:rsidRPr="00CB0F5E" w:rsidRDefault="00360527" w:rsidP="00360527">
            <w:pPr>
              <w:rPr>
                <w:rFonts w:eastAsia="Times New Roman" w:cstheme="minorHAnsi"/>
                <w:b/>
                <w:bCs/>
                <w:color w:val="000000"/>
                <w:sz w:val="20"/>
                <w:szCs w:val="20"/>
                <w:lang w:eastAsia="cs-CZ"/>
              </w:rPr>
            </w:pPr>
            <w:r w:rsidRPr="00CB0F5E">
              <w:rPr>
                <w:rFonts w:eastAsia="Times New Roman" w:cstheme="minorHAnsi"/>
                <w:b/>
                <w:bCs/>
                <w:color w:val="000000"/>
                <w:sz w:val="20"/>
                <w:szCs w:val="20"/>
                <w:lang w:eastAsia="cs-CZ"/>
              </w:rPr>
              <w:t>celkem</w:t>
            </w:r>
          </w:p>
        </w:tc>
        <w:tc>
          <w:tcPr>
            <w:tcW w:w="876" w:type="pct"/>
            <w:tcBorders>
              <w:top w:val="single" w:sz="8" w:space="0" w:color="auto"/>
              <w:left w:val="single" w:sz="12" w:space="0" w:color="auto"/>
              <w:bottom w:val="single" w:sz="18" w:space="0" w:color="auto"/>
              <w:right w:val="single" w:sz="12" w:space="0" w:color="auto"/>
            </w:tcBorders>
            <w:shd w:val="clear" w:color="auto" w:fill="D9D9D9" w:themeFill="background1" w:themeFillShade="D9"/>
            <w:noWrap/>
            <w:vAlign w:val="center"/>
          </w:tcPr>
          <w:p w14:paraId="57570C1A" w14:textId="2450205A" w:rsidR="00360527" w:rsidRPr="00360527" w:rsidRDefault="00360527" w:rsidP="00360527">
            <w:pPr>
              <w:jc w:val="right"/>
              <w:rPr>
                <w:rFonts w:cstheme="minorHAnsi"/>
                <w:b/>
                <w:bCs/>
                <w:color w:val="000000"/>
                <w:sz w:val="20"/>
                <w:szCs w:val="20"/>
              </w:rPr>
            </w:pPr>
            <w:r w:rsidRPr="00360527">
              <w:rPr>
                <w:rFonts w:ascii="Calibri" w:hAnsi="Calibri" w:cs="Calibri"/>
                <w:b/>
                <w:bCs/>
                <w:color w:val="000000"/>
              </w:rPr>
              <w:t>358,9</w:t>
            </w:r>
          </w:p>
        </w:tc>
        <w:tc>
          <w:tcPr>
            <w:tcW w:w="916" w:type="pct"/>
            <w:tcBorders>
              <w:top w:val="single" w:sz="8" w:space="0" w:color="auto"/>
              <w:left w:val="single" w:sz="12" w:space="0" w:color="auto"/>
              <w:bottom w:val="single" w:sz="18" w:space="0" w:color="auto"/>
              <w:right w:val="single" w:sz="12" w:space="0" w:color="auto"/>
            </w:tcBorders>
            <w:shd w:val="clear" w:color="auto" w:fill="D9D9D9" w:themeFill="background1" w:themeFillShade="D9"/>
            <w:vAlign w:val="center"/>
          </w:tcPr>
          <w:p w14:paraId="4178185D" w14:textId="30F5E920" w:rsidR="00360527" w:rsidRPr="00360527" w:rsidRDefault="00360527" w:rsidP="00360527">
            <w:pPr>
              <w:jc w:val="right"/>
              <w:rPr>
                <w:rFonts w:cstheme="minorHAnsi"/>
                <w:b/>
                <w:bCs/>
                <w:color w:val="000000"/>
                <w:sz w:val="20"/>
                <w:szCs w:val="20"/>
              </w:rPr>
            </w:pPr>
            <w:r w:rsidRPr="00360527">
              <w:rPr>
                <w:rFonts w:ascii="Calibri" w:hAnsi="Calibri" w:cs="Calibri"/>
                <w:b/>
                <w:bCs/>
                <w:color w:val="000000"/>
              </w:rPr>
              <w:t>823,8</w:t>
            </w:r>
          </w:p>
        </w:tc>
        <w:tc>
          <w:tcPr>
            <w:tcW w:w="946" w:type="pct"/>
            <w:tcBorders>
              <w:top w:val="single" w:sz="8" w:space="0" w:color="auto"/>
              <w:left w:val="single" w:sz="12" w:space="0" w:color="auto"/>
              <w:bottom w:val="single" w:sz="18" w:space="0" w:color="auto"/>
              <w:right w:val="single" w:sz="12" w:space="0" w:color="auto"/>
            </w:tcBorders>
            <w:shd w:val="clear" w:color="auto" w:fill="D9D9D9" w:themeFill="background1" w:themeFillShade="D9"/>
            <w:noWrap/>
            <w:vAlign w:val="center"/>
          </w:tcPr>
          <w:p w14:paraId="374B763C" w14:textId="64FD2E97" w:rsidR="00360527" w:rsidRPr="00360527" w:rsidRDefault="00360527" w:rsidP="00360527">
            <w:pPr>
              <w:jc w:val="right"/>
              <w:rPr>
                <w:rFonts w:cstheme="minorHAnsi"/>
                <w:b/>
                <w:bCs/>
                <w:color w:val="000000"/>
                <w:sz w:val="20"/>
                <w:szCs w:val="20"/>
              </w:rPr>
            </w:pPr>
            <w:r w:rsidRPr="00360527">
              <w:rPr>
                <w:rFonts w:ascii="Calibri" w:hAnsi="Calibri" w:cs="Calibri"/>
                <w:b/>
                <w:bCs/>
                <w:color w:val="000000"/>
              </w:rPr>
              <w:t>606,9</w:t>
            </w:r>
          </w:p>
        </w:tc>
        <w:tc>
          <w:tcPr>
            <w:tcW w:w="895" w:type="pct"/>
            <w:tcBorders>
              <w:top w:val="single" w:sz="8" w:space="0" w:color="auto"/>
              <w:left w:val="single" w:sz="12" w:space="0" w:color="auto"/>
              <w:bottom w:val="single" w:sz="18" w:space="0" w:color="auto"/>
              <w:right w:val="single" w:sz="18" w:space="0" w:color="auto"/>
            </w:tcBorders>
            <w:shd w:val="clear" w:color="auto" w:fill="D9D9D9" w:themeFill="background1" w:themeFillShade="D9"/>
            <w:noWrap/>
            <w:vAlign w:val="center"/>
          </w:tcPr>
          <w:p w14:paraId="6503BC74" w14:textId="5B6EBD69" w:rsidR="00360527" w:rsidRPr="00360527" w:rsidRDefault="00360527" w:rsidP="00360527">
            <w:pPr>
              <w:jc w:val="right"/>
              <w:rPr>
                <w:rFonts w:cstheme="minorHAnsi"/>
                <w:b/>
                <w:bCs/>
                <w:color w:val="000000"/>
                <w:sz w:val="20"/>
                <w:szCs w:val="20"/>
              </w:rPr>
            </w:pPr>
            <w:r w:rsidRPr="00360527">
              <w:rPr>
                <w:rFonts w:ascii="Calibri" w:hAnsi="Calibri" w:cs="Calibri"/>
                <w:b/>
                <w:bCs/>
                <w:color w:val="000000"/>
              </w:rPr>
              <w:t>1789,6</w:t>
            </w:r>
          </w:p>
        </w:tc>
      </w:tr>
    </w:tbl>
    <w:p w14:paraId="497C24E8" w14:textId="77777777" w:rsidR="00A459FD" w:rsidRPr="00CB0F5E" w:rsidRDefault="00A459FD" w:rsidP="00A459FD">
      <w:pPr>
        <w:spacing w:after="160"/>
        <w:jc w:val="both"/>
        <w:rPr>
          <w:bCs/>
          <w:color w:val="000000"/>
          <w:shd w:val="clear" w:color="auto" w:fill="FFFFFF"/>
        </w:rPr>
      </w:pPr>
      <w:r w:rsidRPr="00CB0F5E">
        <w:rPr>
          <w:rFonts w:eastAsia="TimesNewRoman" w:cs="TimesNewRoman"/>
          <w:b/>
          <w:sz w:val="20"/>
          <w:szCs w:val="20"/>
        </w:rPr>
        <w:t>Zdroj:</w:t>
      </w:r>
      <w:r w:rsidRPr="00CB0F5E">
        <w:rPr>
          <w:sz w:val="20"/>
          <w:szCs w:val="20"/>
        </w:rPr>
        <w:t xml:space="preserve"> Aplikace Českého úřadu zeměměřického a katastrálního „Nahlížení do katastru nemovitostí“ </w:t>
      </w:r>
      <w:hyperlink r:id="rId31" w:history="1">
        <w:r w:rsidRPr="00CB0F5E">
          <w:rPr>
            <w:rStyle w:val="Hypertextovodkaz"/>
            <w:rFonts w:eastAsia="TimesNewRoman" w:cs="TimesNewRoman"/>
            <w:sz w:val="20"/>
            <w:szCs w:val="20"/>
          </w:rPr>
          <w:t>https://nahlizenidokn.cuzk.cz/</w:t>
        </w:r>
      </w:hyperlink>
    </w:p>
    <w:p w14:paraId="3AA0A23C" w14:textId="4C5432AF" w:rsidR="007D200E" w:rsidRDefault="007D200E" w:rsidP="00A459FD">
      <w:pPr>
        <w:spacing w:after="160" w:line="259" w:lineRule="auto"/>
      </w:pPr>
      <w:bookmarkStart w:id="77" w:name="_Toc445288432"/>
    </w:p>
    <w:p w14:paraId="3F7CBC5A" w14:textId="73CF168F" w:rsidR="00A459FD" w:rsidRPr="00674DE0" w:rsidRDefault="00A459FD" w:rsidP="00A459FD">
      <w:pPr>
        <w:pStyle w:val="GRAF0"/>
      </w:pPr>
      <w:bookmarkStart w:id="78" w:name="_Toc32577902"/>
      <w:bookmarkStart w:id="79" w:name="_Toc104472747"/>
      <w:bookmarkStart w:id="80" w:name="_Toc120651981"/>
      <w:r w:rsidRPr="00674DE0">
        <w:t xml:space="preserve">Graf 2: Struktura druhů pozemků půdního fondu v obci </w:t>
      </w:r>
      <w:r w:rsidR="007D200E">
        <w:t>Staré Buky</w:t>
      </w:r>
      <w:r w:rsidRPr="00CB0F5E">
        <w:t xml:space="preserve"> </w:t>
      </w:r>
      <w:r w:rsidRPr="00674DE0">
        <w:t>podle katastrálních území k </w:t>
      </w:r>
      <w:r w:rsidR="007D200E">
        <w:t>8</w:t>
      </w:r>
      <w:r w:rsidRPr="00674DE0">
        <w:t xml:space="preserve">. </w:t>
      </w:r>
      <w:r w:rsidR="007D200E">
        <w:t>5</w:t>
      </w:r>
      <w:r w:rsidRPr="00674DE0">
        <w:t>. 202</w:t>
      </w:r>
      <w:r>
        <w:t>2</w:t>
      </w:r>
      <w:r w:rsidRPr="00674DE0">
        <w:t xml:space="preserve"> (v %)</w:t>
      </w:r>
      <w:bookmarkEnd w:id="77"/>
      <w:bookmarkEnd w:id="78"/>
      <w:bookmarkEnd w:id="79"/>
      <w:bookmarkEnd w:id="80"/>
    </w:p>
    <w:p w14:paraId="2F529965" w14:textId="1E129957" w:rsidR="00A459FD" w:rsidRPr="00674DE0" w:rsidRDefault="004C37AD" w:rsidP="003D2736">
      <w:pPr>
        <w:spacing w:line="360" w:lineRule="auto"/>
        <w:jc w:val="center"/>
      </w:pPr>
      <w:r>
        <w:rPr>
          <w:noProof/>
        </w:rPr>
        <w:drawing>
          <wp:inline distT="0" distB="0" distL="0" distR="0" wp14:anchorId="4A915C6C" wp14:editId="3E899BF6">
            <wp:extent cx="4983480" cy="3101340"/>
            <wp:effectExtent l="0" t="0" r="0" b="0"/>
            <wp:docPr id="30" name="Graf 30">
              <a:extLst xmlns:a="http://schemas.openxmlformats.org/drawingml/2006/main">
                <a:ext uri="{FF2B5EF4-FFF2-40B4-BE49-F238E27FC236}">
                  <a16:creationId xmlns:a16="http://schemas.microsoft.com/office/drawing/2014/main" id="{24811210-333D-42EA-B80A-46B15637F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D38339" w14:textId="3E4FF61D" w:rsidR="00A459FD" w:rsidRDefault="00A459FD" w:rsidP="00A459FD">
      <w:pPr>
        <w:jc w:val="both"/>
        <w:rPr>
          <w:rFonts w:eastAsia="TimesNewRoman" w:cs="TimesNewRoman"/>
          <w:b/>
          <w:sz w:val="20"/>
          <w:szCs w:val="20"/>
        </w:rPr>
      </w:pPr>
      <w:r>
        <w:rPr>
          <w:rFonts w:eastAsia="TimesNewRoman" w:cs="TimesNewRoman"/>
          <w:b/>
          <w:sz w:val="20"/>
          <w:szCs w:val="20"/>
        </w:rPr>
        <w:t>Poznámka:</w:t>
      </w:r>
      <w:r>
        <w:rPr>
          <w:rFonts w:eastAsia="TimesNewRoman" w:cs="TimesNewRoman"/>
          <w:bCs/>
          <w:sz w:val="20"/>
          <w:szCs w:val="20"/>
        </w:rPr>
        <w:t xml:space="preserve"> </w:t>
      </w:r>
      <w:r w:rsidR="004C37AD">
        <w:rPr>
          <w:rFonts w:eastAsia="TimesNewRoman" w:cs="TimesNewRoman"/>
          <w:bCs/>
          <w:sz w:val="20"/>
          <w:szCs w:val="20"/>
        </w:rPr>
        <w:t>Druh pozemku „ovocný sad“ se na území obce nevyskytuje, a proto není v grafu znázorněn.</w:t>
      </w:r>
    </w:p>
    <w:p w14:paraId="635DD8C7" w14:textId="77777777" w:rsidR="00A459FD" w:rsidRPr="00674DE0" w:rsidRDefault="00A459FD" w:rsidP="00A459FD">
      <w:pPr>
        <w:spacing w:after="160"/>
        <w:jc w:val="both"/>
        <w:rPr>
          <w:rStyle w:val="Hypertextovodkaz"/>
          <w:rFonts w:eastAsia="TimesNewRoman" w:cs="TimesNewRoman"/>
          <w:sz w:val="20"/>
          <w:szCs w:val="20"/>
        </w:rPr>
      </w:pPr>
      <w:r w:rsidRPr="00674DE0">
        <w:rPr>
          <w:rFonts w:eastAsia="TimesNewRoman" w:cs="TimesNewRoman"/>
          <w:b/>
          <w:sz w:val="20"/>
          <w:szCs w:val="20"/>
        </w:rPr>
        <w:t>Zdroj:</w:t>
      </w:r>
      <w:r w:rsidRPr="00674DE0">
        <w:rPr>
          <w:sz w:val="20"/>
          <w:szCs w:val="20"/>
        </w:rPr>
        <w:t xml:space="preserve"> Aplikace Českého úřadu zeměměřického a katastrálního „Nahlížení do katastru nemovitostí“ </w:t>
      </w:r>
      <w:hyperlink r:id="rId33" w:history="1">
        <w:r w:rsidRPr="00674DE0">
          <w:rPr>
            <w:rStyle w:val="Hypertextovodkaz"/>
            <w:rFonts w:eastAsia="TimesNewRoman" w:cs="TimesNewRoman"/>
            <w:sz w:val="20"/>
            <w:szCs w:val="20"/>
          </w:rPr>
          <w:t>https://nahlizenidokn.cuzk.cz/</w:t>
        </w:r>
      </w:hyperlink>
    </w:p>
    <w:p w14:paraId="2252378A" w14:textId="77777777" w:rsidR="00A459FD" w:rsidRPr="00A910D9" w:rsidRDefault="00A459FD" w:rsidP="00A459FD">
      <w:pPr>
        <w:spacing w:after="160" w:line="259" w:lineRule="auto"/>
        <w:jc w:val="both"/>
        <w:rPr>
          <w:bCs/>
          <w:color w:val="000000"/>
          <w:highlight w:val="yellow"/>
          <w:shd w:val="clear" w:color="auto" w:fill="FFFFFF"/>
        </w:rPr>
      </w:pPr>
    </w:p>
    <w:p w14:paraId="6368EE1D" w14:textId="4E52459B" w:rsidR="00A264A0" w:rsidRDefault="00A459FD" w:rsidP="00A459FD">
      <w:pPr>
        <w:spacing w:after="160" w:line="259" w:lineRule="auto"/>
        <w:jc w:val="both"/>
      </w:pPr>
      <w:r w:rsidRPr="00AE028A">
        <w:t xml:space="preserve">Při rozdělení území obce podle jednotlivých k. ú. lze vidět, že se mezi sebou tato k.ú. v zastoupení některých druhů pozemků částečně liší. Zatímco v k.ú. </w:t>
      </w:r>
      <w:r w:rsidR="00474395">
        <w:t>Dolní Staré Buky</w:t>
      </w:r>
      <w:r w:rsidRPr="00AE028A">
        <w:t xml:space="preserve"> představuje orná půda </w:t>
      </w:r>
      <w:r w:rsidR="00474395">
        <w:t>téměř</w:t>
      </w:r>
      <w:r w:rsidRPr="00AE028A">
        <w:t xml:space="preserve"> </w:t>
      </w:r>
      <w:r w:rsidR="00474395">
        <w:t>3</w:t>
      </w:r>
      <w:r>
        <w:t>0</w:t>
      </w:r>
      <w:r w:rsidRPr="00AE028A">
        <w:t xml:space="preserve"> %, </w:t>
      </w:r>
      <w:r w:rsidR="00474395">
        <w:t>v</w:t>
      </w:r>
      <w:r w:rsidRPr="00AE028A">
        <w:t xml:space="preserve"> k. ú. </w:t>
      </w:r>
      <w:r w:rsidR="00474395">
        <w:t>Horní Staré Buky</w:t>
      </w:r>
      <w:r w:rsidR="00474395" w:rsidRPr="00AE028A">
        <w:t xml:space="preserve"> </w:t>
      </w:r>
      <w:r w:rsidRPr="00AE028A">
        <w:t xml:space="preserve">je její podíl </w:t>
      </w:r>
      <w:r w:rsidR="00474395">
        <w:t>téměř poloviční</w:t>
      </w:r>
      <w:r w:rsidRPr="00AE028A">
        <w:t xml:space="preserve"> (</w:t>
      </w:r>
      <w:r>
        <w:t>okolo 15 %</w:t>
      </w:r>
      <w:r w:rsidRPr="00AE028A">
        <w:t xml:space="preserve">). V k. ú. </w:t>
      </w:r>
      <w:r w:rsidR="00474395">
        <w:t>Horní Staré Buky</w:t>
      </w:r>
      <w:r w:rsidR="00474395" w:rsidRPr="00AE028A">
        <w:t xml:space="preserve"> </w:t>
      </w:r>
      <w:r>
        <w:t xml:space="preserve">a </w:t>
      </w:r>
      <w:r w:rsidR="00474395">
        <w:t>Prostřední Staré Buky</w:t>
      </w:r>
      <w:r w:rsidR="00474395" w:rsidRPr="00AE028A">
        <w:t xml:space="preserve"> </w:t>
      </w:r>
      <w:r w:rsidRPr="00AE028A">
        <w:t xml:space="preserve">jsou dominantním druhem pozemku lesní pozemky. </w:t>
      </w:r>
      <w:r>
        <w:t xml:space="preserve">Podílové zastoupení </w:t>
      </w:r>
      <w:r w:rsidR="00474395">
        <w:t>ostatních ploch</w:t>
      </w:r>
      <w:r>
        <w:t xml:space="preserve"> </w:t>
      </w:r>
      <w:r w:rsidR="00474395">
        <w:t>je nejvyšší v k. ú. Dolní Staré Buky (téměř 12 %), zatímco v k. ú. Horní Staré Buky je pouze okolo 4 %.</w:t>
      </w:r>
    </w:p>
    <w:p w14:paraId="42A7D871" w14:textId="77777777" w:rsidR="008147E6" w:rsidRPr="005B4E8A" w:rsidRDefault="008147E6" w:rsidP="00814D5A">
      <w:pPr>
        <w:pStyle w:val="Nadpis4"/>
      </w:pPr>
      <w:bookmarkStart w:id="81" w:name="_Toc413418358"/>
      <w:bookmarkStart w:id="82" w:name="_Toc440566337"/>
      <w:bookmarkStart w:id="83" w:name="_Toc441227489"/>
      <w:bookmarkStart w:id="84" w:name="_Toc32580109"/>
      <w:bookmarkStart w:id="85" w:name="_Toc120652134"/>
      <w:r>
        <w:lastRenderedPageBreak/>
        <w:t xml:space="preserve">2.1.1.4 </w:t>
      </w:r>
      <w:r w:rsidRPr="005B4E8A">
        <w:t>Základní historie obce a její vliv na současnost</w:t>
      </w:r>
      <w:bookmarkEnd w:id="81"/>
      <w:bookmarkEnd w:id="82"/>
      <w:bookmarkEnd w:id="83"/>
      <w:bookmarkEnd w:id="84"/>
      <w:bookmarkEnd w:id="85"/>
    </w:p>
    <w:p w14:paraId="695D04C5" w14:textId="5169AEA6" w:rsidR="001D6C30" w:rsidRDefault="001D6C30" w:rsidP="001D6C30">
      <w:pPr>
        <w:spacing w:after="160" w:line="259" w:lineRule="auto"/>
        <w:jc w:val="both"/>
      </w:pPr>
      <w:r>
        <w:t xml:space="preserve">První zmínka o obci pochází z roku 1355. </w:t>
      </w:r>
      <w:r w:rsidRPr="001D6C30">
        <w:t>Do 16. století byl skutečným vlastníkem český král, kterému patřil hrad Trutnov</w:t>
      </w:r>
      <w:r>
        <w:t>.</w:t>
      </w:r>
      <w:r w:rsidRPr="001D6C30">
        <w:t xml:space="preserve"> </w:t>
      </w:r>
      <w:r>
        <w:t>Prvními poznatelnými držiteli vsi Staré Buky byli vladykové Vintíř a Jindřich z Jimnice – Švábenicové. Roku 1412 se stal držitelem Nipek Bonoschek, v roce 1519 Jan z Warnsdorfu. Jeho dcera Kristýna se zasnoubila s Benediktem Stošem z Kounic, čímž na starobuckém panství nastupuje rod Kouniců. V roce 1581 propustil král statek z manství a ten se stal dědičným majetkem Stošů z Kounic.</w:t>
      </w:r>
      <w:r w:rsidR="004A0AE4">
        <w:t xml:space="preserve"> </w:t>
      </w:r>
      <w:r>
        <w:t>Díky dědickému dělení majetku byly Staré Buky již od této doby třemi samostatnými vesnicemi s názvy Dolní Staré Buky, Prostřední Staré Buky a Horní Staré Buky, které se rozkládaly na obou březích Starobuckého potoka v délce okolo pěti kilometrů.</w:t>
      </w:r>
    </w:p>
    <w:p w14:paraId="53815229" w14:textId="0BA6E7DF" w:rsidR="001D6C30" w:rsidRDefault="001D6C30" w:rsidP="001D6C30">
      <w:pPr>
        <w:spacing w:after="160" w:line="259" w:lineRule="auto"/>
        <w:jc w:val="both"/>
      </w:pPr>
      <w:r>
        <w:t xml:space="preserve">Po </w:t>
      </w:r>
      <w:r w:rsidR="004A0AE4">
        <w:t xml:space="preserve">bitvě na </w:t>
      </w:r>
      <w:r>
        <w:t xml:space="preserve">Bílé hoře </w:t>
      </w:r>
      <w:r w:rsidR="004A0AE4">
        <w:t>docházelo ke</w:t>
      </w:r>
      <w:r>
        <w:t xml:space="preserve"> stříd</w:t>
      </w:r>
      <w:r w:rsidR="004A0AE4">
        <w:t>ání</w:t>
      </w:r>
      <w:r>
        <w:t xml:space="preserve"> vlastní</w:t>
      </w:r>
      <w:r w:rsidR="004A0AE4">
        <w:t>ků</w:t>
      </w:r>
      <w:r>
        <w:t xml:space="preserve">. </w:t>
      </w:r>
      <w:r w:rsidR="006436DE">
        <w:t>V</w:t>
      </w:r>
      <w:r>
        <w:t xml:space="preserve"> roce 1701 kupuje zadlužené panství královehradecký hejtman Pertolt Vilém z</w:t>
      </w:r>
      <w:r w:rsidR="006436DE">
        <w:t> </w:t>
      </w:r>
      <w:r>
        <w:t>Valdštejna</w:t>
      </w:r>
      <w:r w:rsidR="006436DE">
        <w:t>. Rod Valdštejnů následně</w:t>
      </w:r>
      <w:r>
        <w:t xml:space="preserve"> vystřídal rod Schaffgotschů. V roce 1850 byla vrchnostenská správa </w:t>
      </w:r>
      <w:r w:rsidR="006436DE">
        <w:t xml:space="preserve">nahrazena </w:t>
      </w:r>
      <w:r>
        <w:t>správou státní, zřízením okresních a obecních úřadů.</w:t>
      </w:r>
      <w:r w:rsidR="008063AF">
        <w:t xml:space="preserve"> </w:t>
      </w:r>
      <w:r>
        <w:t>Od roku 1880 byl majitelem buckého hospodářského statku trutnovský továrník Jan Faltis.</w:t>
      </w:r>
      <w:r w:rsidR="007A407F">
        <w:t xml:space="preserve"> V následujících letech došlo k</w:t>
      </w:r>
      <w:r w:rsidR="008063AF">
        <w:t> prostřídání několika vlastníků panství.</w:t>
      </w:r>
    </w:p>
    <w:p w14:paraId="6F05DC92" w14:textId="4332121D" w:rsidR="00112FEC" w:rsidRDefault="001D6C30" w:rsidP="001D6C30">
      <w:pPr>
        <w:spacing w:after="160" w:line="259" w:lineRule="auto"/>
        <w:jc w:val="both"/>
      </w:pPr>
      <w:r>
        <w:t xml:space="preserve">Obyvatelstvo bylo až do roku 1945 po několik století převážně německé národnosti. </w:t>
      </w:r>
      <w:r w:rsidR="00112FEC">
        <w:t>Po druhé světové válce nastal odsun německého obyvatelstva a následnému doosídlení. P</w:t>
      </w:r>
      <w:r w:rsidR="00112FEC" w:rsidRPr="00112FEC">
        <w:t xml:space="preserve">o </w:t>
      </w:r>
      <w:r w:rsidR="00112FEC">
        <w:t xml:space="preserve">tomto </w:t>
      </w:r>
      <w:r w:rsidR="00112FEC" w:rsidRPr="00112FEC">
        <w:t>dosídlení obce v poválečných letech došlo k demolicím a zpustnutí velké části nemovitostí.</w:t>
      </w:r>
      <w:r w:rsidR="00112FEC">
        <w:t xml:space="preserve"> </w:t>
      </w:r>
      <w:r w:rsidR="00112FEC" w:rsidRPr="00112FEC">
        <w:t xml:space="preserve">V průběhu socializace vesnice dochází několikrát k výměně různých forem hospodaření v jednotlivých katastrech obce </w:t>
      </w:r>
      <w:r w:rsidR="00112FEC">
        <w:t>–</w:t>
      </w:r>
      <w:r w:rsidR="00112FEC" w:rsidRPr="00112FEC">
        <w:t xml:space="preserve"> od soukromého, </w:t>
      </w:r>
      <w:r w:rsidR="00112FEC">
        <w:t>jednotných zemědělských družstev</w:t>
      </w:r>
      <w:r w:rsidR="00112FEC" w:rsidRPr="00112FEC">
        <w:t xml:space="preserve"> až po státní statky. V té době také odešla z obce poměrně velká část dosídlenců.</w:t>
      </w:r>
      <w:r w:rsidR="00C930FF" w:rsidRPr="00C930FF">
        <w:t xml:space="preserve"> Nakonec v celé obci </w:t>
      </w:r>
      <w:r w:rsidR="00C930FF">
        <w:t>zůstal</w:t>
      </w:r>
      <w:r w:rsidR="00C930FF" w:rsidRPr="00C930FF">
        <w:t xml:space="preserve"> jeden státní statek, který se po roce 1990 transformoval na </w:t>
      </w:r>
      <w:r w:rsidR="00A76D5F">
        <w:t>akciovou společnost</w:t>
      </w:r>
      <w:r w:rsidR="00C930FF" w:rsidRPr="00C930FF">
        <w:t>.</w:t>
      </w:r>
    </w:p>
    <w:p w14:paraId="103AEC85" w14:textId="4687BA61" w:rsidR="001D6C30" w:rsidRDefault="00C930FF" w:rsidP="001D6C30">
      <w:pPr>
        <w:spacing w:after="160" w:line="259" w:lineRule="auto"/>
        <w:jc w:val="both"/>
      </w:pPr>
      <w:r>
        <w:t>Z pohledu hospodářské činnosti bylo hlavním zdrojem o</w:t>
      </w:r>
      <w:r w:rsidR="001D6C30">
        <w:t xml:space="preserve">bživy </w:t>
      </w:r>
      <w:r>
        <w:t>především</w:t>
      </w:r>
      <w:r w:rsidR="001D6C30">
        <w:t xml:space="preserve"> zemědělství. </w:t>
      </w:r>
      <w:r>
        <w:t>Do roku 1945 byl v</w:t>
      </w:r>
      <w:r w:rsidR="001D6C30">
        <w:t>elký počet obyvatel během léta činný v širokém okolí jako zedníci, tesaři a nádeníci. V zimním období bylo provozováno domácí tkalcovství.</w:t>
      </w:r>
      <w:r w:rsidR="008063AF">
        <w:t xml:space="preserve"> </w:t>
      </w:r>
      <w:r w:rsidR="001D6C30">
        <w:t xml:space="preserve">V 19. a začátkem 20. století byly </w:t>
      </w:r>
      <w:r w:rsidR="008063AF">
        <w:t xml:space="preserve">v </w:t>
      </w:r>
      <w:r w:rsidR="001D6C30">
        <w:t xml:space="preserve">obci 3 mlýny, pivovar, lihovar, pila se šindelnou, bavlnářská manufaktura, sekernický závod a pazderna. </w:t>
      </w:r>
      <w:r>
        <w:t xml:space="preserve">V období komunismu státní statek </w:t>
      </w:r>
      <w:r w:rsidRPr="00C930FF">
        <w:t>zaměstnával velkou část obyvatelstva obce</w:t>
      </w:r>
      <w:r>
        <w:t>.</w:t>
      </w:r>
      <w:r w:rsidRPr="00C930FF">
        <w:t xml:space="preserve"> Po transformaci </w:t>
      </w:r>
      <w:r>
        <w:t xml:space="preserve">statku po roce 1990 </w:t>
      </w:r>
      <w:r w:rsidRPr="00C930FF">
        <w:t>dochází ke změně hospodaření ve směru omezení rostlinné výroby a k přechodu na pastevní odchov dobytka. Tím došlo k velkému snížení počtu zaměstnanců a z toho plynoucí nutností hledat zaměstnání v okolních obcích, hlavně v Trutnově.</w:t>
      </w:r>
      <w:r w:rsidR="00610762" w:rsidRPr="00610762">
        <w:t xml:space="preserve"> </w:t>
      </w:r>
      <w:r w:rsidR="00610762">
        <w:t>P</w:t>
      </w:r>
      <w:r w:rsidR="00610762" w:rsidRPr="00610762">
        <w:t xml:space="preserve">o roce 1990 </w:t>
      </w:r>
      <w:r w:rsidR="00610762">
        <w:t>č</w:t>
      </w:r>
      <w:r w:rsidR="00610762" w:rsidRPr="00610762">
        <w:t xml:space="preserve">ást obyvatel začala soukromě podnikat. V obci </w:t>
      </w:r>
      <w:r w:rsidR="00E03AFB">
        <w:t>byli</w:t>
      </w:r>
      <w:r w:rsidR="00610762" w:rsidRPr="00610762">
        <w:t xml:space="preserve"> 2 truhláři, 3 hospody, 1 krámek, několik občanů podnik</w:t>
      </w:r>
      <w:r w:rsidR="00E03AFB">
        <w:t>alo</w:t>
      </w:r>
      <w:r w:rsidR="00610762" w:rsidRPr="00610762">
        <w:t xml:space="preserve"> ve stavebnictví, ve službách pro zemědělství a v pěstební činnosti v</w:t>
      </w:r>
      <w:r w:rsidR="00E03AFB">
        <w:t> </w:t>
      </w:r>
      <w:r w:rsidR="00610762" w:rsidRPr="00610762">
        <w:t>lese</w:t>
      </w:r>
      <w:r w:rsidR="00E03AFB">
        <w:t>.</w:t>
      </w:r>
    </w:p>
    <w:p w14:paraId="3C27404A" w14:textId="74CCC439" w:rsidR="00987194" w:rsidRDefault="00121EDD" w:rsidP="001D6C30">
      <w:pPr>
        <w:spacing w:after="160" w:line="259" w:lineRule="auto"/>
        <w:jc w:val="both"/>
      </w:pPr>
      <w:r>
        <w:t xml:space="preserve">Co se týče posledních let, došlo v obci ke zvýšení </w:t>
      </w:r>
      <w:r w:rsidR="001F386F">
        <w:t>počtu</w:t>
      </w:r>
      <w:r>
        <w:t xml:space="preserve"> obyvatel jak příchodem nových rodin, které řeší bytové problémy odkupováním chalup a jejich přeměnou k trvalému bydlení, tak zakládáním nových rodin z řad mladé generace obyvatel. V neposlední řadě dochází i k výstavbě </w:t>
      </w:r>
      <w:r w:rsidR="001F386F">
        <w:t>řady</w:t>
      </w:r>
      <w:r>
        <w:t xml:space="preserve"> nových domů</w:t>
      </w:r>
      <w:r w:rsidR="00443831">
        <w:rPr>
          <w:rStyle w:val="Znakapoznpodarou"/>
        </w:rPr>
        <w:footnoteReference w:id="17"/>
      </w:r>
      <w:r w:rsidR="00241EC0">
        <w:t>.</w:t>
      </w:r>
    </w:p>
    <w:p w14:paraId="48DA3D89" w14:textId="652032FA" w:rsidR="0061337C" w:rsidRDefault="0061337C" w:rsidP="008147E6">
      <w:pPr>
        <w:spacing w:after="160" w:line="259" w:lineRule="auto"/>
        <w:jc w:val="both"/>
      </w:pPr>
      <w:r>
        <w:br w:type="page"/>
      </w:r>
    </w:p>
    <w:p w14:paraId="777784C3" w14:textId="77777777" w:rsidR="008147E6" w:rsidRPr="00456025" w:rsidRDefault="008147E6" w:rsidP="00814D5A">
      <w:pPr>
        <w:pStyle w:val="Nadpis3"/>
      </w:pPr>
      <w:bookmarkStart w:id="86" w:name="_Toc413418359"/>
      <w:bookmarkStart w:id="87" w:name="_Toc440566338"/>
      <w:bookmarkStart w:id="88" w:name="_Toc441227490"/>
      <w:bookmarkStart w:id="89" w:name="_Toc32580110"/>
      <w:bookmarkStart w:id="90" w:name="_Toc120652135"/>
      <w:r>
        <w:lastRenderedPageBreak/>
        <w:t xml:space="preserve">2.1.2 </w:t>
      </w:r>
      <w:r w:rsidRPr="00456025">
        <w:t>Obyvatelstvo</w:t>
      </w:r>
      <w:bookmarkEnd w:id="86"/>
      <w:bookmarkEnd w:id="87"/>
      <w:bookmarkEnd w:id="88"/>
      <w:bookmarkEnd w:id="89"/>
      <w:bookmarkEnd w:id="90"/>
    </w:p>
    <w:p w14:paraId="3F2D1E6E" w14:textId="77777777" w:rsidR="008147E6" w:rsidRDefault="008147E6" w:rsidP="00814D5A">
      <w:pPr>
        <w:pStyle w:val="Nadpis4"/>
      </w:pPr>
      <w:bookmarkStart w:id="91" w:name="_Toc413418360"/>
      <w:bookmarkStart w:id="92" w:name="_Toc440566339"/>
      <w:bookmarkStart w:id="93" w:name="_Toc441227491"/>
      <w:bookmarkStart w:id="94" w:name="_Toc32580111"/>
      <w:bookmarkStart w:id="95" w:name="_Toc120652136"/>
      <w:r>
        <w:t xml:space="preserve">2.1.2.1 </w:t>
      </w:r>
      <w:r w:rsidRPr="00456025">
        <w:t>Demografická situace</w:t>
      </w:r>
      <w:bookmarkEnd w:id="91"/>
      <w:bookmarkEnd w:id="92"/>
      <w:bookmarkEnd w:id="93"/>
      <w:bookmarkEnd w:id="94"/>
      <w:bookmarkEnd w:id="95"/>
    </w:p>
    <w:p w14:paraId="40F549E3" w14:textId="77777777" w:rsidR="008147E6" w:rsidRPr="00456025" w:rsidRDefault="008147E6" w:rsidP="008147E6">
      <w:pPr>
        <w:spacing w:after="160" w:line="259" w:lineRule="auto"/>
        <w:jc w:val="both"/>
        <w:rPr>
          <w:u w:val="single"/>
        </w:rPr>
      </w:pPr>
      <w:r w:rsidRPr="00456025">
        <w:rPr>
          <w:u w:val="single"/>
        </w:rPr>
        <w:t>Vývoj počtu obyvatel</w:t>
      </w:r>
    </w:p>
    <w:p w14:paraId="28C4A700" w14:textId="227131B1" w:rsidR="006F39A9" w:rsidRDefault="006F39A9" w:rsidP="006F39A9">
      <w:pPr>
        <w:spacing w:after="160" w:line="259" w:lineRule="auto"/>
        <w:jc w:val="both"/>
      </w:pPr>
      <w:r>
        <w:t xml:space="preserve">Pomocí této charakteristiky lze sledovat, zdali je obec zisková, či ztrátová z hlediska počtu obyvatel. Počet obyvatel byl sledován </w:t>
      </w:r>
      <w:r w:rsidRPr="007A1A86">
        <w:t>i za jednotlivé místní části obce</w:t>
      </w:r>
      <w:r>
        <w:t xml:space="preserve"> mezi lety 1869-2021, převážně v intervalech dvaceti let. V letech nejnovějších jsou intervaly </w:t>
      </w:r>
      <w:r w:rsidRPr="007A1A86">
        <w:t>kratší (tabulka 3).</w:t>
      </w:r>
      <w:r>
        <w:t xml:space="preserve"> Tabulka obsahuje</w:t>
      </w:r>
      <w:r>
        <w:br/>
        <w:t>i řetězové indexy vývoje počtu obyvatel</w:t>
      </w:r>
      <w:r>
        <w:rPr>
          <w:rStyle w:val="Znakapoznpodarou"/>
        </w:rPr>
        <w:footnoteReference w:id="18"/>
      </w:r>
      <w:r>
        <w:t xml:space="preserve">. </w:t>
      </w:r>
    </w:p>
    <w:p w14:paraId="1B4763B9" w14:textId="77777777" w:rsidR="006F39A9" w:rsidRDefault="006F39A9" w:rsidP="006F39A9">
      <w:pPr>
        <w:pStyle w:val="tabulka"/>
        <w:spacing w:after="160" w:line="259" w:lineRule="auto"/>
        <w:rPr>
          <w:b/>
        </w:rPr>
      </w:pPr>
    </w:p>
    <w:p w14:paraId="1CC976F1" w14:textId="7B110A33" w:rsidR="006F39A9" w:rsidRPr="004D1FC6" w:rsidRDefault="006F39A9" w:rsidP="006F39A9">
      <w:pPr>
        <w:pStyle w:val="TABULKA0"/>
      </w:pPr>
      <w:bookmarkStart w:id="96" w:name="_Toc441221907"/>
      <w:bookmarkStart w:id="97" w:name="_Toc32577779"/>
      <w:bookmarkStart w:id="98" w:name="_Toc120651925"/>
      <w:r w:rsidRPr="00826A88">
        <w:t xml:space="preserve">Tabulka 3: Vývoj počtu obyvatel v obci </w:t>
      </w:r>
      <w:r w:rsidR="002F5FF9">
        <w:t>Staré Buky</w:t>
      </w:r>
      <w:r w:rsidRPr="00826A88">
        <w:t xml:space="preserve"> a v jejích jednotlivých místních částech v období 1869-20</w:t>
      </w:r>
      <w:bookmarkEnd w:id="96"/>
      <w:bookmarkEnd w:id="97"/>
      <w:r w:rsidR="002F5FF9">
        <w:t>21</w:t>
      </w:r>
      <w:bookmarkEnd w:id="98"/>
    </w:p>
    <w:tbl>
      <w:tblPr>
        <w:tblW w:w="5044"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1718"/>
        <w:gridCol w:w="767"/>
        <w:gridCol w:w="678"/>
        <w:gridCol w:w="684"/>
        <w:gridCol w:w="686"/>
        <w:gridCol w:w="7"/>
        <w:gridCol w:w="673"/>
        <w:gridCol w:w="7"/>
        <w:gridCol w:w="680"/>
        <w:gridCol w:w="7"/>
        <w:gridCol w:w="680"/>
        <w:gridCol w:w="8"/>
        <w:gridCol w:w="639"/>
        <w:gridCol w:w="7"/>
        <w:gridCol w:w="688"/>
        <w:gridCol w:w="734"/>
        <w:gridCol w:w="630"/>
      </w:tblGrid>
      <w:tr w:rsidR="002F5FF9" w:rsidRPr="007E2DA9" w14:paraId="4A54F02B" w14:textId="77777777" w:rsidTr="00BF0409">
        <w:trPr>
          <w:trHeight w:val="330"/>
          <w:jc w:val="center"/>
        </w:trPr>
        <w:tc>
          <w:tcPr>
            <w:tcW w:w="924" w:type="pct"/>
            <w:tcBorders>
              <w:top w:val="single" w:sz="18" w:space="0" w:color="auto"/>
              <w:bottom w:val="single" w:sz="12" w:space="0" w:color="auto"/>
            </w:tcBorders>
            <w:shd w:val="clear" w:color="auto" w:fill="FFC000"/>
            <w:noWrap/>
            <w:vAlign w:val="center"/>
            <w:hideMark/>
          </w:tcPr>
          <w:p w14:paraId="77E4C102" w14:textId="77777777" w:rsidR="006F39A9" w:rsidRPr="007E2DA9" w:rsidRDefault="006F39A9" w:rsidP="00BC050B">
            <w:pPr>
              <w:jc w:val="center"/>
              <w:rPr>
                <w:rFonts w:eastAsia="Times New Roman" w:cs="Times New Roman"/>
                <w:b/>
                <w:color w:val="000000"/>
                <w:sz w:val="20"/>
                <w:szCs w:val="20"/>
                <w:lang w:eastAsia="cs-CZ"/>
              </w:rPr>
            </w:pPr>
            <w:r w:rsidRPr="007C3FA7">
              <w:rPr>
                <w:rFonts w:eastAsia="Times New Roman" w:cs="Times New Roman"/>
                <w:b/>
                <w:color w:val="000000"/>
                <w:sz w:val="20"/>
                <w:szCs w:val="20"/>
                <w:lang w:eastAsia="cs-CZ"/>
              </w:rPr>
              <w:t>Název</w:t>
            </w:r>
            <w:r w:rsidRPr="007C3FA7">
              <w:rPr>
                <w:rFonts w:eastAsia="Times New Roman" w:cs="Times New Roman"/>
                <w:b/>
                <w:color w:val="000000"/>
                <w:sz w:val="20"/>
                <w:szCs w:val="20"/>
                <w:shd w:val="clear" w:color="auto" w:fill="B2A1C7" w:themeFill="accent4" w:themeFillTint="99"/>
                <w:lang w:eastAsia="cs-CZ"/>
              </w:rPr>
              <w:t xml:space="preserve"> </w:t>
            </w:r>
            <w:r w:rsidRPr="000E7E52">
              <w:rPr>
                <w:rFonts w:eastAsia="Times New Roman" w:cs="Times New Roman"/>
                <w:b/>
                <w:color w:val="000000"/>
                <w:sz w:val="20"/>
                <w:szCs w:val="20"/>
                <w:shd w:val="clear" w:color="auto" w:fill="FFC000"/>
                <w:lang w:eastAsia="cs-CZ"/>
              </w:rPr>
              <w:t>místní</w:t>
            </w:r>
            <w:r w:rsidRPr="00443FA4">
              <w:rPr>
                <w:rFonts w:eastAsia="Times New Roman" w:cs="Times New Roman"/>
                <w:b/>
                <w:color w:val="000000"/>
                <w:sz w:val="20"/>
                <w:szCs w:val="20"/>
                <w:lang w:eastAsia="cs-CZ"/>
              </w:rPr>
              <w:t xml:space="preserve"> části</w:t>
            </w:r>
          </w:p>
        </w:tc>
        <w:tc>
          <w:tcPr>
            <w:tcW w:w="412" w:type="pct"/>
            <w:tcBorders>
              <w:top w:val="single" w:sz="18" w:space="0" w:color="auto"/>
              <w:bottom w:val="single" w:sz="12" w:space="0" w:color="auto"/>
            </w:tcBorders>
            <w:shd w:val="clear" w:color="auto" w:fill="FFC000"/>
            <w:vAlign w:val="center"/>
          </w:tcPr>
          <w:p w14:paraId="1DCD522E" w14:textId="77777777" w:rsidR="006F39A9" w:rsidRPr="00443FA4" w:rsidRDefault="006F39A9" w:rsidP="00BC050B">
            <w:pPr>
              <w:jc w:val="center"/>
              <w:rPr>
                <w:rFonts w:eastAsia="Times New Roman" w:cs="Times New Roman"/>
                <w:b/>
                <w:color w:val="000000"/>
                <w:sz w:val="20"/>
                <w:szCs w:val="20"/>
                <w:lang w:eastAsia="cs-CZ"/>
              </w:rPr>
            </w:pPr>
            <w:r w:rsidRPr="00443FA4">
              <w:rPr>
                <w:rFonts w:eastAsia="Times New Roman" w:cs="Arial"/>
                <w:b/>
                <w:color w:val="000000"/>
                <w:sz w:val="20"/>
                <w:szCs w:val="20"/>
                <w:lang w:eastAsia="cs-CZ"/>
              </w:rPr>
              <w:t>Rok</w:t>
            </w:r>
          </w:p>
        </w:tc>
        <w:tc>
          <w:tcPr>
            <w:tcW w:w="365" w:type="pct"/>
            <w:tcBorders>
              <w:top w:val="single" w:sz="18" w:space="0" w:color="auto"/>
              <w:bottom w:val="single" w:sz="12" w:space="0" w:color="auto"/>
            </w:tcBorders>
            <w:shd w:val="clear" w:color="auto" w:fill="FFC000"/>
            <w:noWrap/>
            <w:vAlign w:val="center"/>
            <w:hideMark/>
          </w:tcPr>
          <w:p w14:paraId="68D66A47" w14:textId="77777777" w:rsidR="006F39A9" w:rsidRPr="007E2DA9" w:rsidRDefault="006F39A9" w:rsidP="00BC050B">
            <w:pPr>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1869</w:t>
            </w:r>
          </w:p>
        </w:tc>
        <w:tc>
          <w:tcPr>
            <w:tcW w:w="368" w:type="pct"/>
            <w:tcBorders>
              <w:top w:val="single" w:sz="18" w:space="0" w:color="auto"/>
              <w:bottom w:val="single" w:sz="12" w:space="0" w:color="auto"/>
            </w:tcBorders>
            <w:shd w:val="clear" w:color="auto" w:fill="FFC000"/>
            <w:noWrap/>
            <w:vAlign w:val="center"/>
            <w:hideMark/>
          </w:tcPr>
          <w:p w14:paraId="04B80F25" w14:textId="77777777" w:rsidR="006F39A9" w:rsidRPr="007E2DA9" w:rsidRDefault="006F39A9" w:rsidP="00BC050B">
            <w:pPr>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1890</w:t>
            </w:r>
          </w:p>
        </w:tc>
        <w:tc>
          <w:tcPr>
            <w:tcW w:w="369" w:type="pct"/>
            <w:tcBorders>
              <w:top w:val="single" w:sz="18" w:space="0" w:color="auto"/>
              <w:bottom w:val="single" w:sz="12" w:space="0" w:color="auto"/>
            </w:tcBorders>
            <w:shd w:val="clear" w:color="auto" w:fill="FFC000"/>
            <w:noWrap/>
            <w:vAlign w:val="center"/>
            <w:hideMark/>
          </w:tcPr>
          <w:p w14:paraId="2429C0C1" w14:textId="77777777" w:rsidR="006F39A9" w:rsidRPr="007E2DA9" w:rsidRDefault="006F39A9" w:rsidP="00BC050B">
            <w:pPr>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1910</w:t>
            </w:r>
          </w:p>
        </w:tc>
        <w:tc>
          <w:tcPr>
            <w:tcW w:w="366" w:type="pct"/>
            <w:gridSpan w:val="2"/>
            <w:tcBorders>
              <w:top w:val="single" w:sz="18" w:space="0" w:color="auto"/>
              <w:bottom w:val="single" w:sz="12" w:space="0" w:color="auto"/>
            </w:tcBorders>
            <w:shd w:val="clear" w:color="auto" w:fill="FFC000"/>
            <w:noWrap/>
            <w:vAlign w:val="center"/>
            <w:hideMark/>
          </w:tcPr>
          <w:p w14:paraId="70D47C6F" w14:textId="77777777" w:rsidR="006F39A9" w:rsidRPr="007E2DA9" w:rsidRDefault="006F39A9" w:rsidP="00BC050B">
            <w:pPr>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1930</w:t>
            </w:r>
          </w:p>
        </w:tc>
        <w:tc>
          <w:tcPr>
            <w:tcW w:w="370" w:type="pct"/>
            <w:gridSpan w:val="2"/>
            <w:tcBorders>
              <w:top w:val="single" w:sz="18" w:space="0" w:color="auto"/>
              <w:bottom w:val="single" w:sz="12" w:space="0" w:color="auto"/>
            </w:tcBorders>
            <w:shd w:val="clear" w:color="auto" w:fill="FFC000"/>
            <w:noWrap/>
            <w:vAlign w:val="center"/>
            <w:hideMark/>
          </w:tcPr>
          <w:p w14:paraId="22B6A3BD" w14:textId="77777777" w:rsidR="006F39A9" w:rsidRPr="007E2DA9" w:rsidRDefault="006F39A9" w:rsidP="00BC050B">
            <w:pPr>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1950</w:t>
            </w:r>
          </w:p>
        </w:tc>
        <w:tc>
          <w:tcPr>
            <w:tcW w:w="370" w:type="pct"/>
            <w:gridSpan w:val="2"/>
            <w:tcBorders>
              <w:top w:val="single" w:sz="18" w:space="0" w:color="auto"/>
              <w:bottom w:val="single" w:sz="12" w:space="0" w:color="auto"/>
            </w:tcBorders>
            <w:shd w:val="clear" w:color="auto" w:fill="FFC000"/>
            <w:noWrap/>
            <w:vAlign w:val="center"/>
            <w:hideMark/>
          </w:tcPr>
          <w:p w14:paraId="53B45569" w14:textId="77777777" w:rsidR="006F39A9" w:rsidRPr="007E2DA9" w:rsidRDefault="006F39A9" w:rsidP="00BC050B">
            <w:pPr>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1970</w:t>
            </w:r>
          </w:p>
        </w:tc>
        <w:tc>
          <w:tcPr>
            <w:tcW w:w="348" w:type="pct"/>
            <w:gridSpan w:val="2"/>
            <w:tcBorders>
              <w:top w:val="single" w:sz="18" w:space="0" w:color="auto"/>
              <w:bottom w:val="single" w:sz="12" w:space="0" w:color="auto"/>
            </w:tcBorders>
            <w:shd w:val="clear" w:color="auto" w:fill="FFC000"/>
            <w:noWrap/>
            <w:vAlign w:val="center"/>
            <w:hideMark/>
          </w:tcPr>
          <w:p w14:paraId="483D8F7C" w14:textId="77777777" w:rsidR="006F39A9" w:rsidRPr="007E2DA9" w:rsidRDefault="006F39A9" w:rsidP="00BC050B">
            <w:pPr>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1991</w:t>
            </w:r>
          </w:p>
        </w:tc>
        <w:tc>
          <w:tcPr>
            <w:tcW w:w="374" w:type="pct"/>
            <w:gridSpan w:val="2"/>
            <w:tcBorders>
              <w:top w:val="single" w:sz="18" w:space="0" w:color="auto"/>
              <w:bottom w:val="single" w:sz="12" w:space="0" w:color="auto"/>
            </w:tcBorders>
            <w:shd w:val="clear" w:color="auto" w:fill="FFC000"/>
            <w:noWrap/>
            <w:vAlign w:val="center"/>
            <w:hideMark/>
          </w:tcPr>
          <w:p w14:paraId="7CB668ED" w14:textId="77777777" w:rsidR="006F39A9" w:rsidRPr="007E2DA9" w:rsidRDefault="006F39A9" w:rsidP="00BC050B">
            <w:pPr>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2001</w:t>
            </w:r>
          </w:p>
        </w:tc>
        <w:tc>
          <w:tcPr>
            <w:tcW w:w="395" w:type="pct"/>
            <w:tcBorders>
              <w:top w:val="single" w:sz="18" w:space="0" w:color="auto"/>
              <w:bottom w:val="single" w:sz="12" w:space="0" w:color="auto"/>
            </w:tcBorders>
            <w:shd w:val="clear" w:color="auto" w:fill="FFC000"/>
            <w:noWrap/>
            <w:vAlign w:val="center"/>
            <w:hideMark/>
          </w:tcPr>
          <w:p w14:paraId="7CE446FA" w14:textId="77777777" w:rsidR="006F39A9" w:rsidRPr="007E2DA9" w:rsidRDefault="006F39A9" w:rsidP="00BC050B">
            <w:pPr>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2011</w:t>
            </w:r>
          </w:p>
        </w:tc>
        <w:tc>
          <w:tcPr>
            <w:tcW w:w="340" w:type="pct"/>
            <w:tcBorders>
              <w:top w:val="single" w:sz="18" w:space="0" w:color="auto"/>
              <w:bottom w:val="single" w:sz="12" w:space="0" w:color="auto"/>
            </w:tcBorders>
            <w:shd w:val="clear" w:color="auto" w:fill="FFC000"/>
            <w:noWrap/>
            <w:vAlign w:val="center"/>
            <w:hideMark/>
          </w:tcPr>
          <w:p w14:paraId="5C83E0D3" w14:textId="5216CC73" w:rsidR="006F39A9" w:rsidRPr="007E2DA9" w:rsidRDefault="006F39A9" w:rsidP="00BC050B">
            <w:pPr>
              <w:jc w:val="center"/>
              <w:rPr>
                <w:rFonts w:eastAsia="Times New Roman" w:cs="Times New Roman"/>
                <w:b/>
                <w:color w:val="000000"/>
                <w:sz w:val="20"/>
                <w:szCs w:val="20"/>
                <w:lang w:eastAsia="cs-CZ"/>
              </w:rPr>
            </w:pPr>
            <w:r>
              <w:rPr>
                <w:rFonts w:eastAsia="Times New Roman" w:cs="Times New Roman"/>
                <w:b/>
                <w:color w:val="000000"/>
                <w:sz w:val="20"/>
                <w:szCs w:val="20"/>
                <w:lang w:eastAsia="cs-CZ"/>
              </w:rPr>
              <w:t>20</w:t>
            </w:r>
            <w:r w:rsidR="002F5FF9">
              <w:rPr>
                <w:rFonts w:eastAsia="Times New Roman" w:cs="Times New Roman"/>
                <w:b/>
                <w:color w:val="000000"/>
                <w:sz w:val="20"/>
                <w:szCs w:val="20"/>
                <w:lang w:eastAsia="cs-CZ"/>
              </w:rPr>
              <w:t>21</w:t>
            </w:r>
          </w:p>
        </w:tc>
      </w:tr>
      <w:tr w:rsidR="00BF0409" w:rsidRPr="007E2DA9" w14:paraId="60A62D48" w14:textId="77777777" w:rsidTr="000E5B2B">
        <w:trPr>
          <w:trHeight w:val="315"/>
          <w:jc w:val="center"/>
        </w:trPr>
        <w:tc>
          <w:tcPr>
            <w:tcW w:w="1336" w:type="pct"/>
            <w:gridSpan w:val="2"/>
            <w:tcBorders>
              <w:top w:val="single" w:sz="12" w:space="0" w:color="auto"/>
              <w:bottom w:val="single" w:sz="8" w:space="0" w:color="auto"/>
            </w:tcBorders>
            <w:shd w:val="clear" w:color="auto" w:fill="D9D9D9" w:themeFill="background1" w:themeFillShade="D9"/>
            <w:noWrap/>
            <w:vAlign w:val="center"/>
          </w:tcPr>
          <w:p w14:paraId="378E8294" w14:textId="154A9FDF" w:rsidR="00BF0409" w:rsidRDefault="00BF0409" w:rsidP="000E5B2B">
            <w:pPr>
              <w:rPr>
                <w:rFonts w:ascii="Calibri" w:hAnsi="Calibri" w:cs="Calibri"/>
                <w:color w:val="000000"/>
              </w:rPr>
            </w:pPr>
            <w:r>
              <w:rPr>
                <w:rFonts w:ascii="Calibri" w:hAnsi="Calibri" w:cs="Calibri"/>
                <w:color w:val="000000"/>
              </w:rPr>
              <w:t>Dolní Staré Buky</w:t>
            </w:r>
          </w:p>
        </w:tc>
        <w:tc>
          <w:tcPr>
            <w:tcW w:w="365" w:type="pct"/>
            <w:tcBorders>
              <w:top w:val="single" w:sz="12" w:space="0" w:color="auto"/>
              <w:bottom w:val="single" w:sz="8" w:space="0" w:color="auto"/>
            </w:tcBorders>
            <w:shd w:val="clear" w:color="auto" w:fill="auto"/>
            <w:noWrap/>
            <w:vAlign w:val="center"/>
          </w:tcPr>
          <w:p w14:paraId="71344340" w14:textId="51C2E530" w:rsidR="00BF0409" w:rsidRDefault="00BF0409" w:rsidP="00BF0409">
            <w:pPr>
              <w:jc w:val="right"/>
              <w:rPr>
                <w:rFonts w:ascii="Calibri" w:hAnsi="Calibri" w:cs="Calibri"/>
                <w:color w:val="000000"/>
              </w:rPr>
            </w:pPr>
            <w:r>
              <w:rPr>
                <w:rFonts w:ascii="Calibri" w:hAnsi="Calibri" w:cs="Calibri"/>
                <w:color w:val="000000"/>
              </w:rPr>
              <w:t>339</w:t>
            </w:r>
          </w:p>
        </w:tc>
        <w:tc>
          <w:tcPr>
            <w:tcW w:w="368" w:type="pct"/>
            <w:tcBorders>
              <w:top w:val="single" w:sz="12" w:space="0" w:color="auto"/>
              <w:bottom w:val="single" w:sz="8" w:space="0" w:color="auto"/>
            </w:tcBorders>
            <w:shd w:val="clear" w:color="auto" w:fill="auto"/>
            <w:noWrap/>
            <w:vAlign w:val="center"/>
          </w:tcPr>
          <w:p w14:paraId="7D04E622" w14:textId="3CDF30D0" w:rsidR="00BF0409" w:rsidRDefault="00BF0409" w:rsidP="00BF0409">
            <w:pPr>
              <w:jc w:val="right"/>
              <w:rPr>
                <w:rFonts w:ascii="Calibri" w:hAnsi="Calibri" w:cs="Calibri"/>
                <w:color w:val="000000"/>
              </w:rPr>
            </w:pPr>
            <w:r>
              <w:rPr>
                <w:rFonts w:ascii="Calibri" w:hAnsi="Calibri" w:cs="Calibri"/>
                <w:color w:val="000000"/>
              </w:rPr>
              <w:t>294</w:t>
            </w:r>
          </w:p>
        </w:tc>
        <w:tc>
          <w:tcPr>
            <w:tcW w:w="369" w:type="pct"/>
            <w:tcBorders>
              <w:top w:val="single" w:sz="12" w:space="0" w:color="auto"/>
              <w:bottom w:val="single" w:sz="8" w:space="0" w:color="auto"/>
            </w:tcBorders>
            <w:shd w:val="clear" w:color="auto" w:fill="auto"/>
            <w:noWrap/>
            <w:vAlign w:val="center"/>
          </w:tcPr>
          <w:p w14:paraId="3FFD982B" w14:textId="59607540" w:rsidR="00BF0409" w:rsidRDefault="00BF0409" w:rsidP="00BF0409">
            <w:pPr>
              <w:jc w:val="right"/>
              <w:rPr>
                <w:rFonts w:ascii="Calibri" w:hAnsi="Calibri" w:cs="Calibri"/>
                <w:color w:val="000000"/>
              </w:rPr>
            </w:pPr>
            <w:r>
              <w:rPr>
                <w:rFonts w:ascii="Calibri" w:hAnsi="Calibri" w:cs="Calibri"/>
                <w:color w:val="000000"/>
              </w:rPr>
              <w:t>291</w:t>
            </w:r>
          </w:p>
        </w:tc>
        <w:tc>
          <w:tcPr>
            <w:tcW w:w="366" w:type="pct"/>
            <w:gridSpan w:val="2"/>
            <w:tcBorders>
              <w:top w:val="single" w:sz="12" w:space="0" w:color="auto"/>
              <w:bottom w:val="single" w:sz="8" w:space="0" w:color="auto"/>
            </w:tcBorders>
            <w:shd w:val="clear" w:color="auto" w:fill="auto"/>
            <w:noWrap/>
            <w:vAlign w:val="center"/>
          </w:tcPr>
          <w:p w14:paraId="7EC38029" w14:textId="647F0259" w:rsidR="00BF0409" w:rsidRDefault="00BF0409" w:rsidP="00BF0409">
            <w:pPr>
              <w:jc w:val="right"/>
              <w:rPr>
                <w:rFonts w:ascii="Calibri" w:hAnsi="Calibri" w:cs="Calibri"/>
                <w:color w:val="000000"/>
              </w:rPr>
            </w:pPr>
            <w:r>
              <w:rPr>
                <w:rFonts w:ascii="Calibri" w:hAnsi="Calibri" w:cs="Calibri"/>
                <w:color w:val="000000"/>
              </w:rPr>
              <w:t>237</w:t>
            </w:r>
          </w:p>
        </w:tc>
        <w:tc>
          <w:tcPr>
            <w:tcW w:w="370" w:type="pct"/>
            <w:gridSpan w:val="2"/>
            <w:tcBorders>
              <w:top w:val="single" w:sz="12" w:space="0" w:color="auto"/>
              <w:bottom w:val="single" w:sz="8" w:space="0" w:color="auto"/>
            </w:tcBorders>
            <w:shd w:val="clear" w:color="auto" w:fill="auto"/>
            <w:noWrap/>
            <w:vAlign w:val="center"/>
          </w:tcPr>
          <w:p w14:paraId="2D189D3B" w14:textId="7789F1F6" w:rsidR="00BF0409" w:rsidRDefault="00BF0409" w:rsidP="00BF0409">
            <w:pPr>
              <w:jc w:val="right"/>
              <w:rPr>
                <w:rFonts w:ascii="Calibri" w:hAnsi="Calibri" w:cs="Calibri"/>
                <w:color w:val="000000"/>
              </w:rPr>
            </w:pPr>
            <w:r>
              <w:rPr>
                <w:rFonts w:ascii="Calibri" w:hAnsi="Calibri" w:cs="Calibri"/>
                <w:color w:val="000000"/>
              </w:rPr>
              <w:t>160</w:t>
            </w:r>
          </w:p>
        </w:tc>
        <w:tc>
          <w:tcPr>
            <w:tcW w:w="370" w:type="pct"/>
            <w:gridSpan w:val="2"/>
            <w:tcBorders>
              <w:top w:val="single" w:sz="12" w:space="0" w:color="auto"/>
              <w:bottom w:val="single" w:sz="8" w:space="0" w:color="auto"/>
            </w:tcBorders>
            <w:shd w:val="clear" w:color="auto" w:fill="auto"/>
            <w:noWrap/>
            <w:vAlign w:val="center"/>
          </w:tcPr>
          <w:p w14:paraId="2454AF7C" w14:textId="02145E36" w:rsidR="00BF0409" w:rsidRDefault="00BF0409" w:rsidP="00BF0409">
            <w:pPr>
              <w:jc w:val="right"/>
              <w:rPr>
                <w:rFonts w:ascii="Calibri" w:hAnsi="Calibri" w:cs="Calibri"/>
                <w:color w:val="000000"/>
              </w:rPr>
            </w:pPr>
            <w:r>
              <w:rPr>
                <w:rFonts w:ascii="Calibri" w:hAnsi="Calibri" w:cs="Calibri"/>
                <w:color w:val="000000"/>
              </w:rPr>
              <w:t>127</w:t>
            </w:r>
          </w:p>
        </w:tc>
        <w:tc>
          <w:tcPr>
            <w:tcW w:w="348" w:type="pct"/>
            <w:gridSpan w:val="2"/>
            <w:tcBorders>
              <w:top w:val="single" w:sz="12" w:space="0" w:color="auto"/>
              <w:bottom w:val="single" w:sz="8" w:space="0" w:color="auto"/>
            </w:tcBorders>
            <w:shd w:val="clear" w:color="auto" w:fill="auto"/>
            <w:noWrap/>
            <w:vAlign w:val="center"/>
          </w:tcPr>
          <w:p w14:paraId="5FDCF3B9" w14:textId="626EEA33" w:rsidR="00BF0409" w:rsidRDefault="00BF0409" w:rsidP="00BF0409">
            <w:pPr>
              <w:jc w:val="right"/>
              <w:rPr>
                <w:rFonts w:ascii="Calibri" w:hAnsi="Calibri" w:cs="Calibri"/>
                <w:color w:val="000000"/>
              </w:rPr>
            </w:pPr>
            <w:r>
              <w:rPr>
                <w:rFonts w:ascii="Calibri" w:hAnsi="Calibri" w:cs="Calibri"/>
                <w:color w:val="000000"/>
              </w:rPr>
              <w:t>75</w:t>
            </w:r>
          </w:p>
        </w:tc>
        <w:tc>
          <w:tcPr>
            <w:tcW w:w="374" w:type="pct"/>
            <w:gridSpan w:val="2"/>
            <w:tcBorders>
              <w:top w:val="single" w:sz="12" w:space="0" w:color="auto"/>
              <w:bottom w:val="single" w:sz="8" w:space="0" w:color="auto"/>
            </w:tcBorders>
            <w:shd w:val="clear" w:color="auto" w:fill="auto"/>
            <w:noWrap/>
            <w:vAlign w:val="center"/>
          </w:tcPr>
          <w:p w14:paraId="3A7EEB94" w14:textId="541B834A" w:rsidR="00BF0409" w:rsidRDefault="00BF0409" w:rsidP="00BF0409">
            <w:pPr>
              <w:jc w:val="right"/>
              <w:rPr>
                <w:rFonts w:ascii="Calibri" w:hAnsi="Calibri" w:cs="Calibri"/>
                <w:color w:val="000000"/>
              </w:rPr>
            </w:pPr>
            <w:r>
              <w:rPr>
                <w:rFonts w:ascii="Calibri" w:hAnsi="Calibri" w:cs="Calibri"/>
                <w:color w:val="000000"/>
              </w:rPr>
              <w:t>68</w:t>
            </w:r>
          </w:p>
        </w:tc>
        <w:tc>
          <w:tcPr>
            <w:tcW w:w="395" w:type="pct"/>
            <w:tcBorders>
              <w:top w:val="single" w:sz="12" w:space="0" w:color="auto"/>
              <w:bottom w:val="single" w:sz="8" w:space="0" w:color="auto"/>
            </w:tcBorders>
            <w:shd w:val="clear" w:color="auto" w:fill="auto"/>
            <w:noWrap/>
            <w:vAlign w:val="center"/>
          </w:tcPr>
          <w:p w14:paraId="322071C5" w14:textId="3E8899C8" w:rsidR="00BF0409" w:rsidRDefault="00BF0409" w:rsidP="00BF0409">
            <w:pPr>
              <w:jc w:val="right"/>
              <w:rPr>
                <w:rFonts w:ascii="Calibri" w:hAnsi="Calibri" w:cs="Calibri"/>
                <w:color w:val="000000"/>
              </w:rPr>
            </w:pPr>
            <w:r>
              <w:rPr>
                <w:rFonts w:ascii="Calibri" w:hAnsi="Calibri" w:cs="Calibri"/>
                <w:color w:val="000000"/>
              </w:rPr>
              <w:t>105</w:t>
            </w:r>
          </w:p>
        </w:tc>
        <w:tc>
          <w:tcPr>
            <w:tcW w:w="340" w:type="pct"/>
            <w:tcBorders>
              <w:top w:val="single" w:sz="12" w:space="0" w:color="auto"/>
              <w:bottom w:val="single" w:sz="8" w:space="0" w:color="auto"/>
            </w:tcBorders>
            <w:shd w:val="clear" w:color="auto" w:fill="auto"/>
            <w:noWrap/>
            <w:vAlign w:val="center"/>
          </w:tcPr>
          <w:p w14:paraId="21B966B7" w14:textId="3BCBAA74" w:rsidR="00BF0409" w:rsidRPr="00333874" w:rsidRDefault="00333874" w:rsidP="00BF0409">
            <w:pPr>
              <w:jc w:val="right"/>
              <w:rPr>
                <w:rFonts w:eastAsia="Times New Roman" w:cs="Times New Roman"/>
                <w:color w:val="000000"/>
                <w:sz w:val="20"/>
                <w:szCs w:val="20"/>
                <w:lang w:eastAsia="cs-CZ"/>
              </w:rPr>
            </w:pPr>
            <w:r w:rsidRPr="00333874">
              <w:rPr>
                <w:rFonts w:eastAsia="Times New Roman" w:cs="Times New Roman"/>
                <w:color w:val="000000"/>
                <w:sz w:val="20"/>
                <w:szCs w:val="20"/>
                <w:lang w:eastAsia="cs-CZ"/>
              </w:rPr>
              <w:t>124</w:t>
            </w:r>
          </w:p>
        </w:tc>
      </w:tr>
      <w:tr w:rsidR="00BF0409" w:rsidRPr="007E2DA9" w14:paraId="6975A7F3" w14:textId="77777777" w:rsidTr="000E5B2B">
        <w:trPr>
          <w:trHeight w:val="315"/>
          <w:jc w:val="center"/>
        </w:trPr>
        <w:tc>
          <w:tcPr>
            <w:tcW w:w="1336" w:type="pct"/>
            <w:gridSpan w:val="2"/>
            <w:tcBorders>
              <w:top w:val="single" w:sz="8" w:space="0" w:color="auto"/>
              <w:bottom w:val="single" w:sz="8" w:space="0" w:color="auto"/>
            </w:tcBorders>
            <w:shd w:val="clear" w:color="auto" w:fill="D9D9D9" w:themeFill="background1" w:themeFillShade="D9"/>
            <w:noWrap/>
            <w:vAlign w:val="center"/>
          </w:tcPr>
          <w:p w14:paraId="622402D7" w14:textId="43AD25D0" w:rsidR="00BF0409" w:rsidRDefault="00BF0409" w:rsidP="000E5B2B">
            <w:pPr>
              <w:rPr>
                <w:rFonts w:ascii="Calibri" w:hAnsi="Calibri" w:cs="Calibri"/>
                <w:color w:val="000000"/>
              </w:rPr>
            </w:pPr>
            <w:r>
              <w:rPr>
                <w:rFonts w:ascii="Calibri" w:hAnsi="Calibri" w:cs="Calibri"/>
                <w:color w:val="000000"/>
              </w:rPr>
              <w:t>Horní Staré Buky</w:t>
            </w:r>
          </w:p>
        </w:tc>
        <w:tc>
          <w:tcPr>
            <w:tcW w:w="365" w:type="pct"/>
            <w:tcBorders>
              <w:top w:val="single" w:sz="8" w:space="0" w:color="auto"/>
              <w:bottom w:val="single" w:sz="8" w:space="0" w:color="auto"/>
            </w:tcBorders>
            <w:shd w:val="clear" w:color="auto" w:fill="auto"/>
            <w:noWrap/>
            <w:vAlign w:val="center"/>
          </w:tcPr>
          <w:p w14:paraId="1A8DCA39" w14:textId="4E6D9C87" w:rsidR="00BF0409" w:rsidRDefault="00BF0409" w:rsidP="00BF0409">
            <w:pPr>
              <w:jc w:val="right"/>
              <w:rPr>
                <w:rFonts w:ascii="Calibri" w:hAnsi="Calibri" w:cs="Calibri"/>
                <w:color w:val="000000"/>
              </w:rPr>
            </w:pPr>
            <w:r>
              <w:rPr>
                <w:rFonts w:ascii="Calibri" w:hAnsi="Calibri" w:cs="Calibri"/>
                <w:color w:val="000000"/>
              </w:rPr>
              <w:t>746</w:t>
            </w:r>
          </w:p>
        </w:tc>
        <w:tc>
          <w:tcPr>
            <w:tcW w:w="368" w:type="pct"/>
            <w:tcBorders>
              <w:top w:val="single" w:sz="8" w:space="0" w:color="auto"/>
              <w:bottom w:val="single" w:sz="8" w:space="0" w:color="auto"/>
            </w:tcBorders>
            <w:shd w:val="clear" w:color="auto" w:fill="auto"/>
            <w:noWrap/>
            <w:vAlign w:val="center"/>
          </w:tcPr>
          <w:p w14:paraId="4C93B78F" w14:textId="5E1AC0CE" w:rsidR="00BF0409" w:rsidRDefault="00BF0409" w:rsidP="00BF0409">
            <w:pPr>
              <w:jc w:val="right"/>
              <w:rPr>
                <w:rFonts w:ascii="Calibri" w:hAnsi="Calibri" w:cs="Calibri"/>
                <w:color w:val="000000"/>
              </w:rPr>
            </w:pPr>
            <w:r>
              <w:rPr>
                <w:rFonts w:ascii="Calibri" w:hAnsi="Calibri" w:cs="Calibri"/>
                <w:color w:val="000000"/>
              </w:rPr>
              <w:t>598</w:t>
            </w:r>
          </w:p>
        </w:tc>
        <w:tc>
          <w:tcPr>
            <w:tcW w:w="369" w:type="pct"/>
            <w:tcBorders>
              <w:top w:val="single" w:sz="8" w:space="0" w:color="auto"/>
              <w:bottom w:val="single" w:sz="8" w:space="0" w:color="auto"/>
            </w:tcBorders>
            <w:shd w:val="clear" w:color="auto" w:fill="auto"/>
            <w:noWrap/>
            <w:vAlign w:val="center"/>
          </w:tcPr>
          <w:p w14:paraId="59F5D465" w14:textId="43638FE7" w:rsidR="00BF0409" w:rsidRDefault="00BF0409" w:rsidP="00BF0409">
            <w:pPr>
              <w:jc w:val="right"/>
              <w:rPr>
                <w:rFonts w:ascii="Calibri" w:hAnsi="Calibri" w:cs="Calibri"/>
                <w:color w:val="000000"/>
              </w:rPr>
            </w:pPr>
            <w:r>
              <w:rPr>
                <w:rFonts w:ascii="Calibri" w:hAnsi="Calibri" w:cs="Calibri"/>
                <w:color w:val="000000"/>
              </w:rPr>
              <w:t>526</w:t>
            </w:r>
          </w:p>
        </w:tc>
        <w:tc>
          <w:tcPr>
            <w:tcW w:w="366" w:type="pct"/>
            <w:gridSpan w:val="2"/>
            <w:tcBorders>
              <w:top w:val="single" w:sz="8" w:space="0" w:color="auto"/>
              <w:bottom w:val="single" w:sz="8" w:space="0" w:color="auto"/>
            </w:tcBorders>
            <w:shd w:val="clear" w:color="auto" w:fill="auto"/>
            <w:noWrap/>
            <w:vAlign w:val="center"/>
          </w:tcPr>
          <w:p w14:paraId="46E212AA" w14:textId="5D946E6D" w:rsidR="00BF0409" w:rsidRDefault="00BF0409" w:rsidP="00BF0409">
            <w:pPr>
              <w:jc w:val="right"/>
              <w:rPr>
                <w:rFonts w:ascii="Calibri" w:hAnsi="Calibri" w:cs="Calibri"/>
                <w:color w:val="000000"/>
              </w:rPr>
            </w:pPr>
            <w:r>
              <w:rPr>
                <w:rFonts w:ascii="Calibri" w:hAnsi="Calibri" w:cs="Calibri"/>
                <w:color w:val="000000"/>
              </w:rPr>
              <w:t>426</w:t>
            </w:r>
          </w:p>
        </w:tc>
        <w:tc>
          <w:tcPr>
            <w:tcW w:w="370" w:type="pct"/>
            <w:gridSpan w:val="2"/>
            <w:tcBorders>
              <w:top w:val="single" w:sz="8" w:space="0" w:color="auto"/>
              <w:bottom w:val="single" w:sz="8" w:space="0" w:color="auto"/>
            </w:tcBorders>
            <w:shd w:val="clear" w:color="auto" w:fill="auto"/>
            <w:noWrap/>
            <w:vAlign w:val="center"/>
          </w:tcPr>
          <w:p w14:paraId="69F2D3C7" w14:textId="225D3FD0" w:rsidR="00BF0409" w:rsidRDefault="00BF0409" w:rsidP="00BF0409">
            <w:pPr>
              <w:jc w:val="right"/>
              <w:rPr>
                <w:rFonts w:ascii="Calibri" w:hAnsi="Calibri" w:cs="Calibri"/>
                <w:color w:val="000000"/>
              </w:rPr>
            </w:pPr>
            <w:r>
              <w:rPr>
                <w:rFonts w:ascii="Calibri" w:hAnsi="Calibri" w:cs="Calibri"/>
                <w:color w:val="000000"/>
              </w:rPr>
              <w:t>217</w:t>
            </w:r>
          </w:p>
        </w:tc>
        <w:tc>
          <w:tcPr>
            <w:tcW w:w="370" w:type="pct"/>
            <w:gridSpan w:val="2"/>
            <w:tcBorders>
              <w:top w:val="single" w:sz="8" w:space="0" w:color="auto"/>
              <w:bottom w:val="single" w:sz="8" w:space="0" w:color="auto"/>
            </w:tcBorders>
            <w:shd w:val="clear" w:color="auto" w:fill="auto"/>
            <w:noWrap/>
            <w:vAlign w:val="center"/>
          </w:tcPr>
          <w:p w14:paraId="23B37933" w14:textId="6E65DDD6" w:rsidR="00BF0409" w:rsidRDefault="00BF0409" w:rsidP="00BF0409">
            <w:pPr>
              <w:jc w:val="right"/>
              <w:rPr>
                <w:rFonts w:ascii="Calibri" w:hAnsi="Calibri" w:cs="Calibri"/>
                <w:color w:val="000000"/>
              </w:rPr>
            </w:pPr>
            <w:r>
              <w:rPr>
                <w:rFonts w:ascii="Calibri" w:hAnsi="Calibri" w:cs="Calibri"/>
                <w:color w:val="000000"/>
              </w:rPr>
              <w:t>137</w:t>
            </w:r>
          </w:p>
        </w:tc>
        <w:tc>
          <w:tcPr>
            <w:tcW w:w="348" w:type="pct"/>
            <w:gridSpan w:val="2"/>
            <w:tcBorders>
              <w:top w:val="single" w:sz="8" w:space="0" w:color="auto"/>
              <w:bottom w:val="single" w:sz="8" w:space="0" w:color="auto"/>
            </w:tcBorders>
            <w:shd w:val="clear" w:color="auto" w:fill="auto"/>
            <w:noWrap/>
            <w:vAlign w:val="center"/>
          </w:tcPr>
          <w:p w14:paraId="373D4F54" w14:textId="54FC3B53" w:rsidR="00BF0409" w:rsidRDefault="00BF0409" w:rsidP="00BF0409">
            <w:pPr>
              <w:jc w:val="right"/>
              <w:rPr>
                <w:rFonts w:ascii="Calibri" w:hAnsi="Calibri" w:cs="Calibri"/>
                <w:color w:val="000000"/>
              </w:rPr>
            </w:pPr>
            <w:r>
              <w:rPr>
                <w:rFonts w:ascii="Calibri" w:hAnsi="Calibri" w:cs="Calibri"/>
                <w:color w:val="000000"/>
              </w:rPr>
              <w:t>104</w:t>
            </w:r>
          </w:p>
        </w:tc>
        <w:tc>
          <w:tcPr>
            <w:tcW w:w="374" w:type="pct"/>
            <w:gridSpan w:val="2"/>
            <w:tcBorders>
              <w:top w:val="single" w:sz="8" w:space="0" w:color="auto"/>
              <w:bottom w:val="single" w:sz="8" w:space="0" w:color="auto"/>
            </w:tcBorders>
            <w:shd w:val="clear" w:color="auto" w:fill="auto"/>
            <w:noWrap/>
            <w:vAlign w:val="center"/>
          </w:tcPr>
          <w:p w14:paraId="46190D07" w14:textId="6B7CBE3C" w:rsidR="00BF0409" w:rsidRDefault="00BF0409" w:rsidP="00BF0409">
            <w:pPr>
              <w:jc w:val="right"/>
              <w:rPr>
                <w:rFonts w:ascii="Calibri" w:hAnsi="Calibri" w:cs="Calibri"/>
                <w:color w:val="000000"/>
              </w:rPr>
            </w:pPr>
            <w:r>
              <w:rPr>
                <w:rFonts w:ascii="Calibri" w:hAnsi="Calibri" w:cs="Calibri"/>
                <w:color w:val="000000"/>
              </w:rPr>
              <w:t>142</w:t>
            </w:r>
          </w:p>
        </w:tc>
        <w:tc>
          <w:tcPr>
            <w:tcW w:w="395" w:type="pct"/>
            <w:tcBorders>
              <w:top w:val="single" w:sz="8" w:space="0" w:color="auto"/>
              <w:bottom w:val="single" w:sz="8" w:space="0" w:color="auto"/>
            </w:tcBorders>
            <w:shd w:val="clear" w:color="auto" w:fill="auto"/>
            <w:noWrap/>
            <w:vAlign w:val="center"/>
          </w:tcPr>
          <w:p w14:paraId="4A159245" w14:textId="2B9AF0E5" w:rsidR="00BF0409" w:rsidRDefault="00BF0409" w:rsidP="00BF0409">
            <w:pPr>
              <w:jc w:val="right"/>
              <w:rPr>
                <w:rFonts w:ascii="Calibri" w:hAnsi="Calibri" w:cs="Calibri"/>
                <w:color w:val="000000"/>
              </w:rPr>
            </w:pPr>
            <w:r>
              <w:rPr>
                <w:rFonts w:ascii="Calibri" w:hAnsi="Calibri" w:cs="Calibri"/>
                <w:color w:val="000000"/>
              </w:rPr>
              <w:t>152</w:t>
            </w:r>
          </w:p>
        </w:tc>
        <w:tc>
          <w:tcPr>
            <w:tcW w:w="340" w:type="pct"/>
            <w:tcBorders>
              <w:top w:val="single" w:sz="8" w:space="0" w:color="auto"/>
              <w:bottom w:val="single" w:sz="8" w:space="0" w:color="auto"/>
            </w:tcBorders>
            <w:shd w:val="clear" w:color="auto" w:fill="auto"/>
            <w:noWrap/>
            <w:vAlign w:val="center"/>
          </w:tcPr>
          <w:p w14:paraId="38993AE8" w14:textId="6DF1759F" w:rsidR="00BF0409" w:rsidRPr="00333874" w:rsidRDefault="00333874" w:rsidP="00BF0409">
            <w:pPr>
              <w:jc w:val="right"/>
              <w:rPr>
                <w:rFonts w:eastAsia="Times New Roman" w:cs="Times New Roman"/>
                <w:color w:val="000000"/>
                <w:sz w:val="20"/>
                <w:szCs w:val="20"/>
                <w:lang w:eastAsia="cs-CZ"/>
              </w:rPr>
            </w:pPr>
            <w:r w:rsidRPr="00333874">
              <w:rPr>
                <w:rFonts w:eastAsia="Times New Roman" w:cs="Times New Roman"/>
                <w:color w:val="000000"/>
                <w:sz w:val="20"/>
                <w:szCs w:val="20"/>
                <w:lang w:eastAsia="cs-CZ"/>
              </w:rPr>
              <w:t>161</w:t>
            </w:r>
          </w:p>
        </w:tc>
      </w:tr>
      <w:tr w:rsidR="00BF0409" w:rsidRPr="007E2DA9" w14:paraId="0ECFF73A" w14:textId="77777777" w:rsidTr="000E5B2B">
        <w:trPr>
          <w:trHeight w:val="300"/>
          <w:jc w:val="center"/>
        </w:trPr>
        <w:tc>
          <w:tcPr>
            <w:tcW w:w="1336" w:type="pct"/>
            <w:gridSpan w:val="2"/>
            <w:tcBorders>
              <w:top w:val="single" w:sz="8" w:space="0" w:color="auto"/>
              <w:bottom w:val="single" w:sz="8" w:space="0" w:color="auto"/>
            </w:tcBorders>
            <w:shd w:val="clear" w:color="auto" w:fill="D9D9D9" w:themeFill="background1" w:themeFillShade="D9"/>
            <w:noWrap/>
            <w:vAlign w:val="center"/>
          </w:tcPr>
          <w:p w14:paraId="61B91507" w14:textId="17AA819B" w:rsidR="00BF0409" w:rsidRDefault="00BF0409" w:rsidP="000E5B2B">
            <w:pPr>
              <w:rPr>
                <w:rFonts w:ascii="Calibri" w:hAnsi="Calibri" w:cs="Calibri"/>
                <w:color w:val="000000"/>
              </w:rPr>
            </w:pPr>
            <w:r>
              <w:rPr>
                <w:rFonts w:ascii="Calibri" w:hAnsi="Calibri" w:cs="Calibri"/>
                <w:color w:val="000000"/>
              </w:rPr>
              <w:t>Prostřední Staré Buky</w:t>
            </w:r>
          </w:p>
        </w:tc>
        <w:tc>
          <w:tcPr>
            <w:tcW w:w="365" w:type="pct"/>
            <w:tcBorders>
              <w:top w:val="single" w:sz="8" w:space="0" w:color="auto"/>
              <w:bottom w:val="single" w:sz="8" w:space="0" w:color="auto"/>
            </w:tcBorders>
            <w:shd w:val="clear" w:color="auto" w:fill="auto"/>
            <w:noWrap/>
            <w:vAlign w:val="center"/>
          </w:tcPr>
          <w:p w14:paraId="1468A222" w14:textId="085A7589" w:rsidR="00BF0409" w:rsidRDefault="00BF0409" w:rsidP="00BF0409">
            <w:pPr>
              <w:jc w:val="right"/>
              <w:rPr>
                <w:rFonts w:ascii="Calibri" w:hAnsi="Calibri" w:cs="Calibri"/>
                <w:color w:val="000000"/>
              </w:rPr>
            </w:pPr>
            <w:r>
              <w:rPr>
                <w:rFonts w:ascii="Calibri" w:hAnsi="Calibri" w:cs="Calibri"/>
                <w:color w:val="000000"/>
              </w:rPr>
              <w:t>964</w:t>
            </w:r>
          </w:p>
        </w:tc>
        <w:tc>
          <w:tcPr>
            <w:tcW w:w="368" w:type="pct"/>
            <w:tcBorders>
              <w:top w:val="single" w:sz="8" w:space="0" w:color="auto"/>
              <w:bottom w:val="single" w:sz="8" w:space="0" w:color="auto"/>
            </w:tcBorders>
            <w:shd w:val="clear" w:color="auto" w:fill="auto"/>
            <w:noWrap/>
            <w:vAlign w:val="center"/>
          </w:tcPr>
          <w:p w14:paraId="0D20BE1C" w14:textId="115BC4F1" w:rsidR="00BF0409" w:rsidRDefault="00BF0409" w:rsidP="00BF0409">
            <w:pPr>
              <w:jc w:val="right"/>
              <w:rPr>
                <w:rFonts w:ascii="Calibri" w:hAnsi="Calibri" w:cs="Calibri"/>
                <w:color w:val="000000"/>
              </w:rPr>
            </w:pPr>
            <w:r>
              <w:rPr>
                <w:rFonts w:ascii="Calibri" w:hAnsi="Calibri" w:cs="Calibri"/>
                <w:color w:val="000000"/>
              </w:rPr>
              <w:t>798</w:t>
            </w:r>
          </w:p>
        </w:tc>
        <w:tc>
          <w:tcPr>
            <w:tcW w:w="369" w:type="pct"/>
            <w:tcBorders>
              <w:top w:val="single" w:sz="8" w:space="0" w:color="auto"/>
              <w:bottom w:val="single" w:sz="8" w:space="0" w:color="auto"/>
            </w:tcBorders>
            <w:shd w:val="clear" w:color="auto" w:fill="auto"/>
            <w:noWrap/>
            <w:vAlign w:val="center"/>
          </w:tcPr>
          <w:p w14:paraId="3C29DDC9" w14:textId="089EFF8F" w:rsidR="00BF0409" w:rsidRDefault="00BF0409" w:rsidP="00BF0409">
            <w:pPr>
              <w:jc w:val="right"/>
              <w:rPr>
                <w:rFonts w:ascii="Calibri" w:hAnsi="Calibri" w:cs="Calibri"/>
                <w:color w:val="000000"/>
              </w:rPr>
            </w:pPr>
            <w:r>
              <w:rPr>
                <w:rFonts w:ascii="Calibri" w:hAnsi="Calibri" w:cs="Calibri"/>
                <w:color w:val="000000"/>
              </w:rPr>
              <w:t>747</w:t>
            </w:r>
          </w:p>
        </w:tc>
        <w:tc>
          <w:tcPr>
            <w:tcW w:w="366" w:type="pct"/>
            <w:gridSpan w:val="2"/>
            <w:tcBorders>
              <w:top w:val="single" w:sz="8" w:space="0" w:color="auto"/>
              <w:bottom w:val="single" w:sz="8" w:space="0" w:color="auto"/>
            </w:tcBorders>
            <w:shd w:val="clear" w:color="auto" w:fill="auto"/>
            <w:noWrap/>
            <w:vAlign w:val="center"/>
          </w:tcPr>
          <w:p w14:paraId="2D2E48E7" w14:textId="56BED8A8" w:rsidR="00BF0409" w:rsidRDefault="00BF0409" w:rsidP="00BF0409">
            <w:pPr>
              <w:jc w:val="right"/>
              <w:rPr>
                <w:rFonts w:ascii="Calibri" w:hAnsi="Calibri" w:cs="Calibri"/>
                <w:color w:val="000000"/>
              </w:rPr>
            </w:pPr>
            <w:r>
              <w:rPr>
                <w:rFonts w:ascii="Calibri" w:hAnsi="Calibri" w:cs="Calibri"/>
                <w:color w:val="000000"/>
              </w:rPr>
              <w:t>687</w:t>
            </w:r>
          </w:p>
        </w:tc>
        <w:tc>
          <w:tcPr>
            <w:tcW w:w="370" w:type="pct"/>
            <w:gridSpan w:val="2"/>
            <w:tcBorders>
              <w:top w:val="single" w:sz="8" w:space="0" w:color="auto"/>
              <w:bottom w:val="single" w:sz="8" w:space="0" w:color="auto"/>
            </w:tcBorders>
            <w:shd w:val="clear" w:color="auto" w:fill="auto"/>
            <w:noWrap/>
            <w:vAlign w:val="center"/>
          </w:tcPr>
          <w:p w14:paraId="63AF9A6F" w14:textId="728A7859" w:rsidR="00BF0409" w:rsidRDefault="00BF0409" w:rsidP="00BF0409">
            <w:pPr>
              <w:jc w:val="right"/>
              <w:rPr>
                <w:rFonts w:ascii="Calibri" w:hAnsi="Calibri" w:cs="Calibri"/>
                <w:color w:val="000000"/>
              </w:rPr>
            </w:pPr>
            <w:r>
              <w:rPr>
                <w:rFonts w:ascii="Calibri" w:hAnsi="Calibri" w:cs="Calibri"/>
                <w:color w:val="000000"/>
              </w:rPr>
              <w:t>290</w:t>
            </w:r>
          </w:p>
        </w:tc>
        <w:tc>
          <w:tcPr>
            <w:tcW w:w="370" w:type="pct"/>
            <w:gridSpan w:val="2"/>
            <w:tcBorders>
              <w:top w:val="single" w:sz="8" w:space="0" w:color="auto"/>
              <w:bottom w:val="single" w:sz="8" w:space="0" w:color="auto"/>
            </w:tcBorders>
            <w:shd w:val="clear" w:color="auto" w:fill="auto"/>
            <w:noWrap/>
            <w:vAlign w:val="center"/>
          </w:tcPr>
          <w:p w14:paraId="62C49054" w14:textId="4537EDEF" w:rsidR="00BF0409" w:rsidRDefault="00BF0409" w:rsidP="00BF0409">
            <w:pPr>
              <w:jc w:val="right"/>
              <w:rPr>
                <w:rFonts w:ascii="Calibri" w:hAnsi="Calibri" w:cs="Calibri"/>
                <w:color w:val="000000"/>
              </w:rPr>
            </w:pPr>
            <w:r>
              <w:rPr>
                <w:rFonts w:ascii="Calibri" w:hAnsi="Calibri" w:cs="Calibri"/>
                <w:color w:val="000000"/>
              </w:rPr>
              <w:t>239</w:t>
            </w:r>
          </w:p>
        </w:tc>
        <w:tc>
          <w:tcPr>
            <w:tcW w:w="348" w:type="pct"/>
            <w:gridSpan w:val="2"/>
            <w:tcBorders>
              <w:top w:val="single" w:sz="8" w:space="0" w:color="auto"/>
              <w:bottom w:val="single" w:sz="8" w:space="0" w:color="auto"/>
            </w:tcBorders>
            <w:shd w:val="clear" w:color="auto" w:fill="auto"/>
            <w:noWrap/>
            <w:vAlign w:val="center"/>
          </w:tcPr>
          <w:p w14:paraId="29E1D7F5" w14:textId="0DAFD08E" w:rsidR="00BF0409" w:rsidRDefault="00BF0409" w:rsidP="00BF0409">
            <w:pPr>
              <w:jc w:val="right"/>
              <w:rPr>
                <w:rFonts w:ascii="Calibri" w:hAnsi="Calibri" w:cs="Calibri"/>
                <w:color w:val="000000"/>
              </w:rPr>
            </w:pPr>
            <w:r>
              <w:rPr>
                <w:rFonts w:ascii="Calibri" w:hAnsi="Calibri" w:cs="Calibri"/>
                <w:color w:val="000000"/>
              </w:rPr>
              <w:t>177</w:t>
            </w:r>
          </w:p>
        </w:tc>
        <w:tc>
          <w:tcPr>
            <w:tcW w:w="374" w:type="pct"/>
            <w:gridSpan w:val="2"/>
            <w:tcBorders>
              <w:top w:val="single" w:sz="8" w:space="0" w:color="auto"/>
              <w:bottom w:val="single" w:sz="8" w:space="0" w:color="auto"/>
            </w:tcBorders>
            <w:shd w:val="clear" w:color="auto" w:fill="auto"/>
            <w:noWrap/>
            <w:vAlign w:val="center"/>
          </w:tcPr>
          <w:p w14:paraId="5826ABFE" w14:textId="2CE08C30" w:rsidR="00BF0409" w:rsidRDefault="00BF0409" w:rsidP="00BF0409">
            <w:pPr>
              <w:jc w:val="right"/>
              <w:rPr>
                <w:rFonts w:ascii="Calibri" w:hAnsi="Calibri" w:cs="Calibri"/>
                <w:color w:val="000000"/>
              </w:rPr>
            </w:pPr>
            <w:r>
              <w:rPr>
                <w:rFonts w:ascii="Calibri" w:hAnsi="Calibri" w:cs="Calibri"/>
                <w:color w:val="000000"/>
              </w:rPr>
              <w:t>173</w:t>
            </w:r>
          </w:p>
        </w:tc>
        <w:tc>
          <w:tcPr>
            <w:tcW w:w="395" w:type="pct"/>
            <w:tcBorders>
              <w:top w:val="single" w:sz="8" w:space="0" w:color="auto"/>
              <w:bottom w:val="single" w:sz="8" w:space="0" w:color="auto"/>
            </w:tcBorders>
            <w:shd w:val="clear" w:color="auto" w:fill="auto"/>
            <w:noWrap/>
            <w:vAlign w:val="center"/>
          </w:tcPr>
          <w:p w14:paraId="5EA10EE1" w14:textId="3D6ED48C" w:rsidR="00BF0409" w:rsidRDefault="00BF0409" w:rsidP="00BF0409">
            <w:pPr>
              <w:jc w:val="right"/>
              <w:rPr>
                <w:rFonts w:ascii="Calibri" w:hAnsi="Calibri" w:cs="Calibri"/>
                <w:color w:val="000000"/>
              </w:rPr>
            </w:pPr>
            <w:r>
              <w:rPr>
                <w:rFonts w:ascii="Calibri" w:hAnsi="Calibri" w:cs="Calibri"/>
                <w:color w:val="000000"/>
              </w:rPr>
              <w:t>234</w:t>
            </w:r>
          </w:p>
        </w:tc>
        <w:tc>
          <w:tcPr>
            <w:tcW w:w="340" w:type="pct"/>
            <w:tcBorders>
              <w:top w:val="single" w:sz="8" w:space="0" w:color="auto"/>
              <w:bottom w:val="single" w:sz="8" w:space="0" w:color="auto"/>
            </w:tcBorders>
            <w:shd w:val="clear" w:color="auto" w:fill="auto"/>
            <w:noWrap/>
            <w:vAlign w:val="center"/>
          </w:tcPr>
          <w:p w14:paraId="63C4C53F" w14:textId="5B5A86FD" w:rsidR="00BF0409" w:rsidRPr="00333874" w:rsidRDefault="00333874" w:rsidP="00BF0409">
            <w:pPr>
              <w:jc w:val="right"/>
              <w:rPr>
                <w:rFonts w:eastAsia="Times New Roman" w:cs="Times New Roman"/>
                <w:color w:val="000000"/>
                <w:sz w:val="20"/>
                <w:szCs w:val="20"/>
                <w:lang w:eastAsia="cs-CZ"/>
              </w:rPr>
            </w:pPr>
            <w:r w:rsidRPr="00333874">
              <w:rPr>
                <w:rFonts w:eastAsia="Times New Roman" w:cs="Times New Roman"/>
                <w:color w:val="000000"/>
                <w:sz w:val="20"/>
                <w:szCs w:val="20"/>
                <w:lang w:eastAsia="cs-CZ"/>
              </w:rPr>
              <w:t>342</w:t>
            </w:r>
          </w:p>
        </w:tc>
      </w:tr>
      <w:tr w:rsidR="00BF0409" w:rsidRPr="007E2DA9" w14:paraId="7865FA8B" w14:textId="77777777" w:rsidTr="000E5B2B">
        <w:trPr>
          <w:trHeight w:val="300"/>
          <w:jc w:val="center"/>
        </w:trPr>
        <w:tc>
          <w:tcPr>
            <w:tcW w:w="1336" w:type="pct"/>
            <w:gridSpan w:val="2"/>
            <w:tcBorders>
              <w:top w:val="single" w:sz="12" w:space="0" w:color="auto"/>
              <w:bottom w:val="single" w:sz="12" w:space="0" w:color="auto"/>
            </w:tcBorders>
            <w:shd w:val="clear" w:color="auto" w:fill="D9D9D9" w:themeFill="background1" w:themeFillShade="D9"/>
            <w:noWrap/>
            <w:vAlign w:val="center"/>
            <w:hideMark/>
          </w:tcPr>
          <w:p w14:paraId="4248E095" w14:textId="77777777" w:rsidR="00BF0409" w:rsidRPr="007E2DA9" w:rsidRDefault="00BF0409" w:rsidP="000E5B2B">
            <w:pPr>
              <w:rPr>
                <w:rFonts w:eastAsia="Times New Roman" w:cs="Times New Roman"/>
                <w:b/>
                <w:color w:val="000000"/>
                <w:sz w:val="20"/>
                <w:szCs w:val="20"/>
                <w:lang w:eastAsia="cs-CZ"/>
              </w:rPr>
            </w:pPr>
            <w:r w:rsidRPr="00443FA4">
              <w:rPr>
                <w:rFonts w:eastAsia="Times New Roman" w:cs="Times New Roman"/>
                <w:b/>
                <w:color w:val="000000"/>
                <w:sz w:val="20"/>
                <w:szCs w:val="20"/>
                <w:lang w:eastAsia="cs-CZ"/>
              </w:rPr>
              <w:t>O</w:t>
            </w:r>
            <w:r w:rsidRPr="007E2DA9">
              <w:rPr>
                <w:rFonts w:eastAsia="Times New Roman" w:cs="Times New Roman"/>
                <w:b/>
                <w:color w:val="000000"/>
                <w:sz w:val="20"/>
                <w:szCs w:val="20"/>
                <w:lang w:eastAsia="cs-CZ"/>
              </w:rPr>
              <w:t>bec celkem</w:t>
            </w:r>
          </w:p>
        </w:tc>
        <w:tc>
          <w:tcPr>
            <w:tcW w:w="365" w:type="pct"/>
            <w:tcBorders>
              <w:top w:val="single" w:sz="12" w:space="0" w:color="auto"/>
              <w:bottom w:val="single" w:sz="12" w:space="0" w:color="auto"/>
            </w:tcBorders>
            <w:shd w:val="clear" w:color="auto" w:fill="D9D9D9" w:themeFill="background1" w:themeFillShade="D9"/>
            <w:noWrap/>
            <w:vAlign w:val="center"/>
          </w:tcPr>
          <w:p w14:paraId="00DC8189" w14:textId="78F0F09C" w:rsidR="00BF0409" w:rsidRPr="00BF0409" w:rsidRDefault="00BF0409" w:rsidP="00BF0409">
            <w:pPr>
              <w:jc w:val="right"/>
              <w:rPr>
                <w:rFonts w:ascii="Calibri" w:hAnsi="Calibri" w:cs="Calibri"/>
                <w:b/>
                <w:bCs/>
                <w:color w:val="000000"/>
              </w:rPr>
            </w:pPr>
            <w:r w:rsidRPr="00BF0409">
              <w:rPr>
                <w:rFonts w:ascii="Calibri" w:hAnsi="Calibri" w:cs="Calibri"/>
                <w:b/>
                <w:bCs/>
                <w:color w:val="000000"/>
              </w:rPr>
              <w:t>2 049</w:t>
            </w:r>
          </w:p>
        </w:tc>
        <w:tc>
          <w:tcPr>
            <w:tcW w:w="368" w:type="pct"/>
            <w:tcBorders>
              <w:top w:val="single" w:sz="12" w:space="0" w:color="auto"/>
              <w:bottom w:val="single" w:sz="12" w:space="0" w:color="auto"/>
            </w:tcBorders>
            <w:shd w:val="clear" w:color="auto" w:fill="D9D9D9" w:themeFill="background1" w:themeFillShade="D9"/>
            <w:noWrap/>
            <w:vAlign w:val="center"/>
          </w:tcPr>
          <w:p w14:paraId="26620A3C" w14:textId="4E4B8137" w:rsidR="00BF0409" w:rsidRPr="00BF0409" w:rsidRDefault="00BF0409" w:rsidP="00BF0409">
            <w:pPr>
              <w:jc w:val="right"/>
              <w:rPr>
                <w:rFonts w:ascii="Calibri" w:hAnsi="Calibri" w:cs="Calibri"/>
                <w:b/>
                <w:bCs/>
                <w:color w:val="000000"/>
              </w:rPr>
            </w:pPr>
            <w:r w:rsidRPr="00BF0409">
              <w:rPr>
                <w:rFonts w:ascii="Calibri" w:hAnsi="Calibri" w:cs="Calibri"/>
                <w:b/>
                <w:bCs/>
                <w:color w:val="000000"/>
              </w:rPr>
              <w:t>1</w:t>
            </w:r>
            <w:r>
              <w:rPr>
                <w:rFonts w:ascii="Calibri" w:hAnsi="Calibri" w:cs="Calibri"/>
                <w:b/>
                <w:bCs/>
                <w:color w:val="000000"/>
              </w:rPr>
              <w:t xml:space="preserve"> </w:t>
            </w:r>
            <w:r w:rsidRPr="00BF0409">
              <w:rPr>
                <w:rFonts w:ascii="Calibri" w:hAnsi="Calibri" w:cs="Calibri"/>
                <w:b/>
                <w:bCs/>
                <w:color w:val="000000"/>
              </w:rPr>
              <w:t>690</w:t>
            </w:r>
          </w:p>
        </w:tc>
        <w:tc>
          <w:tcPr>
            <w:tcW w:w="369" w:type="pct"/>
            <w:tcBorders>
              <w:top w:val="single" w:sz="12" w:space="0" w:color="auto"/>
              <w:bottom w:val="single" w:sz="12" w:space="0" w:color="auto"/>
            </w:tcBorders>
            <w:shd w:val="clear" w:color="auto" w:fill="D9D9D9" w:themeFill="background1" w:themeFillShade="D9"/>
            <w:noWrap/>
            <w:vAlign w:val="center"/>
          </w:tcPr>
          <w:p w14:paraId="1A2F72BF" w14:textId="41A8EE3A" w:rsidR="00BF0409" w:rsidRPr="00BF0409" w:rsidRDefault="00BF0409" w:rsidP="00BF0409">
            <w:pPr>
              <w:jc w:val="right"/>
              <w:rPr>
                <w:rFonts w:ascii="Calibri" w:hAnsi="Calibri" w:cs="Calibri"/>
                <w:b/>
                <w:bCs/>
                <w:color w:val="000000"/>
              </w:rPr>
            </w:pPr>
            <w:r w:rsidRPr="00BF0409">
              <w:rPr>
                <w:rFonts w:ascii="Calibri" w:hAnsi="Calibri" w:cs="Calibri"/>
                <w:b/>
                <w:bCs/>
                <w:color w:val="000000"/>
              </w:rPr>
              <w:t>1</w:t>
            </w:r>
            <w:r>
              <w:rPr>
                <w:rFonts w:ascii="Calibri" w:hAnsi="Calibri" w:cs="Calibri"/>
                <w:b/>
                <w:bCs/>
                <w:color w:val="000000"/>
              </w:rPr>
              <w:t xml:space="preserve"> </w:t>
            </w:r>
            <w:r w:rsidRPr="00BF0409">
              <w:rPr>
                <w:rFonts w:ascii="Calibri" w:hAnsi="Calibri" w:cs="Calibri"/>
                <w:b/>
                <w:bCs/>
                <w:color w:val="000000"/>
              </w:rPr>
              <w:t>564</w:t>
            </w:r>
          </w:p>
        </w:tc>
        <w:tc>
          <w:tcPr>
            <w:tcW w:w="366" w:type="pct"/>
            <w:gridSpan w:val="2"/>
            <w:tcBorders>
              <w:top w:val="single" w:sz="12" w:space="0" w:color="auto"/>
              <w:bottom w:val="single" w:sz="12" w:space="0" w:color="auto"/>
            </w:tcBorders>
            <w:shd w:val="clear" w:color="auto" w:fill="D9D9D9" w:themeFill="background1" w:themeFillShade="D9"/>
            <w:noWrap/>
            <w:vAlign w:val="center"/>
          </w:tcPr>
          <w:p w14:paraId="2951CB4A" w14:textId="08C7F958" w:rsidR="00BF0409" w:rsidRPr="00BF0409" w:rsidRDefault="00BF0409" w:rsidP="00BF0409">
            <w:pPr>
              <w:jc w:val="right"/>
              <w:rPr>
                <w:rFonts w:ascii="Calibri" w:hAnsi="Calibri" w:cs="Calibri"/>
                <w:b/>
                <w:bCs/>
                <w:color w:val="000000"/>
              </w:rPr>
            </w:pPr>
            <w:r w:rsidRPr="00BF0409">
              <w:rPr>
                <w:rFonts w:ascii="Calibri" w:hAnsi="Calibri" w:cs="Calibri"/>
                <w:b/>
                <w:bCs/>
                <w:color w:val="000000"/>
              </w:rPr>
              <w:t>1</w:t>
            </w:r>
            <w:r>
              <w:rPr>
                <w:rFonts w:ascii="Calibri" w:hAnsi="Calibri" w:cs="Calibri"/>
                <w:b/>
                <w:bCs/>
                <w:color w:val="000000"/>
              </w:rPr>
              <w:t xml:space="preserve"> </w:t>
            </w:r>
            <w:r w:rsidRPr="00BF0409">
              <w:rPr>
                <w:rFonts w:ascii="Calibri" w:hAnsi="Calibri" w:cs="Calibri"/>
                <w:b/>
                <w:bCs/>
                <w:color w:val="000000"/>
              </w:rPr>
              <w:t>350</w:t>
            </w:r>
          </w:p>
        </w:tc>
        <w:tc>
          <w:tcPr>
            <w:tcW w:w="370" w:type="pct"/>
            <w:gridSpan w:val="2"/>
            <w:tcBorders>
              <w:top w:val="single" w:sz="12" w:space="0" w:color="auto"/>
              <w:bottom w:val="single" w:sz="12" w:space="0" w:color="auto"/>
            </w:tcBorders>
            <w:shd w:val="clear" w:color="auto" w:fill="D9D9D9" w:themeFill="background1" w:themeFillShade="D9"/>
            <w:noWrap/>
            <w:vAlign w:val="center"/>
          </w:tcPr>
          <w:p w14:paraId="41F09310" w14:textId="305F8547" w:rsidR="00BF0409" w:rsidRPr="00BF0409" w:rsidRDefault="00BF0409" w:rsidP="00BF0409">
            <w:pPr>
              <w:jc w:val="right"/>
              <w:rPr>
                <w:rFonts w:ascii="Calibri" w:hAnsi="Calibri" w:cs="Calibri"/>
                <w:b/>
                <w:bCs/>
                <w:color w:val="000000"/>
              </w:rPr>
            </w:pPr>
            <w:r w:rsidRPr="00BF0409">
              <w:rPr>
                <w:rFonts w:ascii="Calibri" w:hAnsi="Calibri" w:cs="Calibri"/>
                <w:b/>
                <w:bCs/>
                <w:color w:val="000000"/>
              </w:rPr>
              <w:t>667</w:t>
            </w:r>
          </w:p>
        </w:tc>
        <w:tc>
          <w:tcPr>
            <w:tcW w:w="370" w:type="pct"/>
            <w:gridSpan w:val="2"/>
            <w:tcBorders>
              <w:top w:val="single" w:sz="12" w:space="0" w:color="auto"/>
              <w:bottom w:val="single" w:sz="12" w:space="0" w:color="auto"/>
            </w:tcBorders>
            <w:shd w:val="clear" w:color="auto" w:fill="D9D9D9" w:themeFill="background1" w:themeFillShade="D9"/>
            <w:noWrap/>
            <w:vAlign w:val="center"/>
          </w:tcPr>
          <w:p w14:paraId="45469F59" w14:textId="5B88C484" w:rsidR="00BF0409" w:rsidRPr="00BF0409" w:rsidRDefault="00BF0409" w:rsidP="00BF0409">
            <w:pPr>
              <w:jc w:val="right"/>
              <w:rPr>
                <w:rFonts w:ascii="Calibri" w:hAnsi="Calibri" w:cs="Calibri"/>
                <w:b/>
                <w:bCs/>
                <w:color w:val="000000"/>
              </w:rPr>
            </w:pPr>
            <w:r w:rsidRPr="00BF0409">
              <w:rPr>
                <w:rFonts w:ascii="Calibri" w:hAnsi="Calibri" w:cs="Calibri"/>
                <w:b/>
                <w:bCs/>
                <w:color w:val="000000"/>
              </w:rPr>
              <w:t>503</w:t>
            </w:r>
          </w:p>
        </w:tc>
        <w:tc>
          <w:tcPr>
            <w:tcW w:w="348" w:type="pct"/>
            <w:gridSpan w:val="2"/>
            <w:tcBorders>
              <w:top w:val="single" w:sz="12" w:space="0" w:color="auto"/>
              <w:bottom w:val="single" w:sz="12" w:space="0" w:color="auto"/>
            </w:tcBorders>
            <w:shd w:val="clear" w:color="auto" w:fill="D9D9D9" w:themeFill="background1" w:themeFillShade="D9"/>
            <w:noWrap/>
            <w:vAlign w:val="center"/>
          </w:tcPr>
          <w:p w14:paraId="415BE2E9" w14:textId="28E7DFFC" w:rsidR="00BF0409" w:rsidRPr="00BF0409" w:rsidRDefault="00BF0409" w:rsidP="00BF0409">
            <w:pPr>
              <w:jc w:val="right"/>
              <w:rPr>
                <w:rFonts w:ascii="Calibri" w:hAnsi="Calibri" w:cs="Calibri"/>
                <w:b/>
                <w:bCs/>
                <w:color w:val="000000"/>
              </w:rPr>
            </w:pPr>
            <w:r w:rsidRPr="00BF0409">
              <w:rPr>
                <w:rFonts w:ascii="Calibri" w:hAnsi="Calibri" w:cs="Calibri"/>
                <w:b/>
                <w:bCs/>
                <w:color w:val="000000"/>
              </w:rPr>
              <w:t>356</w:t>
            </w:r>
          </w:p>
        </w:tc>
        <w:tc>
          <w:tcPr>
            <w:tcW w:w="374" w:type="pct"/>
            <w:gridSpan w:val="2"/>
            <w:tcBorders>
              <w:top w:val="single" w:sz="12" w:space="0" w:color="auto"/>
              <w:bottom w:val="single" w:sz="12" w:space="0" w:color="auto"/>
            </w:tcBorders>
            <w:shd w:val="clear" w:color="auto" w:fill="D9D9D9" w:themeFill="background1" w:themeFillShade="D9"/>
            <w:noWrap/>
            <w:vAlign w:val="center"/>
          </w:tcPr>
          <w:p w14:paraId="7D1CECB7" w14:textId="62888CD4" w:rsidR="00BF0409" w:rsidRPr="00BF0409" w:rsidRDefault="00BF0409" w:rsidP="00BF0409">
            <w:pPr>
              <w:jc w:val="right"/>
              <w:rPr>
                <w:rFonts w:ascii="Calibri" w:hAnsi="Calibri" w:cs="Calibri"/>
                <w:b/>
                <w:bCs/>
                <w:color w:val="000000"/>
              </w:rPr>
            </w:pPr>
            <w:r w:rsidRPr="00BF0409">
              <w:rPr>
                <w:rFonts w:ascii="Calibri" w:hAnsi="Calibri" w:cs="Calibri"/>
                <w:b/>
                <w:bCs/>
                <w:color w:val="000000"/>
              </w:rPr>
              <w:t>383</w:t>
            </w:r>
          </w:p>
        </w:tc>
        <w:tc>
          <w:tcPr>
            <w:tcW w:w="395" w:type="pct"/>
            <w:tcBorders>
              <w:top w:val="single" w:sz="12" w:space="0" w:color="auto"/>
              <w:bottom w:val="single" w:sz="12" w:space="0" w:color="auto"/>
            </w:tcBorders>
            <w:shd w:val="clear" w:color="auto" w:fill="D9D9D9" w:themeFill="background1" w:themeFillShade="D9"/>
            <w:noWrap/>
            <w:vAlign w:val="center"/>
          </w:tcPr>
          <w:p w14:paraId="59B23425" w14:textId="2B8F8964" w:rsidR="00BF0409" w:rsidRPr="00BF0409" w:rsidRDefault="00BF0409" w:rsidP="00BF0409">
            <w:pPr>
              <w:jc w:val="right"/>
              <w:rPr>
                <w:rFonts w:ascii="Calibri" w:hAnsi="Calibri" w:cs="Calibri"/>
                <w:b/>
                <w:bCs/>
                <w:color w:val="000000"/>
              </w:rPr>
            </w:pPr>
            <w:r w:rsidRPr="00BF0409">
              <w:rPr>
                <w:rFonts w:ascii="Calibri" w:hAnsi="Calibri" w:cs="Calibri"/>
                <w:b/>
                <w:bCs/>
                <w:color w:val="000000"/>
              </w:rPr>
              <w:t>491</w:t>
            </w:r>
          </w:p>
        </w:tc>
        <w:tc>
          <w:tcPr>
            <w:tcW w:w="340" w:type="pct"/>
            <w:tcBorders>
              <w:top w:val="single" w:sz="12" w:space="0" w:color="auto"/>
              <w:bottom w:val="single" w:sz="12" w:space="0" w:color="auto"/>
            </w:tcBorders>
            <w:shd w:val="clear" w:color="auto" w:fill="D9D9D9" w:themeFill="background1" w:themeFillShade="D9"/>
            <w:noWrap/>
            <w:vAlign w:val="center"/>
          </w:tcPr>
          <w:p w14:paraId="24875F76" w14:textId="0F61D9B9" w:rsidR="00BF0409" w:rsidRPr="00BF0409" w:rsidRDefault="00333874" w:rsidP="00BF0409">
            <w:pPr>
              <w:jc w:val="right"/>
              <w:rPr>
                <w:rFonts w:ascii="Calibri" w:hAnsi="Calibri" w:cs="Calibri"/>
                <w:b/>
                <w:bCs/>
                <w:color w:val="000000"/>
              </w:rPr>
            </w:pPr>
            <w:r>
              <w:rPr>
                <w:rFonts w:ascii="Calibri" w:hAnsi="Calibri" w:cs="Calibri"/>
                <w:b/>
                <w:bCs/>
                <w:color w:val="000000"/>
              </w:rPr>
              <w:t>627</w:t>
            </w:r>
          </w:p>
        </w:tc>
      </w:tr>
      <w:tr w:rsidR="006F39A9" w:rsidRPr="007E2DA9" w14:paraId="54A6A619" w14:textId="77777777" w:rsidTr="00BC050B">
        <w:trPr>
          <w:trHeight w:val="300"/>
          <w:jc w:val="center"/>
        </w:trPr>
        <w:tc>
          <w:tcPr>
            <w:tcW w:w="5000" w:type="pct"/>
            <w:gridSpan w:val="17"/>
            <w:tcBorders>
              <w:top w:val="single" w:sz="12" w:space="0" w:color="auto"/>
              <w:bottom w:val="single" w:sz="12" w:space="0" w:color="auto"/>
            </w:tcBorders>
            <w:shd w:val="clear" w:color="auto" w:fill="92D050"/>
            <w:noWrap/>
            <w:vAlign w:val="center"/>
            <w:hideMark/>
          </w:tcPr>
          <w:p w14:paraId="7B49AE0A"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Řetězové indexy vývoje počtu obyvatel (v %)</w:t>
            </w:r>
          </w:p>
        </w:tc>
      </w:tr>
      <w:tr w:rsidR="002F5FF9" w:rsidRPr="007E2DA9" w14:paraId="2E9930E2" w14:textId="77777777" w:rsidTr="00BF0409">
        <w:trPr>
          <w:trHeight w:val="300"/>
          <w:jc w:val="center"/>
        </w:trPr>
        <w:tc>
          <w:tcPr>
            <w:tcW w:w="924" w:type="pct"/>
            <w:tcBorders>
              <w:top w:val="single" w:sz="12" w:space="0" w:color="auto"/>
              <w:bottom w:val="single" w:sz="12" w:space="0" w:color="auto"/>
            </w:tcBorders>
            <w:shd w:val="clear" w:color="auto" w:fill="FFC000"/>
            <w:noWrap/>
            <w:vAlign w:val="center"/>
            <w:hideMark/>
          </w:tcPr>
          <w:p w14:paraId="183EFFA6" w14:textId="77777777" w:rsidR="006F39A9" w:rsidRPr="007E2DA9" w:rsidRDefault="006F39A9" w:rsidP="00BC050B">
            <w:pPr>
              <w:jc w:val="center"/>
              <w:rPr>
                <w:rFonts w:eastAsia="Times New Roman" w:cs="Times New Roman"/>
                <w:b/>
                <w:color w:val="000000"/>
                <w:sz w:val="20"/>
                <w:szCs w:val="20"/>
                <w:lang w:eastAsia="cs-CZ"/>
              </w:rPr>
            </w:pPr>
            <w:r w:rsidRPr="00443FA4">
              <w:rPr>
                <w:rFonts w:eastAsia="Times New Roman" w:cs="Times New Roman"/>
                <w:b/>
                <w:color w:val="000000"/>
                <w:sz w:val="20"/>
                <w:szCs w:val="20"/>
                <w:lang w:eastAsia="cs-CZ"/>
              </w:rPr>
              <w:t>Název místní části</w:t>
            </w:r>
          </w:p>
        </w:tc>
        <w:tc>
          <w:tcPr>
            <w:tcW w:w="412" w:type="pct"/>
            <w:tcBorders>
              <w:top w:val="single" w:sz="12" w:space="0" w:color="auto"/>
              <w:bottom w:val="single" w:sz="12" w:space="0" w:color="auto"/>
            </w:tcBorders>
            <w:shd w:val="clear" w:color="auto" w:fill="FFC000"/>
            <w:vAlign w:val="center"/>
          </w:tcPr>
          <w:p w14:paraId="43E252BB" w14:textId="77777777" w:rsidR="006F39A9" w:rsidRPr="00443FA4" w:rsidRDefault="006F39A9" w:rsidP="00BC050B">
            <w:pPr>
              <w:jc w:val="center"/>
              <w:rPr>
                <w:rFonts w:eastAsia="Times New Roman" w:cs="Times New Roman"/>
                <w:b/>
                <w:color w:val="000000"/>
                <w:sz w:val="20"/>
                <w:szCs w:val="20"/>
                <w:lang w:eastAsia="cs-CZ"/>
              </w:rPr>
            </w:pPr>
            <w:r w:rsidRPr="00443FA4">
              <w:rPr>
                <w:rFonts w:eastAsia="Times New Roman" w:cs="Times New Roman"/>
                <w:b/>
                <w:color w:val="000000"/>
                <w:sz w:val="20"/>
                <w:szCs w:val="20"/>
                <w:lang w:eastAsia="cs-CZ"/>
              </w:rPr>
              <w:t>O</w:t>
            </w:r>
            <w:r w:rsidRPr="007E2DA9">
              <w:rPr>
                <w:rFonts w:eastAsia="Times New Roman" w:cs="Times New Roman"/>
                <w:b/>
                <w:color w:val="000000"/>
                <w:sz w:val="20"/>
                <w:szCs w:val="20"/>
                <w:lang w:eastAsia="cs-CZ"/>
              </w:rPr>
              <w:t>bdobí</w:t>
            </w:r>
          </w:p>
        </w:tc>
        <w:tc>
          <w:tcPr>
            <w:tcW w:w="365" w:type="pct"/>
            <w:tcBorders>
              <w:top w:val="single" w:sz="12" w:space="0" w:color="auto"/>
              <w:bottom w:val="single" w:sz="12" w:space="0" w:color="auto"/>
            </w:tcBorders>
            <w:shd w:val="clear" w:color="auto" w:fill="FFC000"/>
            <w:noWrap/>
            <w:vAlign w:val="center"/>
            <w:hideMark/>
          </w:tcPr>
          <w:p w14:paraId="5C8C9817"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1890</w:t>
            </w:r>
          </w:p>
          <w:p w14:paraId="18B38120"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w:t>
            </w:r>
          </w:p>
          <w:p w14:paraId="396D6924"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1869</w:t>
            </w:r>
          </w:p>
        </w:tc>
        <w:tc>
          <w:tcPr>
            <w:tcW w:w="368" w:type="pct"/>
            <w:tcBorders>
              <w:top w:val="single" w:sz="12" w:space="0" w:color="auto"/>
              <w:bottom w:val="single" w:sz="12" w:space="0" w:color="auto"/>
            </w:tcBorders>
            <w:shd w:val="clear" w:color="auto" w:fill="FFC000"/>
            <w:noWrap/>
            <w:vAlign w:val="center"/>
            <w:hideMark/>
          </w:tcPr>
          <w:p w14:paraId="35674C9E"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1910</w:t>
            </w:r>
          </w:p>
          <w:p w14:paraId="56F30843"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w:t>
            </w:r>
          </w:p>
          <w:p w14:paraId="4490DB64"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1890</w:t>
            </w:r>
          </w:p>
        </w:tc>
        <w:tc>
          <w:tcPr>
            <w:tcW w:w="373" w:type="pct"/>
            <w:gridSpan w:val="2"/>
            <w:tcBorders>
              <w:top w:val="single" w:sz="12" w:space="0" w:color="auto"/>
              <w:bottom w:val="single" w:sz="12" w:space="0" w:color="auto"/>
            </w:tcBorders>
            <w:shd w:val="clear" w:color="auto" w:fill="FFC000"/>
            <w:noWrap/>
            <w:vAlign w:val="center"/>
            <w:hideMark/>
          </w:tcPr>
          <w:p w14:paraId="043D5822"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1930</w:t>
            </w:r>
          </w:p>
          <w:p w14:paraId="406ACACC"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w:t>
            </w:r>
          </w:p>
          <w:p w14:paraId="5BF2C1A9"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1910</w:t>
            </w:r>
          </w:p>
        </w:tc>
        <w:tc>
          <w:tcPr>
            <w:tcW w:w="366" w:type="pct"/>
            <w:gridSpan w:val="2"/>
            <w:tcBorders>
              <w:top w:val="single" w:sz="12" w:space="0" w:color="auto"/>
              <w:bottom w:val="single" w:sz="12" w:space="0" w:color="auto"/>
            </w:tcBorders>
            <w:shd w:val="clear" w:color="auto" w:fill="FFC000"/>
            <w:noWrap/>
            <w:vAlign w:val="center"/>
            <w:hideMark/>
          </w:tcPr>
          <w:p w14:paraId="0AFC4A2A"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1950</w:t>
            </w:r>
          </w:p>
          <w:p w14:paraId="0BB5D19A"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w:t>
            </w:r>
          </w:p>
          <w:p w14:paraId="5936B817"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1930</w:t>
            </w:r>
          </w:p>
        </w:tc>
        <w:tc>
          <w:tcPr>
            <w:tcW w:w="370" w:type="pct"/>
            <w:gridSpan w:val="2"/>
            <w:tcBorders>
              <w:top w:val="single" w:sz="12" w:space="0" w:color="auto"/>
              <w:bottom w:val="single" w:sz="12" w:space="0" w:color="auto"/>
            </w:tcBorders>
            <w:shd w:val="clear" w:color="auto" w:fill="FFC000"/>
            <w:noWrap/>
            <w:vAlign w:val="center"/>
            <w:hideMark/>
          </w:tcPr>
          <w:p w14:paraId="23413E92"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1970</w:t>
            </w:r>
          </w:p>
          <w:p w14:paraId="190A3651"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w:t>
            </w:r>
          </w:p>
          <w:p w14:paraId="37D27BA5"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1950</w:t>
            </w:r>
          </w:p>
        </w:tc>
        <w:tc>
          <w:tcPr>
            <w:tcW w:w="370" w:type="pct"/>
            <w:gridSpan w:val="2"/>
            <w:tcBorders>
              <w:top w:val="single" w:sz="12" w:space="0" w:color="auto"/>
              <w:bottom w:val="single" w:sz="12" w:space="0" w:color="auto"/>
            </w:tcBorders>
            <w:shd w:val="clear" w:color="auto" w:fill="FFC000"/>
            <w:noWrap/>
            <w:vAlign w:val="center"/>
            <w:hideMark/>
          </w:tcPr>
          <w:p w14:paraId="20DE47F4"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1991</w:t>
            </w:r>
          </w:p>
          <w:p w14:paraId="0A7B1B68"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w:t>
            </w:r>
          </w:p>
          <w:p w14:paraId="2FD72E5D"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1970</w:t>
            </w:r>
          </w:p>
        </w:tc>
        <w:tc>
          <w:tcPr>
            <w:tcW w:w="348" w:type="pct"/>
            <w:gridSpan w:val="2"/>
            <w:tcBorders>
              <w:top w:val="single" w:sz="12" w:space="0" w:color="auto"/>
              <w:bottom w:val="single" w:sz="12" w:space="0" w:color="auto"/>
            </w:tcBorders>
            <w:shd w:val="clear" w:color="auto" w:fill="FFC000"/>
            <w:noWrap/>
            <w:vAlign w:val="center"/>
            <w:hideMark/>
          </w:tcPr>
          <w:p w14:paraId="6D1A677F"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2001</w:t>
            </w:r>
          </w:p>
          <w:p w14:paraId="29015871"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w:t>
            </w:r>
          </w:p>
          <w:p w14:paraId="33AAB0B5"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1991</w:t>
            </w:r>
          </w:p>
        </w:tc>
        <w:tc>
          <w:tcPr>
            <w:tcW w:w="370" w:type="pct"/>
            <w:tcBorders>
              <w:top w:val="single" w:sz="12" w:space="0" w:color="auto"/>
              <w:bottom w:val="single" w:sz="12" w:space="0" w:color="auto"/>
            </w:tcBorders>
            <w:shd w:val="clear" w:color="auto" w:fill="FFC000"/>
            <w:noWrap/>
            <w:vAlign w:val="center"/>
            <w:hideMark/>
          </w:tcPr>
          <w:p w14:paraId="3649D86F"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2011</w:t>
            </w:r>
          </w:p>
          <w:p w14:paraId="4A00FB82"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w:t>
            </w:r>
          </w:p>
          <w:p w14:paraId="22BD7442"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2001</w:t>
            </w:r>
          </w:p>
        </w:tc>
        <w:tc>
          <w:tcPr>
            <w:tcW w:w="395" w:type="pct"/>
            <w:tcBorders>
              <w:top w:val="single" w:sz="12" w:space="0" w:color="auto"/>
              <w:bottom w:val="single" w:sz="12" w:space="0" w:color="auto"/>
            </w:tcBorders>
            <w:shd w:val="clear" w:color="auto" w:fill="FFC000"/>
            <w:noWrap/>
            <w:vAlign w:val="center"/>
            <w:hideMark/>
          </w:tcPr>
          <w:p w14:paraId="5921CD22" w14:textId="04ECF0D5" w:rsidR="006F39A9" w:rsidRPr="00443FA4" w:rsidRDefault="006F39A9" w:rsidP="00BC050B">
            <w:pPr>
              <w:jc w:val="center"/>
              <w:rPr>
                <w:rFonts w:eastAsia="Times New Roman" w:cs="Arial"/>
                <w:b/>
                <w:color w:val="000000"/>
                <w:sz w:val="20"/>
                <w:szCs w:val="20"/>
                <w:lang w:eastAsia="cs-CZ"/>
              </w:rPr>
            </w:pPr>
            <w:r>
              <w:rPr>
                <w:rFonts w:eastAsia="Times New Roman" w:cs="Arial"/>
                <w:b/>
                <w:color w:val="000000"/>
                <w:sz w:val="20"/>
                <w:szCs w:val="20"/>
                <w:lang w:eastAsia="cs-CZ"/>
              </w:rPr>
              <w:t>20</w:t>
            </w:r>
            <w:r w:rsidR="002F5FF9">
              <w:rPr>
                <w:rFonts w:eastAsia="Times New Roman" w:cs="Arial"/>
                <w:b/>
                <w:color w:val="000000"/>
                <w:sz w:val="20"/>
                <w:szCs w:val="20"/>
                <w:lang w:eastAsia="cs-CZ"/>
              </w:rPr>
              <w:t>21</w:t>
            </w:r>
          </w:p>
          <w:p w14:paraId="00C7844C"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w:t>
            </w:r>
          </w:p>
          <w:p w14:paraId="012AFD27" w14:textId="77777777" w:rsidR="006F39A9" w:rsidRPr="00443FA4" w:rsidRDefault="006F39A9" w:rsidP="00BC050B">
            <w:pPr>
              <w:jc w:val="center"/>
              <w:rPr>
                <w:rFonts w:eastAsia="Times New Roman" w:cs="Arial"/>
                <w:b/>
                <w:color w:val="000000"/>
                <w:sz w:val="20"/>
                <w:szCs w:val="20"/>
                <w:lang w:eastAsia="cs-CZ"/>
              </w:rPr>
            </w:pPr>
            <w:r w:rsidRPr="00443FA4">
              <w:rPr>
                <w:rFonts w:eastAsia="Times New Roman" w:cs="Arial"/>
                <w:b/>
                <w:color w:val="000000"/>
                <w:sz w:val="20"/>
                <w:szCs w:val="20"/>
                <w:lang w:eastAsia="cs-CZ"/>
              </w:rPr>
              <w:t>2011</w:t>
            </w:r>
          </w:p>
        </w:tc>
        <w:tc>
          <w:tcPr>
            <w:tcW w:w="340" w:type="pct"/>
            <w:tcBorders>
              <w:top w:val="single" w:sz="12" w:space="0" w:color="auto"/>
              <w:bottom w:val="single" w:sz="12" w:space="0" w:color="auto"/>
            </w:tcBorders>
            <w:shd w:val="clear" w:color="auto" w:fill="FFC000"/>
            <w:noWrap/>
            <w:vAlign w:val="center"/>
            <w:hideMark/>
          </w:tcPr>
          <w:p w14:paraId="693E74B8" w14:textId="37762CBB" w:rsidR="006F39A9" w:rsidRPr="00207C13" w:rsidRDefault="006F39A9" w:rsidP="00BC050B">
            <w:pPr>
              <w:jc w:val="center"/>
              <w:rPr>
                <w:rFonts w:eastAsia="Times New Roman" w:cs="Times New Roman"/>
                <w:b/>
                <w:color w:val="000000"/>
                <w:sz w:val="20"/>
                <w:szCs w:val="20"/>
                <w:lang w:eastAsia="cs-CZ"/>
              </w:rPr>
            </w:pPr>
            <w:r>
              <w:rPr>
                <w:rFonts w:eastAsia="Times New Roman" w:cs="Times New Roman"/>
                <w:b/>
                <w:color w:val="000000"/>
                <w:sz w:val="20"/>
                <w:szCs w:val="20"/>
                <w:lang w:eastAsia="cs-CZ"/>
              </w:rPr>
              <w:t>20</w:t>
            </w:r>
            <w:r w:rsidR="002F5FF9">
              <w:rPr>
                <w:rFonts w:eastAsia="Times New Roman" w:cs="Times New Roman"/>
                <w:b/>
                <w:color w:val="000000"/>
                <w:sz w:val="20"/>
                <w:szCs w:val="20"/>
                <w:lang w:eastAsia="cs-CZ"/>
              </w:rPr>
              <w:t>21</w:t>
            </w:r>
          </w:p>
          <w:p w14:paraId="1C109AFC" w14:textId="77777777" w:rsidR="006F39A9" w:rsidRPr="00207C13" w:rsidRDefault="006F39A9" w:rsidP="00BC050B">
            <w:pPr>
              <w:jc w:val="center"/>
              <w:rPr>
                <w:rFonts w:eastAsia="Times New Roman" w:cs="Times New Roman"/>
                <w:b/>
                <w:color w:val="000000"/>
                <w:sz w:val="20"/>
                <w:szCs w:val="20"/>
                <w:lang w:eastAsia="cs-CZ"/>
              </w:rPr>
            </w:pPr>
            <w:r w:rsidRPr="00207C13">
              <w:rPr>
                <w:rFonts w:eastAsia="Times New Roman" w:cs="Times New Roman"/>
                <w:b/>
                <w:color w:val="000000"/>
                <w:sz w:val="20"/>
                <w:szCs w:val="20"/>
                <w:lang w:eastAsia="cs-CZ"/>
              </w:rPr>
              <w:t>/</w:t>
            </w:r>
          </w:p>
          <w:p w14:paraId="44168280" w14:textId="77777777" w:rsidR="006F39A9" w:rsidRPr="007E2DA9" w:rsidRDefault="006F39A9" w:rsidP="00BC050B">
            <w:pPr>
              <w:jc w:val="center"/>
              <w:rPr>
                <w:rFonts w:eastAsia="Times New Roman" w:cs="Times New Roman"/>
                <w:color w:val="000000"/>
                <w:sz w:val="20"/>
                <w:szCs w:val="20"/>
                <w:lang w:eastAsia="cs-CZ"/>
              </w:rPr>
            </w:pPr>
            <w:r w:rsidRPr="00207C13">
              <w:rPr>
                <w:rFonts w:eastAsia="Times New Roman" w:cs="Times New Roman"/>
                <w:b/>
                <w:color w:val="000000"/>
                <w:sz w:val="20"/>
                <w:szCs w:val="20"/>
                <w:lang w:eastAsia="cs-CZ"/>
              </w:rPr>
              <w:t>1869</w:t>
            </w:r>
          </w:p>
        </w:tc>
      </w:tr>
      <w:tr w:rsidR="00BF0409" w:rsidRPr="007E2DA9" w14:paraId="5CE2A367" w14:textId="77777777" w:rsidTr="000E5B2B">
        <w:trPr>
          <w:trHeight w:val="300"/>
          <w:jc w:val="center"/>
        </w:trPr>
        <w:tc>
          <w:tcPr>
            <w:tcW w:w="1336" w:type="pct"/>
            <w:gridSpan w:val="2"/>
            <w:tcBorders>
              <w:top w:val="single" w:sz="12" w:space="0" w:color="auto"/>
            </w:tcBorders>
            <w:shd w:val="clear" w:color="auto" w:fill="D9D9D9" w:themeFill="background1" w:themeFillShade="D9"/>
            <w:noWrap/>
            <w:vAlign w:val="center"/>
          </w:tcPr>
          <w:p w14:paraId="45F51369" w14:textId="6D4DF3FC" w:rsidR="00BF0409" w:rsidRDefault="00BF0409" w:rsidP="000E5B2B">
            <w:pPr>
              <w:rPr>
                <w:rFonts w:ascii="Calibri" w:hAnsi="Calibri" w:cs="Calibri"/>
                <w:color w:val="000000"/>
              </w:rPr>
            </w:pPr>
            <w:r>
              <w:rPr>
                <w:rFonts w:ascii="Calibri" w:hAnsi="Calibri" w:cs="Calibri"/>
                <w:color w:val="000000"/>
              </w:rPr>
              <w:t>Dolní Staré Buky</w:t>
            </w:r>
          </w:p>
        </w:tc>
        <w:tc>
          <w:tcPr>
            <w:tcW w:w="365" w:type="pct"/>
            <w:tcBorders>
              <w:top w:val="single" w:sz="12" w:space="0" w:color="auto"/>
            </w:tcBorders>
            <w:shd w:val="clear" w:color="auto" w:fill="auto"/>
            <w:noWrap/>
            <w:vAlign w:val="center"/>
          </w:tcPr>
          <w:p w14:paraId="65F67DA8" w14:textId="21D4B5EE" w:rsidR="00BF0409" w:rsidRDefault="00BF0409" w:rsidP="00C0047F">
            <w:pPr>
              <w:jc w:val="right"/>
              <w:rPr>
                <w:rFonts w:ascii="Calibri" w:hAnsi="Calibri" w:cs="Calibri"/>
                <w:color w:val="000000"/>
              </w:rPr>
            </w:pPr>
            <w:r>
              <w:rPr>
                <w:rFonts w:ascii="Calibri" w:hAnsi="Calibri" w:cs="Calibri"/>
                <w:color w:val="000000"/>
              </w:rPr>
              <w:t>86,7</w:t>
            </w:r>
          </w:p>
        </w:tc>
        <w:tc>
          <w:tcPr>
            <w:tcW w:w="368" w:type="pct"/>
            <w:tcBorders>
              <w:top w:val="single" w:sz="12" w:space="0" w:color="auto"/>
            </w:tcBorders>
            <w:shd w:val="clear" w:color="auto" w:fill="auto"/>
            <w:noWrap/>
            <w:vAlign w:val="center"/>
          </w:tcPr>
          <w:p w14:paraId="3C3F800E" w14:textId="78542C1F" w:rsidR="00BF0409" w:rsidRDefault="00BF0409" w:rsidP="00C0047F">
            <w:pPr>
              <w:jc w:val="right"/>
              <w:rPr>
                <w:rFonts w:ascii="Calibri" w:hAnsi="Calibri" w:cs="Calibri"/>
                <w:color w:val="000000"/>
              </w:rPr>
            </w:pPr>
            <w:r>
              <w:rPr>
                <w:rFonts w:ascii="Calibri" w:hAnsi="Calibri" w:cs="Calibri"/>
                <w:color w:val="000000"/>
              </w:rPr>
              <w:t>99,0</w:t>
            </w:r>
          </w:p>
        </w:tc>
        <w:tc>
          <w:tcPr>
            <w:tcW w:w="369" w:type="pct"/>
            <w:tcBorders>
              <w:top w:val="single" w:sz="12" w:space="0" w:color="auto"/>
            </w:tcBorders>
            <w:shd w:val="clear" w:color="auto" w:fill="auto"/>
            <w:noWrap/>
            <w:vAlign w:val="center"/>
          </w:tcPr>
          <w:p w14:paraId="6B2073BF" w14:textId="502D9819" w:rsidR="00BF0409" w:rsidRDefault="00BF0409" w:rsidP="00C0047F">
            <w:pPr>
              <w:jc w:val="right"/>
              <w:rPr>
                <w:rFonts w:ascii="Calibri" w:hAnsi="Calibri" w:cs="Calibri"/>
                <w:color w:val="000000"/>
              </w:rPr>
            </w:pPr>
            <w:r>
              <w:rPr>
                <w:rFonts w:ascii="Calibri" w:hAnsi="Calibri" w:cs="Calibri"/>
                <w:color w:val="000000"/>
              </w:rPr>
              <w:t>81,4</w:t>
            </w:r>
          </w:p>
        </w:tc>
        <w:tc>
          <w:tcPr>
            <w:tcW w:w="366" w:type="pct"/>
            <w:gridSpan w:val="2"/>
            <w:tcBorders>
              <w:top w:val="single" w:sz="12" w:space="0" w:color="auto"/>
            </w:tcBorders>
            <w:shd w:val="clear" w:color="auto" w:fill="auto"/>
            <w:noWrap/>
            <w:vAlign w:val="center"/>
          </w:tcPr>
          <w:p w14:paraId="57055E59" w14:textId="0030D439" w:rsidR="00BF0409" w:rsidRDefault="00BF0409" w:rsidP="00C0047F">
            <w:pPr>
              <w:jc w:val="right"/>
              <w:rPr>
                <w:rFonts w:ascii="Calibri" w:hAnsi="Calibri" w:cs="Calibri"/>
                <w:color w:val="000000"/>
              </w:rPr>
            </w:pPr>
            <w:r>
              <w:rPr>
                <w:rFonts w:ascii="Calibri" w:hAnsi="Calibri" w:cs="Calibri"/>
                <w:color w:val="000000"/>
              </w:rPr>
              <w:t>67,5</w:t>
            </w:r>
          </w:p>
        </w:tc>
        <w:tc>
          <w:tcPr>
            <w:tcW w:w="370" w:type="pct"/>
            <w:gridSpan w:val="2"/>
            <w:tcBorders>
              <w:top w:val="single" w:sz="12" w:space="0" w:color="auto"/>
            </w:tcBorders>
            <w:shd w:val="clear" w:color="auto" w:fill="auto"/>
            <w:noWrap/>
            <w:vAlign w:val="center"/>
          </w:tcPr>
          <w:p w14:paraId="04014ED5" w14:textId="6C4A39B7" w:rsidR="00BF0409" w:rsidRDefault="00BF0409" w:rsidP="00C0047F">
            <w:pPr>
              <w:jc w:val="right"/>
              <w:rPr>
                <w:rFonts w:ascii="Calibri" w:hAnsi="Calibri" w:cs="Calibri"/>
                <w:color w:val="000000"/>
              </w:rPr>
            </w:pPr>
            <w:r>
              <w:rPr>
                <w:rFonts w:ascii="Calibri" w:hAnsi="Calibri" w:cs="Calibri"/>
                <w:color w:val="000000"/>
              </w:rPr>
              <w:t>79,4</w:t>
            </w:r>
          </w:p>
        </w:tc>
        <w:tc>
          <w:tcPr>
            <w:tcW w:w="370" w:type="pct"/>
            <w:gridSpan w:val="2"/>
            <w:tcBorders>
              <w:top w:val="single" w:sz="12" w:space="0" w:color="auto"/>
            </w:tcBorders>
            <w:shd w:val="clear" w:color="auto" w:fill="auto"/>
            <w:noWrap/>
            <w:vAlign w:val="center"/>
          </w:tcPr>
          <w:p w14:paraId="4139F455" w14:textId="7695055C" w:rsidR="00BF0409" w:rsidRDefault="00BF0409" w:rsidP="00C0047F">
            <w:pPr>
              <w:jc w:val="right"/>
              <w:rPr>
                <w:rFonts w:ascii="Calibri" w:hAnsi="Calibri" w:cs="Calibri"/>
                <w:color w:val="000000"/>
              </w:rPr>
            </w:pPr>
            <w:r>
              <w:rPr>
                <w:rFonts w:ascii="Calibri" w:hAnsi="Calibri" w:cs="Calibri"/>
                <w:color w:val="000000"/>
              </w:rPr>
              <w:t>59,1</w:t>
            </w:r>
          </w:p>
        </w:tc>
        <w:tc>
          <w:tcPr>
            <w:tcW w:w="348" w:type="pct"/>
            <w:gridSpan w:val="2"/>
            <w:tcBorders>
              <w:top w:val="single" w:sz="12" w:space="0" w:color="auto"/>
            </w:tcBorders>
            <w:shd w:val="clear" w:color="auto" w:fill="auto"/>
            <w:noWrap/>
            <w:vAlign w:val="center"/>
          </w:tcPr>
          <w:p w14:paraId="675F2822" w14:textId="4DFB8798" w:rsidR="00BF0409" w:rsidRDefault="00BF0409" w:rsidP="00C0047F">
            <w:pPr>
              <w:jc w:val="right"/>
              <w:rPr>
                <w:rFonts w:ascii="Calibri" w:hAnsi="Calibri" w:cs="Calibri"/>
                <w:color w:val="000000"/>
              </w:rPr>
            </w:pPr>
            <w:r>
              <w:rPr>
                <w:rFonts w:ascii="Calibri" w:hAnsi="Calibri" w:cs="Calibri"/>
                <w:color w:val="000000"/>
              </w:rPr>
              <w:t>90,7</w:t>
            </w:r>
          </w:p>
        </w:tc>
        <w:tc>
          <w:tcPr>
            <w:tcW w:w="374" w:type="pct"/>
            <w:gridSpan w:val="2"/>
            <w:tcBorders>
              <w:top w:val="single" w:sz="12" w:space="0" w:color="auto"/>
            </w:tcBorders>
            <w:shd w:val="clear" w:color="auto" w:fill="auto"/>
            <w:noWrap/>
            <w:vAlign w:val="center"/>
          </w:tcPr>
          <w:p w14:paraId="48939697" w14:textId="458D9EB8" w:rsidR="00BF0409" w:rsidRDefault="00BF0409" w:rsidP="00C0047F">
            <w:pPr>
              <w:jc w:val="right"/>
              <w:rPr>
                <w:rFonts w:ascii="Calibri" w:hAnsi="Calibri" w:cs="Calibri"/>
                <w:color w:val="000000"/>
              </w:rPr>
            </w:pPr>
            <w:r>
              <w:rPr>
                <w:rFonts w:ascii="Calibri" w:hAnsi="Calibri" w:cs="Calibri"/>
                <w:color w:val="000000"/>
              </w:rPr>
              <w:t>154,4</w:t>
            </w:r>
          </w:p>
        </w:tc>
        <w:tc>
          <w:tcPr>
            <w:tcW w:w="395" w:type="pct"/>
            <w:tcBorders>
              <w:top w:val="single" w:sz="12" w:space="0" w:color="auto"/>
            </w:tcBorders>
            <w:shd w:val="clear" w:color="auto" w:fill="auto"/>
            <w:noWrap/>
            <w:vAlign w:val="center"/>
          </w:tcPr>
          <w:p w14:paraId="6104EA75" w14:textId="7ECA03BE" w:rsidR="00BF0409" w:rsidRDefault="00333874" w:rsidP="00C0047F">
            <w:pPr>
              <w:jc w:val="right"/>
              <w:rPr>
                <w:rFonts w:ascii="Calibri" w:hAnsi="Calibri" w:cs="Calibri"/>
                <w:color w:val="000000"/>
              </w:rPr>
            </w:pPr>
            <w:r>
              <w:rPr>
                <w:rFonts w:ascii="Calibri" w:hAnsi="Calibri" w:cs="Calibri"/>
                <w:color w:val="000000"/>
              </w:rPr>
              <w:t>118,1</w:t>
            </w:r>
          </w:p>
        </w:tc>
        <w:tc>
          <w:tcPr>
            <w:tcW w:w="340" w:type="pct"/>
            <w:tcBorders>
              <w:top w:val="single" w:sz="12" w:space="0" w:color="auto"/>
            </w:tcBorders>
            <w:shd w:val="clear" w:color="auto" w:fill="auto"/>
            <w:noWrap/>
            <w:vAlign w:val="center"/>
          </w:tcPr>
          <w:p w14:paraId="14A36EE9" w14:textId="5720DBA3" w:rsidR="00BF0409" w:rsidRDefault="00333874" w:rsidP="00C0047F">
            <w:pPr>
              <w:jc w:val="right"/>
              <w:rPr>
                <w:rFonts w:ascii="Calibri" w:hAnsi="Calibri" w:cs="Calibri"/>
                <w:color w:val="000000"/>
              </w:rPr>
            </w:pPr>
            <w:r>
              <w:rPr>
                <w:rFonts w:ascii="Calibri" w:hAnsi="Calibri" w:cs="Calibri"/>
                <w:color w:val="000000"/>
              </w:rPr>
              <w:t>36,6</w:t>
            </w:r>
          </w:p>
        </w:tc>
      </w:tr>
      <w:tr w:rsidR="00BF0409" w:rsidRPr="007E2DA9" w14:paraId="087786D1" w14:textId="77777777" w:rsidTr="000E5B2B">
        <w:trPr>
          <w:trHeight w:val="300"/>
          <w:jc w:val="center"/>
        </w:trPr>
        <w:tc>
          <w:tcPr>
            <w:tcW w:w="1336" w:type="pct"/>
            <w:gridSpan w:val="2"/>
            <w:shd w:val="clear" w:color="auto" w:fill="D9D9D9" w:themeFill="background1" w:themeFillShade="D9"/>
            <w:noWrap/>
            <w:vAlign w:val="center"/>
          </w:tcPr>
          <w:p w14:paraId="7DA3A08C" w14:textId="2CF429DE" w:rsidR="00BF0409" w:rsidRDefault="00BF0409" w:rsidP="000E5B2B">
            <w:pPr>
              <w:rPr>
                <w:rFonts w:ascii="Calibri" w:hAnsi="Calibri" w:cs="Calibri"/>
                <w:color w:val="000000"/>
              </w:rPr>
            </w:pPr>
            <w:r>
              <w:rPr>
                <w:rFonts w:ascii="Calibri" w:hAnsi="Calibri" w:cs="Calibri"/>
                <w:color w:val="000000"/>
              </w:rPr>
              <w:t>Horní Staré Buky</w:t>
            </w:r>
          </w:p>
        </w:tc>
        <w:tc>
          <w:tcPr>
            <w:tcW w:w="365" w:type="pct"/>
            <w:shd w:val="clear" w:color="auto" w:fill="auto"/>
            <w:noWrap/>
            <w:vAlign w:val="center"/>
          </w:tcPr>
          <w:p w14:paraId="09531DEA" w14:textId="661E4095" w:rsidR="00BF0409" w:rsidRDefault="00BF0409" w:rsidP="00C0047F">
            <w:pPr>
              <w:jc w:val="right"/>
              <w:rPr>
                <w:rFonts w:ascii="Calibri" w:hAnsi="Calibri" w:cs="Calibri"/>
                <w:color w:val="000000"/>
              </w:rPr>
            </w:pPr>
            <w:r>
              <w:rPr>
                <w:rFonts w:ascii="Calibri" w:hAnsi="Calibri" w:cs="Calibri"/>
                <w:color w:val="000000"/>
              </w:rPr>
              <w:t>80,2</w:t>
            </w:r>
          </w:p>
        </w:tc>
        <w:tc>
          <w:tcPr>
            <w:tcW w:w="368" w:type="pct"/>
            <w:shd w:val="clear" w:color="auto" w:fill="auto"/>
            <w:noWrap/>
            <w:vAlign w:val="center"/>
          </w:tcPr>
          <w:p w14:paraId="54AF41A5" w14:textId="31A07310" w:rsidR="00BF0409" w:rsidRDefault="00BF0409" w:rsidP="00C0047F">
            <w:pPr>
              <w:jc w:val="right"/>
              <w:rPr>
                <w:rFonts w:ascii="Calibri" w:hAnsi="Calibri" w:cs="Calibri"/>
                <w:color w:val="000000"/>
              </w:rPr>
            </w:pPr>
            <w:r>
              <w:rPr>
                <w:rFonts w:ascii="Calibri" w:hAnsi="Calibri" w:cs="Calibri"/>
                <w:color w:val="000000"/>
              </w:rPr>
              <w:t>88,0</w:t>
            </w:r>
          </w:p>
        </w:tc>
        <w:tc>
          <w:tcPr>
            <w:tcW w:w="369" w:type="pct"/>
            <w:shd w:val="clear" w:color="auto" w:fill="auto"/>
            <w:noWrap/>
            <w:vAlign w:val="center"/>
          </w:tcPr>
          <w:p w14:paraId="62763427" w14:textId="736B0BF8" w:rsidR="00BF0409" w:rsidRDefault="00BF0409" w:rsidP="00C0047F">
            <w:pPr>
              <w:jc w:val="right"/>
              <w:rPr>
                <w:rFonts w:ascii="Calibri" w:hAnsi="Calibri" w:cs="Calibri"/>
                <w:color w:val="000000"/>
              </w:rPr>
            </w:pPr>
            <w:r>
              <w:rPr>
                <w:rFonts w:ascii="Calibri" w:hAnsi="Calibri" w:cs="Calibri"/>
                <w:color w:val="000000"/>
              </w:rPr>
              <w:t>81,0</w:t>
            </w:r>
          </w:p>
        </w:tc>
        <w:tc>
          <w:tcPr>
            <w:tcW w:w="366" w:type="pct"/>
            <w:gridSpan w:val="2"/>
            <w:shd w:val="clear" w:color="auto" w:fill="auto"/>
            <w:noWrap/>
            <w:vAlign w:val="center"/>
          </w:tcPr>
          <w:p w14:paraId="6BBB9482" w14:textId="6CB71D28" w:rsidR="00BF0409" w:rsidRDefault="00BF0409" w:rsidP="00C0047F">
            <w:pPr>
              <w:jc w:val="right"/>
              <w:rPr>
                <w:rFonts w:ascii="Calibri" w:hAnsi="Calibri" w:cs="Calibri"/>
                <w:color w:val="000000"/>
              </w:rPr>
            </w:pPr>
            <w:r>
              <w:rPr>
                <w:rFonts w:ascii="Calibri" w:hAnsi="Calibri" w:cs="Calibri"/>
                <w:color w:val="000000"/>
              </w:rPr>
              <w:t>50,9</w:t>
            </w:r>
          </w:p>
        </w:tc>
        <w:tc>
          <w:tcPr>
            <w:tcW w:w="370" w:type="pct"/>
            <w:gridSpan w:val="2"/>
            <w:shd w:val="clear" w:color="auto" w:fill="auto"/>
            <w:noWrap/>
            <w:vAlign w:val="center"/>
          </w:tcPr>
          <w:p w14:paraId="163D1EFD" w14:textId="47E66F4F" w:rsidR="00BF0409" w:rsidRDefault="00BF0409" w:rsidP="00C0047F">
            <w:pPr>
              <w:jc w:val="right"/>
              <w:rPr>
                <w:rFonts w:ascii="Calibri" w:hAnsi="Calibri" w:cs="Calibri"/>
                <w:color w:val="000000"/>
              </w:rPr>
            </w:pPr>
            <w:r>
              <w:rPr>
                <w:rFonts w:ascii="Calibri" w:hAnsi="Calibri" w:cs="Calibri"/>
                <w:color w:val="000000"/>
              </w:rPr>
              <w:t>63,1</w:t>
            </w:r>
          </w:p>
        </w:tc>
        <w:tc>
          <w:tcPr>
            <w:tcW w:w="370" w:type="pct"/>
            <w:gridSpan w:val="2"/>
            <w:shd w:val="clear" w:color="auto" w:fill="auto"/>
            <w:noWrap/>
            <w:vAlign w:val="center"/>
          </w:tcPr>
          <w:p w14:paraId="41DA88C8" w14:textId="6E48F334" w:rsidR="00BF0409" w:rsidRDefault="00BF0409" w:rsidP="00C0047F">
            <w:pPr>
              <w:jc w:val="right"/>
              <w:rPr>
                <w:rFonts w:ascii="Calibri" w:hAnsi="Calibri" w:cs="Calibri"/>
                <w:color w:val="000000"/>
              </w:rPr>
            </w:pPr>
            <w:r>
              <w:rPr>
                <w:rFonts w:ascii="Calibri" w:hAnsi="Calibri" w:cs="Calibri"/>
                <w:color w:val="000000"/>
              </w:rPr>
              <w:t>75,9</w:t>
            </w:r>
          </w:p>
        </w:tc>
        <w:tc>
          <w:tcPr>
            <w:tcW w:w="348" w:type="pct"/>
            <w:gridSpan w:val="2"/>
            <w:shd w:val="clear" w:color="auto" w:fill="auto"/>
            <w:noWrap/>
            <w:vAlign w:val="center"/>
          </w:tcPr>
          <w:p w14:paraId="77BE3552" w14:textId="7FA6F2FE" w:rsidR="00BF0409" w:rsidRDefault="00BF0409" w:rsidP="00C0047F">
            <w:pPr>
              <w:jc w:val="right"/>
              <w:rPr>
                <w:rFonts w:ascii="Calibri" w:hAnsi="Calibri" w:cs="Calibri"/>
                <w:color w:val="000000"/>
              </w:rPr>
            </w:pPr>
            <w:r>
              <w:rPr>
                <w:rFonts w:ascii="Calibri" w:hAnsi="Calibri" w:cs="Calibri"/>
                <w:color w:val="000000"/>
              </w:rPr>
              <w:t>136,5</w:t>
            </w:r>
          </w:p>
        </w:tc>
        <w:tc>
          <w:tcPr>
            <w:tcW w:w="374" w:type="pct"/>
            <w:gridSpan w:val="2"/>
            <w:shd w:val="clear" w:color="auto" w:fill="auto"/>
            <w:noWrap/>
            <w:vAlign w:val="center"/>
          </w:tcPr>
          <w:p w14:paraId="571094BB" w14:textId="42C50A10" w:rsidR="00BF0409" w:rsidRDefault="00BF0409" w:rsidP="00C0047F">
            <w:pPr>
              <w:jc w:val="right"/>
              <w:rPr>
                <w:rFonts w:ascii="Calibri" w:hAnsi="Calibri" w:cs="Calibri"/>
                <w:color w:val="000000"/>
              </w:rPr>
            </w:pPr>
            <w:r>
              <w:rPr>
                <w:rFonts w:ascii="Calibri" w:hAnsi="Calibri" w:cs="Calibri"/>
                <w:color w:val="000000"/>
              </w:rPr>
              <w:t>107,0</w:t>
            </w:r>
          </w:p>
        </w:tc>
        <w:tc>
          <w:tcPr>
            <w:tcW w:w="395" w:type="pct"/>
            <w:shd w:val="clear" w:color="auto" w:fill="auto"/>
            <w:noWrap/>
            <w:vAlign w:val="center"/>
          </w:tcPr>
          <w:p w14:paraId="3226B336" w14:textId="6E7C2A79" w:rsidR="00BF0409" w:rsidRDefault="00333874" w:rsidP="00C0047F">
            <w:pPr>
              <w:jc w:val="right"/>
              <w:rPr>
                <w:rFonts w:ascii="Calibri" w:hAnsi="Calibri" w:cs="Calibri"/>
                <w:color w:val="000000"/>
              </w:rPr>
            </w:pPr>
            <w:r>
              <w:rPr>
                <w:rFonts w:ascii="Calibri" w:hAnsi="Calibri" w:cs="Calibri"/>
                <w:color w:val="000000"/>
              </w:rPr>
              <w:t>105,9</w:t>
            </w:r>
          </w:p>
        </w:tc>
        <w:tc>
          <w:tcPr>
            <w:tcW w:w="340" w:type="pct"/>
            <w:shd w:val="clear" w:color="auto" w:fill="auto"/>
            <w:noWrap/>
            <w:vAlign w:val="center"/>
          </w:tcPr>
          <w:p w14:paraId="11B5D9F7" w14:textId="272A3CC0" w:rsidR="00BF0409" w:rsidRDefault="00333874" w:rsidP="00C0047F">
            <w:pPr>
              <w:jc w:val="right"/>
              <w:rPr>
                <w:rFonts w:ascii="Calibri" w:hAnsi="Calibri" w:cs="Calibri"/>
                <w:color w:val="000000"/>
              </w:rPr>
            </w:pPr>
            <w:r>
              <w:rPr>
                <w:rFonts w:ascii="Calibri" w:hAnsi="Calibri" w:cs="Calibri"/>
                <w:color w:val="000000"/>
              </w:rPr>
              <w:t>21,6</w:t>
            </w:r>
          </w:p>
        </w:tc>
      </w:tr>
      <w:tr w:rsidR="00BF0409" w:rsidRPr="007E2DA9" w14:paraId="7EFA2E70" w14:textId="77777777" w:rsidTr="000E5B2B">
        <w:trPr>
          <w:trHeight w:val="300"/>
          <w:jc w:val="center"/>
        </w:trPr>
        <w:tc>
          <w:tcPr>
            <w:tcW w:w="1336" w:type="pct"/>
            <w:gridSpan w:val="2"/>
            <w:shd w:val="clear" w:color="auto" w:fill="D9D9D9" w:themeFill="background1" w:themeFillShade="D9"/>
            <w:noWrap/>
            <w:vAlign w:val="center"/>
          </w:tcPr>
          <w:p w14:paraId="6C7BA83C" w14:textId="748AAF67" w:rsidR="00BF0409" w:rsidRDefault="00BF0409" w:rsidP="000E5B2B">
            <w:pPr>
              <w:rPr>
                <w:rFonts w:ascii="Calibri" w:hAnsi="Calibri" w:cs="Calibri"/>
                <w:color w:val="000000"/>
              </w:rPr>
            </w:pPr>
            <w:r>
              <w:rPr>
                <w:rFonts w:ascii="Calibri" w:hAnsi="Calibri" w:cs="Calibri"/>
                <w:color w:val="000000"/>
              </w:rPr>
              <w:t>Prostřední Staré Buky</w:t>
            </w:r>
          </w:p>
        </w:tc>
        <w:tc>
          <w:tcPr>
            <w:tcW w:w="365" w:type="pct"/>
            <w:shd w:val="clear" w:color="auto" w:fill="auto"/>
            <w:noWrap/>
            <w:vAlign w:val="center"/>
          </w:tcPr>
          <w:p w14:paraId="5EF1FB5C" w14:textId="49B82CFA" w:rsidR="00BF0409" w:rsidRDefault="00BF0409" w:rsidP="00C0047F">
            <w:pPr>
              <w:jc w:val="right"/>
              <w:rPr>
                <w:rFonts w:ascii="Calibri" w:hAnsi="Calibri" w:cs="Calibri"/>
                <w:color w:val="000000"/>
              </w:rPr>
            </w:pPr>
            <w:r>
              <w:rPr>
                <w:rFonts w:ascii="Calibri" w:hAnsi="Calibri" w:cs="Calibri"/>
                <w:color w:val="000000"/>
              </w:rPr>
              <w:t>82,8</w:t>
            </w:r>
          </w:p>
        </w:tc>
        <w:tc>
          <w:tcPr>
            <w:tcW w:w="368" w:type="pct"/>
            <w:shd w:val="clear" w:color="auto" w:fill="auto"/>
            <w:noWrap/>
            <w:vAlign w:val="center"/>
          </w:tcPr>
          <w:p w14:paraId="0444D21D" w14:textId="39A25E31" w:rsidR="00BF0409" w:rsidRDefault="00BF0409" w:rsidP="00C0047F">
            <w:pPr>
              <w:jc w:val="right"/>
              <w:rPr>
                <w:rFonts w:ascii="Calibri" w:hAnsi="Calibri" w:cs="Calibri"/>
                <w:color w:val="000000"/>
              </w:rPr>
            </w:pPr>
            <w:r>
              <w:rPr>
                <w:rFonts w:ascii="Calibri" w:hAnsi="Calibri" w:cs="Calibri"/>
                <w:color w:val="000000"/>
              </w:rPr>
              <w:t>93,6</w:t>
            </w:r>
          </w:p>
        </w:tc>
        <w:tc>
          <w:tcPr>
            <w:tcW w:w="369" w:type="pct"/>
            <w:shd w:val="clear" w:color="auto" w:fill="auto"/>
            <w:noWrap/>
            <w:vAlign w:val="center"/>
          </w:tcPr>
          <w:p w14:paraId="5F3D6645" w14:textId="250462CE" w:rsidR="00BF0409" w:rsidRDefault="00BF0409" w:rsidP="00C0047F">
            <w:pPr>
              <w:jc w:val="right"/>
              <w:rPr>
                <w:rFonts w:ascii="Calibri" w:hAnsi="Calibri" w:cs="Calibri"/>
                <w:color w:val="000000"/>
              </w:rPr>
            </w:pPr>
            <w:r>
              <w:rPr>
                <w:rFonts w:ascii="Calibri" w:hAnsi="Calibri" w:cs="Calibri"/>
                <w:color w:val="000000"/>
              </w:rPr>
              <w:t>92,0</w:t>
            </w:r>
          </w:p>
        </w:tc>
        <w:tc>
          <w:tcPr>
            <w:tcW w:w="366" w:type="pct"/>
            <w:gridSpan w:val="2"/>
            <w:shd w:val="clear" w:color="auto" w:fill="auto"/>
            <w:noWrap/>
            <w:vAlign w:val="center"/>
          </w:tcPr>
          <w:p w14:paraId="518946B2" w14:textId="344F4CFB" w:rsidR="00BF0409" w:rsidRDefault="00BF0409" w:rsidP="00C0047F">
            <w:pPr>
              <w:jc w:val="right"/>
              <w:rPr>
                <w:rFonts w:ascii="Calibri" w:hAnsi="Calibri" w:cs="Calibri"/>
                <w:color w:val="000000"/>
              </w:rPr>
            </w:pPr>
            <w:r>
              <w:rPr>
                <w:rFonts w:ascii="Calibri" w:hAnsi="Calibri" w:cs="Calibri"/>
                <w:color w:val="000000"/>
              </w:rPr>
              <w:t>42,2</w:t>
            </w:r>
          </w:p>
        </w:tc>
        <w:tc>
          <w:tcPr>
            <w:tcW w:w="370" w:type="pct"/>
            <w:gridSpan w:val="2"/>
            <w:shd w:val="clear" w:color="auto" w:fill="auto"/>
            <w:noWrap/>
            <w:vAlign w:val="center"/>
          </w:tcPr>
          <w:p w14:paraId="1A6A0E81" w14:textId="61491259" w:rsidR="00BF0409" w:rsidRDefault="00BF0409" w:rsidP="00C0047F">
            <w:pPr>
              <w:jc w:val="right"/>
              <w:rPr>
                <w:rFonts w:ascii="Calibri" w:hAnsi="Calibri" w:cs="Calibri"/>
                <w:color w:val="000000"/>
              </w:rPr>
            </w:pPr>
            <w:r>
              <w:rPr>
                <w:rFonts w:ascii="Calibri" w:hAnsi="Calibri" w:cs="Calibri"/>
                <w:color w:val="000000"/>
              </w:rPr>
              <w:t>82,4</w:t>
            </w:r>
          </w:p>
        </w:tc>
        <w:tc>
          <w:tcPr>
            <w:tcW w:w="370" w:type="pct"/>
            <w:gridSpan w:val="2"/>
            <w:shd w:val="clear" w:color="auto" w:fill="auto"/>
            <w:noWrap/>
            <w:vAlign w:val="center"/>
          </w:tcPr>
          <w:p w14:paraId="71BB3DA8" w14:textId="4B51C004" w:rsidR="00BF0409" w:rsidRDefault="00BF0409" w:rsidP="00C0047F">
            <w:pPr>
              <w:jc w:val="right"/>
              <w:rPr>
                <w:rFonts w:ascii="Calibri" w:hAnsi="Calibri" w:cs="Calibri"/>
                <w:color w:val="000000"/>
              </w:rPr>
            </w:pPr>
            <w:r>
              <w:rPr>
                <w:rFonts w:ascii="Calibri" w:hAnsi="Calibri" w:cs="Calibri"/>
                <w:color w:val="000000"/>
              </w:rPr>
              <w:t>74,1</w:t>
            </w:r>
          </w:p>
        </w:tc>
        <w:tc>
          <w:tcPr>
            <w:tcW w:w="348" w:type="pct"/>
            <w:gridSpan w:val="2"/>
            <w:shd w:val="clear" w:color="auto" w:fill="auto"/>
            <w:noWrap/>
            <w:vAlign w:val="center"/>
          </w:tcPr>
          <w:p w14:paraId="37394B38" w14:textId="1A403192" w:rsidR="00BF0409" w:rsidRDefault="00BF0409" w:rsidP="00C0047F">
            <w:pPr>
              <w:jc w:val="right"/>
              <w:rPr>
                <w:rFonts w:ascii="Calibri" w:hAnsi="Calibri" w:cs="Calibri"/>
                <w:color w:val="000000"/>
              </w:rPr>
            </w:pPr>
            <w:r>
              <w:rPr>
                <w:rFonts w:ascii="Calibri" w:hAnsi="Calibri" w:cs="Calibri"/>
                <w:color w:val="000000"/>
              </w:rPr>
              <w:t>97,7</w:t>
            </w:r>
          </w:p>
        </w:tc>
        <w:tc>
          <w:tcPr>
            <w:tcW w:w="374" w:type="pct"/>
            <w:gridSpan w:val="2"/>
            <w:shd w:val="clear" w:color="auto" w:fill="auto"/>
            <w:noWrap/>
            <w:vAlign w:val="center"/>
          </w:tcPr>
          <w:p w14:paraId="2C07807B" w14:textId="2BBA78E5" w:rsidR="00BF0409" w:rsidRDefault="00BF0409" w:rsidP="00C0047F">
            <w:pPr>
              <w:jc w:val="right"/>
              <w:rPr>
                <w:rFonts w:ascii="Calibri" w:hAnsi="Calibri" w:cs="Calibri"/>
                <w:color w:val="000000"/>
              </w:rPr>
            </w:pPr>
            <w:r>
              <w:rPr>
                <w:rFonts w:ascii="Calibri" w:hAnsi="Calibri" w:cs="Calibri"/>
                <w:color w:val="000000"/>
              </w:rPr>
              <w:t>135,3</w:t>
            </w:r>
          </w:p>
        </w:tc>
        <w:tc>
          <w:tcPr>
            <w:tcW w:w="395" w:type="pct"/>
            <w:shd w:val="clear" w:color="auto" w:fill="auto"/>
            <w:noWrap/>
            <w:vAlign w:val="center"/>
          </w:tcPr>
          <w:p w14:paraId="36D8C00E" w14:textId="2616BA01" w:rsidR="00BF0409" w:rsidRDefault="00333874" w:rsidP="00C0047F">
            <w:pPr>
              <w:jc w:val="right"/>
              <w:rPr>
                <w:rFonts w:ascii="Calibri" w:hAnsi="Calibri" w:cs="Calibri"/>
                <w:color w:val="000000"/>
              </w:rPr>
            </w:pPr>
            <w:r>
              <w:rPr>
                <w:rFonts w:ascii="Calibri" w:hAnsi="Calibri" w:cs="Calibri"/>
                <w:color w:val="000000"/>
              </w:rPr>
              <w:t>146,2</w:t>
            </w:r>
          </w:p>
        </w:tc>
        <w:tc>
          <w:tcPr>
            <w:tcW w:w="340" w:type="pct"/>
            <w:shd w:val="clear" w:color="auto" w:fill="auto"/>
            <w:noWrap/>
            <w:vAlign w:val="center"/>
          </w:tcPr>
          <w:p w14:paraId="344CBCF7" w14:textId="6FE63D53" w:rsidR="00BF0409" w:rsidRDefault="00333874" w:rsidP="00C0047F">
            <w:pPr>
              <w:jc w:val="right"/>
              <w:rPr>
                <w:rFonts w:ascii="Calibri" w:hAnsi="Calibri" w:cs="Calibri"/>
                <w:color w:val="000000"/>
              </w:rPr>
            </w:pPr>
            <w:r>
              <w:rPr>
                <w:rFonts w:ascii="Calibri" w:hAnsi="Calibri" w:cs="Calibri"/>
                <w:color w:val="000000"/>
              </w:rPr>
              <w:t>35,5</w:t>
            </w:r>
          </w:p>
        </w:tc>
      </w:tr>
      <w:tr w:rsidR="00BF0409" w:rsidRPr="007E2DA9" w14:paraId="488ED978" w14:textId="77777777" w:rsidTr="000E5B2B">
        <w:trPr>
          <w:trHeight w:val="300"/>
          <w:jc w:val="center"/>
        </w:trPr>
        <w:tc>
          <w:tcPr>
            <w:tcW w:w="1336" w:type="pct"/>
            <w:gridSpan w:val="2"/>
            <w:tcBorders>
              <w:top w:val="single" w:sz="12" w:space="0" w:color="auto"/>
              <w:bottom w:val="single" w:sz="18" w:space="0" w:color="auto"/>
            </w:tcBorders>
            <w:shd w:val="clear" w:color="auto" w:fill="D9D9D9" w:themeFill="background1" w:themeFillShade="D9"/>
            <w:noWrap/>
            <w:vAlign w:val="center"/>
            <w:hideMark/>
          </w:tcPr>
          <w:p w14:paraId="5EFFED79" w14:textId="77777777" w:rsidR="00BF0409" w:rsidRPr="007E2DA9" w:rsidRDefault="00BF0409" w:rsidP="000E5B2B">
            <w:pPr>
              <w:rPr>
                <w:rFonts w:eastAsia="Times New Roman" w:cs="Times New Roman"/>
                <w:b/>
                <w:color w:val="000000"/>
                <w:sz w:val="20"/>
                <w:szCs w:val="20"/>
                <w:lang w:eastAsia="cs-CZ"/>
              </w:rPr>
            </w:pPr>
            <w:r w:rsidRPr="00443FA4">
              <w:rPr>
                <w:rFonts w:eastAsia="Times New Roman" w:cs="Times New Roman"/>
                <w:b/>
                <w:color w:val="000000"/>
                <w:sz w:val="20"/>
                <w:szCs w:val="20"/>
                <w:lang w:eastAsia="cs-CZ"/>
              </w:rPr>
              <w:t>O</w:t>
            </w:r>
            <w:r w:rsidRPr="007E2DA9">
              <w:rPr>
                <w:rFonts w:eastAsia="Times New Roman" w:cs="Times New Roman"/>
                <w:b/>
                <w:color w:val="000000"/>
                <w:sz w:val="20"/>
                <w:szCs w:val="20"/>
                <w:lang w:eastAsia="cs-CZ"/>
              </w:rPr>
              <w:t>bec celkem</w:t>
            </w:r>
          </w:p>
        </w:tc>
        <w:tc>
          <w:tcPr>
            <w:tcW w:w="365" w:type="pct"/>
            <w:tcBorders>
              <w:top w:val="single" w:sz="12" w:space="0" w:color="auto"/>
              <w:bottom w:val="single" w:sz="18" w:space="0" w:color="auto"/>
            </w:tcBorders>
            <w:shd w:val="clear" w:color="auto" w:fill="D9D9D9" w:themeFill="background1" w:themeFillShade="D9"/>
            <w:noWrap/>
            <w:vAlign w:val="center"/>
          </w:tcPr>
          <w:p w14:paraId="1B462A3A" w14:textId="693F2CF0" w:rsidR="00BF0409" w:rsidRPr="00623A31" w:rsidRDefault="00BF0409" w:rsidP="00C0047F">
            <w:pPr>
              <w:jc w:val="right"/>
              <w:rPr>
                <w:rFonts w:ascii="Calibri" w:hAnsi="Calibri" w:cs="Calibri"/>
                <w:b/>
                <w:color w:val="000000"/>
              </w:rPr>
            </w:pPr>
            <w:r>
              <w:rPr>
                <w:rFonts w:ascii="Calibri" w:hAnsi="Calibri" w:cs="Calibri"/>
                <w:color w:val="000000"/>
              </w:rPr>
              <w:t>82,5</w:t>
            </w:r>
          </w:p>
        </w:tc>
        <w:tc>
          <w:tcPr>
            <w:tcW w:w="368" w:type="pct"/>
            <w:tcBorders>
              <w:top w:val="single" w:sz="12" w:space="0" w:color="auto"/>
              <w:bottom w:val="single" w:sz="18" w:space="0" w:color="auto"/>
            </w:tcBorders>
            <w:shd w:val="clear" w:color="auto" w:fill="D9D9D9" w:themeFill="background1" w:themeFillShade="D9"/>
            <w:noWrap/>
            <w:vAlign w:val="center"/>
          </w:tcPr>
          <w:p w14:paraId="6DCEC2CB" w14:textId="37ABDB0A" w:rsidR="00BF0409" w:rsidRPr="00623A31" w:rsidRDefault="00BF0409" w:rsidP="00C0047F">
            <w:pPr>
              <w:jc w:val="right"/>
              <w:rPr>
                <w:rFonts w:ascii="Calibri" w:hAnsi="Calibri" w:cs="Calibri"/>
                <w:b/>
                <w:color w:val="000000"/>
              </w:rPr>
            </w:pPr>
            <w:r>
              <w:rPr>
                <w:rFonts w:ascii="Calibri" w:hAnsi="Calibri" w:cs="Calibri"/>
                <w:color w:val="000000"/>
              </w:rPr>
              <w:t>92,5</w:t>
            </w:r>
          </w:p>
        </w:tc>
        <w:tc>
          <w:tcPr>
            <w:tcW w:w="369" w:type="pct"/>
            <w:tcBorders>
              <w:top w:val="single" w:sz="12" w:space="0" w:color="auto"/>
              <w:bottom w:val="single" w:sz="18" w:space="0" w:color="auto"/>
            </w:tcBorders>
            <w:shd w:val="clear" w:color="auto" w:fill="D9D9D9" w:themeFill="background1" w:themeFillShade="D9"/>
            <w:noWrap/>
            <w:vAlign w:val="center"/>
          </w:tcPr>
          <w:p w14:paraId="3013C9C7" w14:textId="56FEDF08" w:rsidR="00BF0409" w:rsidRPr="00623A31" w:rsidRDefault="00BF0409" w:rsidP="00C0047F">
            <w:pPr>
              <w:jc w:val="right"/>
              <w:rPr>
                <w:rFonts w:ascii="Calibri" w:hAnsi="Calibri" w:cs="Calibri"/>
                <w:b/>
                <w:color w:val="000000"/>
              </w:rPr>
            </w:pPr>
            <w:r>
              <w:rPr>
                <w:rFonts w:ascii="Calibri" w:hAnsi="Calibri" w:cs="Calibri"/>
                <w:color w:val="000000"/>
              </w:rPr>
              <w:t>86,3</w:t>
            </w:r>
          </w:p>
        </w:tc>
        <w:tc>
          <w:tcPr>
            <w:tcW w:w="366" w:type="pct"/>
            <w:gridSpan w:val="2"/>
            <w:tcBorders>
              <w:top w:val="single" w:sz="12" w:space="0" w:color="auto"/>
              <w:bottom w:val="single" w:sz="18" w:space="0" w:color="auto"/>
            </w:tcBorders>
            <w:shd w:val="clear" w:color="auto" w:fill="D9D9D9" w:themeFill="background1" w:themeFillShade="D9"/>
            <w:noWrap/>
            <w:vAlign w:val="center"/>
          </w:tcPr>
          <w:p w14:paraId="02309DA8" w14:textId="0ABF0BED" w:rsidR="00BF0409" w:rsidRPr="00623A31" w:rsidRDefault="00BF0409" w:rsidP="00C0047F">
            <w:pPr>
              <w:jc w:val="right"/>
              <w:rPr>
                <w:rFonts w:ascii="Calibri" w:hAnsi="Calibri" w:cs="Calibri"/>
                <w:b/>
                <w:color w:val="000000"/>
              </w:rPr>
            </w:pPr>
            <w:r>
              <w:rPr>
                <w:rFonts w:ascii="Calibri" w:hAnsi="Calibri" w:cs="Calibri"/>
                <w:color w:val="000000"/>
              </w:rPr>
              <w:t>49,4</w:t>
            </w:r>
          </w:p>
        </w:tc>
        <w:tc>
          <w:tcPr>
            <w:tcW w:w="370" w:type="pct"/>
            <w:gridSpan w:val="2"/>
            <w:tcBorders>
              <w:top w:val="single" w:sz="12" w:space="0" w:color="auto"/>
              <w:bottom w:val="single" w:sz="18" w:space="0" w:color="auto"/>
            </w:tcBorders>
            <w:shd w:val="clear" w:color="auto" w:fill="D9D9D9" w:themeFill="background1" w:themeFillShade="D9"/>
            <w:noWrap/>
            <w:vAlign w:val="center"/>
          </w:tcPr>
          <w:p w14:paraId="1E1CD8A7" w14:textId="5E394AA7" w:rsidR="00BF0409" w:rsidRPr="00623A31" w:rsidRDefault="00BF0409" w:rsidP="00C0047F">
            <w:pPr>
              <w:jc w:val="right"/>
              <w:rPr>
                <w:rFonts w:ascii="Calibri" w:hAnsi="Calibri" w:cs="Calibri"/>
                <w:b/>
                <w:color w:val="000000"/>
              </w:rPr>
            </w:pPr>
            <w:r>
              <w:rPr>
                <w:rFonts w:ascii="Calibri" w:hAnsi="Calibri" w:cs="Calibri"/>
                <w:color w:val="000000"/>
              </w:rPr>
              <w:t>75,4</w:t>
            </w:r>
          </w:p>
        </w:tc>
        <w:tc>
          <w:tcPr>
            <w:tcW w:w="370" w:type="pct"/>
            <w:gridSpan w:val="2"/>
            <w:tcBorders>
              <w:top w:val="single" w:sz="12" w:space="0" w:color="auto"/>
              <w:bottom w:val="single" w:sz="18" w:space="0" w:color="auto"/>
            </w:tcBorders>
            <w:shd w:val="clear" w:color="auto" w:fill="D9D9D9" w:themeFill="background1" w:themeFillShade="D9"/>
            <w:noWrap/>
            <w:vAlign w:val="center"/>
          </w:tcPr>
          <w:p w14:paraId="53B02F00" w14:textId="56F1D46A" w:rsidR="00BF0409" w:rsidRPr="00623A31" w:rsidRDefault="00BF0409" w:rsidP="00C0047F">
            <w:pPr>
              <w:jc w:val="right"/>
              <w:rPr>
                <w:rFonts w:ascii="Calibri" w:hAnsi="Calibri" w:cs="Calibri"/>
                <w:b/>
                <w:color w:val="000000"/>
              </w:rPr>
            </w:pPr>
            <w:r>
              <w:rPr>
                <w:rFonts w:ascii="Calibri" w:hAnsi="Calibri" w:cs="Calibri"/>
                <w:color w:val="000000"/>
              </w:rPr>
              <w:t>70,8</w:t>
            </w:r>
          </w:p>
        </w:tc>
        <w:tc>
          <w:tcPr>
            <w:tcW w:w="348" w:type="pct"/>
            <w:gridSpan w:val="2"/>
            <w:tcBorders>
              <w:top w:val="single" w:sz="12" w:space="0" w:color="auto"/>
              <w:bottom w:val="single" w:sz="18" w:space="0" w:color="auto"/>
            </w:tcBorders>
            <w:shd w:val="clear" w:color="auto" w:fill="D9D9D9" w:themeFill="background1" w:themeFillShade="D9"/>
            <w:noWrap/>
            <w:vAlign w:val="center"/>
          </w:tcPr>
          <w:p w14:paraId="2907E38D" w14:textId="166EC7FE" w:rsidR="00BF0409" w:rsidRPr="00623A31" w:rsidRDefault="00BF0409" w:rsidP="00C0047F">
            <w:pPr>
              <w:jc w:val="right"/>
              <w:rPr>
                <w:rFonts w:ascii="Calibri" w:hAnsi="Calibri" w:cs="Calibri"/>
                <w:b/>
                <w:color w:val="000000"/>
              </w:rPr>
            </w:pPr>
            <w:r>
              <w:rPr>
                <w:rFonts w:ascii="Calibri" w:hAnsi="Calibri" w:cs="Calibri"/>
                <w:color w:val="000000"/>
              </w:rPr>
              <w:t>107,6</w:t>
            </w:r>
          </w:p>
        </w:tc>
        <w:tc>
          <w:tcPr>
            <w:tcW w:w="374" w:type="pct"/>
            <w:gridSpan w:val="2"/>
            <w:tcBorders>
              <w:top w:val="single" w:sz="12" w:space="0" w:color="auto"/>
              <w:bottom w:val="single" w:sz="18" w:space="0" w:color="auto"/>
            </w:tcBorders>
            <w:shd w:val="clear" w:color="auto" w:fill="D9D9D9" w:themeFill="background1" w:themeFillShade="D9"/>
            <w:noWrap/>
            <w:vAlign w:val="center"/>
          </w:tcPr>
          <w:p w14:paraId="2EB155D1" w14:textId="32FB1AD0" w:rsidR="00BF0409" w:rsidRPr="00623A31" w:rsidRDefault="00BF0409" w:rsidP="00C0047F">
            <w:pPr>
              <w:jc w:val="right"/>
              <w:rPr>
                <w:rFonts w:ascii="Calibri" w:hAnsi="Calibri" w:cs="Calibri"/>
                <w:b/>
                <w:color w:val="000000"/>
              </w:rPr>
            </w:pPr>
            <w:r>
              <w:rPr>
                <w:rFonts w:ascii="Calibri" w:hAnsi="Calibri" w:cs="Calibri"/>
                <w:color w:val="000000"/>
              </w:rPr>
              <w:t>128,2</w:t>
            </w:r>
          </w:p>
        </w:tc>
        <w:tc>
          <w:tcPr>
            <w:tcW w:w="395" w:type="pct"/>
            <w:tcBorders>
              <w:top w:val="single" w:sz="12" w:space="0" w:color="auto"/>
              <w:bottom w:val="single" w:sz="18" w:space="0" w:color="auto"/>
            </w:tcBorders>
            <w:shd w:val="clear" w:color="auto" w:fill="D9D9D9" w:themeFill="background1" w:themeFillShade="D9"/>
            <w:noWrap/>
            <w:vAlign w:val="center"/>
          </w:tcPr>
          <w:p w14:paraId="6435F23D" w14:textId="1BC3BA0D" w:rsidR="00BF0409" w:rsidRPr="001B49DA" w:rsidRDefault="00BF0409" w:rsidP="00C0047F">
            <w:pPr>
              <w:jc w:val="right"/>
              <w:rPr>
                <w:rFonts w:ascii="Calibri" w:hAnsi="Calibri" w:cs="Calibri"/>
                <w:b/>
                <w:bCs/>
                <w:color w:val="000000"/>
              </w:rPr>
            </w:pPr>
            <w:r>
              <w:rPr>
                <w:rFonts w:ascii="Calibri" w:hAnsi="Calibri" w:cs="Calibri"/>
                <w:color w:val="000000"/>
              </w:rPr>
              <w:t>1</w:t>
            </w:r>
            <w:r w:rsidR="00333874">
              <w:rPr>
                <w:rFonts w:ascii="Calibri" w:hAnsi="Calibri" w:cs="Calibri"/>
                <w:color w:val="000000"/>
              </w:rPr>
              <w:t>27</w:t>
            </w:r>
            <w:r>
              <w:rPr>
                <w:rFonts w:ascii="Calibri" w:hAnsi="Calibri" w:cs="Calibri"/>
                <w:color w:val="000000"/>
              </w:rPr>
              <w:t>,</w:t>
            </w:r>
            <w:r w:rsidR="00333874">
              <w:rPr>
                <w:rFonts w:ascii="Calibri" w:hAnsi="Calibri" w:cs="Calibri"/>
                <w:color w:val="000000"/>
              </w:rPr>
              <w:t>7</w:t>
            </w:r>
          </w:p>
        </w:tc>
        <w:tc>
          <w:tcPr>
            <w:tcW w:w="340" w:type="pct"/>
            <w:tcBorders>
              <w:top w:val="single" w:sz="12" w:space="0" w:color="auto"/>
              <w:bottom w:val="single" w:sz="18" w:space="0" w:color="auto"/>
            </w:tcBorders>
            <w:shd w:val="clear" w:color="auto" w:fill="D9D9D9" w:themeFill="background1" w:themeFillShade="D9"/>
            <w:noWrap/>
            <w:vAlign w:val="center"/>
          </w:tcPr>
          <w:p w14:paraId="049AFAA9" w14:textId="13A48B5C" w:rsidR="00BF0409" w:rsidRPr="001B49DA" w:rsidRDefault="00BF0409" w:rsidP="00C0047F">
            <w:pPr>
              <w:jc w:val="right"/>
              <w:rPr>
                <w:rFonts w:ascii="Calibri" w:hAnsi="Calibri" w:cs="Calibri"/>
                <w:b/>
                <w:bCs/>
                <w:color w:val="000000"/>
              </w:rPr>
            </w:pPr>
            <w:r>
              <w:rPr>
                <w:rFonts w:ascii="Calibri" w:hAnsi="Calibri" w:cs="Calibri"/>
                <w:color w:val="000000"/>
              </w:rPr>
              <w:t>3</w:t>
            </w:r>
            <w:r w:rsidR="00333874">
              <w:rPr>
                <w:rFonts w:ascii="Calibri" w:hAnsi="Calibri" w:cs="Calibri"/>
                <w:color w:val="000000"/>
              </w:rPr>
              <w:t>0</w:t>
            </w:r>
            <w:r>
              <w:rPr>
                <w:rFonts w:ascii="Calibri" w:hAnsi="Calibri" w:cs="Calibri"/>
                <w:color w:val="000000"/>
              </w:rPr>
              <w:t>,6</w:t>
            </w:r>
          </w:p>
        </w:tc>
      </w:tr>
    </w:tbl>
    <w:p w14:paraId="2B39B3A7" w14:textId="77777777" w:rsidR="006F39A9" w:rsidRPr="0018382A" w:rsidRDefault="006F39A9" w:rsidP="006F39A9">
      <w:pPr>
        <w:spacing w:after="160" w:line="259" w:lineRule="auto"/>
        <w:contextualSpacing/>
        <w:jc w:val="both"/>
        <w:rPr>
          <w:sz w:val="20"/>
          <w:szCs w:val="20"/>
        </w:rPr>
      </w:pPr>
      <w:r>
        <w:rPr>
          <w:b/>
          <w:sz w:val="20"/>
          <w:szCs w:val="20"/>
        </w:rPr>
        <w:t xml:space="preserve">Poznámka: </w:t>
      </w:r>
      <w:r>
        <w:rPr>
          <w:sz w:val="20"/>
          <w:szCs w:val="20"/>
        </w:rPr>
        <w:t>H</w:t>
      </w:r>
      <w:r w:rsidRPr="00037E55">
        <w:rPr>
          <w:sz w:val="20"/>
          <w:szCs w:val="20"/>
        </w:rPr>
        <w:t>odnoty</w:t>
      </w:r>
      <w:r>
        <w:rPr>
          <w:b/>
          <w:sz w:val="20"/>
          <w:szCs w:val="20"/>
        </w:rPr>
        <w:t xml:space="preserve"> </w:t>
      </w:r>
      <w:r>
        <w:rPr>
          <w:sz w:val="20"/>
          <w:szCs w:val="20"/>
        </w:rPr>
        <w:t xml:space="preserve">počtu obyvatel byly ve všech sledovaných letech vztahovány k současným administrativním hranicím obce. </w:t>
      </w:r>
    </w:p>
    <w:p w14:paraId="5FADC616" w14:textId="77777777" w:rsidR="006F39A9" w:rsidRPr="00B16081" w:rsidRDefault="006F39A9" w:rsidP="006F39A9">
      <w:pPr>
        <w:spacing w:after="160" w:line="259" w:lineRule="auto"/>
        <w:contextualSpacing/>
        <w:jc w:val="both"/>
        <w:rPr>
          <w:rFonts w:eastAsia="RWXLTG+TimesNewRoman" w:cs="RWXLTG+TimesNewRoman"/>
          <w:sz w:val="20"/>
          <w:szCs w:val="20"/>
        </w:rPr>
      </w:pPr>
      <w:r w:rsidRPr="00B16081">
        <w:rPr>
          <w:b/>
          <w:sz w:val="20"/>
          <w:szCs w:val="20"/>
        </w:rPr>
        <w:t>Zdroje:</w:t>
      </w:r>
      <w:r w:rsidRPr="00B16081">
        <w:rPr>
          <w:sz w:val="20"/>
          <w:szCs w:val="20"/>
        </w:rPr>
        <w:t xml:space="preserve"> </w:t>
      </w:r>
      <w:r w:rsidRPr="00B16081">
        <w:rPr>
          <w:rFonts w:eastAsia="RWXLTG+TimesNewRoman" w:cs="RWXLTG+TimesNewRoman"/>
          <w:sz w:val="20"/>
          <w:szCs w:val="20"/>
        </w:rPr>
        <w:t>Historický lexikon obcí České republiky 1869-20</w:t>
      </w:r>
      <w:r>
        <w:rPr>
          <w:rFonts w:eastAsia="RWXLTG+TimesNewRoman" w:cs="RWXLTG+TimesNewRoman"/>
          <w:sz w:val="20"/>
          <w:szCs w:val="20"/>
        </w:rPr>
        <w:t>11</w:t>
      </w:r>
    </w:p>
    <w:p w14:paraId="28953194" w14:textId="77777777" w:rsidR="006F39A9" w:rsidRPr="00B16081" w:rsidRDefault="006F39A9" w:rsidP="006F39A9">
      <w:pPr>
        <w:spacing w:after="160" w:line="259" w:lineRule="auto"/>
        <w:contextualSpacing/>
        <w:jc w:val="both"/>
        <w:rPr>
          <w:rFonts w:eastAsia="RWXLTG+TimesNewRoman" w:cs="RWXLTG+TimesNewRoman"/>
          <w:sz w:val="20"/>
          <w:szCs w:val="20"/>
        </w:rPr>
      </w:pPr>
      <w:r w:rsidRPr="00B16081">
        <w:rPr>
          <w:rFonts w:eastAsia="RWXLTG+TimesNewRoman" w:cs="RWXLTG+TimesNewRoman"/>
          <w:color w:val="000000"/>
          <w:sz w:val="20"/>
          <w:szCs w:val="20"/>
        </w:rPr>
        <w:t xml:space="preserve">              Internetové stránky Českého statistického úřadu </w:t>
      </w:r>
      <w:hyperlink r:id="rId34" w:history="1">
        <w:r w:rsidRPr="008D7437">
          <w:rPr>
            <w:rStyle w:val="Hypertextovodkaz"/>
            <w:rFonts w:eastAsia="RWXLTG+TimesNewRoman" w:cs="RWXLTG+TimesNewRoman"/>
            <w:sz w:val="20"/>
            <w:szCs w:val="20"/>
          </w:rPr>
          <w:t>https://www.czso.cz</w:t>
        </w:r>
      </w:hyperlink>
      <w:r>
        <w:rPr>
          <w:rFonts w:eastAsia="RWXLTG+TimesNewRoman" w:cs="RWXLTG+TimesNewRoman"/>
          <w:sz w:val="20"/>
          <w:szCs w:val="20"/>
        </w:rPr>
        <w:t xml:space="preserve"> </w:t>
      </w:r>
      <w:r w:rsidRPr="00B16081">
        <w:rPr>
          <w:rFonts w:eastAsia="RWXLTG+TimesNewRoman" w:cs="RWXLTG+TimesNewRoman"/>
          <w:sz w:val="20"/>
          <w:szCs w:val="20"/>
        </w:rPr>
        <w:t xml:space="preserve"> </w:t>
      </w:r>
    </w:p>
    <w:p w14:paraId="7E9BD0B4" w14:textId="77777777" w:rsidR="006F39A9" w:rsidRPr="00B16081" w:rsidRDefault="006F39A9" w:rsidP="006F39A9">
      <w:pPr>
        <w:spacing w:after="160" w:line="259" w:lineRule="auto"/>
        <w:contextualSpacing/>
        <w:jc w:val="both"/>
      </w:pPr>
      <w:r w:rsidRPr="00B16081">
        <w:rPr>
          <w:sz w:val="20"/>
          <w:szCs w:val="20"/>
        </w:rPr>
        <w:t xml:space="preserve">              Městská a obecní statistika </w:t>
      </w:r>
      <w:hyperlink r:id="rId35" w:history="1">
        <w:r w:rsidRPr="008D7437">
          <w:rPr>
            <w:rStyle w:val="Hypertextovodkaz"/>
            <w:sz w:val="20"/>
            <w:szCs w:val="20"/>
          </w:rPr>
          <w:t>https://vdb.czso.cz/mos/</w:t>
        </w:r>
      </w:hyperlink>
    </w:p>
    <w:p w14:paraId="3AA296B5" w14:textId="15D2A6B0" w:rsidR="006F39A9" w:rsidRPr="008C2FE5" w:rsidRDefault="006F39A9" w:rsidP="006F39A9">
      <w:pPr>
        <w:spacing w:after="160" w:line="259" w:lineRule="auto"/>
        <w:contextualSpacing/>
        <w:jc w:val="both"/>
        <w:rPr>
          <w:sz w:val="20"/>
          <w:szCs w:val="20"/>
        </w:rPr>
      </w:pPr>
      <w:r w:rsidRPr="009D0914">
        <w:rPr>
          <w:sz w:val="20"/>
          <w:szCs w:val="20"/>
        </w:rPr>
        <w:t xml:space="preserve">              Údaje </w:t>
      </w:r>
      <w:r>
        <w:rPr>
          <w:sz w:val="20"/>
          <w:szCs w:val="20"/>
        </w:rPr>
        <w:t>poskytnuté</w:t>
      </w:r>
      <w:r w:rsidRPr="009D0914">
        <w:rPr>
          <w:sz w:val="20"/>
          <w:szCs w:val="20"/>
        </w:rPr>
        <w:t> obecní</w:t>
      </w:r>
      <w:r>
        <w:rPr>
          <w:sz w:val="20"/>
          <w:szCs w:val="20"/>
        </w:rPr>
        <w:t>m</w:t>
      </w:r>
      <w:r w:rsidRPr="009D0914">
        <w:rPr>
          <w:sz w:val="20"/>
          <w:szCs w:val="20"/>
        </w:rPr>
        <w:t xml:space="preserve"> úřad</w:t>
      </w:r>
      <w:r>
        <w:rPr>
          <w:sz w:val="20"/>
          <w:szCs w:val="20"/>
        </w:rPr>
        <w:t xml:space="preserve">em </w:t>
      </w:r>
      <w:r w:rsidRPr="009D0914">
        <w:rPr>
          <w:sz w:val="20"/>
          <w:szCs w:val="20"/>
        </w:rPr>
        <w:t xml:space="preserve">ve </w:t>
      </w:r>
      <w:r w:rsidR="00333874">
        <w:rPr>
          <w:sz w:val="20"/>
          <w:szCs w:val="20"/>
        </w:rPr>
        <w:t>Starých Bukách</w:t>
      </w:r>
    </w:p>
    <w:p w14:paraId="0A7C6769" w14:textId="77777777" w:rsidR="006F39A9" w:rsidRDefault="006F39A9" w:rsidP="006F39A9">
      <w:pPr>
        <w:spacing w:after="160" w:line="259" w:lineRule="auto"/>
        <w:jc w:val="both"/>
        <w:rPr>
          <w:sz w:val="20"/>
          <w:szCs w:val="20"/>
        </w:rPr>
      </w:pPr>
    </w:p>
    <w:p w14:paraId="6197EFD3" w14:textId="077FF7DD" w:rsidR="006F39A9" w:rsidRDefault="006F39A9" w:rsidP="006F39A9">
      <w:pPr>
        <w:spacing w:after="160" w:line="259" w:lineRule="auto"/>
        <w:jc w:val="both"/>
      </w:pPr>
      <w:r w:rsidRPr="005873C8">
        <w:t xml:space="preserve">Z tabulky </w:t>
      </w:r>
      <w:r>
        <w:t xml:space="preserve">3 </w:t>
      </w:r>
      <w:r w:rsidRPr="005873C8">
        <w:t xml:space="preserve">vyplývá, že obec </w:t>
      </w:r>
      <w:r w:rsidR="000A1E67">
        <w:t>Staré Buky</w:t>
      </w:r>
      <w:r>
        <w:t xml:space="preserve"> byla za sledované období 1869-20</w:t>
      </w:r>
      <w:r w:rsidR="000A1E67">
        <w:t>21</w:t>
      </w:r>
      <w:r>
        <w:t xml:space="preserve"> značně ztrátová z hlediska počtu obyvatel – ke konci roku 20</w:t>
      </w:r>
      <w:r w:rsidR="000A1E67">
        <w:t>21</w:t>
      </w:r>
      <w:r>
        <w:t xml:space="preserve"> měla obec přibližně </w:t>
      </w:r>
      <w:r w:rsidR="000A1E67">
        <w:t>3</w:t>
      </w:r>
      <w:r w:rsidR="00250F60">
        <w:t>1</w:t>
      </w:r>
      <w:r>
        <w:t xml:space="preserve"> % obyvatel, které měla v roce 1869, tj. za sledované období ztratila </w:t>
      </w:r>
      <w:r w:rsidR="005B746E">
        <w:t>přibližně dvě</w:t>
      </w:r>
      <w:r>
        <w:t xml:space="preserve"> třetin</w:t>
      </w:r>
      <w:r w:rsidR="005B746E">
        <w:t>y</w:t>
      </w:r>
      <w:r>
        <w:t xml:space="preserve"> původního počtu obyvatel</w:t>
      </w:r>
      <w:r w:rsidRPr="005873C8">
        <w:t xml:space="preserve">. </w:t>
      </w:r>
      <w:r w:rsidRPr="00BD421E">
        <w:rPr>
          <w:b/>
        </w:rPr>
        <w:t xml:space="preserve">Nejvýraznější pokles byl zaznamenán </w:t>
      </w:r>
      <w:r>
        <w:rPr>
          <w:b/>
        </w:rPr>
        <w:t>m</w:t>
      </w:r>
      <w:r w:rsidRPr="003B6DEA">
        <w:rPr>
          <w:b/>
        </w:rPr>
        <w:t>ezi lety 1930 a 1950</w:t>
      </w:r>
      <w:r>
        <w:t xml:space="preserve">, kdy se projevil vliv druhé světové války a období několika následujících let (odsun německého obyvatelstva, intenzita doosídlování). Obec mezi těmito lety ztratila </w:t>
      </w:r>
      <w:r w:rsidR="008F5BB3">
        <w:t xml:space="preserve">více jak polovinu </w:t>
      </w:r>
      <w:r>
        <w:t>obyvatel.</w:t>
      </w:r>
    </w:p>
    <w:p w14:paraId="1CD852D6" w14:textId="6109E6E9" w:rsidR="006F39A9" w:rsidRDefault="006F39A9" w:rsidP="006F39A9">
      <w:pPr>
        <w:spacing w:after="160" w:line="259" w:lineRule="auto"/>
        <w:jc w:val="both"/>
      </w:pPr>
      <w:r>
        <w:t xml:space="preserve">Od roku 1991 až do současnosti počet obyvatel v obci postupně stoupá, </w:t>
      </w:r>
      <w:r w:rsidR="00B048D3">
        <w:t xml:space="preserve">přičemž v posledních sledovaných letech je tento nárůst výrazný. Mezi lety 1991 a 2021 došlo ke vzrůstu počtu obyvatel o </w:t>
      </w:r>
      <w:r w:rsidR="00250F60">
        <w:lastRenderedPageBreak/>
        <w:t>76</w:t>
      </w:r>
      <w:r w:rsidR="00B048D3">
        <w:t xml:space="preserve"> %. Nárůst počtu obyvatel je způsoben </w:t>
      </w:r>
      <w:r>
        <w:t>např. výstavbou nových rodinných domů</w:t>
      </w:r>
      <w:r w:rsidR="00B048D3">
        <w:t>, dále se na vzrůstu počtu obyvatel bezpochyby projevuje geografická blízkost města Trutnova</w:t>
      </w:r>
      <w:r>
        <w:t>.</w:t>
      </w:r>
    </w:p>
    <w:p w14:paraId="4E9FA06C" w14:textId="77777777" w:rsidR="006F39A9" w:rsidRPr="00873DF3" w:rsidRDefault="006F39A9" w:rsidP="006F39A9">
      <w:pPr>
        <w:spacing w:after="160" w:line="259" w:lineRule="auto"/>
        <w:jc w:val="both"/>
        <w:rPr>
          <w:sz w:val="20"/>
          <w:szCs w:val="20"/>
        </w:rPr>
      </w:pPr>
    </w:p>
    <w:p w14:paraId="5CDA32E3" w14:textId="6C8B279F" w:rsidR="006F39A9" w:rsidRDefault="006F39A9" w:rsidP="006F39A9">
      <w:pPr>
        <w:spacing w:after="160" w:line="259" w:lineRule="auto"/>
        <w:jc w:val="both"/>
      </w:pPr>
      <w:r w:rsidRPr="007243A1">
        <w:t xml:space="preserve">Graf </w:t>
      </w:r>
      <w:r w:rsidR="00BA1D8E">
        <w:t>3</w:t>
      </w:r>
      <w:r w:rsidRPr="007243A1">
        <w:t xml:space="preserve"> znázorňuje křivku vývoje počtu obyvatel podle jednotlivých místních částí obc</w:t>
      </w:r>
      <w:r>
        <w:t>e</w:t>
      </w:r>
      <w:r w:rsidRPr="007243A1">
        <w:t xml:space="preserve"> </w:t>
      </w:r>
      <w:r w:rsidR="00BA1D8E">
        <w:t>Staré Buky</w:t>
      </w:r>
      <w:r w:rsidRPr="007243A1">
        <w:t xml:space="preserve">. </w:t>
      </w:r>
    </w:p>
    <w:p w14:paraId="39DF1EA2" w14:textId="77777777" w:rsidR="006F39A9" w:rsidRDefault="006F39A9" w:rsidP="006F39A9">
      <w:pPr>
        <w:spacing w:after="160" w:line="259" w:lineRule="auto"/>
        <w:jc w:val="both"/>
      </w:pPr>
    </w:p>
    <w:p w14:paraId="3FA70378" w14:textId="244F481A" w:rsidR="006F39A9" w:rsidRPr="00F90506" w:rsidRDefault="006F39A9" w:rsidP="006F39A9">
      <w:pPr>
        <w:pStyle w:val="GRAF0"/>
      </w:pPr>
      <w:bookmarkStart w:id="99" w:name="_Toc445288433"/>
      <w:bookmarkStart w:id="100" w:name="_Toc32577904"/>
      <w:bookmarkStart w:id="101" w:name="_Toc104472748"/>
      <w:bookmarkStart w:id="102" w:name="_Toc120651982"/>
      <w:r w:rsidRPr="002961FE">
        <w:t xml:space="preserve">Graf </w:t>
      </w:r>
      <w:r w:rsidR="00BA1D8E">
        <w:t>3</w:t>
      </w:r>
      <w:r w:rsidRPr="002961FE">
        <w:t xml:space="preserve">: Křivka vývoje počtu obyvatel v jednotlivých místních částech obce </w:t>
      </w:r>
      <w:r w:rsidR="00BA1D8E">
        <w:t>Staré Buky</w:t>
      </w:r>
      <w:r w:rsidRPr="002961FE">
        <w:t xml:space="preserve"> v období 1869-20</w:t>
      </w:r>
      <w:bookmarkEnd w:id="99"/>
      <w:bookmarkEnd w:id="100"/>
      <w:r w:rsidR="007F4EE6">
        <w:t>21</w:t>
      </w:r>
      <w:bookmarkEnd w:id="101"/>
      <w:bookmarkEnd w:id="102"/>
    </w:p>
    <w:p w14:paraId="053CEB8A" w14:textId="11563E5D" w:rsidR="006F39A9" w:rsidRDefault="00250F60" w:rsidP="006F39A9">
      <w:pPr>
        <w:spacing w:line="360" w:lineRule="auto"/>
        <w:jc w:val="center"/>
        <w:rPr>
          <w:color w:val="FF0000"/>
        </w:rPr>
      </w:pPr>
      <w:r>
        <w:rPr>
          <w:noProof/>
        </w:rPr>
        <w:drawing>
          <wp:inline distT="0" distB="0" distL="0" distR="0" wp14:anchorId="34A328AA" wp14:editId="725BC20B">
            <wp:extent cx="4572000" cy="2339340"/>
            <wp:effectExtent l="0" t="0" r="0" b="3810"/>
            <wp:docPr id="235" name="Graf 235">
              <a:extLst xmlns:a="http://schemas.openxmlformats.org/drawingml/2006/main">
                <a:ext uri="{FF2B5EF4-FFF2-40B4-BE49-F238E27FC236}">
                  <a16:creationId xmlns:a16="http://schemas.microsoft.com/office/drawing/2014/main" id="{24E4DF7D-BC83-4F13-8BA8-81CF83AE3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D24B18D" w14:textId="77777777" w:rsidR="006F39A9" w:rsidRPr="004771F7" w:rsidRDefault="006F39A9" w:rsidP="006F39A9">
      <w:pPr>
        <w:spacing w:after="160"/>
        <w:contextualSpacing/>
        <w:jc w:val="both"/>
        <w:rPr>
          <w:rFonts w:eastAsia="RWXLTG+TimesNewRoman" w:cs="RWXLTG+TimesNewRoman"/>
          <w:sz w:val="20"/>
          <w:szCs w:val="20"/>
        </w:rPr>
      </w:pPr>
      <w:r w:rsidRPr="004771F7">
        <w:rPr>
          <w:b/>
          <w:sz w:val="20"/>
          <w:szCs w:val="20"/>
        </w:rPr>
        <w:t>Zdroje:</w:t>
      </w:r>
      <w:r w:rsidRPr="004771F7">
        <w:rPr>
          <w:sz w:val="20"/>
          <w:szCs w:val="20"/>
        </w:rPr>
        <w:t xml:space="preserve"> </w:t>
      </w:r>
      <w:r w:rsidRPr="004771F7">
        <w:rPr>
          <w:rFonts w:eastAsia="RWXLTG+TimesNewRoman" w:cs="RWXLTG+TimesNewRoman"/>
          <w:sz w:val="20"/>
          <w:szCs w:val="20"/>
        </w:rPr>
        <w:t>Historický lexikon obcí České republiky 1869-20</w:t>
      </w:r>
      <w:r>
        <w:rPr>
          <w:rFonts w:eastAsia="RWXLTG+TimesNewRoman" w:cs="RWXLTG+TimesNewRoman"/>
          <w:sz w:val="20"/>
          <w:szCs w:val="20"/>
        </w:rPr>
        <w:t>11</w:t>
      </w:r>
    </w:p>
    <w:p w14:paraId="53BC2C56" w14:textId="77777777" w:rsidR="006F39A9" w:rsidRPr="004771F7" w:rsidRDefault="006F39A9" w:rsidP="006F39A9">
      <w:pPr>
        <w:spacing w:after="160"/>
        <w:contextualSpacing/>
        <w:jc w:val="both"/>
        <w:rPr>
          <w:rFonts w:eastAsia="RWXLTG+TimesNewRoman" w:cs="RWXLTG+TimesNewRoman"/>
          <w:sz w:val="20"/>
          <w:szCs w:val="20"/>
        </w:rPr>
      </w:pPr>
      <w:r w:rsidRPr="004771F7">
        <w:rPr>
          <w:rFonts w:eastAsia="RWXLTG+TimesNewRoman" w:cs="RWXLTG+TimesNewRoman"/>
          <w:color w:val="000000"/>
          <w:sz w:val="20"/>
          <w:szCs w:val="20"/>
        </w:rPr>
        <w:t xml:space="preserve">              </w:t>
      </w:r>
      <w:r w:rsidRPr="00B16081">
        <w:rPr>
          <w:rFonts w:eastAsia="RWXLTG+TimesNewRoman" w:cs="RWXLTG+TimesNewRoman"/>
          <w:color w:val="000000"/>
          <w:sz w:val="20"/>
          <w:szCs w:val="20"/>
        </w:rPr>
        <w:t xml:space="preserve">Internetové stránky Českého statistického úřadu </w:t>
      </w:r>
      <w:hyperlink r:id="rId37" w:history="1">
        <w:r w:rsidRPr="008D7437">
          <w:rPr>
            <w:rStyle w:val="Hypertextovodkaz"/>
            <w:rFonts w:eastAsia="RWXLTG+TimesNewRoman" w:cs="RWXLTG+TimesNewRoman"/>
            <w:sz w:val="20"/>
            <w:szCs w:val="20"/>
          </w:rPr>
          <w:t>https://www.czso.cz</w:t>
        </w:r>
      </w:hyperlink>
    </w:p>
    <w:p w14:paraId="74FDCF55" w14:textId="77777777" w:rsidR="006F39A9" w:rsidRPr="00A538A4" w:rsidRDefault="006F39A9" w:rsidP="006F39A9">
      <w:pPr>
        <w:spacing w:after="160"/>
        <w:contextualSpacing/>
        <w:jc w:val="both"/>
        <w:rPr>
          <w:highlight w:val="yellow"/>
        </w:rPr>
      </w:pPr>
      <w:r w:rsidRPr="004771F7">
        <w:rPr>
          <w:sz w:val="20"/>
          <w:szCs w:val="20"/>
        </w:rPr>
        <w:t xml:space="preserve">              Městská a obecní statistika </w:t>
      </w:r>
      <w:hyperlink r:id="rId38" w:history="1">
        <w:r w:rsidRPr="008D7437">
          <w:rPr>
            <w:rStyle w:val="Hypertextovodkaz"/>
            <w:sz w:val="20"/>
            <w:szCs w:val="20"/>
          </w:rPr>
          <w:t>https://vdb.czso.cz/mos/</w:t>
        </w:r>
      </w:hyperlink>
    </w:p>
    <w:p w14:paraId="4807E5E4" w14:textId="2CA64F43" w:rsidR="006F39A9" w:rsidRPr="008C2FE5" w:rsidRDefault="006F39A9" w:rsidP="006F39A9">
      <w:pPr>
        <w:spacing w:after="160"/>
        <w:contextualSpacing/>
        <w:jc w:val="both"/>
        <w:rPr>
          <w:sz w:val="20"/>
          <w:szCs w:val="20"/>
        </w:rPr>
      </w:pPr>
      <w:r w:rsidRPr="005E56CD">
        <w:rPr>
          <w:sz w:val="20"/>
          <w:szCs w:val="20"/>
        </w:rPr>
        <w:t xml:space="preserve">              Údaje</w:t>
      </w:r>
      <w:r w:rsidRPr="009D0914">
        <w:rPr>
          <w:sz w:val="20"/>
          <w:szCs w:val="20"/>
        </w:rPr>
        <w:t xml:space="preserve"> </w:t>
      </w:r>
      <w:r>
        <w:rPr>
          <w:sz w:val="20"/>
          <w:szCs w:val="20"/>
        </w:rPr>
        <w:t>poskytnuté</w:t>
      </w:r>
      <w:r w:rsidRPr="009D0914">
        <w:rPr>
          <w:sz w:val="20"/>
          <w:szCs w:val="20"/>
        </w:rPr>
        <w:t> obecní</w:t>
      </w:r>
      <w:r>
        <w:rPr>
          <w:sz w:val="20"/>
          <w:szCs w:val="20"/>
        </w:rPr>
        <w:t>m</w:t>
      </w:r>
      <w:r w:rsidRPr="009D0914">
        <w:rPr>
          <w:sz w:val="20"/>
          <w:szCs w:val="20"/>
        </w:rPr>
        <w:t xml:space="preserve"> úřad</w:t>
      </w:r>
      <w:r>
        <w:rPr>
          <w:sz w:val="20"/>
          <w:szCs w:val="20"/>
        </w:rPr>
        <w:t xml:space="preserve">em </w:t>
      </w:r>
      <w:r w:rsidRPr="009D0914">
        <w:rPr>
          <w:sz w:val="20"/>
          <w:szCs w:val="20"/>
        </w:rPr>
        <w:t xml:space="preserve">ve </w:t>
      </w:r>
      <w:r w:rsidR="00F601B4">
        <w:rPr>
          <w:sz w:val="20"/>
          <w:szCs w:val="20"/>
        </w:rPr>
        <w:t>Starých Bukách</w:t>
      </w:r>
    </w:p>
    <w:p w14:paraId="720B38F6" w14:textId="77777777" w:rsidR="006F39A9" w:rsidRDefault="006F39A9" w:rsidP="006F39A9">
      <w:pPr>
        <w:spacing w:after="160" w:line="259" w:lineRule="auto"/>
        <w:jc w:val="both"/>
      </w:pPr>
    </w:p>
    <w:p w14:paraId="33952D1B" w14:textId="2CA14AF5" w:rsidR="006F39A9" w:rsidRDefault="006F39A9" w:rsidP="006F39A9">
      <w:pPr>
        <w:spacing w:after="160" w:line="259" w:lineRule="auto"/>
        <w:jc w:val="both"/>
      </w:pPr>
      <w:r w:rsidRPr="004771F7">
        <w:t xml:space="preserve">Z tohoto grafu vyplývá, že místní části obce </w:t>
      </w:r>
      <w:r w:rsidR="00714253">
        <w:t>Staré Buky</w:t>
      </w:r>
      <w:r w:rsidRPr="004771F7">
        <w:t xml:space="preserve"> se mezi sebou </w:t>
      </w:r>
      <w:r w:rsidR="00714253">
        <w:t>vývojem počtu obyvatel moc</w:t>
      </w:r>
      <w:r w:rsidRPr="004771F7">
        <w:t xml:space="preserve"> </w:t>
      </w:r>
      <w:r w:rsidR="00714253">
        <w:t>ne</w:t>
      </w:r>
      <w:r w:rsidRPr="004771F7">
        <w:t xml:space="preserve">liší. </w:t>
      </w:r>
      <w:r>
        <w:t xml:space="preserve">U </w:t>
      </w:r>
      <w:r w:rsidR="00714253">
        <w:t>všech</w:t>
      </w:r>
      <w:r>
        <w:t xml:space="preserve"> místních částí počet obyvatel až do roku 1991</w:t>
      </w:r>
      <w:r w:rsidR="00714253" w:rsidRPr="00714253">
        <w:t xml:space="preserve"> </w:t>
      </w:r>
      <w:r w:rsidR="00714253">
        <w:t>neustále klesal</w:t>
      </w:r>
      <w:r>
        <w:t>.</w:t>
      </w:r>
      <w:r w:rsidR="00714253">
        <w:t xml:space="preserve"> Mezi lety 1991 a 2001 počet obyvatel klesal ještě v Dolních Starých Bukách a Prostředních Starých Bukách, přičemž v Horních Starých Bukách již stoupal. </w:t>
      </w:r>
      <w:r>
        <w:t xml:space="preserve"> </w:t>
      </w:r>
      <w:r w:rsidR="00714253">
        <w:t xml:space="preserve">Od roku 2001 počet obyvatel stoupá ve všech místních částech obce, přičemž největší nárůst zaznamenala místní </w:t>
      </w:r>
      <w:r w:rsidR="00714253" w:rsidRPr="00152FB3">
        <w:t>část Prostřední Staré Buky</w:t>
      </w:r>
      <w:r>
        <w:t>.</w:t>
      </w:r>
    </w:p>
    <w:p w14:paraId="3285A3D1" w14:textId="77777777" w:rsidR="000A21A8" w:rsidRDefault="000A21A8" w:rsidP="007243A1">
      <w:pPr>
        <w:spacing w:after="160" w:line="259" w:lineRule="auto"/>
        <w:jc w:val="both"/>
      </w:pPr>
    </w:p>
    <w:p w14:paraId="428629FD" w14:textId="77777777" w:rsidR="008147E6" w:rsidRPr="00FB453A" w:rsidRDefault="008147E6" w:rsidP="008147E6">
      <w:pPr>
        <w:spacing w:after="160" w:line="259" w:lineRule="auto"/>
        <w:jc w:val="both"/>
        <w:rPr>
          <w:u w:val="single"/>
        </w:rPr>
      </w:pPr>
      <w:r w:rsidRPr="00FB453A">
        <w:rPr>
          <w:u w:val="single"/>
        </w:rPr>
        <w:t>Přirozený přírůstek a migrace obyvatel</w:t>
      </w:r>
    </w:p>
    <w:p w14:paraId="30059C74" w14:textId="77777777" w:rsidR="001A3BAA" w:rsidRDefault="001A3BAA" w:rsidP="001A3BAA">
      <w:pPr>
        <w:spacing w:after="160" w:line="259" w:lineRule="auto"/>
        <w:jc w:val="both"/>
      </w:pPr>
      <w:bookmarkStart w:id="103" w:name="_Hlk74319940"/>
      <w:r>
        <w:t>Přirozený přírůstek obyvatel představuje rozdíl mezi počtem živě narozených dětí a počtem zemřelých obyvatel v daném období a území</w:t>
      </w:r>
      <w:r>
        <w:rPr>
          <w:rStyle w:val="Znakapoznpodarou"/>
        </w:rPr>
        <w:footnoteReference w:id="19"/>
      </w:r>
      <w:r>
        <w:t xml:space="preserve">. Pokud je kladný, více lidí se narodilo, než zemřelo. Pokud je záporný, více lidí zemřelo, než se narodilo. </w:t>
      </w:r>
    </w:p>
    <w:p w14:paraId="624FD89E" w14:textId="4CC9AAE9" w:rsidR="001A3BAA" w:rsidRDefault="001A3BAA" w:rsidP="001A3BAA">
      <w:pPr>
        <w:spacing w:after="160" w:line="259" w:lineRule="auto"/>
        <w:jc w:val="both"/>
      </w:pPr>
      <w:r>
        <w:t xml:space="preserve">Migrace představuje </w:t>
      </w:r>
      <w:r w:rsidRPr="007D1FC2">
        <w:t xml:space="preserve">nevratný pohyb z jednoho místa do druhého. V našem případě to je přistěhování do obce </w:t>
      </w:r>
      <w:r w:rsidR="00110156">
        <w:t>Staré Buky</w:t>
      </w:r>
      <w:r>
        <w:t xml:space="preserve"> </w:t>
      </w:r>
      <w:r w:rsidRPr="007D1FC2">
        <w:t xml:space="preserve">z nějaké jiné lokality nebo naopak vystěhování z obce </w:t>
      </w:r>
      <w:r w:rsidR="00110156">
        <w:t>Staré Buky</w:t>
      </w:r>
      <w:r w:rsidRPr="007D1FC2">
        <w:t xml:space="preserve"> do jiné lokality. Saldo migrace je rozdíl mezi přistěhovalými a vystěhovalými obyvateli. Pokud je kladné, je obec zisková z hlediska migrace, pokud je záporné, je ztrátová. Přirozený přírůstek i migrace obyvatel byly sledovány v rozmezí let 20</w:t>
      </w:r>
      <w:r w:rsidR="006464F1">
        <w:t>1</w:t>
      </w:r>
      <w:r w:rsidR="00110156">
        <w:t>1</w:t>
      </w:r>
      <w:r w:rsidRPr="007D1FC2">
        <w:t xml:space="preserve"> až 20</w:t>
      </w:r>
      <w:r w:rsidR="006464F1">
        <w:t>2</w:t>
      </w:r>
      <w:r w:rsidR="00110156">
        <w:t>1</w:t>
      </w:r>
      <w:r w:rsidRPr="007D1FC2">
        <w:t xml:space="preserve"> (tabulka </w:t>
      </w:r>
      <w:r w:rsidR="00110156">
        <w:t>4</w:t>
      </w:r>
      <w:r w:rsidRPr="007D1FC2">
        <w:t>).</w:t>
      </w:r>
      <w:bookmarkEnd w:id="103"/>
      <w:r>
        <w:t xml:space="preserve"> </w:t>
      </w:r>
    </w:p>
    <w:p w14:paraId="31B8345D" w14:textId="2F322708" w:rsidR="001A3BAA" w:rsidRPr="00A44372" w:rsidRDefault="001A3BAA" w:rsidP="001A3BAA">
      <w:pPr>
        <w:pStyle w:val="TABULKA0"/>
      </w:pPr>
      <w:bookmarkStart w:id="104" w:name="_Toc441221908"/>
      <w:bookmarkStart w:id="105" w:name="_Toc32577781"/>
      <w:bookmarkStart w:id="106" w:name="_Toc120651926"/>
      <w:r w:rsidRPr="007D1FC2">
        <w:lastRenderedPageBreak/>
        <w:t xml:space="preserve">Tabulka </w:t>
      </w:r>
      <w:r w:rsidR="00ED6F7F">
        <w:t>4</w:t>
      </w:r>
      <w:r w:rsidRPr="007D1FC2">
        <w:t xml:space="preserve">: </w:t>
      </w:r>
      <w:r w:rsidRPr="00B85FC7">
        <w:t>Přirozený přírůstek, migrace a celkový přírůstek obyvat</w:t>
      </w:r>
      <w:r>
        <w:t xml:space="preserve">el </w:t>
      </w:r>
      <w:r w:rsidRPr="00A44372">
        <w:t xml:space="preserve">v obci </w:t>
      </w:r>
      <w:r w:rsidR="00ED6F7F">
        <w:t>Staré Buky</w:t>
      </w:r>
      <w:r>
        <w:t xml:space="preserve"> v letech 20</w:t>
      </w:r>
      <w:r w:rsidR="006464F1">
        <w:t>1</w:t>
      </w:r>
      <w:r w:rsidR="00ED6F7F">
        <w:t>1</w:t>
      </w:r>
      <w:r>
        <w:t xml:space="preserve"> až 20</w:t>
      </w:r>
      <w:bookmarkEnd w:id="104"/>
      <w:bookmarkEnd w:id="105"/>
      <w:r w:rsidR="006464F1">
        <w:t>2</w:t>
      </w:r>
      <w:r w:rsidR="00ED6F7F">
        <w:t>1</w:t>
      </w:r>
      <w:bookmarkEnd w:id="106"/>
    </w:p>
    <w:tbl>
      <w:tblPr>
        <w:tblW w:w="46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948"/>
        <w:gridCol w:w="846"/>
        <w:gridCol w:w="1018"/>
        <w:gridCol w:w="1246"/>
        <w:gridCol w:w="1233"/>
        <w:gridCol w:w="1449"/>
        <w:gridCol w:w="984"/>
      </w:tblGrid>
      <w:tr w:rsidR="001A3BAA" w:rsidRPr="005700ED" w14:paraId="6F1DE11A" w14:textId="77777777" w:rsidTr="00ED6F7F">
        <w:trPr>
          <w:trHeight w:val="330"/>
          <w:jc w:val="center"/>
        </w:trPr>
        <w:tc>
          <w:tcPr>
            <w:tcW w:w="471" w:type="pct"/>
            <w:tcBorders>
              <w:top w:val="single" w:sz="18" w:space="0" w:color="auto"/>
              <w:left w:val="single" w:sz="18" w:space="0" w:color="auto"/>
              <w:bottom w:val="single" w:sz="12" w:space="0" w:color="auto"/>
              <w:right w:val="single" w:sz="12" w:space="0" w:color="auto"/>
            </w:tcBorders>
            <w:shd w:val="clear" w:color="auto" w:fill="FFC000"/>
            <w:noWrap/>
            <w:vAlign w:val="center"/>
            <w:hideMark/>
          </w:tcPr>
          <w:p w14:paraId="02BDA1F0" w14:textId="77777777" w:rsidR="001A3BAA" w:rsidRPr="005700ED" w:rsidRDefault="001A3BAA" w:rsidP="003123CC">
            <w:pPr>
              <w:jc w:val="center"/>
              <w:rPr>
                <w:b/>
                <w:bCs/>
                <w:sz w:val="20"/>
                <w:szCs w:val="20"/>
              </w:rPr>
            </w:pPr>
            <w:r w:rsidRPr="005700ED">
              <w:rPr>
                <w:b/>
                <w:bCs/>
                <w:sz w:val="20"/>
                <w:szCs w:val="20"/>
              </w:rPr>
              <w:t>Rok</w:t>
            </w:r>
          </w:p>
        </w:tc>
        <w:tc>
          <w:tcPr>
            <w:tcW w:w="557" w:type="pct"/>
            <w:tcBorders>
              <w:top w:val="single" w:sz="18" w:space="0" w:color="auto"/>
              <w:left w:val="single" w:sz="12" w:space="0" w:color="auto"/>
              <w:bottom w:val="single" w:sz="12" w:space="0" w:color="auto"/>
              <w:right w:val="single" w:sz="12" w:space="0" w:color="auto"/>
            </w:tcBorders>
            <w:shd w:val="clear" w:color="auto" w:fill="FFC000"/>
            <w:vAlign w:val="center"/>
          </w:tcPr>
          <w:p w14:paraId="3FFA38F9" w14:textId="77777777" w:rsidR="001A3BAA" w:rsidRPr="005700ED" w:rsidRDefault="001A3BAA" w:rsidP="003123CC">
            <w:pPr>
              <w:jc w:val="center"/>
              <w:rPr>
                <w:b/>
                <w:bCs/>
                <w:sz w:val="20"/>
                <w:szCs w:val="20"/>
              </w:rPr>
            </w:pPr>
            <w:r w:rsidRPr="005700ED">
              <w:rPr>
                <w:b/>
                <w:bCs/>
                <w:sz w:val="20"/>
                <w:szCs w:val="20"/>
              </w:rPr>
              <w:t>Živě narození</w:t>
            </w:r>
          </w:p>
        </w:tc>
        <w:tc>
          <w:tcPr>
            <w:tcW w:w="495" w:type="pct"/>
            <w:tcBorders>
              <w:top w:val="single" w:sz="18" w:space="0" w:color="auto"/>
              <w:left w:val="single" w:sz="12" w:space="0" w:color="auto"/>
              <w:bottom w:val="single" w:sz="12" w:space="0" w:color="auto"/>
              <w:right w:val="single" w:sz="12" w:space="0" w:color="auto"/>
            </w:tcBorders>
            <w:shd w:val="clear" w:color="auto" w:fill="FFC000"/>
            <w:vAlign w:val="center"/>
          </w:tcPr>
          <w:p w14:paraId="7D68788E" w14:textId="77777777" w:rsidR="001A3BAA" w:rsidRPr="005700ED" w:rsidRDefault="001A3BAA" w:rsidP="003123CC">
            <w:pPr>
              <w:jc w:val="center"/>
              <w:rPr>
                <w:b/>
                <w:bCs/>
                <w:sz w:val="20"/>
                <w:szCs w:val="20"/>
              </w:rPr>
            </w:pPr>
            <w:r w:rsidRPr="005700ED">
              <w:rPr>
                <w:b/>
                <w:bCs/>
                <w:sz w:val="20"/>
                <w:szCs w:val="20"/>
              </w:rPr>
              <w:t>Zemřelí</w:t>
            </w:r>
          </w:p>
        </w:tc>
        <w:tc>
          <w:tcPr>
            <w:tcW w:w="600" w:type="pct"/>
            <w:tcBorders>
              <w:top w:val="single" w:sz="18" w:space="0" w:color="auto"/>
              <w:left w:val="single" w:sz="12" w:space="0" w:color="auto"/>
              <w:bottom w:val="single" w:sz="12" w:space="0" w:color="auto"/>
              <w:right w:val="single" w:sz="12" w:space="0" w:color="auto"/>
            </w:tcBorders>
            <w:shd w:val="clear" w:color="auto" w:fill="FFC000"/>
            <w:vAlign w:val="center"/>
          </w:tcPr>
          <w:p w14:paraId="2BE5D719" w14:textId="77777777" w:rsidR="001A3BAA" w:rsidRPr="005700ED" w:rsidRDefault="001A3BAA" w:rsidP="003123CC">
            <w:pPr>
              <w:jc w:val="center"/>
              <w:rPr>
                <w:b/>
                <w:bCs/>
                <w:sz w:val="20"/>
                <w:szCs w:val="20"/>
              </w:rPr>
            </w:pPr>
            <w:r w:rsidRPr="005700ED">
              <w:rPr>
                <w:b/>
                <w:bCs/>
                <w:sz w:val="20"/>
                <w:szCs w:val="20"/>
              </w:rPr>
              <w:t>Přirozený přírůstek</w:t>
            </w:r>
          </w:p>
        </w:tc>
        <w:tc>
          <w:tcPr>
            <w:tcW w:w="730" w:type="pct"/>
            <w:tcBorders>
              <w:top w:val="single" w:sz="18" w:space="0" w:color="auto"/>
              <w:left w:val="single" w:sz="12" w:space="0" w:color="auto"/>
              <w:bottom w:val="single" w:sz="12" w:space="0" w:color="auto"/>
              <w:right w:val="single" w:sz="12" w:space="0" w:color="auto"/>
            </w:tcBorders>
            <w:shd w:val="clear" w:color="auto" w:fill="FFC000"/>
            <w:noWrap/>
            <w:vAlign w:val="center"/>
            <w:hideMark/>
          </w:tcPr>
          <w:p w14:paraId="2B79A922" w14:textId="77777777" w:rsidR="001A3BAA" w:rsidRPr="005700ED" w:rsidRDefault="001A3BAA" w:rsidP="003123CC">
            <w:pPr>
              <w:jc w:val="center"/>
              <w:rPr>
                <w:b/>
                <w:bCs/>
                <w:sz w:val="20"/>
                <w:szCs w:val="20"/>
              </w:rPr>
            </w:pPr>
            <w:r w:rsidRPr="005700ED">
              <w:rPr>
                <w:b/>
                <w:bCs/>
                <w:sz w:val="20"/>
                <w:szCs w:val="20"/>
              </w:rPr>
              <w:t>Přistěhovalí</w:t>
            </w:r>
          </w:p>
        </w:tc>
        <w:tc>
          <w:tcPr>
            <w:tcW w:w="722" w:type="pct"/>
            <w:tcBorders>
              <w:top w:val="single" w:sz="18" w:space="0" w:color="auto"/>
              <w:left w:val="single" w:sz="12" w:space="0" w:color="auto"/>
              <w:bottom w:val="single" w:sz="12" w:space="0" w:color="auto"/>
              <w:right w:val="single" w:sz="12" w:space="0" w:color="auto"/>
            </w:tcBorders>
            <w:shd w:val="clear" w:color="auto" w:fill="FFC000"/>
            <w:noWrap/>
            <w:vAlign w:val="center"/>
            <w:hideMark/>
          </w:tcPr>
          <w:p w14:paraId="755A4907" w14:textId="77777777" w:rsidR="001A3BAA" w:rsidRPr="005700ED" w:rsidRDefault="001A3BAA" w:rsidP="003123CC">
            <w:pPr>
              <w:jc w:val="center"/>
              <w:rPr>
                <w:b/>
                <w:bCs/>
                <w:sz w:val="20"/>
                <w:szCs w:val="20"/>
              </w:rPr>
            </w:pPr>
            <w:r w:rsidRPr="005700ED">
              <w:rPr>
                <w:b/>
                <w:bCs/>
                <w:sz w:val="20"/>
                <w:szCs w:val="20"/>
              </w:rPr>
              <w:t>Vystěhovalí</w:t>
            </w:r>
          </w:p>
        </w:tc>
        <w:tc>
          <w:tcPr>
            <w:tcW w:w="848" w:type="pct"/>
            <w:tcBorders>
              <w:top w:val="single" w:sz="18" w:space="0" w:color="auto"/>
              <w:left w:val="single" w:sz="12" w:space="0" w:color="auto"/>
              <w:bottom w:val="single" w:sz="12" w:space="0" w:color="auto"/>
              <w:right w:val="single" w:sz="12" w:space="0" w:color="auto"/>
            </w:tcBorders>
            <w:shd w:val="clear" w:color="auto" w:fill="FFC000"/>
            <w:noWrap/>
            <w:vAlign w:val="center"/>
            <w:hideMark/>
          </w:tcPr>
          <w:p w14:paraId="23B07CEB" w14:textId="77777777" w:rsidR="001A3BAA" w:rsidRPr="005700ED" w:rsidRDefault="001A3BAA" w:rsidP="003123CC">
            <w:pPr>
              <w:jc w:val="center"/>
              <w:rPr>
                <w:b/>
                <w:bCs/>
                <w:sz w:val="20"/>
                <w:szCs w:val="20"/>
              </w:rPr>
            </w:pPr>
            <w:r w:rsidRPr="005700ED">
              <w:rPr>
                <w:b/>
                <w:bCs/>
                <w:sz w:val="20"/>
                <w:szCs w:val="20"/>
              </w:rPr>
              <w:t>Saldo migrace</w:t>
            </w:r>
          </w:p>
        </w:tc>
        <w:tc>
          <w:tcPr>
            <w:tcW w:w="577" w:type="pct"/>
            <w:tcBorders>
              <w:top w:val="single" w:sz="18" w:space="0" w:color="auto"/>
              <w:left w:val="single" w:sz="12" w:space="0" w:color="auto"/>
              <w:bottom w:val="single" w:sz="12" w:space="0" w:color="auto"/>
              <w:right w:val="single" w:sz="18" w:space="0" w:color="auto"/>
            </w:tcBorders>
            <w:shd w:val="clear" w:color="auto" w:fill="FFC000"/>
            <w:vAlign w:val="center"/>
          </w:tcPr>
          <w:p w14:paraId="44B50216" w14:textId="77777777" w:rsidR="001A3BAA" w:rsidRPr="005700ED" w:rsidRDefault="001A3BAA" w:rsidP="003123CC">
            <w:pPr>
              <w:jc w:val="center"/>
              <w:rPr>
                <w:b/>
                <w:bCs/>
                <w:sz w:val="20"/>
                <w:szCs w:val="20"/>
              </w:rPr>
            </w:pPr>
            <w:r w:rsidRPr="005700ED">
              <w:rPr>
                <w:b/>
                <w:bCs/>
                <w:sz w:val="20"/>
                <w:szCs w:val="20"/>
              </w:rPr>
              <w:t>Celkový přírůstek</w:t>
            </w:r>
          </w:p>
        </w:tc>
      </w:tr>
      <w:tr w:rsidR="002256BA" w:rsidRPr="005700ED" w14:paraId="442A58C3" w14:textId="77777777" w:rsidTr="002256BA">
        <w:trPr>
          <w:trHeight w:val="70"/>
          <w:jc w:val="center"/>
        </w:trPr>
        <w:tc>
          <w:tcPr>
            <w:tcW w:w="471" w:type="pct"/>
            <w:tcBorders>
              <w:top w:val="single" w:sz="12" w:space="0" w:color="auto"/>
              <w:left w:val="single" w:sz="18" w:space="0" w:color="auto"/>
              <w:bottom w:val="single" w:sz="8" w:space="0" w:color="auto"/>
              <w:right w:val="single" w:sz="12" w:space="0" w:color="auto"/>
            </w:tcBorders>
            <w:shd w:val="clear" w:color="auto" w:fill="D9D9D9" w:themeFill="background1" w:themeFillShade="D9"/>
            <w:noWrap/>
            <w:vAlign w:val="center"/>
            <w:hideMark/>
          </w:tcPr>
          <w:p w14:paraId="68519DDA" w14:textId="4286D277" w:rsidR="002256BA" w:rsidRPr="002256BA" w:rsidRDefault="002256BA" w:rsidP="002256BA">
            <w:pPr>
              <w:jc w:val="center"/>
            </w:pPr>
            <w:r w:rsidRPr="002256BA">
              <w:t>2011</w:t>
            </w:r>
          </w:p>
        </w:tc>
        <w:tc>
          <w:tcPr>
            <w:tcW w:w="557" w:type="pct"/>
            <w:tcBorders>
              <w:top w:val="single" w:sz="12" w:space="0" w:color="auto"/>
              <w:left w:val="single" w:sz="12" w:space="0" w:color="auto"/>
              <w:bottom w:val="single" w:sz="8" w:space="0" w:color="auto"/>
              <w:right w:val="single" w:sz="12" w:space="0" w:color="auto"/>
            </w:tcBorders>
            <w:vAlign w:val="center"/>
          </w:tcPr>
          <w:p w14:paraId="1E219455" w14:textId="66952442" w:rsidR="002256BA" w:rsidRPr="00211167" w:rsidRDefault="002256BA" w:rsidP="002256BA">
            <w:pPr>
              <w:jc w:val="right"/>
              <w:rPr>
                <w:rFonts w:cstheme="minorHAnsi"/>
                <w:color w:val="000000"/>
                <w:sz w:val="20"/>
                <w:szCs w:val="20"/>
              </w:rPr>
            </w:pPr>
            <w:r>
              <w:rPr>
                <w:rFonts w:ascii="Calibri" w:hAnsi="Calibri" w:cs="Calibri"/>
                <w:color w:val="000000"/>
              </w:rPr>
              <w:t>7</w:t>
            </w:r>
          </w:p>
        </w:tc>
        <w:tc>
          <w:tcPr>
            <w:tcW w:w="495" w:type="pct"/>
            <w:tcBorders>
              <w:top w:val="single" w:sz="12" w:space="0" w:color="auto"/>
              <w:left w:val="single" w:sz="12" w:space="0" w:color="auto"/>
              <w:bottom w:val="single" w:sz="8" w:space="0" w:color="auto"/>
              <w:right w:val="single" w:sz="12" w:space="0" w:color="auto"/>
            </w:tcBorders>
            <w:vAlign w:val="center"/>
          </w:tcPr>
          <w:p w14:paraId="09443615" w14:textId="029CEB12" w:rsidR="002256BA" w:rsidRPr="00211167" w:rsidRDefault="002256BA" w:rsidP="002256BA">
            <w:pPr>
              <w:jc w:val="right"/>
              <w:rPr>
                <w:rFonts w:cstheme="minorHAnsi"/>
                <w:color w:val="000000"/>
                <w:sz w:val="20"/>
                <w:szCs w:val="20"/>
              </w:rPr>
            </w:pPr>
            <w:r>
              <w:rPr>
                <w:rFonts w:ascii="Calibri" w:hAnsi="Calibri" w:cs="Calibri"/>
                <w:color w:val="000000"/>
              </w:rPr>
              <w:t>4</w:t>
            </w:r>
          </w:p>
        </w:tc>
        <w:tc>
          <w:tcPr>
            <w:tcW w:w="600" w:type="pct"/>
            <w:tcBorders>
              <w:top w:val="single" w:sz="12" w:space="0" w:color="auto"/>
              <w:left w:val="single" w:sz="12" w:space="0" w:color="auto"/>
              <w:bottom w:val="single" w:sz="8" w:space="0" w:color="auto"/>
              <w:right w:val="single" w:sz="12" w:space="0" w:color="auto"/>
            </w:tcBorders>
            <w:vAlign w:val="center"/>
          </w:tcPr>
          <w:p w14:paraId="18DB75C2" w14:textId="58F2C503" w:rsidR="002256BA" w:rsidRPr="00211167" w:rsidRDefault="002256BA" w:rsidP="002256BA">
            <w:pPr>
              <w:jc w:val="right"/>
              <w:rPr>
                <w:rFonts w:cstheme="minorHAnsi"/>
                <w:color w:val="000000"/>
                <w:sz w:val="20"/>
                <w:szCs w:val="20"/>
              </w:rPr>
            </w:pPr>
            <w:r>
              <w:rPr>
                <w:rFonts w:ascii="Calibri" w:hAnsi="Calibri" w:cs="Calibri"/>
                <w:color w:val="000000"/>
              </w:rPr>
              <w:t>3</w:t>
            </w:r>
          </w:p>
        </w:tc>
        <w:tc>
          <w:tcPr>
            <w:tcW w:w="730" w:type="pct"/>
            <w:tcBorders>
              <w:top w:val="single" w:sz="12" w:space="0" w:color="auto"/>
              <w:left w:val="single" w:sz="12" w:space="0" w:color="auto"/>
              <w:bottom w:val="single" w:sz="8" w:space="0" w:color="auto"/>
              <w:right w:val="single" w:sz="12" w:space="0" w:color="auto"/>
            </w:tcBorders>
            <w:shd w:val="clear" w:color="auto" w:fill="auto"/>
            <w:noWrap/>
            <w:vAlign w:val="center"/>
          </w:tcPr>
          <w:p w14:paraId="36415ACF" w14:textId="747CFC20" w:rsidR="002256BA" w:rsidRPr="00211167" w:rsidRDefault="002256BA" w:rsidP="002256BA">
            <w:pPr>
              <w:jc w:val="right"/>
              <w:rPr>
                <w:rFonts w:cstheme="minorHAnsi"/>
                <w:color w:val="000000"/>
                <w:sz w:val="20"/>
                <w:szCs w:val="20"/>
              </w:rPr>
            </w:pPr>
            <w:r>
              <w:rPr>
                <w:rFonts w:ascii="Calibri" w:hAnsi="Calibri" w:cs="Calibri"/>
                <w:color w:val="000000"/>
              </w:rPr>
              <w:t>23</w:t>
            </w:r>
          </w:p>
        </w:tc>
        <w:tc>
          <w:tcPr>
            <w:tcW w:w="722" w:type="pct"/>
            <w:tcBorders>
              <w:top w:val="single" w:sz="12" w:space="0" w:color="auto"/>
              <w:left w:val="single" w:sz="12" w:space="0" w:color="auto"/>
              <w:bottom w:val="single" w:sz="8" w:space="0" w:color="auto"/>
              <w:right w:val="single" w:sz="12" w:space="0" w:color="auto"/>
            </w:tcBorders>
            <w:shd w:val="clear" w:color="auto" w:fill="auto"/>
            <w:noWrap/>
            <w:vAlign w:val="center"/>
          </w:tcPr>
          <w:p w14:paraId="04458E0C" w14:textId="79E14804" w:rsidR="002256BA" w:rsidRPr="00211167" w:rsidRDefault="002256BA" w:rsidP="002256BA">
            <w:pPr>
              <w:jc w:val="right"/>
              <w:rPr>
                <w:rFonts w:cstheme="minorHAnsi"/>
                <w:color w:val="000000"/>
                <w:sz w:val="20"/>
                <w:szCs w:val="20"/>
              </w:rPr>
            </w:pPr>
            <w:r>
              <w:rPr>
                <w:rFonts w:ascii="Calibri" w:hAnsi="Calibri" w:cs="Calibri"/>
                <w:color w:val="000000"/>
              </w:rPr>
              <w:t>9</w:t>
            </w:r>
          </w:p>
        </w:tc>
        <w:tc>
          <w:tcPr>
            <w:tcW w:w="848" w:type="pct"/>
            <w:tcBorders>
              <w:top w:val="single" w:sz="12" w:space="0" w:color="auto"/>
              <w:left w:val="single" w:sz="12" w:space="0" w:color="auto"/>
              <w:bottom w:val="single" w:sz="8" w:space="0" w:color="auto"/>
              <w:right w:val="single" w:sz="12" w:space="0" w:color="auto"/>
            </w:tcBorders>
            <w:shd w:val="clear" w:color="auto" w:fill="auto"/>
            <w:noWrap/>
            <w:vAlign w:val="center"/>
          </w:tcPr>
          <w:p w14:paraId="7B670379" w14:textId="5294ACF9" w:rsidR="002256BA" w:rsidRPr="00211167" w:rsidRDefault="002256BA" w:rsidP="002256BA">
            <w:pPr>
              <w:jc w:val="right"/>
              <w:rPr>
                <w:rFonts w:cstheme="minorHAnsi"/>
                <w:color w:val="000000"/>
                <w:sz w:val="20"/>
                <w:szCs w:val="20"/>
              </w:rPr>
            </w:pPr>
            <w:r>
              <w:rPr>
                <w:rFonts w:ascii="Calibri" w:hAnsi="Calibri" w:cs="Calibri"/>
                <w:color w:val="000000"/>
              </w:rPr>
              <w:t>14</w:t>
            </w:r>
          </w:p>
        </w:tc>
        <w:tc>
          <w:tcPr>
            <w:tcW w:w="577" w:type="pct"/>
            <w:tcBorders>
              <w:top w:val="single" w:sz="12" w:space="0" w:color="auto"/>
              <w:left w:val="single" w:sz="12" w:space="0" w:color="auto"/>
              <w:bottom w:val="single" w:sz="8" w:space="0" w:color="auto"/>
              <w:right w:val="single" w:sz="18" w:space="0" w:color="auto"/>
            </w:tcBorders>
            <w:vAlign w:val="center"/>
          </w:tcPr>
          <w:p w14:paraId="39FD4419" w14:textId="2CBCBF79" w:rsidR="002256BA" w:rsidRPr="00211167" w:rsidRDefault="002256BA" w:rsidP="002256BA">
            <w:pPr>
              <w:jc w:val="right"/>
              <w:rPr>
                <w:rFonts w:cstheme="minorHAnsi"/>
                <w:color w:val="000000"/>
                <w:sz w:val="20"/>
                <w:szCs w:val="20"/>
              </w:rPr>
            </w:pPr>
            <w:r>
              <w:rPr>
                <w:rFonts w:ascii="Calibri" w:hAnsi="Calibri" w:cs="Calibri"/>
                <w:color w:val="000000"/>
              </w:rPr>
              <w:t>17</w:t>
            </w:r>
          </w:p>
        </w:tc>
      </w:tr>
      <w:tr w:rsidR="002256BA" w:rsidRPr="005700ED" w14:paraId="2F84A0EB" w14:textId="77777777" w:rsidTr="002256BA">
        <w:trPr>
          <w:trHeight w:val="70"/>
          <w:jc w:val="center"/>
        </w:trPr>
        <w:tc>
          <w:tcPr>
            <w:tcW w:w="471" w:type="pct"/>
            <w:tcBorders>
              <w:top w:val="single" w:sz="8" w:space="0" w:color="auto"/>
              <w:left w:val="single" w:sz="18" w:space="0" w:color="auto"/>
              <w:bottom w:val="single" w:sz="8" w:space="0" w:color="auto"/>
              <w:right w:val="single" w:sz="12" w:space="0" w:color="auto"/>
            </w:tcBorders>
            <w:shd w:val="clear" w:color="auto" w:fill="D9D9D9" w:themeFill="background1" w:themeFillShade="D9"/>
            <w:noWrap/>
            <w:vAlign w:val="center"/>
            <w:hideMark/>
          </w:tcPr>
          <w:p w14:paraId="279BF6F9" w14:textId="74031101" w:rsidR="002256BA" w:rsidRPr="002256BA" w:rsidRDefault="002256BA" w:rsidP="002256BA">
            <w:pPr>
              <w:jc w:val="center"/>
            </w:pPr>
            <w:r w:rsidRPr="002256BA">
              <w:t>2012</w:t>
            </w:r>
          </w:p>
        </w:tc>
        <w:tc>
          <w:tcPr>
            <w:tcW w:w="557" w:type="pct"/>
            <w:tcBorders>
              <w:top w:val="single" w:sz="8" w:space="0" w:color="auto"/>
              <w:left w:val="single" w:sz="12" w:space="0" w:color="auto"/>
              <w:bottom w:val="single" w:sz="8" w:space="0" w:color="auto"/>
              <w:right w:val="single" w:sz="12" w:space="0" w:color="auto"/>
            </w:tcBorders>
            <w:vAlign w:val="center"/>
          </w:tcPr>
          <w:p w14:paraId="255E88E6" w14:textId="600A57D3" w:rsidR="002256BA" w:rsidRPr="00211167" w:rsidRDefault="002256BA" w:rsidP="002256BA">
            <w:pPr>
              <w:jc w:val="right"/>
              <w:rPr>
                <w:rFonts w:cstheme="minorHAnsi"/>
                <w:color w:val="000000"/>
                <w:sz w:val="20"/>
                <w:szCs w:val="20"/>
              </w:rPr>
            </w:pPr>
            <w:r>
              <w:rPr>
                <w:rFonts w:ascii="Calibri" w:hAnsi="Calibri" w:cs="Calibri"/>
                <w:color w:val="000000"/>
              </w:rPr>
              <w:t>0</w:t>
            </w:r>
          </w:p>
        </w:tc>
        <w:tc>
          <w:tcPr>
            <w:tcW w:w="495" w:type="pct"/>
            <w:tcBorders>
              <w:top w:val="single" w:sz="8" w:space="0" w:color="auto"/>
              <w:left w:val="single" w:sz="12" w:space="0" w:color="auto"/>
              <w:bottom w:val="single" w:sz="8" w:space="0" w:color="auto"/>
              <w:right w:val="single" w:sz="12" w:space="0" w:color="auto"/>
            </w:tcBorders>
            <w:vAlign w:val="center"/>
          </w:tcPr>
          <w:p w14:paraId="36B69C3F" w14:textId="07D835D0" w:rsidR="002256BA" w:rsidRPr="00211167" w:rsidRDefault="002256BA" w:rsidP="002256BA">
            <w:pPr>
              <w:jc w:val="right"/>
              <w:rPr>
                <w:rFonts w:cstheme="minorHAnsi"/>
                <w:color w:val="000000"/>
                <w:sz w:val="20"/>
                <w:szCs w:val="20"/>
              </w:rPr>
            </w:pPr>
            <w:r>
              <w:rPr>
                <w:rFonts w:ascii="Calibri" w:hAnsi="Calibri" w:cs="Calibri"/>
                <w:color w:val="000000"/>
              </w:rPr>
              <w:t>1</w:t>
            </w:r>
          </w:p>
        </w:tc>
        <w:tc>
          <w:tcPr>
            <w:tcW w:w="600" w:type="pct"/>
            <w:tcBorders>
              <w:top w:val="single" w:sz="8" w:space="0" w:color="auto"/>
              <w:left w:val="single" w:sz="12" w:space="0" w:color="auto"/>
              <w:bottom w:val="single" w:sz="8" w:space="0" w:color="auto"/>
              <w:right w:val="single" w:sz="12" w:space="0" w:color="auto"/>
            </w:tcBorders>
            <w:vAlign w:val="center"/>
          </w:tcPr>
          <w:p w14:paraId="1694FBAD" w14:textId="0C951F38" w:rsidR="002256BA" w:rsidRPr="00211167" w:rsidRDefault="002256BA" w:rsidP="002256BA">
            <w:pPr>
              <w:jc w:val="right"/>
              <w:rPr>
                <w:rFonts w:cstheme="minorHAnsi"/>
                <w:color w:val="000000"/>
                <w:sz w:val="20"/>
                <w:szCs w:val="20"/>
              </w:rPr>
            </w:pPr>
            <w:r>
              <w:rPr>
                <w:rFonts w:ascii="Calibri" w:hAnsi="Calibri" w:cs="Calibri"/>
                <w:color w:val="000000"/>
              </w:rPr>
              <w:t>-1</w:t>
            </w:r>
          </w:p>
        </w:tc>
        <w:tc>
          <w:tcPr>
            <w:tcW w:w="730"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6C87C6B4" w14:textId="4FDB52BA" w:rsidR="002256BA" w:rsidRPr="00211167" w:rsidRDefault="002256BA" w:rsidP="002256BA">
            <w:pPr>
              <w:jc w:val="right"/>
              <w:rPr>
                <w:rFonts w:cstheme="minorHAnsi"/>
                <w:color w:val="000000"/>
                <w:sz w:val="20"/>
                <w:szCs w:val="20"/>
              </w:rPr>
            </w:pPr>
            <w:r>
              <w:rPr>
                <w:rFonts w:ascii="Calibri" w:hAnsi="Calibri" w:cs="Calibri"/>
                <w:color w:val="000000"/>
              </w:rPr>
              <w:t>30</w:t>
            </w:r>
          </w:p>
        </w:tc>
        <w:tc>
          <w:tcPr>
            <w:tcW w:w="722"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2FDEE3B3" w14:textId="2C0189EE" w:rsidR="002256BA" w:rsidRPr="00211167" w:rsidRDefault="002256BA" w:rsidP="002256BA">
            <w:pPr>
              <w:jc w:val="right"/>
              <w:rPr>
                <w:rFonts w:cstheme="minorHAnsi"/>
                <w:color w:val="000000"/>
                <w:sz w:val="20"/>
                <w:szCs w:val="20"/>
              </w:rPr>
            </w:pPr>
            <w:r>
              <w:rPr>
                <w:rFonts w:ascii="Calibri" w:hAnsi="Calibri" w:cs="Calibri"/>
                <w:color w:val="000000"/>
              </w:rPr>
              <w:t>9</w:t>
            </w:r>
          </w:p>
        </w:tc>
        <w:tc>
          <w:tcPr>
            <w:tcW w:w="848"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14D20AB2" w14:textId="52153990" w:rsidR="002256BA" w:rsidRPr="00211167" w:rsidRDefault="002256BA" w:rsidP="002256BA">
            <w:pPr>
              <w:jc w:val="right"/>
              <w:rPr>
                <w:rFonts w:cstheme="minorHAnsi"/>
                <w:color w:val="000000"/>
                <w:sz w:val="20"/>
                <w:szCs w:val="20"/>
              </w:rPr>
            </w:pPr>
            <w:r>
              <w:rPr>
                <w:rFonts w:ascii="Calibri" w:hAnsi="Calibri" w:cs="Calibri"/>
                <w:color w:val="000000"/>
              </w:rPr>
              <w:t>21</w:t>
            </w:r>
          </w:p>
        </w:tc>
        <w:tc>
          <w:tcPr>
            <w:tcW w:w="577" w:type="pct"/>
            <w:tcBorders>
              <w:top w:val="single" w:sz="8" w:space="0" w:color="auto"/>
              <w:left w:val="single" w:sz="12" w:space="0" w:color="auto"/>
              <w:bottom w:val="single" w:sz="8" w:space="0" w:color="auto"/>
              <w:right w:val="single" w:sz="18" w:space="0" w:color="auto"/>
            </w:tcBorders>
            <w:vAlign w:val="center"/>
          </w:tcPr>
          <w:p w14:paraId="58F0F8C6" w14:textId="134E3BCE" w:rsidR="002256BA" w:rsidRPr="00211167" w:rsidRDefault="002256BA" w:rsidP="002256BA">
            <w:pPr>
              <w:jc w:val="right"/>
              <w:rPr>
                <w:rFonts w:cstheme="minorHAnsi"/>
                <w:color w:val="000000"/>
                <w:sz w:val="20"/>
                <w:szCs w:val="20"/>
              </w:rPr>
            </w:pPr>
            <w:r>
              <w:rPr>
                <w:rFonts w:ascii="Calibri" w:hAnsi="Calibri" w:cs="Calibri"/>
                <w:color w:val="000000"/>
              </w:rPr>
              <w:t>20</w:t>
            </w:r>
          </w:p>
        </w:tc>
      </w:tr>
      <w:tr w:rsidR="002256BA" w:rsidRPr="005700ED" w14:paraId="79D2E1E8" w14:textId="77777777" w:rsidTr="002256BA">
        <w:trPr>
          <w:trHeight w:val="70"/>
          <w:jc w:val="center"/>
        </w:trPr>
        <w:tc>
          <w:tcPr>
            <w:tcW w:w="471" w:type="pct"/>
            <w:tcBorders>
              <w:top w:val="single" w:sz="8" w:space="0" w:color="auto"/>
              <w:left w:val="single" w:sz="18" w:space="0" w:color="auto"/>
              <w:bottom w:val="single" w:sz="8" w:space="0" w:color="auto"/>
              <w:right w:val="single" w:sz="12" w:space="0" w:color="auto"/>
            </w:tcBorders>
            <w:shd w:val="clear" w:color="auto" w:fill="D9D9D9" w:themeFill="background1" w:themeFillShade="D9"/>
            <w:noWrap/>
            <w:vAlign w:val="center"/>
            <w:hideMark/>
          </w:tcPr>
          <w:p w14:paraId="0E1E1ACF" w14:textId="6A1883B7" w:rsidR="002256BA" w:rsidRPr="002256BA" w:rsidRDefault="002256BA" w:rsidP="002256BA">
            <w:pPr>
              <w:jc w:val="center"/>
            </w:pPr>
            <w:r w:rsidRPr="002256BA">
              <w:t>2013</w:t>
            </w:r>
          </w:p>
        </w:tc>
        <w:tc>
          <w:tcPr>
            <w:tcW w:w="557" w:type="pct"/>
            <w:tcBorders>
              <w:top w:val="single" w:sz="8" w:space="0" w:color="auto"/>
              <w:left w:val="single" w:sz="12" w:space="0" w:color="auto"/>
              <w:bottom w:val="single" w:sz="8" w:space="0" w:color="auto"/>
              <w:right w:val="single" w:sz="12" w:space="0" w:color="auto"/>
            </w:tcBorders>
            <w:vAlign w:val="center"/>
          </w:tcPr>
          <w:p w14:paraId="33F73CF5" w14:textId="3B59164B" w:rsidR="002256BA" w:rsidRPr="00211167" w:rsidRDefault="002256BA" w:rsidP="002256BA">
            <w:pPr>
              <w:jc w:val="right"/>
              <w:rPr>
                <w:rFonts w:cstheme="minorHAnsi"/>
                <w:color w:val="000000"/>
                <w:sz w:val="20"/>
                <w:szCs w:val="20"/>
              </w:rPr>
            </w:pPr>
            <w:r>
              <w:rPr>
                <w:rFonts w:ascii="Calibri" w:hAnsi="Calibri" w:cs="Calibri"/>
                <w:color w:val="000000"/>
              </w:rPr>
              <w:t>5</w:t>
            </w:r>
          </w:p>
        </w:tc>
        <w:tc>
          <w:tcPr>
            <w:tcW w:w="495" w:type="pct"/>
            <w:tcBorders>
              <w:top w:val="single" w:sz="8" w:space="0" w:color="auto"/>
              <w:left w:val="single" w:sz="12" w:space="0" w:color="auto"/>
              <w:bottom w:val="single" w:sz="8" w:space="0" w:color="auto"/>
              <w:right w:val="single" w:sz="12" w:space="0" w:color="auto"/>
            </w:tcBorders>
            <w:vAlign w:val="center"/>
          </w:tcPr>
          <w:p w14:paraId="2EEA60F7" w14:textId="63B90785" w:rsidR="002256BA" w:rsidRPr="00211167" w:rsidRDefault="002256BA" w:rsidP="002256BA">
            <w:pPr>
              <w:jc w:val="right"/>
              <w:rPr>
                <w:rFonts w:cstheme="minorHAnsi"/>
                <w:color w:val="000000"/>
                <w:sz w:val="20"/>
                <w:szCs w:val="20"/>
              </w:rPr>
            </w:pPr>
            <w:r>
              <w:rPr>
                <w:rFonts w:ascii="Calibri" w:hAnsi="Calibri" w:cs="Calibri"/>
                <w:color w:val="000000"/>
              </w:rPr>
              <w:t>13</w:t>
            </w:r>
          </w:p>
        </w:tc>
        <w:tc>
          <w:tcPr>
            <w:tcW w:w="600" w:type="pct"/>
            <w:tcBorders>
              <w:top w:val="single" w:sz="8" w:space="0" w:color="auto"/>
              <w:left w:val="single" w:sz="12" w:space="0" w:color="auto"/>
              <w:bottom w:val="single" w:sz="8" w:space="0" w:color="auto"/>
              <w:right w:val="single" w:sz="12" w:space="0" w:color="auto"/>
            </w:tcBorders>
            <w:vAlign w:val="center"/>
          </w:tcPr>
          <w:p w14:paraId="7096B506" w14:textId="4C627612" w:rsidR="002256BA" w:rsidRPr="00211167" w:rsidRDefault="002256BA" w:rsidP="002256BA">
            <w:pPr>
              <w:jc w:val="right"/>
              <w:rPr>
                <w:rFonts w:cstheme="minorHAnsi"/>
                <w:color w:val="000000"/>
                <w:sz w:val="20"/>
                <w:szCs w:val="20"/>
              </w:rPr>
            </w:pPr>
            <w:r>
              <w:rPr>
                <w:rFonts w:ascii="Calibri" w:hAnsi="Calibri" w:cs="Calibri"/>
                <w:color w:val="000000"/>
              </w:rPr>
              <w:t>-8</w:t>
            </w:r>
          </w:p>
        </w:tc>
        <w:tc>
          <w:tcPr>
            <w:tcW w:w="730"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60ABAA74" w14:textId="78587AEF" w:rsidR="002256BA" w:rsidRPr="00211167" w:rsidRDefault="002256BA" w:rsidP="002256BA">
            <w:pPr>
              <w:jc w:val="right"/>
              <w:rPr>
                <w:rFonts w:cstheme="minorHAnsi"/>
                <w:color w:val="000000"/>
                <w:sz w:val="20"/>
                <w:szCs w:val="20"/>
              </w:rPr>
            </w:pPr>
            <w:r>
              <w:rPr>
                <w:rFonts w:ascii="Calibri" w:hAnsi="Calibri" w:cs="Calibri"/>
                <w:color w:val="000000"/>
              </w:rPr>
              <w:t>39</w:t>
            </w:r>
          </w:p>
        </w:tc>
        <w:tc>
          <w:tcPr>
            <w:tcW w:w="722"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34B706F9" w14:textId="75712054" w:rsidR="002256BA" w:rsidRPr="00211167" w:rsidRDefault="002256BA" w:rsidP="002256BA">
            <w:pPr>
              <w:jc w:val="right"/>
              <w:rPr>
                <w:rFonts w:cstheme="minorHAnsi"/>
                <w:color w:val="000000"/>
                <w:sz w:val="20"/>
                <w:szCs w:val="20"/>
              </w:rPr>
            </w:pPr>
            <w:r>
              <w:rPr>
                <w:rFonts w:ascii="Calibri" w:hAnsi="Calibri" w:cs="Calibri"/>
                <w:color w:val="000000"/>
              </w:rPr>
              <w:t>13</w:t>
            </w:r>
          </w:p>
        </w:tc>
        <w:tc>
          <w:tcPr>
            <w:tcW w:w="848"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6C934855" w14:textId="0FF219F3" w:rsidR="002256BA" w:rsidRPr="00211167" w:rsidRDefault="002256BA" w:rsidP="002256BA">
            <w:pPr>
              <w:jc w:val="right"/>
              <w:rPr>
                <w:rFonts w:cstheme="minorHAnsi"/>
                <w:color w:val="000000"/>
                <w:sz w:val="20"/>
                <w:szCs w:val="20"/>
              </w:rPr>
            </w:pPr>
            <w:r>
              <w:rPr>
                <w:rFonts w:ascii="Calibri" w:hAnsi="Calibri" w:cs="Calibri"/>
                <w:color w:val="000000"/>
              </w:rPr>
              <w:t>26</w:t>
            </w:r>
          </w:p>
        </w:tc>
        <w:tc>
          <w:tcPr>
            <w:tcW w:w="577" w:type="pct"/>
            <w:tcBorders>
              <w:top w:val="single" w:sz="8" w:space="0" w:color="auto"/>
              <w:left w:val="single" w:sz="12" w:space="0" w:color="auto"/>
              <w:bottom w:val="single" w:sz="8" w:space="0" w:color="auto"/>
              <w:right w:val="single" w:sz="18" w:space="0" w:color="auto"/>
            </w:tcBorders>
            <w:vAlign w:val="center"/>
          </w:tcPr>
          <w:p w14:paraId="694AE8D3" w14:textId="55DA3440" w:rsidR="002256BA" w:rsidRPr="00211167" w:rsidRDefault="002256BA" w:rsidP="002256BA">
            <w:pPr>
              <w:jc w:val="right"/>
              <w:rPr>
                <w:rFonts w:cstheme="minorHAnsi"/>
                <w:color w:val="000000"/>
                <w:sz w:val="20"/>
                <w:szCs w:val="20"/>
              </w:rPr>
            </w:pPr>
            <w:r>
              <w:rPr>
                <w:rFonts w:ascii="Calibri" w:hAnsi="Calibri" w:cs="Calibri"/>
                <w:color w:val="000000"/>
              </w:rPr>
              <w:t>18</w:t>
            </w:r>
          </w:p>
        </w:tc>
      </w:tr>
      <w:tr w:rsidR="002256BA" w:rsidRPr="005700ED" w14:paraId="77295E3B" w14:textId="77777777" w:rsidTr="002256BA">
        <w:trPr>
          <w:trHeight w:val="70"/>
          <w:jc w:val="center"/>
        </w:trPr>
        <w:tc>
          <w:tcPr>
            <w:tcW w:w="471" w:type="pct"/>
            <w:tcBorders>
              <w:top w:val="single" w:sz="8" w:space="0" w:color="auto"/>
              <w:left w:val="single" w:sz="18" w:space="0" w:color="auto"/>
              <w:bottom w:val="single" w:sz="8" w:space="0" w:color="auto"/>
              <w:right w:val="single" w:sz="12" w:space="0" w:color="auto"/>
            </w:tcBorders>
            <w:shd w:val="clear" w:color="auto" w:fill="D9D9D9" w:themeFill="background1" w:themeFillShade="D9"/>
            <w:noWrap/>
            <w:vAlign w:val="center"/>
            <w:hideMark/>
          </w:tcPr>
          <w:p w14:paraId="2A3179C5" w14:textId="1A2215C7" w:rsidR="002256BA" w:rsidRPr="002256BA" w:rsidRDefault="002256BA" w:rsidP="002256BA">
            <w:pPr>
              <w:jc w:val="center"/>
            </w:pPr>
            <w:r w:rsidRPr="002256BA">
              <w:t>2014</w:t>
            </w:r>
          </w:p>
        </w:tc>
        <w:tc>
          <w:tcPr>
            <w:tcW w:w="557" w:type="pct"/>
            <w:tcBorders>
              <w:top w:val="single" w:sz="8" w:space="0" w:color="auto"/>
              <w:left w:val="single" w:sz="12" w:space="0" w:color="auto"/>
              <w:bottom w:val="single" w:sz="8" w:space="0" w:color="auto"/>
              <w:right w:val="single" w:sz="12" w:space="0" w:color="auto"/>
            </w:tcBorders>
            <w:vAlign w:val="center"/>
          </w:tcPr>
          <w:p w14:paraId="4719310A" w14:textId="2F136533" w:rsidR="002256BA" w:rsidRPr="00211167" w:rsidRDefault="002256BA" w:rsidP="002256BA">
            <w:pPr>
              <w:jc w:val="right"/>
              <w:rPr>
                <w:rFonts w:cstheme="minorHAnsi"/>
                <w:color w:val="000000"/>
                <w:sz w:val="20"/>
                <w:szCs w:val="20"/>
              </w:rPr>
            </w:pPr>
            <w:r>
              <w:rPr>
                <w:rFonts w:ascii="Calibri" w:hAnsi="Calibri" w:cs="Calibri"/>
                <w:color w:val="000000"/>
              </w:rPr>
              <w:t>11</w:t>
            </w:r>
          </w:p>
        </w:tc>
        <w:tc>
          <w:tcPr>
            <w:tcW w:w="495" w:type="pct"/>
            <w:tcBorders>
              <w:top w:val="single" w:sz="8" w:space="0" w:color="auto"/>
              <w:left w:val="single" w:sz="12" w:space="0" w:color="auto"/>
              <w:bottom w:val="single" w:sz="8" w:space="0" w:color="auto"/>
              <w:right w:val="single" w:sz="12" w:space="0" w:color="auto"/>
            </w:tcBorders>
            <w:vAlign w:val="center"/>
          </w:tcPr>
          <w:p w14:paraId="2C7B287F" w14:textId="161E293A" w:rsidR="002256BA" w:rsidRPr="00211167" w:rsidRDefault="002256BA" w:rsidP="002256BA">
            <w:pPr>
              <w:jc w:val="right"/>
              <w:rPr>
                <w:rFonts w:cstheme="minorHAnsi"/>
                <w:color w:val="000000"/>
                <w:sz w:val="20"/>
                <w:szCs w:val="20"/>
              </w:rPr>
            </w:pPr>
            <w:r>
              <w:rPr>
                <w:rFonts w:ascii="Calibri" w:hAnsi="Calibri" w:cs="Calibri"/>
                <w:color w:val="000000"/>
              </w:rPr>
              <w:t>5</w:t>
            </w:r>
          </w:p>
        </w:tc>
        <w:tc>
          <w:tcPr>
            <w:tcW w:w="600" w:type="pct"/>
            <w:tcBorders>
              <w:top w:val="single" w:sz="8" w:space="0" w:color="auto"/>
              <w:left w:val="single" w:sz="12" w:space="0" w:color="auto"/>
              <w:bottom w:val="single" w:sz="8" w:space="0" w:color="auto"/>
              <w:right w:val="single" w:sz="12" w:space="0" w:color="auto"/>
            </w:tcBorders>
            <w:vAlign w:val="center"/>
          </w:tcPr>
          <w:p w14:paraId="0BCD5E24" w14:textId="1E20456D" w:rsidR="002256BA" w:rsidRPr="00211167" w:rsidRDefault="002256BA" w:rsidP="002256BA">
            <w:pPr>
              <w:jc w:val="right"/>
              <w:rPr>
                <w:rFonts w:cstheme="minorHAnsi"/>
                <w:color w:val="000000"/>
                <w:sz w:val="20"/>
                <w:szCs w:val="20"/>
              </w:rPr>
            </w:pPr>
            <w:r>
              <w:rPr>
                <w:rFonts w:ascii="Calibri" w:hAnsi="Calibri" w:cs="Calibri"/>
                <w:color w:val="000000"/>
              </w:rPr>
              <w:t>6</w:t>
            </w:r>
          </w:p>
        </w:tc>
        <w:tc>
          <w:tcPr>
            <w:tcW w:w="730"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60A141ED" w14:textId="571438A5" w:rsidR="002256BA" w:rsidRPr="00211167" w:rsidRDefault="002256BA" w:rsidP="002256BA">
            <w:pPr>
              <w:jc w:val="right"/>
              <w:rPr>
                <w:rFonts w:cstheme="minorHAnsi"/>
                <w:color w:val="000000"/>
                <w:sz w:val="20"/>
                <w:szCs w:val="20"/>
              </w:rPr>
            </w:pPr>
            <w:r>
              <w:rPr>
                <w:rFonts w:ascii="Calibri" w:hAnsi="Calibri" w:cs="Calibri"/>
                <w:color w:val="000000"/>
              </w:rPr>
              <w:t>14</w:t>
            </w:r>
          </w:p>
        </w:tc>
        <w:tc>
          <w:tcPr>
            <w:tcW w:w="722"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256AF971" w14:textId="3DCDE7CF" w:rsidR="002256BA" w:rsidRPr="00211167" w:rsidRDefault="002256BA" w:rsidP="002256BA">
            <w:pPr>
              <w:jc w:val="right"/>
              <w:rPr>
                <w:rFonts w:cstheme="minorHAnsi"/>
                <w:color w:val="000000"/>
                <w:sz w:val="20"/>
                <w:szCs w:val="20"/>
              </w:rPr>
            </w:pPr>
            <w:r>
              <w:rPr>
                <w:rFonts w:ascii="Calibri" w:hAnsi="Calibri" w:cs="Calibri"/>
                <w:color w:val="000000"/>
              </w:rPr>
              <w:t>13</w:t>
            </w:r>
          </w:p>
        </w:tc>
        <w:tc>
          <w:tcPr>
            <w:tcW w:w="848"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13F01D73" w14:textId="1F42D02F" w:rsidR="002256BA" w:rsidRPr="00211167" w:rsidRDefault="002256BA" w:rsidP="002256BA">
            <w:pPr>
              <w:jc w:val="right"/>
              <w:rPr>
                <w:rFonts w:cstheme="minorHAnsi"/>
                <w:color w:val="000000"/>
                <w:sz w:val="20"/>
                <w:szCs w:val="20"/>
              </w:rPr>
            </w:pPr>
            <w:r>
              <w:rPr>
                <w:rFonts w:ascii="Calibri" w:hAnsi="Calibri" w:cs="Calibri"/>
                <w:color w:val="000000"/>
              </w:rPr>
              <w:t>1</w:t>
            </w:r>
          </w:p>
        </w:tc>
        <w:tc>
          <w:tcPr>
            <w:tcW w:w="577" w:type="pct"/>
            <w:tcBorders>
              <w:top w:val="single" w:sz="8" w:space="0" w:color="auto"/>
              <w:left w:val="single" w:sz="12" w:space="0" w:color="auto"/>
              <w:bottom w:val="single" w:sz="8" w:space="0" w:color="auto"/>
              <w:right w:val="single" w:sz="18" w:space="0" w:color="auto"/>
            </w:tcBorders>
            <w:vAlign w:val="center"/>
          </w:tcPr>
          <w:p w14:paraId="7DA67D7F" w14:textId="613968B3" w:rsidR="002256BA" w:rsidRPr="00211167" w:rsidRDefault="002256BA" w:rsidP="002256BA">
            <w:pPr>
              <w:jc w:val="right"/>
              <w:rPr>
                <w:rFonts w:cstheme="minorHAnsi"/>
                <w:color w:val="000000"/>
                <w:sz w:val="20"/>
                <w:szCs w:val="20"/>
              </w:rPr>
            </w:pPr>
            <w:r>
              <w:rPr>
                <w:rFonts w:ascii="Calibri" w:hAnsi="Calibri" w:cs="Calibri"/>
                <w:color w:val="000000"/>
              </w:rPr>
              <w:t>7</w:t>
            </w:r>
          </w:p>
        </w:tc>
      </w:tr>
      <w:tr w:rsidR="002256BA" w:rsidRPr="005700ED" w14:paraId="4AC253D9" w14:textId="77777777" w:rsidTr="002256BA">
        <w:trPr>
          <w:trHeight w:val="70"/>
          <w:jc w:val="center"/>
        </w:trPr>
        <w:tc>
          <w:tcPr>
            <w:tcW w:w="471" w:type="pct"/>
            <w:tcBorders>
              <w:top w:val="single" w:sz="8" w:space="0" w:color="auto"/>
              <w:left w:val="single" w:sz="18" w:space="0" w:color="auto"/>
              <w:bottom w:val="single" w:sz="8" w:space="0" w:color="auto"/>
              <w:right w:val="single" w:sz="12" w:space="0" w:color="auto"/>
            </w:tcBorders>
            <w:shd w:val="clear" w:color="auto" w:fill="D9D9D9" w:themeFill="background1" w:themeFillShade="D9"/>
            <w:noWrap/>
            <w:vAlign w:val="center"/>
            <w:hideMark/>
          </w:tcPr>
          <w:p w14:paraId="0910E942" w14:textId="23D1B767" w:rsidR="002256BA" w:rsidRPr="002256BA" w:rsidRDefault="002256BA" w:rsidP="002256BA">
            <w:pPr>
              <w:jc w:val="center"/>
            </w:pPr>
            <w:r w:rsidRPr="002256BA">
              <w:t>2015</w:t>
            </w:r>
          </w:p>
        </w:tc>
        <w:tc>
          <w:tcPr>
            <w:tcW w:w="557" w:type="pct"/>
            <w:tcBorders>
              <w:top w:val="single" w:sz="8" w:space="0" w:color="auto"/>
              <w:left w:val="single" w:sz="12" w:space="0" w:color="auto"/>
              <w:bottom w:val="single" w:sz="8" w:space="0" w:color="auto"/>
              <w:right w:val="single" w:sz="12" w:space="0" w:color="auto"/>
            </w:tcBorders>
            <w:vAlign w:val="center"/>
          </w:tcPr>
          <w:p w14:paraId="68D14B23" w14:textId="72727BC2" w:rsidR="002256BA" w:rsidRPr="00211167" w:rsidRDefault="002256BA" w:rsidP="002256BA">
            <w:pPr>
              <w:jc w:val="right"/>
              <w:rPr>
                <w:rFonts w:cstheme="minorHAnsi"/>
                <w:color w:val="000000"/>
                <w:sz w:val="20"/>
                <w:szCs w:val="20"/>
              </w:rPr>
            </w:pPr>
            <w:r>
              <w:rPr>
                <w:rFonts w:ascii="Calibri" w:hAnsi="Calibri" w:cs="Calibri"/>
                <w:color w:val="000000"/>
              </w:rPr>
              <w:t>6</w:t>
            </w:r>
          </w:p>
        </w:tc>
        <w:tc>
          <w:tcPr>
            <w:tcW w:w="495" w:type="pct"/>
            <w:tcBorders>
              <w:top w:val="single" w:sz="8" w:space="0" w:color="auto"/>
              <w:left w:val="single" w:sz="12" w:space="0" w:color="auto"/>
              <w:bottom w:val="single" w:sz="8" w:space="0" w:color="auto"/>
              <w:right w:val="single" w:sz="12" w:space="0" w:color="auto"/>
            </w:tcBorders>
            <w:vAlign w:val="center"/>
          </w:tcPr>
          <w:p w14:paraId="403C6677" w14:textId="2D02AE6C" w:rsidR="002256BA" w:rsidRPr="00211167" w:rsidRDefault="002256BA" w:rsidP="002256BA">
            <w:pPr>
              <w:jc w:val="right"/>
              <w:rPr>
                <w:rFonts w:cstheme="minorHAnsi"/>
                <w:color w:val="000000"/>
                <w:sz w:val="20"/>
                <w:szCs w:val="20"/>
              </w:rPr>
            </w:pPr>
            <w:r>
              <w:rPr>
                <w:rFonts w:ascii="Calibri" w:hAnsi="Calibri" w:cs="Calibri"/>
                <w:color w:val="000000"/>
              </w:rPr>
              <w:t>2</w:t>
            </w:r>
          </w:p>
        </w:tc>
        <w:tc>
          <w:tcPr>
            <w:tcW w:w="600" w:type="pct"/>
            <w:tcBorders>
              <w:top w:val="single" w:sz="8" w:space="0" w:color="auto"/>
              <w:left w:val="single" w:sz="12" w:space="0" w:color="auto"/>
              <w:bottom w:val="single" w:sz="8" w:space="0" w:color="auto"/>
              <w:right w:val="single" w:sz="12" w:space="0" w:color="auto"/>
            </w:tcBorders>
            <w:vAlign w:val="center"/>
          </w:tcPr>
          <w:p w14:paraId="6833BA85" w14:textId="5AEA4345" w:rsidR="002256BA" w:rsidRPr="00211167" w:rsidRDefault="002256BA" w:rsidP="002256BA">
            <w:pPr>
              <w:jc w:val="right"/>
              <w:rPr>
                <w:rFonts w:cstheme="minorHAnsi"/>
                <w:color w:val="000000"/>
                <w:sz w:val="20"/>
                <w:szCs w:val="20"/>
              </w:rPr>
            </w:pPr>
            <w:r>
              <w:rPr>
                <w:rFonts w:ascii="Calibri" w:hAnsi="Calibri" w:cs="Calibri"/>
                <w:color w:val="000000"/>
              </w:rPr>
              <w:t>4</w:t>
            </w:r>
          </w:p>
        </w:tc>
        <w:tc>
          <w:tcPr>
            <w:tcW w:w="730"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2387719C" w14:textId="68238654" w:rsidR="002256BA" w:rsidRPr="00211167" w:rsidRDefault="002256BA" w:rsidP="002256BA">
            <w:pPr>
              <w:jc w:val="right"/>
              <w:rPr>
                <w:rFonts w:cstheme="minorHAnsi"/>
                <w:color w:val="000000"/>
                <w:sz w:val="20"/>
                <w:szCs w:val="20"/>
              </w:rPr>
            </w:pPr>
            <w:r>
              <w:rPr>
                <w:rFonts w:ascii="Calibri" w:hAnsi="Calibri" w:cs="Calibri"/>
                <w:color w:val="000000"/>
              </w:rPr>
              <w:t>34</w:t>
            </w:r>
          </w:p>
        </w:tc>
        <w:tc>
          <w:tcPr>
            <w:tcW w:w="722"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1E1E39BA" w14:textId="35E543AB" w:rsidR="002256BA" w:rsidRPr="00211167" w:rsidRDefault="002256BA" w:rsidP="002256BA">
            <w:pPr>
              <w:jc w:val="right"/>
              <w:rPr>
                <w:rFonts w:cstheme="minorHAnsi"/>
                <w:color w:val="000000"/>
                <w:sz w:val="20"/>
                <w:szCs w:val="20"/>
              </w:rPr>
            </w:pPr>
            <w:r>
              <w:rPr>
                <w:rFonts w:ascii="Calibri" w:hAnsi="Calibri" w:cs="Calibri"/>
                <w:color w:val="000000"/>
              </w:rPr>
              <w:t>21</w:t>
            </w:r>
          </w:p>
        </w:tc>
        <w:tc>
          <w:tcPr>
            <w:tcW w:w="848"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08995610" w14:textId="3761DA54" w:rsidR="002256BA" w:rsidRPr="00211167" w:rsidRDefault="002256BA" w:rsidP="002256BA">
            <w:pPr>
              <w:jc w:val="right"/>
              <w:rPr>
                <w:rFonts w:cstheme="minorHAnsi"/>
                <w:color w:val="000000"/>
                <w:sz w:val="20"/>
                <w:szCs w:val="20"/>
              </w:rPr>
            </w:pPr>
            <w:r>
              <w:rPr>
                <w:rFonts w:ascii="Calibri" w:hAnsi="Calibri" w:cs="Calibri"/>
                <w:color w:val="000000"/>
              </w:rPr>
              <w:t>13</w:t>
            </w:r>
          </w:p>
        </w:tc>
        <w:tc>
          <w:tcPr>
            <w:tcW w:w="577" w:type="pct"/>
            <w:tcBorders>
              <w:top w:val="single" w:sz="8" w:space="0" w:color="auto"/>
              <w:left w:val="single" w:sz="12" w:space="0" w:color="auto"/>
              <w:bottom w:val="single" w:sz="8" w:space="0" w:color="auto"/>
              <w:right w:val="single" w:sz="18" w:space="0" w:color="auto"/>
            </w:tcBorders>
            <w:vAlign w:val="center"/>
          </w:tcPr>
          <w:p w14:paraId="7D874DD8" w14:textId="40018EE0" w:rsidR="002256BA" w:rsidRPr="00211167" w:rsidRDefault="002256BA" w:rsidP="002256BA">
            <w:pPr>
              <w:jc w:val="right"/>
              <w:rPr>
                <w:rFonts w:cstheme="minorHAnsi"/>
                <w:color w:val="000000"/>
                <w:sz w:val="20"/>
                <w:szCs w:val="20"/>
              </w:rPr>
            </w:pPr>
            <w:r>
              <w:rPr>
                <w:rFonts w:ascii="Calibri" w:hAnsi="Calibri" w:cs="Calibri"/>
                <w:color w:val="000000"/>
              </w:rPr>
              <w:t>17</w:t>
            </w:r>
          </w:p>
        </w:tc>
      </w:tr>
      <w:tr w:rsidR="002256BA" w:rsidRPr="005700ED" w14:paraId="42FD975C" w14:textId="77777777" w:rsidTr="002256BA">
        <w:trPr>
          <w:trHeight w:val="70"/>
          <w:jc w:val="center"/>
        </w:trPr>
        <w:tc>
          <w:tcPr>
            <w:tcW w:w="471" w:type="pct"/>
            <w:tcBorders>
              <w:top w:val="single" w:sz="8" w:space="0" w:color="auto"/>
              <w:left w:val="single" w:sz="18" w:space="0" w:color="auto"/>
              <w:bottom w:val="single" w:sz="8" w:space="0" w:color="auto"/>
              <w:right w:val="single" w:sz="12" w:space="0" w:color="auto"/>
            </w:tcBorders>
            <w:shd w:val="clear" w:color="auto" w:fill="D9D9D9" w:themeFill="background1" w:themeFillShade="D9"/>
            <w:noWrap/>
            <w:vAlign w:val="center"/>
            <w:hideMark/>
          </w:tcPr>
          <w:p w14:paraId="1C1799C1" w14:textId="210E6B25" w:rsidR="002256BA" w:rsidRPr="002256BA" w:rsidRDefault="002256BA" w:rsidP="002256BA">
            <w:pPr>
              <w:jc w:val="center"/>
            </w:pPr>
            <w:r w:rsidRPr="002256BA">
              <w:t>2016</w:t>
            </w:r>
          </w:p>
        </w:tc>
        <w:tc>
          <w:tcPr>
            <w:tcW w:w="557" w:type="pct"/>
            <w:tcBorders>
              <w:top w:val="single" w:sz="8" w:space="0" w:color="auto"/>
              <w:left w:val="single" w:sz="12" w:space="0" w:color="auto"/>
              <w:bottom w:val="single" w:sz="8" w:space="0" w:color="auto"/>
              <w:right w:val="single" w:sz="12" w:space="0" w:color="auto"/>
            </w:tcBorders>
            <w:vAlign w:val="center"/>
          </w:tcPr>
          <w:p w14:paraId="5072467F" w14:textId="16D2F05C" w:rsidR="002256BA" w:rsidRPr="00211167" w:rsidRDefault="002256BA" w:rsidP="002256BA">
            <w:pPr>
              <w:jc w:val="right"/>
              <w:rPr>
                <w:rFonts w:cstheme="minorHAnsi"/>
                <w:color w:val="000000"/>
                <w:sz w:val="20"/>
                <w:szCs w:val="20"/>
              </w:rPr>
            </w:pPr>
            <w:r>
              <w:rPr>
                <w:rFonts w:ascii="Calibri" w:hAnsi="Calibri" w:cs="Calibri"/>
                <w:color w:val="000000"/>
              </w:rPr>
              <w:t>10</w:t>
            </w:r>
          </w:p>
        </w:tc>
        <w:tc>
          <w:tcPr>
            <w:tcW w:w="495" w:type="pct"/>
            <w:tcBorders>
              <w:top w:val="single" w:sz="8" w:space="0" w:color="auto"/>
              <w:left w:val="single" w:sz="12" w:space="0" w:color="auto"/>
              <w:bottom w:val="single" w:sz="8" w:space="0" w:color="auto"/>
              <w:right w:val="single" w:sz="12" w:space="0" w:color="auto"/>
            </w:tcBorders>
            <w:vAlign w:val="center"/>
          </w:tcPr>
          <w:p w14:paraId="4B07579E" w14:textId="355BA9C0" w:rsidR="002256BA" w:rsidRPr="00211167" w:rsidRDefault="002256BA" w:rsidP="002256BA">
            <w:pPr>
              <w:jc w:val="right"/>
              <w:rPr>
                <w:rFonts w:cstheme="minorHAnsi"/>
                <w:color w:val="000000"/>
                <w:sz w:val="20"/>
                <w:szCs w:val="20"/>
              </w:rPr>
            </w:pPr>
            <w:r>
              <w:rPr>
                <w:rFonts w:ascii="Calibri" w:hAnsi="Calibri" w:cs="Calibri"/>
                <w:color w:val="000000"/>
              </w:rPr>
              <w:t>4</w:t>
            </w:r>
          </w:p>
        </w:tc>
        <w:tc>
          <w:tcPr>
            <w:tcW w:w="600" w:type="pct"/>
            <w:tcBorders>
              <w:top w:val="single" w:sz="8" w:space="0" w:color="auto"/>
              <w:left w:val="single" w:sz="12" w:space="0" w:color="auto"/>
              <w:bottom w:val="single" w:sz="8" w:space="0" w:color="auto"/>
              <w:right w:val="single" w:sz="12" w:space="0" w:color="auto"/>
            </w:tcBorders>
            <w:vAlign w:val="center"/>
          </w:tcPr>
          <w:p w14:paraId="73B92E4C" w14:textId="188C0AA9" w:rsidR="002256BA" w:rsidRPr="00211167" w:rsidRDefault="002256BA" w:rsidP="002256BA">
            <w:pPr>
              <w:jc w:val="right"/>
              <w:rPr>
                <w:rFonts w:cstheme="minorHAnsi"/>
                <w:color w:val="000000"/>
                <w:sz w:val="20"/>
                <w:szCs w:val="20"/>
              </w:rPr>
            </w:pPr>
            <w:r>
              <w:rPr>
                <w:rFonts w:ascii="Calibri" w:hAnsi="Calibri" w:cs="Calibri"/>
                <w:color w:val="000000"/>
              </w:rPr>
              <w:t>6</w:t>
            </w:r>
          </w:p>
        </w:tc>
        <w:tc>
          <w:tcPr>
            <w:tcW w:w="730"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22321B03" w14:textId="4F81BC0D" w:rsidR="002256BA" w:rsidRPr="00211167" w:rsidRDefault="002256BA" w:rsidP="002256BA">
            <w:pPr>
              <w:jc w:val="right"/>
              <w:rPr>
                <w:rFonts w:cstheme="minorHAnsi"/>
                <w:color w:val="000000"/>
                <w:sz w:val="20"/>
                <w:szCs w:val="20"/>
              </w:rPr>
            </w:pPr>
            <w:r>
              <w:rPr>
                <w:rFonts w:ascii="Calibri" w:hAnsi="Calibri" w:cs="Calibri"/>
                <w:color w:val="000000"/>
              </w:rPr>
              <w:t>36</w:t>
            </w:r>
          </w:p>
        </w:tc>
        <w:tc>
          <w:tcPr>
            <w:tcW w:w="722"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7743103D" w14:textId="3F182394" w:rsidR="002256BA" w:rsidRPr="00211167" w:rsidRDefault="002256BA" w:rsidP="002256BA">
            <w:pPr>
              <w:jc w:val="right"/>
              <w:rPr>
                <w:rFonts w:cstheme="minorHAnsi"/>
                <w:color w:val="000000"/>
                <w:sz w:val="20"/>
                <w:szCs w:val="20"/>
              </w:rPr>
            </w:pPr>
            <w:r>
              <w:rPr>
                <w:rFonts w:ascii="Calibri" w:hAnsi="Calibri" w:cs="Calibri"/>
                <w:color w:val="000000"/>
              </w:rPr>
              <w:t>28</w:t>
            </w:r>
          </w:p>
        </w:tc>
        <w:tc>
          <w:tcPr>
            <w:tcW w:w="848"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62D2DF4E" w14:textId="1C19AAFA" w:rsidR="002256BA" w:rsidRPr="00211167" w:rsidRDefault="002256BA" w:rsidP="002256BA">
            <w:pPr>
              <w:jc w:val="right"/>
              <w:rPr>
                <w:rFonts w:cstheme="minorHAnsi"/>
                <w:color w:val="000000"/>
                <w:sz w:val="20"/>
                <w:szCs w:val="20"/>
              </w:rPr>
            </w:pPr>
            <w:r>
              <w:rPr>
                <w:rFonts w:ascii="Calibri" w:hAnsi="Calibri" w:cs="Calibri"/>
                <w:color w:val="000000"/>
              </w:rPr>
              <w:t>8</w:t>
            </w:r>
          </w:p>
        </w:tc>
        <w:tc>
          <w:tcPr>
            <w:tcW w:w="577" w:type="pct"/>
            <w:tcBorders>
              <w:top w:val="single" w:sz="8" w:space="0" w:color="auto"/>
              <w:left w:val="single" w:sz="12" w:space="0" w:color="auto"/>
              <w:bottom w:val="single" w:sz="8" w:space="0" w:color="auto"/>
              <w:right w:val="single" w:sz="18" w:space="0" w:color="auto"/>
            </w:tcBorders>
            <w:vAlign w:val="center"/>
          </w:tcPr>
          <w:p w14:paraId="4ECDA9F2" w14:textId="1FC0F3DE" w:rsidR="002256BA" w:rsidRPr="00211167" w:rsidRDefault="002256BA" w:rsidP="002256BA">
            <w:pPr>
              <w:jc w:val="right"/>
              <w:rPr>
                <w:rFonts w:cstheme="minorHAnsi"/>
                <w:color w:val="000000"/>
                <w:sz w:val="20"/>
                <w:szCs w:val="20"/>
              </w:rPr>
            </w:pPr>
            <w:r>
              <w:rPr>
                <w:rFonts w:ascii="Calibri" w:hAnsi="Calibri" w:cs="Calibri"/>
                <w:color w:val="000000"/>
              </w:rPr>
              <w:t>14</w:t>
            </w:r>
          </w:p>
        </w:tc>
      </w:tr>
      <w:tr w:rsidR="002256BA" w:rsidRPr="005700ED" w14:paraId="16B16BCE" w14:textId="77777777" w:rsidTr="002256BA">
        <w:trPr>
          <w:trHeight w:val="60"/>
          <w:jc w:val="center"/>
        </w:trPr>
        <w:tc>
          <w:tcPr>
            <w:tcW w:w="471" w:type="pct"/>
            <w:tcBorders>
              <w:top w:val="single" w:sz="8" w:space="0" w:color="auto"/>
              <w:left w:val="single" w:sz="18" w:space="0" w:color="auto"/>
              <w:bottom w:val="single" w:sz="8" w:space="0" w:color="auto"/>
              <w:right w:val="single" w:sz="12" w:space="0" w:color="auto"/>
            </w:tcBorders>
            <w:shd w:val="clear" w:color="auto" w:fill="D9D9D9" w:themeFill="background1" w:themeFillShade="D9"/>
            <w:noWrap/>
            <w:vAlign w:val="center"/>
            <w:hideMark/>
          </w:tcPr>
          <w:p w14:paraId="15A47439" w14:textId="18FE7C60" w:rsidR="002256BA" w:rsidRPr="002256BA" w:rsidRDefault="002256BA" w:rsidP="002256BA">
            <w:pPr>
              <w:jc w:val="center"/>
            </w:pPr>
            <w:r w:rsidRPr="002256BA">
              <w:t>2017</w:t>
            </w:r>
          </w:p>
        </w:tc>
        <w:tc>
          <w:tcPr>
            <w:tcW w:w="557" w:type="pct"/>
            <w:tcBorders>
              <w:top w:val="single" w:sz="8" w:space="0" w:color="auto"/>
              <w:left w:val="single" w:sz="12" w:space="0" w:color="auto"/>
              <w:bottom w:val="single" w:sz="8" w:space="0" w:color="auto"/>
              <w:right w:val="single" w:sz="12" w:space="0" w:color="auto"/>
            </w:tcBorders>
            <w:vAlign w:val="center"/>
          </w:tcPr>
          <w:p w14:paraId="610B7357" w14:textId="48584438" w:rsidR="002256BA" w:rsidRPr="00211167" w:rsidRDefault="002256BA" w:rsidP="002256BA">
            <w:pPr>
              <w:jc w:val="right"/>
              <w:rPr>
                <w:rFonts w:cstheme="minorHAnsi"/>
                <w:color w:val="000000"/>
                <w:sz w:val="20"/>
                <w:szCs w:val="20"/>
              </w:rPr>
            </w:pPr>
            <w:r>
              <w:rPr>
                <w:rFonts w:ascii="Calibri" w:hAnsi="Calibri" w:cs="Calibri"/>
                <w:color w:val="000000"/>
              </w:rPr>
              <w:t>5</w:t>
            </w:r>
          </w:p>
        </w:tc>
        <w:tc>
          <w:tcPr>
            <w:tcW w:w="495" w:type="pct"/>
            <w:tcBorders>
              <w:top w:val="single" w:sz="8" w:space="0" w:color="auto"/>
              <w:left w:val="single" w:sz="12" w:space="0" w:color="auto"/>
              <w:bottom w:val="single" w:sz="8" w:space="0" w:color="auto"/>
              <w:right w:val="single" w:sz="12" w:space="0" w:color="auto"/>
            </w:tcBorders>
            <w:vAlign w:val="center"/>
          </w:tcPr>
          <w:p w14:paraId="0F54B922" w14:textId="7D3DF780" w:rsidR="002256BA" w:rsidRPr="00211167" w:rsidRDefault="002256BA" w:rsidP="002256BA">
            <w:pPr>
              <w:jc w:val="right"/>
              <w:rPr>
                <w:rFonts w:cstheme="minorHAnsi"/>
                <w:color w:val="000000"/>
                <w:sz w:val="20"/>
                <w:szCs w:val="20"/>
              </w:rPr>
            </w:pPr>
            <w:r>
              <w:rPr>
                <w:rFonts w:ascii="Calibri" w:hAnsi="Calibri" w:cs="Calibri"/>
                <w:color w:val="000000"/>
              </w:rPr>
              <w:t>10</w:t>
            </w:r>
          </w:p>
        </w:tc>
        <w:tc>
          <w:tcPr>
            <w:tcW w:w="600" w:type="pct"/>
            <w:tcBorders>
              <w:top w:val="single" w:sz="8" w:space="0" w:color="auto"/>
              <w:left w:val="single" w:sz="12" w:space="0" w:color="auto"/>
              <w:bottom w:val="single" w:sz="8" w:space="0" w:color="auto"/>
              <w:right w:val="single" w:sz="12" w:space="0" w:color="auto"/>
            </w:tcBorders>
            <w:vAlign w:val="center"/>
          </w:tcPr>
          <w:p w14:paraId="404F0FBD" w14:textId="4D4CDD90" w:rsidR="002256BA" w:rsidRPr="00211167" w:rsidRDefault="002256BA" w:rsidP="002256BA">
            <w:pPr>
              <w:jc w:val="right"/>
              <w:rPr>
                <w:rFonts w:cstheme="minorHAnsi"/>
                <w:color w:val="000000"/>
                <w:sz w:val="20"/>
                <w:szCs w:val="20"/>
              </w:rPr>
            </w:pPr>
            <w:r>
              <w:rPr>
                <w:rFonts w:ascii="Calibri" w:hAnsi="Calibri" w:cs="Calibri"/>
                <w:color w:val="000000"/>
              </w:rPr>
              <w:t>-5</w:t>
            </w:r>
          </w:p>
        </w:tc>
        <w:tc>
          <w:tcPr>
            <w:tcW w:w="730"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341B9CF4" w14:textId="18DCC517" w:rsidR="002256BA" w:rsidRPr="00211167" w:rsidRDefault="002256BA" w:rsidP="002256BA">
            <w:pPr>
              <w:jc w:val="right"/>
              <w:rPr>
                <w:rFonts w:cstheme="minorHAnsi"/>
                <w:color w:val="000000"/>
                <w:sz w:val="20"/>
                <w:szCs w:val="20"/>
              </w:rPr>
            </w:pPr>
            <w:r>
              <w:rPr>
                <w:rFonts w:ascii="Calibri" w:hAnsi="Calibri" w:cs="Calibri"/>
                <w:color w:val="000000"/>
              </w:rPr>
              <w:t>8</w:t>
            </w:r>
          </w:p>
        </w:tc>
        <w:tc>
          <w:tcPr>
            <w:tcW w:w="722"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22610792" w14:textId="6881CCC8" w:rsidR="002256BA" w:rsidRPr="00211167" w:rsidRDefault="002256BA" w:rsidP="002256BA">
            <w:pPr>
              <w:jc w:val="right"/>
              <w:rPr>
                <w:rFonts w:cstheme="minorHAnsi"/>
                <w:color w:val="000000"/>
                <w:sz w:val="20"/>
                <w:szCs w:val="20"/>
              </w:rPr>
            </w:pPr>
            <w:r>
              <w:rPr>
                <w:rFonts w:ascii="Calibri" w:hAnsi="Calibri" w:cs="Calibri"/>
                <w:color w:val="000000"/>
              </w:rPr>
              <w:t>17</w:t>
            </w:r>
          </w:p>
        </w:tc>
        <w:tc>
          <w:tcPr>
            <w:tcW w:w="848"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7F6C3816" w14:textId="569A1528" w:rsidR="002256BA" w:rsidRPr="00211167" w:rsidRDefault="002256BA" w:rsidP="002256BA">
            <w:pPr>
              <w:jc w:val="right"/>
              <w:rPr>
                <w:rFonts w:cstheme="minorHAnsi"/>
                <w:color w:val="000000"/>
                <w:sz w:val="20"/>
                <w:szCs w:val="20"/>
              </w:rPr>
            </w:pPr>
            <w:r>
              <w:rPr>
                <w:rFonts w:ascii="Calibri" w:hAnsi="Calibri" w:cs="Calibri"/>
                <w:color w:val="000000"/>
              </w:rPr>
              <w:t>-9</w:t>
            </w:r>
          </w:p>
        </w:tc>
        <w:tc>
          <w:tcPr>
            <w:tcW w:w="577" w:type="pct"/>
            <w:tcBorders>
              <w:top w:val="single" w:sz="8" w:space="0" w:color="auto"/>
              <w:left w:val="single" w:sz="12" w:space="0" w:color="auto"/>
              <w:bottom w:val="single" w:sz="8" w:space="0" w:color="auto"/>
              <w:right w:val="single" w:sz="18" w:space="0" w:color="auto"/>
            </w:tcBorders>
            <w:vAlign w:val="center"/>
          </w:tcPr>
          <w:p w14:paraId="75B0B234" w14:textId="702A8D13" w:rsidR="002256BA" w:rsidRPr="00211167" w:rsidRDefault="002256BA" w:rsidP="002256BA">
            <w:pPr>
              <w:jc w:val="right"/>
              <w:rPr>
                <w:rFonts w:cstheme="minorHAnsi"/>
                <w:color w:val="000000"/>
                <w:sz w:val="20"/>
                <w:szCs w:val="20"/>
              </w:rPr>
            </w:pPr>
            <w:r>
              <w:rPr>
                <w:rFonts w:ascii="Calibri" w:hAnsi="Calibri" w:cs="Calibri"/>
                <w:color w:val="000000"/>
              </w:rPr>
              <w:t>-14</w:t>
            </w:r>
          </w:p>
        </w:tc>
      </w:tr>
      <w:tr w:rsidR="002256BA" w:rsidRPr="005700ED" w14:paraId="0C389C3F" w14:textId="77777777" w:rsidTr="002256BA">
        <w:trPr>
          <w:trHeight w:val="60"/>
          <w:jc w:val="center"/>
        </w:trPr>
        <w:tc>
          <w:tcPr>
            <w:tcW w:w="471" w:type="pct"/>
            <w:tcBorders>
              <w:top w:val="single" w:sz="8" w:space="0" w:color="auto"/>
              <w:left w:val="single" w:sz="18" w:space="0" w:color="auto"/>
              <w:bottom w:val="single" w:sz="8" w:space="0" w:color="auto"/>
              <w:right w:val="single" w:sz="12" w:space="0" w:color="auto"/>
            </w:tcBorders>
            <w:shd w:val="clear" w:color="auto" w:fill="D9D9D9" w:themeFill="background1" w:themeFillShade="D9"/>
            <w:noWrap/>
            <w:vAlign w:val="center"/>
            <w:hideMark/>
          </w:tcPr>
          <w:p w14:paraId="2F817B81" w14:textId="00E96D58" w:rsidR="002256BA" w:rsidRPr="002256BA" w:rsidRDefault="002256BA" w:rsidP="002256BA">
            <w:pPr>
              <w:jc w:val="center"/>
            </w:pPr>
            <w:r w:rsidRPr="002256BA">
              <w:t>2018</w:t>
            </w:r>
          </w:p>
        </w:tc>
        <w:tc>
          <w:tcPr>
            <w:tcW w:w="557" w:type="pct"/>
            <w:tcBorders>
              <w:top w:val="single" w:sz="8" w:space="0" w:color="auto"/>
              <w:left w:val="single" w:sz="12" w:space="0" w:color="auto"/>
              <w:bottom w:val="single" w:sz="8" w:space="0" w:color="auto"/>
              <w:right w:val="single" w:sz="12" w:space="0" w:color="auto"/>
            </w:tcBorders>
            <w:vAlign w:val="center"/>
          </w:tcPr>
          <w:p w14:paraId="156BCA26" w14:textId="2B73012C" w:rsidR="002256BA" w:rsidRPr="00211167" w:rsidRDefault="002256BA" w:rsidP="002256BA">
            <w:pPr>
              <w:jc w:val="right"/>
              <w:rPr>
                <w:rFonts w:cstheme="minorHAnsi"/>
                <w:color w:val="000000"/>
                <w:sz w:val="20"/>
                <w:szCs w:val="20"/>
              </w:rPr>
            </w:pPr>
            <w:r>
              <w:rPr>
                <w:rFonts w:ascii="Calibri" w:hAnsi="Calibri" w:cs="Calibri"/>
                <w:color w:val="000000"/>
              </w:rPr>
              <w:t>12</w:t>
            </w:r>
          </w:p>
        </w:tc>
        <w:tc>
          <w:tcPr>
            <w:tcW w:w="495" w:type="pct"/>
            <w:tcBorders>
              <w:top w:val="single" w:sz="8" w:space="0" w:color="auto"/>
              <w:left w:val="single" w:sz="12" w:space="0" w:color="auto"/>
              <w:bottom w:val="single" w:sz="8" w:space="0" w:color="auto"/>
              <w:right w:val="single" w:sz="12" w:space="0" w:color="auto"/>
            </w:tcBorders>
            <w:vAlign w:val="center"/>
          </w:tcPr>
          <w:p w14:paraId="6336D5D1" w14:textId="7600C4C8" w:rsidR="002256BA" w:rsidRPr="00211167" w:rsidRDefault="002256BA" w:rsidP="002256BA">
            <w:pPr>
              <w:jc w:val="right"/>
              <w:rPr>
                <w:rFonts w:cstheme="minorHAnsi"/>
                <w:color w:val="000000"/>
                <w:sz w:val="20"/>
                <w:szCs w:val="20"/>
              </w:rPr>
            </w:pPr>
            <w:r>
              <w:rPr>
                <w:rFonts w:ascii="Calibri" w:hAnsi="Calibri" w:cs="Calibri"/>
                <w:color w:val="000000"/>
              </w:rPr>
              <w:t>5</w:t>
            </w:r>
          </w:p>
        </w:tc>
        <w:tc>
          <w:tcPr>
            <w:tcW w:w="600" w:type="pct"/>
            <w:tcBorders>
              <w:top w:val="single" w:sz="8" w:space="0" w:color="auto"/>
              <w:left w:val="single" w:sz="12" w:space="0" w:color="auto"/>
              <w:bottom w:val="single" w:sz="8" w:space="0" w:color="auto"/>
              <w:right w:val="single" w:sz="12" w:space="0" w:color="auto"/>
            </w:tcBorders>
            <w:vAlign w:val="center"/>
          </w:tcPr>
          <w:p w14:paraId="49B58DBD" w14:textId="168A17A8" w:rsidR="002256BA" w:rsidRPr="00211167" w:rsidRDefault="002256BA" w:rsidP="002256BA">
            <w:pPr>
              <w:jc w:val="right"/>
              <w:rPr>
                <w:rFonts w:cstheme="minorHAnsi"/>
                <w:color w:val="000000"/>
                <w:sz w:val="20"/>
                <w:szCs w:val="20"/>
              </w:rPr>
            </w:pPr>
            <w:r>
              <w:rPr>
                <w:rFonts w:ascii="Calibri" w:hAnsi="Calibri" w:cs="Calibri"/>
                <w:color w:val="000000"/>
              </w:rPr>
              <w:t>7</w:t>
            </w:r>
          </w:p>
        </w:tc>
        <w:tc>
          <w:tcPr>
            <w:tcW w:w="730"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550B6B31" w14:textId="4ABA4A31" w:rsidR="002256BA" w:rsidRPr="00211167" w:rsidRDefault="002256BA" w:rsidP="002256BA">
            <w:pPr>
              <w:jc w:val="right"/>
              <w:rPr>
                <w:rFonts w:cstheme="minorHAnsi"/>
                <w:color w:val="000000"/>
                <w:sz w:val="20"/>
                <w:szCs w:val="20"/>
              </w:rPr>
            </w:pPr>
            <w:r>
              <w:rPr>
                <w:rFonts w:ascii="Calibri" w:hAnsi="Calibri" w:cs="Calibri"/>
                <w:color w:val="000000"/>
              </w:rPr>
              <w:t>20</w:t>
            </w:r>
          </w:p>
        </w:tc>
        <w:tc>
          <w:tcPr>
            <w:tcW w:w="722"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321C2758" w14:textId="67BD228C" w:rsidR="002256BA" w:rsidRPr="00211167" w:rsidRDefault="002256BA" w:rsidP="002256BA">
            <w:pPr>
              <w:jc w:val="right"/>
              <w:rPr>
                <w:rFonts w:cstheme="minorHAnsi"/>
                <w:color w:val="000000"/>
                <w:sz w:val="20"/>
                <w:szCs w:val="20"/>
              </w:rPr>
            </w:pPr>
            <w:r>
              <w:rPr>
                <w:rFonts w:ascii="Calibri" w:hAnsi="Calibri" w:cs="Calibri"/>
                <w:color w:val="000000"/>
              </w:rPr>
              <w:t>17</w:t>
            </w:r>
          </w:p>
        </w:tc>
        <w:tc>
          <w:tcPr>
            <w:tcW w:w="848"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7D1E2E10" w14:textId="5DE35283" w:rsidR="002256BA" w:rsidRPr="00211167" w:rsidRDefault="002256BA" w:rsidP="002256BA">
            <w:pPr>
              <w:jc w:val="right"/>
              <w:rPr>
                <w:rFonts w:cstheme="minorHAnsi"/>
                <w:color w:val="000000"/>
                <w:sz w:val="20"/>
                <w:szCs w:val="20"/>
              </w:rPr>
            </w:pPr>
            <w:r>
              <w:rPr>
                <w:rFonts w:ascii="Calibri" w:hAnsi="Calibri" w:cs="Calibri"/>
                <w:color w:val="000000"/>
              </w:rPr>
              <w:t>3</w:t>
            </w:r>
          </w:p>
        </w:tc>
        <w:tc>
          <w:tcPr>
            <w:tcW w:w="577" w:type="pct"/>
            <w:tcBorders>
              <w:top w:val="single" w:sz="8" w:space="0" w:color="auto"/>
              <w:left w:val="single" w:sz="12" w:space="0" w:color="auto"/>
              <w:bottom w:val="single" w:sz="8" w:space="0" w:color="auto"/>
              <w:right w:val="single" w:sz="18" w:space="0" w:color="auto"/>
            </w:tcBorders>
            <w:vAlign w:val="center"/>
          </w:tcPr>
          <w:p w14:paraId="09DA0684" w14:textId="74E15CE1" w:rsidR="002256BA" w:rsidRPr="00211167" w:rsidRDefault="002256BA" w:rsidP="002256BA">
            <w:pPr>
              <w:jc w:val="right"/>
              <w:rPr>
                <w:rFonts w:cstheme="minorHAnsi"/>
                <w:color w:val="000000"/>
                <w:sz w:val="20"/>
                <w:szCs w:val="20"/>
              </w:rPr>
            </w:pPr>
            <w:r>
              <w:rPr>
                <w:rFonts w:ascii="Calibri" w:hAnsi="Calibri" w:cs="Calibri"/>
                <w:color w:val="000000"/>
              </w:rPr>
              <w:t>10</w:t>
            </w:r>
          </w:p>
        </w:tc>
      </w:tr>
      <w:tr w:rsidR="002256BA" w:rsidRPr="005700ED" w14:paraId="6976D226" w14:textId="77777777" w:rsidTr="002256BA">
        <w:trPr>
          <w:trHeight w:val="60"/>
          <w:jc w:val="center"/>
        </w:trPr>
        <w:tc>
          <w:tcPr>
            <w:tcW w:w="471" w:type="pct"/>
            <w:tcBorders>
              <w:top w:val="single" w:sz="8" w:space="0" w:color="auto"/>
              <w:left w:val="single" w:sz="18" w:space="0" w:color="auto"/>
              <w:bottom w:val="single" w:sz="8" w:space="0" w:color="auto"/>
              <w:right w:val="single" w:sz="12" w:space="0" w:color="auto"/>
            </w:tcBorders>
            <w:shd w:val="clear" w:color="auto" w:fill="D9D9D9" w:themeFill="background1" w:themeFillShade="D9"/>
            <w:noWrap/>
            <w:vAlign w:val="center"/>
          </w:tcPr>
          <w:p w14:paraId="72CEC964" w14:textId="2850919C" w:rsidR="002256BA" w:rsidRPr="002256BA" w:rsidRDefault="002256BA" w:rsidP="002256BA">
            <w:pPr>
              <w:jc w:val="center"/>
            </w:pPr>
            <w:r w:rsidRPr="002256BA">
              <w:t>2019</w:t>
            </w:r>
          </w:p>
        </w:tc>
        <w:tc>
          <w:tcPr>
            <w:tcW w:w="557" w:type="pct"/>
            <w:tcBorders>
              <w:top w:val="single" w:sz="8" w:space="0" w:color="auto"/>
              <w:left w:val="single" w:sz="12" w:space="0" w:color="auto"/>
              <w:bottom w:val="single" w:sz="8" w:space="0" w:color="auto"/>
              <w:right w:val="single" w:sz="12" w:space="0" w:color="auto"/>
            </w:tcBorders>
            <w:vAlign w:val="center"/>
          </w:tcPr>
          <w:p w14:paraId="0210FD7D" w14:textId="04B51628" w:rsidR="002256BA" w:rsidRPr="00211167" w:rsidRDefault="002256BA" w:rsidP="002256BA">
            <w:pPr>
              <w:jc w:val="right"/>
              <w:rPr>
                <w:rFonts w:cstheme="minorHAnsi"/>
                <w:color w:val="000000"/>
                <w:sz w:val="20"/>
                <w:szCs w:val="20"/>
              </w:rPr>
            </w:pPr>
            <w:r>
              <w:rPr>
                <w:rFonts w:ascii="Calibri" w:hAnsi="Calibri" w:cs="Calibri"/>
                <w:color w:val="000000"/>
              </w:rPr>
              <w:t>6</w:t>
            </w:r>
          </w:p>
        </w:tc>
        <w:tc>
          <w:tcPr>
            <w:tcW w:w="495" w:type="pct"/>
            <w:tcBorders>
              <w:top w:val="single" w:sz="8" w:space="0" w:color="auto"/>
              <w:left w:val="single" w:sz="12" w:space="0" w:color="auto"/>
              <w:bottom w:val="single" w:sz="8" w:space="0" w:color="auto"/>
              <w:right w:val="single" w:sz="12" w:space="0" w:color="auto"/>
            </w:tcBorders>
            <w:vAlign w:val="center"/>
          </w:tcPr>
          <w:p w14:paraId="60D95723" w14:textId="321FBE18" w:rsidR="002256BA" w:rsidRPr="00211167" w:rsidRDefault="002256BA" w:rsidP="002256BA">
            <w:pPr>
              <w:jc w:val="right"/>
              <w:rPr>
                <w:rFonts w:cstheme="minorHAnsi"/>
                <w:color w:val="000000"/>
                <w:sz w:val="20"/>
                <w:szCs w:val="20"/>
              </w:rPr>
            </w:pPr>
            <w:r>
              <w:rPr>
                <w:rFonts w:ascii="Calibri" w:hAnsi="Calibri" w:cs="Calibri"/>
                <w:color w:val="000000"/>
              </w:rPr>
              <w:t>2</w:t>
            </w:r>
          </w:p>
        </w:tc>
        <w:tc>
          <w:tcPr>
            <w:tcW w:w="600" w:type="pct"/>
            <w:tcBorders>
              <w:top w:val="single" w:sz="8" w:space="0" w:color="auto"/>
              <w:left w:val="single" w:sz="12" w:space="0" w:color="auto"/>
              <w:bottom w:val="single" w:sz="8" w:space="0" w:color="auto"/>
              <w:right w:val="single" w:sz="12" w:space="0" w:color="auto"/>
            </w:tcBorders>
            <w:vAlign w:val="center"/>
          </w:tcPr>
          <w:p w14:paraId="0CF0B270" w14:textId="06CC7617" w:rsidR="002256BA" w:rsidRPr="00211167" w:rsidRDefault="002256BA" w:rsidP="002256BA">
            <w:pPr>
              <w:jc w:val="right"/>
              <w:rPr>
                <w:rFonts w:cstheme="minorHAnsi"/>
                <w:color w:val="000000"/>
                <w:sz w:val="20"/>
                <w:szCs w:val="20"/>
              </w:rPr>
            </w:pPr>
            <w:r>
              <w:rPr>
                <w:rFonts w:ascii="Calibri" w:hAnsi="Calibri" w:cs="Calibri"/>
                <w:color w:val="000000"/>
              </w:rPr>
              <w:t>4</w:t>
            </w:r>
          </w:p>
        </w:tc>
        <w:tc>
          <w:tcPr>
            <w:tcW w:w="730"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08FA1934" w14:textId="6CDAFBE3" w:rsidR="002256BA" w:rsidRPr="00211167" w:rsidRDefault="002256BA" w:rsidP="002256BA">
            <w:pPr>
              <w:jc w:val="right"/>
              <w:rPr>
                <w:rFonts w:cstheme="minorHAnsi"/>
                <w:color w:val="000000"/>
                <w:sz w:val="20"/>
                <w:szCs w:val="20"/>
              </w:rPr>
            </w:pPr>
            <w:r>
              <w:rPr>
                <w:rFonts w:ascii="Calibri" w:hAnsi="Calibri" w:cs="Calibri"/>
                <w:color w:val="000000"/>
              </w:rPr>
              <w:t>41</w:t>
            </w:r>
          </w:p>
        </w:tc>
        <w:tc>
          <w:tcPr>
            <w:tcW w:w="722"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7DA5A14D" w14:textId="27FE21C3" w:rsidR="002256BA" w:rsidRPr="00211167" w:rsidRDefault="002256BA" w:rsidP="002256BA">
            <w:pPr>
              <w:jc w:val="right"/>
              <w:rPr>
                <w:rFonts w:cstheme="minorHAnsi"/>
                <w:color w:val="000000"/>
                <w:sz w:val="20"/>
                <w:szCs w:val="20"/>
              </w:rPr>
            </w:pPr>
            <w:r>
              <w:rPr>
                <w:rFonts w:ascii="Calibri" w:hAnsi="Calibri" w:cs="Calibri"/>
                <w:color w:val="000000"/>
              </w:rPr>
              <w:t>16</w:t>
            </w:r>
          </w:p>
        </w:tc>
        <w:tc>
          <w:tcPr>
            <w:tcW w:w="848"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5629F6C4" w14:textId="5B61F7B3" w:rsidR="002256BA" w:rsidRPr="00211167" w:rsidRDefault="002256BA" w:rsidP="002256BA">
            <w:pPr>
              <w:jc w:val="right"/>
              <w:rPr>
                <w:rFonts w:cstheme="minorHAnsi"/>
                <w:color w:val="000000"/>
                <w:sz w:val="20"/>
                <w:szCs w:val="20"/>
              </w:rPr>
            </w:pPr>
            <w:r>
              <w:rPr>
                <w:rFonts w:ascii="Calibri" w:hAnsi="Calibri" w:cs="Calibri"/>
                <w:color w:val="000000"/>
              </w:rPr>
              <w:t>25</w:t>
            </w:r>
          </w:p>
        </w:tc>
        <w:tc>
          <w:tcPr>
            <w:tcW w:w="577" w:type="pct"/>
            <w:tcBorders>
              <w:top w:val="single" w:sz="8" w:space="0" w:color="auto"/>
              <w:left w:val="single" w:sz="12" w:space="0" w:color="auto"/>
              <w:bottom w:val="single" w:sz="8" w:space="0" w:color="auto"/>
              <w:right w:val="single" w:sz="18" w:space="0" w:color="auto"/>
            </w:tcBorders>
            <w:vAlign w:val="center"/>
          </w:tcPr>
          <w:p w14:paraId="22EC9758" w14:textId="58688144" w:rsidR="002256BA" w:rsidRPr="00211167" w:rsidRDefault="002256BA" w:rsidP="002256BA">
            <w:pPr>
              <w:jc w:val="right"/>
              <w:rPr>
                <w:rFonts w:cstheme="minorHAnsi"/>
                <w:color w:val="000000"/>
                <w:sz w:val="20"/>
                <w:szCs w:val="20"/>
              </w:rPr>
            </w:pPr>
            <w:r>
              <w:rPr>
                <w:rFonts w:ascii="Calibri" w:hAnsi="Calibri" w:cs="Calibri"/>
                <w:color w:val="000000"/>
              </w:rPr>
              <w:t>29</w:t>
            </w:r>
          </w:p>
        </w:tc>
      </w:tr>
      <w:tr w:rsidR="002256BA" w:rsidRPr="005700ED" w14:paraId="6B62135F" w14:textId="77777777" w:rsidTr="002256BA">
        <w:trPr>
          <w:trHeight w:val="60"/>
          <w:jc w:val="center"/>
        </w:trPr>
        <w:tc>
          <w:tcPr>
            <w:tcW w:w="471" w:type="pct"/>
            <w:tcBorders>
              <w:top w:val="single" w:sz="8" w:space="0" w:color="auto"/>
              <w:left w:val="single" w:sz="18" w:space="0" w:color="auto"/>
              <w:bottom w:val="single" w:sz="8" w:space="0" w:color="auto"/>
              <w:right w:val="single" w:sz="12" w:space="0" w:color="auto"/>
            </w:tcBorders>
            <w:shd w:val="clear" w:color="auto" w:fill="D9D9D9" w:themeFill="background1" w:themeFillShade="D9"/>
            <w:noWrap/>
            <w:vAlign w:val="center"/>
            <w:hideMark/>
          </w:tcPr>
          <w:p w14:paraId="0E68EB14" w14:textId="27220620" w:rsidR="002256BA" w:rsidRPr="002256BA" w:rsidRDefault="002256BA" w:rsidP="002256BA">
            <w:pPr>
              <w:jc w:val="center"/>
            </w:pPr>
            <w:r w:rsidRPr="002256BA">
              <w:t>2020</w:t>
            </w:r>
          </w:p>
        </w:tc>
        <w:tc>
          <w:tcPr>
            <w:tcW w:w="557" w:type="pct"/>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A0F07A0" w14:textId="3C33F57B" w:rsidR="002256BA" w:rsidRPr="00211167" w:rsidRDefault="002256BA" w:rsidP="002256BA">
            <w:pPr>
              <w:jc w:val="right"/>
              <w:rPr>
                <w:rFonts w:cstheme="minorHAnsi"/>
                <w:color w:val="000000"/>
                <w:sz w:val="20"/>
                <w:szCs w:val="20"/>
              </w:rPr>
            </w:pPr>
            <w:r>
              <w:rPr>
                <w:rFonts w:ascii="Calibri" w:hAnsi="Calibri" w:cs="Calibri"/>
                <w:color w:val="000000"/>
              </w:rPr>
              <w:t>9</w:t>
            </w:r>
          </w:p>
        </w:tc>
        <w:tc>
          <w:tcPr>
            <w:tcW w:w="495" w:type="pct"/>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A46927" w14:textId="305D391D" w:rsidR="002256BA" w:rsidRPr="00211167" w:rsidRDefault="002256BA" w:rsidP="002256BA">
            <w:pPr>
              <w:jc w:val="right"/>
              <w:rPr>
                <w:rFonts w:cstheme="minorHAnsi"/>
                <w:color w:val="000000"/>
                <w:sz w:val="20"/>
                <w:szCs w:val="20"/>
              </w:rPr>
            </w:pPr>
            <w:r>
              <w:rPr>
                <w:rFonts w:ascii="Calibri" w:hAnsi="Calibri" w:cs="Calibri"/>
                <w:color w:val="000000"/>
              </w:rPr>
              <w:t>4</w:t>
            </w:r>
          </w:p>
        </w:tc>
        <w:tc>
          <w:tcPr>
            <w:tcW w:w="600" w:type="pct"/>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762E9D1" w14:textId="0364E7AE" w:rsidR="002256BA" w:rsidRPr="00211167" w:rsidRDefault="002256BA" w:rsidP="002256BA">
            <w:pPr>
              <w:jc w:val="right"/>
              <w:rPr>
                <w:rFonts w:cstheme="minorHAnsi"/>
                <w:color w:val="000000"/>
                <w:sz w:val="20"/>
                <w:szCs w:val="20"/>
              </w:rPr>
            </w:pPr>
            <w:r>
              <w:rPr>
                <w:rFonts w:ascii="Calibri" w:hAnsi="Calibri" w:cs="Calibri"/>
                <w:color w:val="000000"/>
              </w:rPr>
              <w:t>5</w:t>
            </w:r>
          </w:p>
        </w:tc>
        <w:tc>
          <w:tcPr>
            <w:tcW w:w="730" w:type="pct"/>
            <w:tcBorders>
              <w:top w:val="single" w:sz="8" w:space="0" w:color="auto"/>
              <w:left w:val="single" w:sz="12" w:space="0" w:color="auto"/>
              <w:bottom w:val="single" w:sz="8" w:space="0" w:color="auto"/>
              <w:right w:val="single" w:sz="12" w:space="0" w:color="auto"/>
            </w:tcBorders>
            <w:shd w:val="clear" w:color="auto" w:fill="FFFFFF" w:themeFill="background1"/>
            <w:noWrap/>
            <w:vAlign w:val="center"/>
          </w:tcPr>
          <w:p w14:paraId="78B0B8EF" w14:textId="51189F07" w:rsidR="002256BA" w:rsidRPr="00211167" w:rsidRDefault="002256BA" w:rsidP="002256BA">
            <w:pPr>
              <w:jc w:val="right"/>
              <w:rPr>
                <w:rFonts w:cstheme="minorHAnsi"/>
                <w:color w:val="000000"/>
                <w:sz w:val="20"/>
                <w:szCs w:val="20"/>
              </w:rPr>
            </w:pPr>
            <w:r>
              <w:rPr>
                <w:rFonts w:ascii="Calibri" w:hAnsi="Calibri" w:cs="Calibri"/>
                <w:color w:val="000000"/>
              </w:rPr>
              <w:t>29</w:t>
            </w:r>
          </w:p>
        </w:tc>
        <w:tc>
          <w:tcPr>
            <w:tcW w:w="722" w:type="pct"/>
            <w:tcBorders>
              <w:top w:val="single" w:sz="8" w:space="0" w:color="auto"/>
              <w:left w:val="single" w:sz="12" w:space="0" w:color="auto"/>
              <w:bottom w:val="single" w:sz="8" w:space="0" w:color="auto"/>
              <w:right w:val="single" w:sz="12" w:space="0" w:color="auto"/>
            </w:tcBorders>
            <w:shd w:val="clear" w:color="auto" w:fill="FFFFFF" w:themeFill="background1"/>
            <w:noWrap/>
            <w:vAlign w:val="center"/>
          </w:tcPr>
          <w:p w14:paraId="2EB3AA01" w14:textId="3899BED0" w:rsidR="002256BA" w:rsidRPr="00211167" w:rsidRDefault="002256BA" w:rsidP="002256BA">
            <w:pPr>
              <w:jc w:val="right"/>
              <w:rPr>
                <w:rFonts w:cstheme="minorHAnsi"/>
                <w:color w:val="000000"/>
                <w:sz w:val="20"/>
                <w:szCs w:val="20"/>
              </w:rPr>
            </w:pPr>
            <w:r>
              <w:rPr>
                <w:rFonts w:ascii="Calibri" w:hAnsi="Calibri" w:cs="Calibri"/>
                <w:color w:val="000000"/>
              </w:rPr>
              <w:t>8</w:t>
            </w:r>
          </w:p>
        </w:tc>
        <w:tc>
          <w:tcPr>
            <w:tcW w:w="848" w:type="pct"/>
            <w:tcBorders>
              <w:top w:val="single" w:sz="8" w:space="0" w:color="auto"/>
              <w:left w:val="single" w:sz="12" w:space="0" w:color="auto"/>
              <w:bottom w:val="single" w:sz="8" w:space="0" w:color="auto"/>
              <w:right w:val="single" w:sz="12" w:space="0" w:color="auto"/>
            </w:tcBorders>
            <w:shd w:val="clear" w:color="auto" w:fill="FFFFFF" w:themeFill="background1"/>
            <w:noWrap/>
            <w:vAlign w:val="center"/>
          </w:tcPr>
          <w:p w14:paraId="3D8DA189" w14:textId="7D3A0148" w:rsidR="002256BA" w:rsidRPr="00211167" w:rsidRDefault="002256BA" w:rsidP="002256BA">
            <w:pPr>
              <w:jc w:val="right"/>
              <w:rPr>
                <w:rFonts w:cstheme="minorHAnsi"/>
                <w:color w:val="000000"/>
                <w:sz w:val="20"/>
                <w:szCs w:val="20"/>
              </w:rPr>
            </w:pPr>
            <w:r>
              <w:rPr>
                <w:rFonts w:ascii="Calibri" w:hAnsi="Calibri" w:cs="Calibri"/>
                <w:color w:val="000000"/>
              </w:rPr>
              <w:t>21</w:t>
            </w:r>
          </w:p>
        </w:tc>
        <w:tc>
          <w:tcPr>
            <w:tcW w:w="577" w:type="pct"/>
            <w:tcBorders>
              <w:top w:val="single" w:sz="8" w:space="0" w:color="auto"/>
              <w:left w:val="single" w:sz="12" w:space="0" w:color="auto"/>
              <w:bottom w:val="single" w:sz="8" w:space="0" w:color="auto"/>
              <w:right w:val="single" w:sz="18" w:space="0" w:color="auto"/>
            </w:tcBorders>
            <w:shd w:val="clear" w:color="auto" w:fill="FFFFFF" w:themeFill="background1"/>
            <w:vAlign w:val="center"/>
          </w:tcPr>
          <w:p w14:paraId="7D7ACEF2" w14:textId="3550318D" w:rsidR="002256BA" w:rsidRPr="00211167" w:rsidRDefault="002256BA" w:rsidP="002256BA">
            <w:pPr>
              <w:jc w:val="right"/>
              <w:rPr>
                <w:rFonts w:cstheme="minorHAnsi"/>
                <w:color w:val="000000"/>
                <w:sz w:val="20"/>
                <w:szCs w:val="20"/>
              </w:rPr>
            </w:pPr>
            <w:r>
              <w:rPr>
                <w:rFonts w:ascii="Calibri" w:hAnsi="Calibri" w:cs="Calibri"/>
                <w:color w:val="000000"/>
              </w:rPr>
              <w:t>26</w:t>
            </w:r>
          </w:p>
        </w:tc>
      </w:tr>
      <w:tr w:rsidR="002256BA" w:rsidRPr="005700ED" w14:paraId="286767A6" w14:textId="77777777" w:rsidTr="002256BA">
        <w:trPr>
          <w:trHeight w:val="60"/>
          <w:jc w:val="center"/>
        </w:trPr>
        <w:tc>
          <w:tcPr>
            <w:tcW w:w="471" w:type="pct"/>
            <w:tcBorders>
              <w:top w:val="single" w:sz="8" w:space="0" w:color="auto"/>
              <w:left w:val="single" w:sz="18" w:space="0" w:color="auto"/>
              <w:bottom w:val="single" w:sz="12" w:space="0" w:color="auto"/>
              <w:right w:val="single" w:sz="12" w:space="0" w:color="auto"/>
            </w:tcBorders>
            <w:shd w:val="clear" w:color="auto" w:fill="D9D9D9" w:themeFill="background1" w:themeFillShade="D9"/>
            <w:noWrap/>
            <w:vAlign w:val="center"/>
          </w:tcPr>
          <w:p w14:paraId="4B773B3E" w14:textId="5D2DDBD0" w:rsidR="002256BA" w:rsidRPr="002256BA" w:rsidRDefault="002256BA" w:rsidP="002256BA">
            <w:pPr>
              <w:jc w:val="center"/>
            </w:pPr>
            <w:r w:rsidRPr="002256BA">
              <w:t>2021</w:t>
            </w:r>
          </w:p>
        </w:tc>
        <w:tc>
          <w:tcPr>
            <w:tcW w:w="557" w:type="pct"/>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828861A" w14:textId="6089B494" w:rsidR="002256BA" w:rsidRPr="00211167" w:rsidRDefault="002256BA" w:rsidP="002256BA">
            <w:pPr>
              <w:jc w:val="right"/>
              <w:rPr>
                <w:rFonts w:cstheme="minorHAnsi"/>
                <w:color w:val="000000"/>
                <w:sz w:val="20"/>
                <w:szCs w:val="20"/>
              </w:rPr>
            </w:pPr>
            <w:r>
              <w:rPr>
                <w:rFonts w:ascii="Calibri" w:hAnsi="Calibri" w:cs="Calibri"/>
                <w:color w:val="000000"/>
              </w:rPr>
              <w:t>6</w:t>
            </w:r>
          </w:p>
        </w:tc>
        <w:tc>
          <w:tcPr>
            <w:tcW w:w="495" w:type="pct"/>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5AD5F5A" w14:textId="1DE1811D" w:rsidR="002256BA" w:rsidRPr="00211167" w:rsidRDefault="002256BA" w:rsidP="002256BA">
            <w:pPr>
              <w:jc w:val="right"/>
              <w:rPr>
                <w:rFonts w:cstheme="minorHAnsi"/>
                <w:color w:val="000000"/>
                <w:sz w:val="20"/>
                <w:szCs w:val="20"/>
              </w:rPr>
            </w:pPr>
            <w:r>
              <w:rPr>
                <w:rFonts w:ascii="Calibri" w:hAnsi="Calibri" w:cs="Calibri"/>
                <w:color w:val="000000"/>
              </w:rPr>
              <w:t>8</w:t>
            </w:r>
          </w:p>
        </w:tc>
        <w:tc>
          <w:tcPr>
            <w:tcW w:w="600" w:type="pct"/>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2FB33E" w14:textId="6F22E5DD" w:rsidR="002256BA" w:rsidRPr="00211167" w:rsidRDefault="002256BA" w:rsidP="002256BA">
            <w:pPr>
              <w:jc w:val="right"/>
              <w:rPr>
                <w:rFonts w:cstheme="minorHAnsi"/>
                <w:color w:val="000000"/>
                <w:sz w:val="20"/>
                <w:szCs w:val="20"/>
              </w:rPr>
            </w:pPr>
            <w:r>
              <w:rPr>
                <w:rFonts w:ascii="Calibri" w:hAnsi="Calibri" w:cs="Calibri"/>
                <w:color w:val="000000"/>
              </w:rPr>
              <w:t>-2</w:t>
            </w:r>
          </w:p>
        </w:tc>
        <w:tc>
          <w:tcPr>
            <w:tcW w:w="730" w:type="pct"/>
            <w:tcBorders>
              <w:top w:val="single" w:sz="8" w:space="0" w:color="auto"/>
              <w:left w:val="single" w:sz="12" w:space="0" w:color="auto"/>
              <w:bottom w:val="single" w:sz="12" w:space="0" w:color="auto"/>
              <w:right w:val="single" w:sz="12" w:space="0" w:color="auto"/>
            </w:tcBorders>
            <w:shd w:val="clear" w:color="auto" w:fill="FFFFFF" w:themeFill="background1"/>
            <w:noWrap/>
            <w:vAlign w:val="center"/>
          </w:tcPr>
          <w:p w14:paraId="2BFC5087" w14:textId="28D92F32" w:rsidR="002256BA" w:rsidRPr="00211167" w:rsidRDefault="002256BA" w:rsidP="002256BA">
            <w:pPr>
              <w:jc w:val="right"/>
              <w:rPr>
                <w:rFonts w:cstheme="minorHAnsi"/>
                <w:color w:val="000000"/>
                <w:sz w:val="20"/>
                <w:szCs w:val="20"/>
              </w:rPr>
            </w:pPr>
            <w:r>
              <w:rPr>
                <w:rFonts w:ascii="Calibri" w:hAnsi="Calibri" w:cs="Calibri"/>
                <w:color w:val="000000"/>
              </w:rPr>
              <w:t>37</w:t>
            </w:r>
          </w:p>
        </w:tc>
        <w:tc>
          <w:tcPr>
            <w:tcW w:w="722" w:type="pct"/>
            <w:tcBorders>
              <w:top w:val="single" w:sz="8" w:space="0" w:color="auto"/>
              <w:left w:val="single" w:sz="12" w:space="0" w:color="auto"/>
              <w:bottom w:val="single" w:sz="12" w:space="0" w:color="auto"/>
              <w:right w:val="single" w:sz="12" w:space="0" w:color="auto"/>
            </w:tcBorders>
            <w:shd w:val="clear" w:color="auto" w:fill="FFFFFF" w:themeFill="background1"/>
            <w:noWrap/>
            <w:vAlign w:val="center"/>
          </w:tcPr>
          <w:p w14:paraId="09AA2051" w14:textId="2EF457D3" w:rsidR="002256BA" w:rsidRPr="00211167" w:rsidRDefault="002256BA" w:rsidP="002256BA">
            <w:pPr>
              <w:jc w:val="right"/>
              <w:rPr>
                <w:rFonts w:cstheme="minorHAnsi"/>
                <w:color w:val="000000"/>
                <w:sz w:val="20"/>
                <w:szCs w:val="20"/>
              </w:rPr>
            </w:pPr>
            <w:r>
              <w:rPr>
                <w:rFonts w:ascii="Calibri" w:hAnsi="Calibri" w:cs="Calibri"/>
                <w:color w:val="000000"/>
              </w:rPr>
              <w:t>9</w:t>
            </w:r>
          </w:p>
        </w:tc>
        <w:tc>
          <w:tcPr>
            <w:tcW w:w="848" w:type="pct"/>
            <w:tcBorders>
              <w:top w:val="single" w:sz="8" w:space="0" w:color="auto"/>
              <w:left w:val="single" w:sz="12" w:space="0" w:color="auto"/>
              <w:bottom w:val="single" w:sz="12" w:space="0" w:color="auto"/>
              <w:right w:val="single" w:sz="12" w:space="0" w:color="auto"/>
            </w:tcBorders>
            <w:shd w:val="clear" w:color="auto" w:fill="FFFFFF" w:themeFill="background1"/>
            <w:noWrap/>
            <w:vAlign w:val="center"/>
          </w:tcPr>
          <w:p w14:paraId="5EA66BA9" w14:textId="6ED9F824" w:rsidR="002256BA" w:rsidRPr="00211167" w:rsidRDefault="002256BA" w:rsidP="002256BA">
            <w:pPr>
              <w:jc w:val="right"/>
              <w:rPr>
                <w:rFonts w:cstheme="minorHAnsi"/>
                <w:color w:val="000000"/>
                <w:sz w:val="20"/>
                <w:szCs w:val="20"/>
              </w:rPr>
            </w:pPr>
            <w:r>
              <w:rPr>
                <w:rFonts w:ascii="Calibri" w:hAnsi="Calibri" w:cs="Calibri"/>
                <w:color w:val="000000"/>
              </w:rPr>
              <w:t>28</w:t>
            </w:r>
          </w:p>
        </w:tc>
        <w:tc>
          <w:tcPr>
            <w:tcW w:w="577" w:type="pct"/>
            <w:tcBorders>
              <w:top w:val="single" w:sz="8" w:space="0" w:color="auto"/>
              <w:left w:val="single" w:sz="12" w:space="0" w:color="auto"/>
              <w:bottom w:val="single" w:sz="12" w:space="0" w:color="auto"/>
              <w:right w:val="single" w:sz="18" w:space="0" w:color="auto"/>
            </w:tcBorders>
            <w:shd w:val="clear" w:color="auto" w:fill="FFFFFF" w:themeFill="background1"/>
            <w:vAlign w:val="center"/>
          </w:tcPr>
          <w:p w14:paraId="317D20FD" w14:textId="3B1169A6" w:rsidR="002256BA" w:rsidRPr="00211167" w:rsidRDefault="002256BA" w:rsidP="002256BA">
            <w:pPr>
              <w:jc w:val="right"/>
              <w:rPr>
                <w:rFonts w:cstheme="minorHAnsi"/>
                <w:color w:val="000000"/>
                <w:sz w:val="20"/>
                <w:szCs w:val="20"/>
              </w:rPr>
            </w:pPr>
            <w:r>
              <w:rPr>
                <w:rFonts w:ascii="Calibri" w:hAnsi="Calibri" w:cs="Calibri"/>
                <w:color w:val="000000"/>
              </w:rPr>
              <w:t>26</w:t>
            </w:r>
          </w:p>
        </w:tc>
      </w:tr>
      <w:tr w:rsidR="002256BA" w:rsidRPr="005700ED" w14:paraId="08779543" w14:textId="77777777" w:rsidTr="002256BA">
        <w:trPr>
          <w:trHeight w:val="50"/>
          <w:jc w:val="center"/>
        </w:trPr>
        <w:tc>
          <w:tcPr>
            <w:tcW w:w="471" w:type="pct"/>
            <w:tcBorders>
              <w:top w:val="single" w:sz="12" w:space="0" w:color="auto"/>
              <w:left w:val="single" w:sz="18" w:space="0" w:color="auto"/>
              <w:bottom w:val="single" w:sz="18" w:space="0" w:color="auto"/>
              <w:right w:val="single" w:sz="12" w:space="0" w:color="auto"/>
            </w:tcBorders>
            <w:shd w:val="clear" w:color="auto" w:fill="D9D9D9" w:themeFill="background1" w:themeFillShade="D9"/>
            <w:noWrap/>
            <w:vAlign w:val="center"/>
          </w:tcPr>
          <w:p w14:paraId="2C8E0E49" w14:textId="77777777" w:rsidR="002256BA" w:rsidRPr="002256BA" w:rsidRDefault="002256BA" w:rsidP="002256BA">
            <w:pPr>
              <w:jc w:val="right"/>
              <w:rPr>
                <w:b/>
              </w:rPr>
            </w:pPr>
            <w:r w:rsidRPr="002256BA">
              <w:rPr>
                <w:b/>
              </w:rPr>
              <w:t>celkem</w:t>
            </w:r>
          </w:p>
        </w:tc>
        <w:tc>
          <w:tcPr>
            <w:tcW w:w="557" w:type="pct"/>
            <w:tcBorders>
              <w:top w:val="single" w:sz="12" w:space="0" w:color="auto"/>
              <w:left w:val="single" w:sz="12" w:space="0" w:color="auto"/>
              <w:bottom w:val="single" w:sz="18" w:space="0" w:color="auto"/>
              <w:right w:val="single" w:sz="12" w:space="0" w:color="auto"/>
            </w:tcBorders>
            <w:shd w:val="clear" w:color="auto" w:fill="D9D9D9" w:themeFill="background1" w:themeFillShade="D9"/>
            <w:vAlign w:val="center"/>
          </w:tcPr>
          <w:p w14:paraId="60C6DA36" w14:textId="260EE6CA" w:rsidR="002256BA" w:rsidRPr="002256BA" w:rsidRDefault="002256BA" w:rsidP="002256BA">
            <w:pPr>
              <w:jc w:val="right"/>
              <w:rPr>
                <w:rFonts w:cstheme="minorHAnsi"/>
                <w:b/>
                <w:bCs/>
                <w:color w:val="000000"/>
                <w:sz w:val="20"/>
                <w:szCs w:val="20"/>
              </w:rPr>
            </w:pPr>
            <w:r w:rsidRPr="002256BA">
              <w:rPr>
                <w:rFonts w:ascii="Calibri" w:hAnsi="Calibri" w:cs="Calibri"/>
                <w:b/>
                <w:bCs/>
                <w:color w:val="000000"/>
              </w:rPr>
              <w:t>77</w:t>
            </w:r>
          </w:p>
        </w:tc>
        <w:tc>
          <w:tcPr>
            <w:tcW w:w="495" w:type="pct"/>
            <w:tcBorders>
              <w:top w:val="single" w:sz="12" w:space="0" w:color="auto"/>
              <w:left w:val="single" w:sz="12" w:space="0" w:color="auto"/>
              <w:bottom w:val="single" w:sz="18" w:space="0" w:color="auto"/>
              <w:right w:val="single" w:sz="12" w:space="0" w:color="auto"/>
            </w:tcBorders>
            <w:shd w:val="clear" w:color="auto" w:fill="D9D9D9" w:themeFill="background1" w:themeFillShade="D9"/>
            <w:vAlign w:val="center"/>
          </w:tcPr>
          <w:p w14:paraId="47AE45B3" w14:textId="24B892ED" w:rsidR="002256BA" w:rsidRPr="002256BA" w:rsidRDefault="002256BA" w:rsidP="002256BA">
            <w:pPr>
              <w:jc w:val="right"/>
              <w:rPr>
                <w:rFonts w:cstheme="minorHAnsi"/>
                <w:b/>
                <w:bCs/>
                <w:color w:val="000000"/>
                <w:sz w:val="20"/>
                <w:szCs w:val="20"/>
              </w:rPr>
            </w:pPr>
            <w:r w:rsidRPr="002256BA">
              <w:rPr>
                <w:rFonts w:ascii="Calibri" w:hAnsi="Calibri" w:cs="Calibri"/>
                <w:b/>
                <w:bCs/>
                <w:color w:val="000000"/>
              </w:rPr>
              <w:t>58</w:t>
            </w:r>
          </w:p>
        </w:tc>
        <w:tc>
          <w:tcPr>
            <w:tcW w:w="600" w:type="pct"/>
            <w:tcBorders>
              <w:top w:val="single" w:sz="12" w:space="0" w:color="auto"/>
              <w:left w:val="single" w:sz="12" w:space="0" w:color="auto"/>
              <w:bottom w:val="single" w:sz="18" w:space="0" w:color="auto"/>
              <w:right w:val="single" w:sz="12" w:space="0" w:color="auto"/>
            </w:tcBorders>
            <w:shd w:val="clear" w:color="auto" w:fill="D9D9D9" w:themeFill="background1" w:themeFillShade="D9"/>
            <w:vAlign w:val="center"/>
          </w:tcPr>
          <w:p w14:paraId="03B4B614" w14:textId="57E942C5" w:rsidR="002256BA" w:rsidRPr="002256BA" w:rsidRDefault="002256BA" w:rsidP="002256BA">
            <w:pPr>
              <w:jc w:val="right"/>
              <w:rPr>
                <w:rFonts w:cstheme="minorHAnsi"/>
                <w:b/>
                <w:bCs/>
                <w:color w:val="000000"/>
                <w:sz w:val="20"/>
                <w:szCs w:val="20"/>
              </w:rPr>
            </w:pPr>
            <w:r w:rsidRPr="002256BA">
              <w:rPr>
                <w:rFonts w:ascii="Calibri" w:hAnsi="Calibri" w:cs="Calibri"/>
                <w:b/>
                <w:bCs/>
                <w:color w:val="000000"/>
              </w:rPr>
              <w:t>19</w:t>
            </w:r>
          </w:p>
        </w:tc>
        <w:tc>
          <w:tcPr>
            <w:tcW w:w="730" w:type="pct"/>
            <w:tcBorders>
              <w:top w:val="single" w:sz="12" w:space="0" w:color="auto"/>
              <w:left w:val="single" w:sz="12" w:space="0" w:color="auto"/>
              <w:bottom w:val="single" w:sz="18" w:space="0" w:color="auto"/>
              <w:right w:val="single" w:sz="12" w:space="0" w:color="auto"/>
            </w:tcBorders>
            <w:shd w:val="clear" w:color="auto" w:fill="D9D9D9" w:themeFill="background1" w:themeFillShade="D9"/>
            <w:noWrap/>
            <w:vAlign w:val="center"/>
          </w:tcPr>
          <w:p w14:paraId="46B9CCC5" w14:textId="2AB37402" w:rsidR="002256BA" w:rsidRPr="002256BA" w:rsidRDefault="002256BA" w:rsidP="002256BA">
            <w:pPr>
              <w:jc w:val="right"/>
              <w:rPr>
                <w:rFonts w:cstheme="minorHAnsi"/>
                <w:b/>
                <w:bCs/>
                <w:color w:val="000000"/>
                <w:sz w:val="20"/>
                <w:szCs w:val="20"/>
              </w:rPr>
            </w:pPr>
            <w:r w:rsidRPr="002256BA">
              <w:rPr>
                <w:rFonts w:ascii="Calibri" w:hAnsi="Calibri" w:cs="Calibri"/>
                <w:b/>
                <w:bCs/>
                <w:color w:val="000000"/>
              </w:rPr>
              <w:t>311</w:t>
            </w:r>
          </w:p>
        </w:tc>
        <w:tc>
          <w:tcPr>
            <w:tcW w:w="722" w:type="pct"/>
            <w:tcBorders>
              <w:top w:val="single" w:sz="12" w:space="0" w:color="auto"/>
              <w:left w:val="single" w:sz="12" w:space="0" w:color="auto"/>
              <w:bottom w:val="single" w:sz="18" w:space="0" w:color="auto"/>
              <w:right w:val="single" w:sz="12" w:space="0" w:color="auto"/>
            </w:tcBorders>
            <w:shd w:val="clear" w:color="auto" w:fill="D9D9D9" w:themeFill="background1" w:themeFillShade="D9"/>
            <w:noWrap/>
            <w:vAlign w:val="center"/>
          </w:tcPr>
          <w:p w14:paraId="60F1818C" w14:textId="41762E8B" w:rsidR="002256BA" w:rsidRPr="002256BA" w:rsidRDefault="002256BA" w:rsidP="002256BA">
            <w:pPr>
              <w:jc w:val="right"/>
              <w:rPr>
                <w:rFonts w:cstheme="minorHAnsi"/>
                <w:b/>
                <w:bCs/>
                <w:color w:val="000000"/>
                <w:sz w:val="20"/>
                <w:szCs w:val="20"/>
              </w:rPr>
            </w:pPr>
            <w:r w:rsidRPr="002256BA">
              <w:rPr>
                <w:rFonts w:ascii="Calibri" w:hAnsi="Calibri" w:cs="Calibri"/>
                <w:b/>
                <w:bCs/>
                <w:color w:val="000000"/>
              </w:rPr>
              <w:t>160</w:t>
            </w:r>
          </w:p>
        </w:tc>
        <w:tc>
          <w:tcPr>
            <w:tcW w:w="848" w:type="pct"/>
            <w:tcBorders>
              <w:top w:val="single" w:sz="12" w:space="0" w:color="auto"/>
              <w:left w:val="single" w:sz="12" w:space="0" w:color="auto"/>
              <w:bottom w:val="single" w:sz="18" w:space="0" w:color="auto"/>
              <w:right w:val="single" w:sz="12" w:space="0" w:color="auto"/>
            </w:tcBorders>
            <w:shd w:val="clear" w:color="auto" w:fill="D9D9D9" w:themeFill="background1" w:themeFillShade="D9"/>
            <w:noWrap/>
            <w:vAlign w:val="center"/>
          </w:tcPr>
          <w:p w14:paraId="2C03CBDA" w14:textId="6DE45EB7" w:rsidR="002256BA" w:rsidRPr="002256BA" w:rsidRDefault="002256BA" w:rsidP="002256BA">
            <w:pPr>
              <w:jc w:val="right"/>
              <w:rPr>
                <w:rFonts w:cstheme="minorHAnsi"/>
                <w:b/>
                <w:bCs/>
                <w:color w:val="000000"/>
                <w:sz w:val="20"/>
                <w:szCs w:val="20"/>
              </w:rPr>
            </w:pPr>
            <w:r w:rsidRPr="002256BA">
              <w:rPr>
                <w:rFonts w:ascii="Calibri" w:hAnsi="Calibri" w:cs="Calibri"/>
                <w:b/>
                <w:bCs/>
                <w:color w:val="000000"/>
              </w:rPr>
              <w:t>151</w:t>
            </w:r>
          </w:p>
        </w:tc>
        <w:tc>
          <w:tcPr>
            <w:tcW w:w="577" w:type="pct"/>
            <w:tcBorders>
              <w:top w:val="single" w:sz="12" w:space="0" w:color="auto"/>
              <w:left w:val="single" w:sz="12" w:space="0" w:color="auto"/>
              <w:bottom w:val="single" w:sz="18" w:space="0" w:color="auto"/>
              <w:right w:val="single" w:sz="18" w:space="0" w:color="auto"/>
            </w:tcBorders>
            <w:shd w:val="clear" w:color="auto" w:fill="D9D9D9" w:themeFill="background1" w:themeFillShade="D9"/>
            <w:vAlign w:val="center"/>
          </w:tcPr>
          <w:p w14:paraId="28B02491" w14:textId="6D12729C" w:rsidR="002256BA" w:rsidRPr="002256BA" w:rsidRDefault="002256BA" w:rsidP="002256BA">
            <w:pPr>
              <w:jc w:val="right"/>
              <w:rPr>
                <w:rFonts w:cstheme="minorHAnsi"/>
                <w:b/>
                <w:bCs/>
                <w:color w:val="000000"/>
                <w:sz w:val="20"/>
                <w:szCs w:val="20"/>
              </w:rPr>
            </w:pPr>
            <w:r w:rsidRPr="002256BA">
              <w:rPr>
                <w:rFonts w:ascii="Calibri" w:hAnsi="Calibri" w:cs="Calibri"/>
                <w:b/>
                <w:bCs/>
                <w:color w:val="000000"/>
              </w:rPr>
              <w:t>170</w:t>
            </w:r>
          </w:p>
        </w:tc>
      </w:tr>
    </w:tbl>
    <w:p w14:paraId="6EA5E2DC" w14:textId="77777777" w:rsidR="001A3BAA" w:rsidRPr="00677419" w:rsidRDefault="001A3BAA" w:rsidP="001A3BAA">
      <w:pPr>
        <w:jc w:val="both"/>
        <w:rPr>
          <w:sz w:val="20"/>
          <w:szCs w:val="20"/>
        </w:rPr>
      </w:pPr>
      <w:bookmarkStart w:id="107" w:name="_Hlk74320236"/>
      <w:r>
        <w:rPr>
          <w:b/>
          <w:sz w:val="20"/>
          <w:szCs w:val="20"/>
        </w:rPr>
        <w:t>Poznámka:</w:t>
      </w:r>
      <w:r>
        <w:rPr>
          <w:sz w:val="20"/>
          <w:szCs w:val="20"/>
        </w:rPr>
        <w:t xml:space="preserve"> Celkový přírůstek představuje sumář hodnot přirozeného přírůstku a salda migrace v daném časovém období.</w:t>
      </w:r>
    </w:p>
    <w:p w14:paraId="6CFD029D" w14:textId="77777777" w:rsidR="001A3BAA" w:rsidRPr="0007572F" w:rsidRDefault="001A3BAA" w:rsidP="00E101CD">
      <w:pPr>
        <w:spacing w:after="160"/>
        <w:jc w:val="both"/>
        <w:rPr>
          <w:sz w:val="20"/>
          <w:szCs w:val="20"/>
        </w:rPr>
      </w:pPr>
      <w:r w:rsidRPr="002F241F">
        <w:rPr>
          <w:b/>
          <w:sz w:val="20"/>
          <w:szCs w:val="20"/>
        </w:rPr>
        <w:t>Zdroj:</w:t>
      </w:r>
      <w:r w:rsidRPr="002F241F">
        <w:rPr>
          <w:sz w:val="20"/>
          <w:szCs w:val="20"/>
        </w:rPr>
        <w:t xml:space="preserve"> </w:t>
      </w:r>
      <w:r>
        <w:rPr>
          <w:rFonts w:eastAsia="RWXLTG+TimesNewRoman" w:cs="RWXLTG+TimesNewRoman"/>
          <w:color w:val="000000"/>
          <w:sz w:val="20"/>
          <w:szCs w:val="20"/>
        </w:rPr>
        <w:t>Internetové stránky Českého statistického úřadu</w:t>
      </w:r>
      <w:r w:rsidRPr="00146E37">
        <w:rPr>
          <w:rFonts w:eastAsia="RWXLTG+TimesNewRoman" w:cs="RWXLTG+TimesNewRoman"/>
          <w:color w:val="000000"/>
          <w:sz w:val="20"/>
          <w:szCs w:val="20"/>
        </w:rPr>
        <w:t xml:space="preserve"> </w:t>
      </w:r>
      <w:hyperlink r:id="rId39" w:history="1">
        <w:r w:rsidRPr="002F241F">
          <w:rPr>
            <w:rStyle w:val="Hypertextovodkaz"/>
            <w:sz w:val="20"/>
            <w:szCs w:val="20"/>
          </w:rPr>
          <w:t>https://www.czso.cz/</w:t>
        </w:r>
      </w:hyperlink>
      <w:bookmarkEnd w:id="107"/>
    </w:p>
    <w:p w14:paraId="415A2211" w14:textId="77777777" w:rsidR="001A3BAA" w:rsidRDefault="001A3BAA" w:rsidP="005700ED">
      <w:pPr>
        <w:spacing w:after="160" w:line="259" w:lineRule="auto"/>
        <w:jc w:val="both"/>
      </w:pPr>
    </w:p>
    <w:p w14:paraId="6C1D467C" w14:textId="6D311F76" w:rsidR="002B30F7" w:rsidRDefault="002B30F7" w:rsidP="005700ED">
      <w:pPr>
        <w:spacing w:after="160" w:line="259" w:lineRule="auto"/>
        <w:jc w:val="both"/>
      </w:pPr>
      <w:r>
        <w:t xml:space="preserve">Z tabulky </w:t>
      </w:r>
      <w:r w:rsidR="00636A3C">
        <w:t>4</w:t>
      </w:r>
      <w:r>
        <w:t xml:space="preserve"> vyplývá, že </w:t>
      </w:r>
      <w:r w:rsidRPr="003B6DEA">
        <w:rPr>
          <w:b/>
        </w:rPr>
        <w:t>za sledované</w:t>
      </w:r>
      <w:r>
        <w:rPr>
          <w:b/>
        </w:rPr>
        <w:t xml:space="preserve"> období byla obec </w:t>
      </w:r>
      <w:r w:rsidR="00F44E92">
        <w:rPr>
          <w:b/>
        </w:rPr>
        <w:t>zisková</w:t>
      </w:r>
      <w:r>
        <w:rPr>
          <w:b/>
        </w:rPr>
        <w:t xml:space="preserve"> jak z pohledu přirozeného přírůstku</w:t>
      </w:r>
      <w:r>
        <w:rPr>
          <w:bCs/>
        </w:rPr>
        <w:t xml:space="preserve"> (celkem o </w:t>
      </w:r>
      <w:r w:rsidR="00F44E92">
        <w:rPr>
          <w:bCs/>
        </w:rPr>
        <w:t>1</w:t>
      </w:r>
      <w:r w:rsidR="00636A3C">
        <w:rPr>
          <w:bCs/>
        </w:rPr>
        <w:t>9</w:t>
      </w:r>
      <w:r>
        <w:rPr>
          <w:bCs/>
        </w:rPr>
        <w:t xml:space="preserve"> osob), tak z pohledu</w:t>
      </w:r>
      <w:r w:rsidRPr="00002BA2">
        <w:t xml:space="preserve"> </w:t>
      </w:r>
      <w:r>
        <w:t xml:space="preserve">migrace (celkem o </w:t>
      </w:r>
      <w:r w:rsidR="00636A3C">
        <w:t>151</w:t>
      </w:r>
      <w:r>
        <w:t xml:space="preserve"> osob). Celkem byla obec ve sledovaném období v důsledku přirozeného </w:t>
      </w:r>
      <w:r w:rsidR="00F44E92">
        <w:t>přírůstku</w:t>
      </w:r>
      <w:r>
        <w:t xml:space="preserve"> i </w:t>
      </w:r>
      <w:r w:rsidR="00F44E92">
        <w:t>kladného</w:t>
      </w:r>
      <w:r>
        <w:t xml:space="preserve"> migračního salda </w:t>
      </w:r>
      <w:r w:rsidR="00F44E92">
        <w:t>zisková</w:t>
      </w:r>
      <w:r>
        <w:t xml:space="preserve"> o </w:t>
      </w:r>
      <w:r w:rsidR="00636A3C">
        <w:t>170</w:t>
      </w:r>
      <w:r>
        <w:t xml:space="preserve"> </w:t>
      </w:r>
      <w:r w:rsidR="006714DE">
        <w:t>osob</w:t>
      </w:r>
      <w:r>
        <w:t xml:space="preserve">. </w:t>
      </w:r>
    </w:p>
    <w:p w14:paraId="39D9C8B5" w14:textId="283775DC" w:rsidR="001A3BAA" w:rsidRDefault="002B30F7" w:rsidP="002B30F7">
      <w:pPr>
        <w:spacing w:after="160" w:line="259" w:lineRule="auto"/>
        <w:jc w:val="both"/>
      </w:pPr>
      <w:r>
        <w:rPr>
          <w:b/>
        </w:rPr>
        <w:t>Z</w:t>
      </w:r>
      <w:r w:rsidRPr="003B6DEA">
        <w:rPr>
          <w:b/>
        </w:rPr>
        <w:t xml:space="preserve"> pohledu celkového přírůstku </w:t>
      </w:r>
      <w:r>
        <w:rPr>
          <w:b/>
        </w:rPr>
        <w:t xml:space="preserve">je tak </w:t>
      </w:r>
      <w:r w:rsidR="006714DE">
        <w:rPr>
          <w:b/>
        </w:rPr>
        <w:t>obec</w:t>
      </w:r>
      <w:r>
        <w:rPr>
          <w:b/>
        </w:rPr>
        <w:t xml:space="preserve"> </w:t>
      </w:r>
      <w:r w:rsidR="003B589E">
        <w:rPr>
          <w:b/>
        </w:rPr>
        <w:t>zisková</w:t>
      </w:r>
      <w:r>
        <w:rPr>
          <w:b/>
        </w:rPr>
        <w:t xml:space="preserve"> především díky příznivému vývoji</w:t>
      </w:r>
      <w:r>
        <w:t xml:space="preserve"> migračního salda. </w:t>
      </w:r>
      <w:r w:rsidR="005C3541">
        <w:t xml:space="preserve">Důvodem k přistěhování lidí do obce mohlo být např. místo s krátkou dojezdovou vzdáleností </w:t>
      </w:r>
      <w:r w:rsidR="005C3541">
        <w:br/>
        <w:t xml:space="preserve">do spádového </w:t>
      </w:r>
      <w:r w:rsidR="00636A3C">
        <w:t>Trutnova</w:t>
      </w:r>
      <w:r w:rsidR="005C3541">
        <w:t>, větší klid oproti městskému prostředí, přistěhování chatařů a chalupářů, kteří zde začali trvale bydlet apod.</w:t>
      </w:r>
    </w:p>
    <w:p w14:paraId="72F59C1F" w14:textId="77777777" w:rsidR="001A3BAA" w:rsidRDefault="001A3BAA" w:rsidP="00E101CD">
      <w:pPr>
        <w:spacing w:after="160" w:line="259" w:lineRule="auto"/>
        <w:jc w:val="both"/>
      </w:pPr>
    </w:p>
    <w:p w14:paraId="53733F55" w14:textId="1C743D5F" w:rsidR="001A3BAA" w:rsidRDefault="001A3BAA" w:rsidP="00E101CD">
      <w:pPr>
        <w:spacing w:after="160" w:line="259" w:lineRule="auto"/>
        <w:jc w:val="both"/>
      </w:pPr>
      <w:r>
        <w:t xml:space="preserve">Přehledově přirozený přírůstek, saldo migrace a celkový přírůstek v obci </w:t>
      </w:r>
      <w:r w:rsidR="00636A3C">
        <w:t>Staré Buky</w:t>
      </w:r>
      <w:r w:rsidRPr="00B825DC">
        <w:t xml:space="preserve"> </w:t>
      </w:r>
      <w:r>
        <w:t xml:space="preserve">ve sledovaném období znázorňuje graf </w:t>
      </w:r>
      <w:r w:rsidR="00636A3C">
        <w:t>4</w:t>
      </w:r>
      <w:r>
        <w:t>.</w:t>
      </w:r>
    </w:p>
    <w:p w14:paraId="07517347" w14:textId="3925E07A" w:rsidR="00636A3C" w:rsidRDefault="00636A3C" w:rsidP="00E101CD">
      <w:pPr>
        <w:spacing w:after="160" w:line="259" w:lineRule="auto"/>
        <w:jc w:val="both"/>
      </w:pPr>
      <w:r>
        <w:br w:type="page"/>
      </w:r>
    </w:p>
    <w:p w14:paraId="5AC024A3" w14:textId="3A6909C0" w:rsidR="001A3BAA" w:rsidRDefault="001A3BAA" w:rsidP="001A3BAA">
      <w:pPr>
        <w:pStyle w:val="GRAF0"/>
      </w:pPr>
      <w:bookmarkStart w:id="108" w:name="_Toc507022151"/>
      <w:bookmarkStart w:id="109" w:name="_Toc32577905"/>
      <w:bookmarkStart w:id="110" w:name="_Toc104472749"/>
      <w:bookmarkStart w:id="111" w:name="_Toc120651983"/>
      <w:r>
        <w:lastRenderedPageBreak/>
        <w:t xml:space="preserve">Graf </w:t>
      </w:r>
      <w:r w:rsidR="00636A3C">
        <w:t>4</w:t>
      </w:r>
      <w:r>
        <w:t xml:space="preserve">: Přirozený přírůstek, saldo migrace a celkový přírůstek v obci </w:t>
      </w:r>
      <w:r w:rsidR="00636A3C">
        <w:t>Staré Buky</w:t>
      </w:r>
      <w:r w:rsidRPr="008D2B3F">
        <w:t xml:space="preserve"> </w:t>
      </w:r>
      <w:r>
        <w:t>v období 20</w:t>
      </w:r>
      <w:r w:rsidR="00DC7618">
        <w:t>1</w:t>
      </w:r>
      <w:r w:rsidR="00636A3C">
        <w:t>1</w:t>
      </w:r>
      <w:r>
        <w:t>-20</w:t>
      </w:r>
      <w:bookmarkEnd w:id="108"/>
      <w:bookmarkEnd w:id="109"/>
      <w:r w:rsidR="00DC7618">
        <w:t>2</w:t>
      </w:r>
      <w:r w:rsidR="00636A3C">
        <w:t>1</w:t>
      </w:r>
      <w:bookmarkEnd w:id="110"/>
      <w:bookmarkEnd w:id="111"/>
    </w:p>
    <w:p w14:paraId="184A63C0" w14:textId="67BA0C51" w:rsidR="001A3BAA" w:rsidRDefault="00636A3C" w:rsidP="00BE30C9">
      <w:pPr>
        <w:jc w:val="center"/>
      </w:pPr>
      <w:r>
        <w:rPr>
          <w:noProof/>
        </w:rPr>
        <w:drawing>
          <wp:inline distT="0" distB="0" distL="0" distR="0" wp14:anchorId="67777CC7" wp14:editId="7BD3348F">
            <wp:extent cx="5715000" cy="3013710"/>
            <wp:effectExtent l="0" t="0" r="0" b="15240"/>
            <wp:docPr id="14" name="Graf 14">
              <a:extLst xmlns:a="http://schemas.openxmlformats.org/drawingml/2006/main">
                <a:ext uri="{FF2B5EF4-FFF2-40B4-BE49-F238E27FC236}">
                  <a16:creationId xmlns:a16="http://schemas.microsoft.com/office/drawing/2014/main" id="{6AE22DCE-9E89-4549-9C5C-99748F8203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E16AC1" w14:textId="488611B8" w:rsidR="001A3BAA" w:rsidRDefault="001A3BAA" w:rsidP="00E101CD">
      <w:pPr>
        <w:spacing w:after="160" w:line="259" w:lineRule="auto"/>
        <w:jc w:val="both"/>
        <w:rPr>
          <w:rStyle w:val="Hypertextovodkaz"/>
          <w:sz w:val="20"/>
          <w:szCs w:val="20"/>
        </w:rPr>
      </w:pPr>
      <w:r w:rsidRPr="002F241F">
        <w:rPr>
          <w:b/>
          <w:sz w:val="20"/>
          <w:szCs w:val="20"/>
        </w:rPr>
        <w:t>Zdroj:</w:t>
      </w:r>
      <w:r w:rsidRPr="002F241F">
        <w:rPr>
          <w:sz w:val="20"/>
          <w:szCs w:val="20"/>
        </w:rPr>
        <w:t xml:space="preserve"> </w:t>
      </w:r>
      <w:r>
        <w:rPr>
          <w:rFonts w:eastAsia="RWXLTG+TimesNewRoman" w:cs="RWXLTG+TimesNewRoman"/>
          <w:color w:val="000000"/>
          <w:sz w:val="20"/>
          <w:szCs w:val="20"/>
        </w:rPr>
        <w:t>Internetové stránky Českého statistického úřadu</w:t>
      </w:r>
      <w:r w:rsidRPr="00146E37">
        <w:rPr>
          <w:rFonts w:eastAsia="RWXLTG+TimesNewRoman" w:cs="RWXLTG+TimesNewRoman"/>
          <w:color w:val="000000"/>
          <w:sz w:val="20"/>
          <w:szCs w:val="20"/>
        </w:rPr>
        <w:t xml:space="preserve"> </w:t>
      </w:r>
      <w:hyperlink r:id="rId41" w:history="1">
        <w:r w:rsidRPr="002F241F">
          <w:rPr>
            <w:rStyle w:val="Hypertextovodkaz"/>
            <w:sz w:val="20"/>
            <w:szCs w:val="20"/>
          </w:rPr>
          <w:t>https://www.czso.cz/</w:t>
        </w:r>
      </w:hyperlink>
    </w:p>
    <w:p w14:paraId="5A6298A2" w14:textId="77777777" w:rsidR="0061337C" w:rsidRDefault="0061337C" w:rsidP="00E101CD">
      <w:pPr>
        <w:spacing w:after="160" w:line="259" w:lineRule="auto"/>
        <w:jc w:val="both"/>
      </w:pPr>
    </w:p>
    <w:p w14:paraId="19E24A79" w14:textId="77777777" w:rsidR="00FA7FD1" w:rsidRPr="00FB453A" w:rsidRDefault="00FA7FD1" w:rsidP="00FA7FD1">
      <w:pPr>
        <w:spacing w:after="160" w:line="259" w:lineRule="auto"/>
        <w:jc w:val="both"/>
        <w:rPr>
          <w:u w:val="single"/>
        </w:rPr>
      </w:pPr>
      <w:r w:rsidRPr="00FB453A">
        <w:rPr>
          <w:u w:val="single"/>
        </w:rPr>
        <w:t>Věková struktura obyvatelstva a její předpokládaný vývoj</w:t>
      </w:r>
    </w:p>
    <w:p w14:paraId="194FBDE1" w14:textId="30230307" w:rsidR="00FA7FD1" w:rsidRDefault="00FA7FD1" w:rsidP="00FA7FD1">
      <w:pPr>
        <w:spacing w:after="160" w:line="259" w:lineRule="auto"/>
        <w:jc w:val="both"/>
      </w:pPr>
      <w:bookmarkStart w:id="112" w:name="_Hlk74320434"/>
      <w:r>
        <w:t>Věková struktura obyvatelstva vyjadřuje, jak jsou zastoupené určité věkové kategorie obyvatel v rámci nějaké pozorované jednotky, v tomto případě v </w:t>
      </w:r>
      <w:r w:rsidRPr="0017474C">
        <w:t xml:space="preserve">obci </w:t>
      </w:r>
      <w:r w:rsidR="0052730A">
        <w:t>Staré Buky</w:t>
      </w:r>
      <w:r w:rsidRPr="0017474C">
        <w:t>. P</w:t>
      </w:r>
      <w:r>
        <w:t xml:space="preserve">ro hodnocení byly použity následující věkové kategorie: </w:t>
      </w:r>
    </w:p>
    <w:p w14:paraId="233423E0" w14:textId="77777777" w:rsidR="00FA7FD1" w:rsidRDefault="00FA7FD1" w:rsidP="00FA7FD1">
      <w:pPr>
        <w:jc w:val="both"/>
      </w:pPr>
      <w:r>
        <w:t>1) 0-14 let – předproduktivní věk</w:t>
      </w:r>
    </w:p>
    <w:p w14:paraId="225118A0" w14:textId="77777777" w:rsidR="00FA7FD1" w:rsidRDefault="00FA7FD1" w:rsidP="00FA7FD1">
      <w:pPr>
        <w:jc w:val="both"/>
      </w:pPr>
      <w:r>
        <w:t>2) 15-64 let – produktivní věk</w:t>
      </w:r>
    </w:p>
    <w:p w14:paraId="1C2A7A35" w14:textId="77777777" w:rsidR="00FA7FD1" w:rsidRDefault="00FA7FD1" w:rsidP="00FA7FD1">
      <w:pPr>
        <w:spacing w:after="160" w:line="259" w:lineRule="auto"/>
        <w:jc w:val="both"/>
      </w:pPr>
      <w:r>
        <w:t>3) 65 a více let – poproduktivní věk</w:t>
      </w:r>
    </w:p>
    <w:p w14:paraId="249F130E" w14:textId="14360E0E" w:rsidR="00FA7FD1" w:rsidRPr="008C5D2E" w:rsidRDefault="00FA7FD1" w:rsidP="00FA7FD1">
      <w:pPr>
        <w:spacing w:after="160" w:line="259" w:lineRule="auto"/>
        <w:jc w:val="both"/>
      </w:pPr>
      <w:r w:rsidRPr="008C5D2E">
        <w:t>Struktura obyvatelstva byla sledována v letech 2001, 2011 a 20</w:t>
      </w:r>
      <w:r w:rsidR="00894A76">
        <w:t>2</w:t>
      </w:r>
      <w:r w:rsidR="00A87D57">
        <w:t>1</w:t>
      </w:r>
      <w:r w:rsidRPr="008C5D2E">
        <w:t xml:space="preserve"> (graf</w:t>
      </w:r>
      <w:r w:rsidR="00894A76">
        <w:t xml:space="preserve"> </w:t>
      </w:r>
      <w:r w:rsidR="00A87D57">
        <w:t>5</w:t>
      </w:r>
      <w:r w:rsidRPr="008C5D2E">
        <w:t>).</w:t>
      </w:r>
    </w:p>
    <w:p w14:paraId="05AAC4B9" w14:textId="09D2395A" w:rsidR="0061337C" w:rsidRDefault="0061337C" w:rsidP="00A07BCB">
      <w:pPr>
        <w:spacing w:line="259" w:lineRule="auto"/>
        <w:jc w:val="both"/>
      </w:pPr>
    </w:p>
    <w:p w14:paraId="0349AF5F" w14:textId="488C97E6" w:rsidR="00FA7FD1" w:rsidRPr="00FC5D07" w:rsidRDefault="00FA7FD1" w:rsidP="00FA7FD1">
      <w:pPr>
        <w:pStyle w:val="GRAF0"/>
      </w:pPr>
      <w:bookmarkStart w:id="113" w:name="_Toc445288434"/>
      <w:bookmarkStart w:id="114" w:name="_Toc32577906"/>
      <w:bookmarkStart w:id="115" w:name="_Toc104472750"/>
      <w:bookmarkStart w:id="116" w:name="_Toc120651984"/>
      <w:r w:rsidRPr="008C5D2E">
        <w:t xml:space="preserve">Graf </w:t>
      </w:r>
      <w:r w:rsidR="006405F8">
        <w:t>5</w:t>
      </w:r>
      <w:r w:rsidRPr="008C5D2E">
        <w:t xml:space="preserve">: Věková struktura obyvatelstva v obci </w:t>
      </w:r>
      <w:r w:rsidR="006405F8">
        <w:t>Staré Buky</w:t>
      </w:r>
      <w:r w:rsidRPr="008C5D2E">
        <w:t xml:space="preserve"> v letech 2001, 2011 a 20</w:t>
      </w:r>
      <w:bookmarkEnd w:id="113"/>
      <w:bookmarkEnd w:id="114"/>
      <w:r w:rsidR="00894A76">
        <w:t>2</w:t>
      </w:r>
      <w:r w:rsidR="006405F8">
        <w:t>1</w:t>
      </w:r>
      <w:bookmarkEnd w:id="115"/>
      <w:bookmarkEnd w:id="116"/>
    </w:p>
    <w:p w14:paraId="3CD991E6" w14:textId="3D053B88" w:rsidR="00FA7FD1" w:rsidRDefault="006405F8" w:rsidP="00FA7FD1">
      <w:pPr>
        <w:spacing w:line="360" w:lineRule="auto"/>
        <w:jc w:val="center"/>
      </w:pPr>
      <w:r>
        <w:rPr>
          <w:noProof/>
        </w:rPr>
        <w:drawing>
          <wp:inline distT="0" distB="0" distL="0" distR="0" wp14:anchorId="0CC9AB73" wp14:editId="70943D3E">
            <wp:extent cx="4572000" cy="2171700"/>
            <wp:effectExtent l="0" t="0" r="0" b="0"/>
            <wp:docPr id="16" name="Graf 16">
              <a:extLst xmlns:a="http://schemas.openxmlformats.org/drawingml/2006/main">
                <a:ext uri="{FF2B5EF4-FFF2-40B4-BE49-F238E27FC236}">
                  <a16:creationId xmlns:a16="http://schemas.microsoft.com/office/drawing/2014/main" id="{2F526C5C-1DDF-4695-A4A3-8F57CF9ED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1BEFBDA" w14:textId="77777777" w:rsidR="00FA7FD1" w:rsidRDefault="00FA7FD1" w:rsidP="00FA7FD1">
      <w:pPr>
        <w:autoSpaceDE w:val="0"/>
        <w:autoSpaceDN w:val="0"/>
        <w:adjustRightInd w:val="0"/>
        <w:spacing w:after="160"/>
        <w:contextualSpacing/>
        <w:jc w:val="both"/>
        <w:rPr>
          <w:rStyle w:val="Hypertextovodkaz"/>
          <w:sz w:val="20"/>
          <w:szCs w:val="20"/>
        </w:rPr>
      </w:pPr>
      <w:r w:rsidRPr="0074351D">
        <w:rPr>
          <w:b/>
          <w:sz w:val="20"/>
          <w:szCs w:val="20"/>
        </w:rPr>
        <w:t>Zdroje:</w:t>
      </w:r>
      <w:r w:rsidRPr="0074351D">
        <w:rPr>
          <w:sz w:val="20"/>
          <w:szCs w:val="20"/>
        </w:rPr>
        <w:t xml:space="preserve"> </w:t>
      </w:r>
      <w:r w:rsidRPr="0074351D">
        <w:rPr>
          <w:rFonts w:eastAsia="RWXLTG+TimesNewRoman" w:cs="RWXLTG+TimesNewRoman"/>
          <w:color w:val="000000"/>
          <w:sz w:val="20"/>
          <w:szCs w:val="20"/>
        </w:rPr>
        <w:t xml:space="preserve">Sčítání lidu, domů a bytů </w:t>
      </w:r>
      <w:r w:rsidRPr="002808C1">
        <w:rPr>
          <w:rFonts w:eastAsia="RWXLTG+TimesNewRoman" w:cs="RWXLTG+TimesNewRoman"/>
          <w:color w:val="000000"/>
          <w:sz w:val="20"/>
          <w:szCs w:val="20"/>
        </w:rPr>
        <w:t>2001,</w:t>
      </w:r>
      <w:r w:rsidR="0014751D">
        <w:rPr>
          <w:rFonts w:eastAsia="RWXLTG+TimesNewRoman" w:cs="RWXLTG+TimesNewRoman"/>
          <w:color w:val="000000"/>
          <w:sz w:val="20"/>
          <w:szCs w:val="20"/>
        </w:rPr>
        <w:t xml:space="preserve"> </w:t>
      </w:r>
      <w:hyperlink r:id="rId43" w:history="1">
        <w:r w:rsidR="0014751D" w:rsidRPr="00A10AB8">
          <w:rPr>
            <w:rStyle w:val="Hypertextovodkaz"/>
            <w:rFonts w:eastAsia="RWXLTG+TimesNewRoman" w:cs="RWXLTG+TimesNewRoman"/>
            <w:sz w:val="20"/>
            <w:szCs w:val="20"/>
          </w:rPr>
          <w:t>https://www.czso.cz/staticke/sldb/sldb2001.nsf/index</w:t>
        </w:r>
      </w:hyperlink>
      <w:r w:rsidR="0014751D">
        <w:rPr>
          <w:rFonts w:eastAsia="RWXLTG+TimesNewRoman" w:cs="RWXLTG+TimesNewRoman"/>
          <w:color w:val="000000"/>
          <w:sz w:val="20"/>
          <w:szCs w:val="20"/>
        </w:rPr>
        <w:t xml:space="preserve"> </w:t>
      </w:r>
    </w:p>
    <w:p w14:paraId="16D095C4" w14:textId="77777777" w:rsidR="0014751D" w:rsidRDefault="00FA7FD1" w:rsidP="0014751D">
      <w:pPr>
        <w:jc w:val="both"/>
        <w:rPr>
          <w:rStyle w:val="Hypertextovodkaz"/>
          <w:sz w:val="20"/>
          <w:szCs w:val="20"/>
        </w:rPr>
      </w:pPr>
      <w:r>
        <w:rPr>
          <w:rFonts w:eastAsia="RWXLTG+TimesNewRoman" w:cs="RWXLTG+TimesNewRoman"/>
          <w:color w:val="000000"/>
          <w:sz w:val="20"/>
          <w:szCs w:val="20"/>
        </w:rPr>
        <w:t xml:space="preserve">              Sčítání lidu, domů a bytů </w:t>
      </w:r>
      <w:r w:rsidRPr="002808C1">
        <w:rPr>
          <w:rFonts w:eastAsia="RWXLTG+TimesNewRoman" w:cs="RWXLTG+TimesNewRoman"/>
          <w:color w:val="000000"/>
          <w:sz w:val="20"/>
          <w:szCs w:val="20"/>
        </w:rPr>
        <w:t>2011,</w:t>
      </w:r>
      <w:r w:rsidR="0014751D">
        <w:rPr>
          <w:rFonts w:eastAsia="RWXLTG+TimesNewRoman" w:cs="RWXLTG+TimesNewRoman"/>
          <w:color w:val="000000"/>
          <w:sz w:val="20"/>
          <w:szCs w:val="20"/>
        </w:rPr>
        <w:t xml:space="preserve"> </w:t>
      </w:r>
      <w:hyperlink r:id="rId44" w:history="1">
        <w:r w:rsidR="0014751D" w:rsidRPr="00740CD5">
          <w:rPr>
            <w:rStyle w:val="Hypertextovodkaz"/>
            <w:sz w:val="20"/>
            <w:szCs w:val="20"/>
          </w:rPr>
          <w:t>https://www.czso.cz/csu/czso/scitani-lidu-domu-a-bytu</w:t>
        </w:r>
      </w:hyperlink>
    </w:p>
    <w:p w14:paraId="5B0E4331" w14:textId="7984F0BF" w:rsidR="00FA7FD1" w:rsidRPr="007A6F39" w:rsidRDefault="00FA7FD1" w:rsidP="00FA7FD1">
      <w:pPr>
        <w:spacing w:after="160"/>
        <w:contextualSpacing/>
        <w:jc w:val="both"/>
        <w:rPr>
          <w:sz w:val="20"/>
          <w:szCs w:val="20"/>
        </w:rPr>
      </w:pPr>
      <w:r>
        <w:rPr>
          <w:rFonts w:eastAsia="RWXLTG+TimesNewRoman" w:cs="RWXLTG+TimesNewRoman"/>
          <w:color w:val="000000"/>
          <w:sz w:val="20"/>
          <w:szCs w:val="20"/>
        </w:rPr>
        <w:t xml:space="preserve">              </w:t>
      </w:r>
      <w:r w:rsidRPr="007A6F39">
        <w:rPr>
          <w:rFonts w:eastAsia="RWXLTG+TimesNewRoman" w:cs="RWXLTG+TimesNewRoman"/>
          <w:color w:val="000000"/>
          <w:sz w:val="20"/>
          <w:szCs w:val="20"/>
        </w:rPr>
        <w:t xml:space="preserve">Městská a obecní statistika, </w:t>
      </w:r>
      <w:hyperlink r:id="rId45" w:history="1">
        <w:r w:rsidR="00E66C1C" w:rsidRPr="008D7437">
          <w:rPr>
            <w:rStyle w:val="Hypertextovodkaz"/>
            <w:sz w:val="20"/>
            <w:szCs w:val="20"/>
          </w:rPr>
          <w:t>https://vdb.czso.cz/mos/</w:t>
        </w:r>
      </w:hyperlink>
    </w:p>
    <w:p w14:paraId="7356AE27" w14:textId="047C2125" w:rsidR="00FA7FD1" w:rsidRDefault="00FA7FD1" w:rsidP="00FA7FD1">
      <w:pPr>
        <w:spacing w:after="160" w:line="259" w:lineRule="auto"/>
        <w:jc w:val="both"/>
      </w:pPr>
      <w:r>
        <w:lastRenderedPageBreak/>
        <w:t xml:space="preserve">Z grafu </w:t>
      </w:r>
      <w:r w:rsidR="007457AC">
        <w:t>5</w:t>
      </w:r>
      <w:r>
        <w:t xml:space="preserve"> vyplývá, že </w:t>
      </w:r>
      <w:r w:rsidR="006F0492">
        <w:t xml:space="preserve">podíl </w:t>
      </w:r>
      <w:r>
        <w:t>předproduktivní složk</w:t>
      </w:r>
      <w:r w:rsidR="006F0492">
        <w:t>y</w:t>
      </w:r>
      <w:r>
        <w:t xml:space="preserve"> obyvatel </w:t>
      </w:r>
      <w:r w:rsidR="00650692">
        <w:t>ve sledovaném období</w:t>
      </w:r>
      <w:r w:rsidR="006F0492">
        <w:t xml:space="preserve"> </w:t>
      </w:r>
      <w:r w:rsidR="00CA5741">
        <w:t>vzr</w:t>
      </w:r>
      <w:r w:rsidR="00650692">
        <w:t>ostl, což je pozitivní zjištění. Naopak podíl produktivní složky obyvatel v</w:t>
      </w:r>
      <w:r w:rsidR="006F0492">
        <w:t>e sledovaném období</w:t>
      </w:r>
      <w:r>
        <w:t xml:space="preserve"> </w:t>
      </w:r>
      <w:r w:rsidR="000B0701">
        <w:t xml:space="preserve">výrazně </w:t>
      </w:r>
      <w:r w:rsidR="00650692">
        <w:t>klesl.</w:t>
      </w:r>
      <w:r>
        <w:t xml:space="preserve"> </w:t>
      </w:r>
      <w:r w:rsidR="00EB7A02">
        <w:t xml:space="preserve">Podíl </w:t>
      </w:r>
      <w:r>
        <w:t xml:space="preserve">poproduktivní složky obyvatel </w:t>
      </w:r>
      <w:r w:rsidR="00650692">
        <w:t>ve sledovaném období narostl</w:t>
      </w:r>
      <w:r w:rsidR="00EB7A02">
        <w:t>. Tento nárůst byl způsoben v</w:t>
      </w:r>
      <w:r>
        <w:t xml:space="preserve"> </w:t>
      </w:r>
      <w:r w:rsidR="00EB7A02">
        <w:t>důsledku</w:t>
      </w:r>
      <w:r>
        <w:t xml:space="preserve"> postupné</w:t>
      </w:r>
      <w:r w:rsidR="00EB7A02">
        <w:t>ho</w:t>
      </w:r>
      <w:r>
        <w:t xml:space="preserve"> přechodu osob z produktivního do</w:t>
      </w:r>
      <w:r w:rsidR="00813AAC">
        <w:t xml:space="preserve"> </w:t>
      </w:r>
      <w:r>
        <w:t>důchodového věku.</w:t>
      </w:r>
    </w:p>
    <w:p w14:paraId="67E27FAF" w14:textId="3F928466" w:rsidR="00375968" w:rsidRDefault="00FA7FD1" w:rsidP="00FA7FD1">
      <w:pPr>
        <w:spacing w:after="160" w:line="259" w:lineRule="auto"/>
        <w:jc w:val="both"/>
      </w:pPr>
      <w:r w:rsidRPr="00317C94">
        <w:t>Zhodnotit vývoj věkové struktury lze i pomocí indexu stáří</w:t>
      </w:r>
      <w:r>
        <w:rPr>
          <w:rStyle w:val="Znakapoznpodarou"/>
        </w:rPr>
        <w:footnoteReference w:id="20"/>
      </w:r>
      <w:r w:rsidRPr="00317C94">
        <w:t xml:space="preserve">. </w:t>
      </w:r>
      <w:r w:rsidR="000B6213">
        <w:t>V</w:t>
      </w:r>
      <w:r w:rsidR="007457AC">
        <w:t xml:space="preserve"> letech</w:t>
      </w:r>
      <w:r w:rsidR="000B6213">
        <w:t xml:space="preserve"> </w:t>
      </w:r>
      <w:r w:rsidR="00B9023D">
        <w:t xml:space="preserve">2001 a 2011 </w:t>
      </w:r>
      <w:r w:rsidR="000B6213">
        <w:t>bylo v obci více obyvatel v </w:t>
      </w:r>
      <w:r w:rsidR="007457AC">
        <w:t>po</w:t>
      </w:r>
      <w:r w:rsidR="000B6213">
        <w:t>produktivním věku oproti obyvatelům v </w:t>
      </w:r>
      <w:r w:rsidR="007457AC">
        <w:t>před</w:t>
      </w:r>
      <w:r w:rsidR="000B6213">
        <w:t xml:space="preserve">produktivním věku, tj. index byl </w:t>
      </w:r>
      <w:r w:rsidR="007457AC">
        <w:t>větší</w:t>
      </w:r>
      <w:r w:rsidR="000B6213">
        <w:t xml:space="preserve"> než hodnota 100. </w:t>
      </w:r>
      <w:r w:rsidR="007457AC">
        <w:t>V</w:t>
      </w:r>
      <w:r w:rsidR="00B9023D">
        <w:t> roce 202</w:t>
      </w:r>
      <w:r w:rsidR="007457AC">
        <w:t>1</w:t>
      </w:r>
      <w:r w:rsidR="00B9023D">
        <w:t xml:space="preserve"> bydlelo v obci více obyvatel v </w:t>
      </w:r>
      <w:r w:rsidR="007457AC">
        <w:t>před</w:t>
      </w:r>
      <w:r w:rsidR="00B9023D">
        <w:t>produktivním věku než ve věku p</w:t>
      </w:r>
      <w:r w:rsidR="007457AC">
        <w:t>o</w:t>
      </w:r>
      <w:r w:rsidR="00B9023D">
        <w:t xml:space="preserve">produktivním. </w:t>
      </w:r>
      <w:r w:rsidR="007457AC">
        <w:t xml:space="preserve">Způsobeno je to pravděpodobně přistěhováním nových osob do obce, které mají také děti. </w:t>
      </w:r>
      <w:r w:rsidR="000B6213">
        <w:t xml:space="preserve">Hodnota indexu se v čase </w:t>
      </w:r>
      <w:r w:rsidR="007457AC">
        <w:t>snižuje</w:t>
      </w:r>
      <w:r w:rsidR="000B6213">
        <w:t xml:space="preserve"> – v roce 2001 byl </w:t>
      </w:r>
      <w:r w:rsidR="007457AC">
        <w:t>121,3</w:t>
      </w:r>
      <w:r w:rsidR="000B6213">
        <w:t xml:space="preserve"> %, v roce 2011 byl </w:t>
      </w:r>
      <w:r w:rsidR="007457AC">
        <w:t>101,3</w:t>
      </w:r>
      <w:r w:rsidR="000B6213">
        <w:t xml:space="preserve"> % a v roce 20</w:t>
      </w:r>
      <w:r w:rsidR="00B9023D">
        <w:t>2</w:t>
      </w:r>
      <w:r w:rsidR="007457AC">
        <w:t>1</w:t>
      </w:r>
      <w:r w:rsidR="000B6213">
        <w:t xml:space="preserve"> byl </w:t>
      </w:r>
      <w:r w:rsidR="007457AC">
        <w:t>91,8</w:t>
      </w:r>
      <w:r w:rsidR="000B6213">
        <w:t xml:space="preserve"> %. </w:t>
      </w:r>
    </w:p>
    <w:p w14:paraId="5F640467" w14:textId="57A5F781" w:rsidR="00FA7FD1" w:rsidRDefault="00BE2661" w:rsidP="00FA7FD1">
      <w:pPr>
        <w:spacing w:after="160" w:line="259" w:lineRule="auto"/>
        <w:jc w:val="both"/>
      </w:pPr>
      <w:r>
        <w:t>Jedná se o</w:t>
      </w:r>
      <w:r w:rsidR="006F1972" w:rsidRPr="00317C94">
        <w:t xml:space="preserve"> trend</w:t>
      </w:r>
      <w:r>
        <w:t>, který není běžný v dnešní době</w:t>
      </w:r>
      <w:r w:rsidR="00747A8A">
        <w:t>, neboť obvykle dochází v čase spíše k nárůstu hodnoty</w:t>
      </w:r>
      <w:r w:rsidR="00AE5717">
        <w:t xml:space="preserve"> indexu stáří. Do budoucna je však otázkou, zdali se trend neotočí a ne</w:t>
      </w:r>
      <w:r w:rsidR="006F1972" w:rsidRPr="00317C94">
        <w:t xml:space="preserve">bude </w:t>
      </w:r>
      <w:r w:rsidR="00AE5717">
        <w:t>k nárůstu hodnoty tohoto indexu docházet</w:t>
      </w:r>
      <w:r w:rsidR="006F1972" w:rsidRPr="00317C94">
        <w:t>.</w:t>
      </w:r>
      <w:bookmarkEnd w:id="112"/>
    </w:p>
    <w:p w14:paraId="58621815" w14:textId="1BEBC42A" w:rsidR="003D12C0" w:rsidRDefault="003D12C0" w:rsidP="008063BB">
      <w:pPr>
        <w:spacing w:line="259" w:lineRule="auto"/>
        <w:jc w:val="both"/>
      </w:pPr>
    </w:p>
    <w:p w14:paraId="4642B96A" w14:textId="77777777" w:rsidR="00FA7FD1" w:rsidRPr="00FB453A" w:rsidRDefault="00FA7FD1" w:rsidP="00FA7FD1">
      <w:pPr>
        <w:spacing w:after="160" w:line="259" w:lineRule="auto"/>
        <w:jc w:val="both"/>
        <w:rPr>
          <w:u w:val="single"/>
        </w:rPr>
      </w:pPr>
      <w:r w:rsidRPr="00FB453A">
        <w:rPr>
          <w:u w:val="single"/>
        </w:rPr>
        <w:t>Vzdělanost obyvatelstva</w:t>
      </w:r>
    </w:p>
    <w:p w14:paraId="08D004E8" w14:textId="55711809" w:rsidR="00FA7FD1" w:rsidRDefault="00FA7FD1" w:rsidP="00FA7FD1">
      <w:pPr>
        <w:spacing w:after="160" w:line="259" w:lineRule="auto"/>
        <w:jc w:val="both"/>
      </w:pPr>
      <w:r>
        <w:t>Vzdělanost obyvatelstva v </w:t>
      </w:r>
      <w:r w:rsidRPr="006C364C">
        <w:t xml:space="preserve">obci </w:t>
      </w:r>
      <w:r w:rsidR="00200763">
        <w:t>Staré Buky</w:t>
      </w:r>
      <w:r w:rsidRPr="006C364C">
        <w:t xml:space="preserve"> shrnuje tabulka </w:t>
      </w:r>
      <w:r w:rsidR="00200763">
        <w:t>5</w:t>
      </w:r>
      <w:r w:rsidRPr="006C364C">
        <w:t xml:space="preserve">.  </w:t>
      </w:r>
    </w:p>
    <w:p w14:paraId="2F58F340" w14:textId="77777777" w:rsidR="00FA7FD1" w:rsidRPr="006C364C" w:rsidRDefault="00FA7FD1" w:rsidP="00FA7FD1">
      <w:pPr>
        <w:spacing w:line="259" w:lineRule="auto"/>
        <w:jc w:val="both"/>
      </w:pPr>
    </w:p>
    <w:p w14:paraId="0278B638" w14:textId="683DE24D" w:rsidR="00FA7FD1" w:rsidRPr="00DC6510" w:rsidRDefault="00FA7FD1" w:rsidP="00FA7FD1">
      <w:pPr>
        <w:pStyle w:val="TABULKA0"/>
      </w:pPr>
      <w:bookmarkStart w:id="117" w:name="_Toc441221909"/>
      <w:bookmarkStart w:id="118" w:name="_Toc32577782"/>
      <w:bookmarkStart w:id="119" w:name="_Toc120651927"/>
      <w:r w:rsidRPr="006C364C">
        <w:t xml:space="preserve">Tabulka </w:t>
      </w:r>
      <w:r w:rsidR="00200763">
        <w:t>5</w:t>
      </w:r>
      <w:r w:rsidRPr="006C364C">
        <w:t xml:space="preserve">: Vzdělanost obyvatelstva a index vzdělanosti v obci </w:t>
      </w:r>
      <w:r w:rsidR="00AE67F4">
        <w:t>Staré Buky</w:t>
      </w:r>
      <w:r w:rsidRPr="006C364C">
        <w:t xml:space="preserve"> v</w:t>
      </w:r>
      <w:r>
        <w:t xml:space="preserve"> letech </w:t>
      </w:r>
      <w:r w:rsidRPr="006C364C">
        <w:t>2001</w:t>
      </w:r>
      <w:r w:rsidR="00D77927">
        <w:t xml:space="preserve">, </w:t>
      </w:r>
      <w:r w:rsidRPr="006C364C">
        <w:t>2011</w:t>
      </w:r>
      <w:bookmarkEnd w:id="117"/>
      <w:bookmarkEnd w:id="118"/>
      <w:r w:rsidR="00D77927">
        <w:t xml:space="preserve"> a 2021</w:t>
      </w:r>
      <w:bookmarkEnd w:id="119"/>
    </w:p>
    <w:tbl>
      <w:tblPr>
        <w:tblW w:w="4857"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5559"/>
        <w:gridCol w:w="1124"/>
        <w:gridCol w:w="1135"/>
        <w:gridCol w:w="1131"/>
      </w:tblGrid>
      <w:tr w:rsidR="00CD10C6" w:rsidRPr="00DC6510" w14:paraId="57A53EDC" w14:textId="6594373E" w:rsidTr="00D77927">
        <w:trPr>
          <w:trHeight w:val="23"/>
          <w:jc w:val="center"/>
        </w:trPr>
        <w:tc>
          <w:tcPr>
            <w:tcW w:w="3106" w:type="pct"/>
            <w:vMerge w:val="restart"/>
            <w:tcBorders>
              <w:top w:val="single" w:sz="18" w:space="0" w:color="auto"/>
            </w:tcBorders>
            <w:shd w:val="clear" w:color="auto" w:fill="FFC000"/>
            <w:noWrap/>
            <w:vAlign w:val="center"/>
            <w:hideMark/>
          </w:tcPr>
          <w:p w14:paraId="6BC3570B" w14:textId="77777777" w:rsidR="00CD10C6" w:rsidRPr="00DC6510" w:rsidRDefault="00CD10C6" w:rsidP="000A2FCE">
            <w:pPr>
              <w:jc w:val="center"/>
              <w:rPr>
                <w:rFonts w:ascii="Calibri" w:eastAsia="Times New Roman" w:hAnsi="Calibri" w:cs="Times New Roman"/>
                <w:b/>
                <w:color w:val="000000"/>
                <w:lang w:eastAsia="cs-CZ"/>
              </w:rPr>
            </w:pPr>
            <w:r w:rsidRPr="00DC6510">
              <w:rPr>
                <w:rFonts w:ascii="Calibri" w:eastAsia="Times New Roman" w:hAnsi="Calibri" w:cs="Times New Roman"/>
                <w:b/>
                <w:color w:val="000000"/>
                <w:lang w:eastAsia="cs-CZ"/>
              </w:rPr>
              <w:t>Stupeň dokončeného vzdělání</w:t>
            </w:r>
          </w:p>
        </w:tc>
        <w:tc>
          <w:tcPr>
            <w:tcW w:w="1894" w:type="pct"/>
            <w:gridSpan w:val="3"/>
            <w:tcBorders>
              <w:top w:val="single" w:sz="18" w:space="0" w:color="auto"/>
              <w:bottom w:val="single" w:sz="8" w:space="0" w:color="auto"/>
            </w:tcBorders>
            <w:shd w:val="clear" w:color="auto" w:fill="FFC000"/>
            <w:noWrap/>
            <w:vAlign w:val="center"/>
            <w:hideMark/>
          </w:tcPr>
          <w:p w14:paraId="02183240" w14:textId="79608688" w:rsidR="00CD10C6" w:rsidRPr="00DC6510" w:rsidRDefault="00CD10C6" w:rsidP="000A2FCE">
            <w:pPr>
              <w:jc w:val="center"/>
              <w:rPr>
                <w:rFonts w:ascii="Calibri" w:eastAsia="Times New Roman" w:hAnsi="Calibri" w:cs="Times New Roman"/>
                <w:b/>
                <w:color w:val="000000"/>
                <w:lang w:eastAsia="cs-CZ"/>
              </w:rPr>
            </w:pPr>
            <w:r w:rsidRPr="00DC6510">
              <w:rPr>
                <w:rFonts w:ascii="Calibri" w:eastAsia="Times New Roman" w:hAnsi="Calibri" w:cs="Times New Roman"/>
                <w:b/>
                <w:color w:val="000000"/>
                <w:lang w:eastAsia="cs-CZ"/>
              </w:rPr>
              <w:t>Rok</w:t>
            </w:r>
          </w:p>
        </w:tc>
      </w:tr>
      <w:tr w:rsidR="00CD10C6" w:rsidRPr="00DC6510" w14:paraId="671E1127" w14:textId="754C63DD" w:rsidTr="00D77927">
        <w:trPr>
          <w:trHeight w:val="48"/>
          <w:jc w:val="center"/>
        </w:trPr>
        <w:tc>
          <w:tcPr>
            <w:tcW w:w="3106" w:type="pct"/>
            <w:vMerge/>
            <w:shd w:val="clear" w:color="auto" w:fill="FFC000"/>
            <w:noWrap/>
            <w:vAlign w:val="center"/>
            <w:hideMark/>
          </w:tcPr>
          <w:p w14:paraId="79695463" w14:textId="77777777" w:rsidR="00CD10C6" w:rsidRPr="00DC6510" w:rsidRDefault="00CD10C6" w:rsidP="000A2FCE">
            <w:pPr>
              <w:jc w:val="center"/>
              <w:rPr>
                <w:rFonts w:ascii="Calibri" w:eastAsia="Times New Roman" w:hAnsi="Calibri" w:cs="Times New Roman"/>
                <w:b/>
                <w:color w:val="000000"/>
                <w:lang w:eastAsia="cs-CZ"/>
              </w:rPr>
            </w:pPr>
          </w:p>
        </w:tc>
        <w:tc>
          <w:tcPr>
            <w:tcW w:w="628" w:type="pct"/>
            <w:tcBorders>
              <w:top w:val="single" w:sz="8" w:space="0" w:color="auto"/>
            </w:tcBorders>
            <w:shd w:val="clear" w:color="auto" w:fill="FFC000"/>
            <w:noWrap/>
            <w:vAlign w:val="center"/>
          </w:tcPr>
          <w:p w14:paraId="58D74B55" w14:textId="77777777" w:rsidR="00CD10C6" w:rsidRPr="00DC6510" w:rsidRDefault="00CD10C6" w:rsidP="000A2FCE">
            <w:pPr>
              <w:jc w:val="center"/>
              <w:rPr>
                <w:rFonts w:ascii="Calibri" w:eastAsia="Times New Roman" w:hAnsi="Calibri" w:cs="Times New Roman"/>
                <w:b/>
                <w:color w:val="000000"/>
                <w:lang w:eastAsia="cs-CZ"/>
              </w:rPr>
            </w:pPr>
            <w:r>
              <w:rPr>
                <w:rFonts w:ascii="Calibri" w:eastAsia="Times New Roman" w:hAnsi="Calibri" w:cs="Times New Roman"/>
                <w:b/>
                <w:color w:val="000000"/>
                <w:lang w:eastAsia="cs-CZ"/>
              </w:rPr>
              <w:t>2001</w:t>
            </w:r>
          </w:p>
        </w:tc>
        <w:tc>
          <w:tcPr>
            <w:tcW w:w="634" w:type="pct"/>
            <w:tcBorders>
              <w:top w:val="single" w:sz="8" w:space="0" w:color="auto"/>
              <w:left w:val="single" w:sz="8" w:space="0" w:color="auto"/>
            </w:tcBorders>
            <w:shd w:val="clear" w:color="auto" w:fill="FFC000"/>
            <w:vAlign w:val="center"/>
          </w:tcPr>
          <w:p w14:paraId="5671CEF9" w14:textId="77777777" w:rsidR="00CD10C6" w:rsidRPr="00DC6510" w:rsidRDefault="00CD10C6" w:rsidP="000A2FCE">
            <w:pPr>
              <w:jc w:val="center"/>
              <w:rPr>
                <w:rFonts w:ascii="Calibri" w:eastAsia="Times New Roman" w:hAnsi="Calibri" w:cs="Times New Roman"/>
                <w:b/>
                <w:color w:val="000000"/>
                <w:lang w:eastAsia="cs-CZ"/>
              </w:rPr>
            </w:pPr>
            <w:r w:rsidRPr="00DC6510">
              <w:rPr>
                <w:rFonts w:ascii="Calibri" w:eastAsia="Times New Roman" w:hAnsi="Calibri" w:cs="Times New Roman"/>
                <w:b/>
                <w:color w:val="000000"/>
                <w:lang w:eastAsia="cs-CZ"/>
              </w:rPr>
              <w:t>2011</w:t>
            </w:r>
          </w:p>
        </w:tc>
        <w:tc>
          <w:tcPr>
            <w:tcW w:w="632" w:type="pct"/>
            <w:tcBorders>
              <w:top w:val="single" w:sz="8" w:space="0" w:color="auto"/>
              <w:left w:val="single" w:sz="8" w:space="0" w:color="auto"/>
            </w:tcBorders>
            <w:shd w:val="clear" w:color="auto" w:fill="FFC000"/>
          </w:tcPr>
          <w:p w14:paraId="0EA01259" w14:textId="6019842A" w:rsidR="00CD10C6" w:rsidRPr="00DC6510" w:rsidRDefault="00CD10C6" w:rsidP="000A2FCE">
            <w:pPr>
              <w:jc w:val="center"/>
              <w:rPr>
                <w:rFonts w:ascii="Calibri" w:eastAsia="Times New Roman" w:hAnsi="Calibri" w:cs="Times New Roman"/>
                <w:b/>
                <w:color w:val="000000"/>
                <w:lang w:eastAsia="cs-CZ"/>
              </w:rPr>
            </w:pPr>
            <w:r>
              <w:rPr>
                <w:rFonts w:ascii="Calibri" w:eastAsia="Times New Roman" w:hAnsi="Calibri" w:cs="Times New Roman"/>
                <w:b/>
                <w:color w:val="000000"/>
                <w:lang w:eastAsia="cs-CZ"/>
              </w:rPr>
              <w:t>2021</w:t>
            </w:r>
          </w:p>
        </w:tc>
      </w:tr>
      <w:tr w:rsidR="00CD10C6" w:rsidRPr="00DC6510" w14:paraId="04CE6AC6" w14:textId="2DEC8A85" w:rsidTr="00CD10C6">
        <w:trPr>
          <w:trHeight w:val="38"/>
          <w:jc w:val="center"/>
        </w:trPr>
        <w:tc>
          <w:tcPr>
            <w:tcW w:w="3106" w:type="pct"/>
            <w:tcBorders>
              <w:top w:val="single" w:sz="12" w:space="0" w:color="auto"/>
              <w:bottom w:val="single" w:sz="6" w:space="0" w:color="auto"/>
            </w:tcBorders>
            <w:shd w:val="clear" w:color="auto" w:fill="D9D9D9" w:themeFill="background1" w:themeFillShade="D9"/>
            <w:vAlign w:val="center"/>
            <w:hideMark/>
          </w:tcPr>
          <w:p w14:paraId="0784F830" w14:textId="77777777" w:rsidR="00CD10C6" w:rsidRPr="00DC6510" w:rsidRDefault="00CD10C6" w:rsidP="00CD10C6">
            <w:pPr>
              <w:rPr>
                <w:rFonts w:ascii="Calibri" w:eastAsia="Times New Roman" w:hAnsi="Calibri" w:cs="Times New Roman"/>
                <w:color w:val="000000"/>
                <w:lang w:eastAsia="cs-CZ"/>
              </w:rPr>
            </w:pPr>
            <w:r>
              <w:rPr>
                <w:rFonts w:ascii="Calibri" w:eastAsia="Times New Roman" w:hAnsi="Calibri" w:cs="Times New Roman"/>
                <w:color w:val="000000"/>
                <w:lang w:eastAsia="cs-CZ"/>
              </w:rPr>
              <w:t>O</w:t>
            </w:r>
            <w:r w:rsidRPr="00DC6510">
              <w:rPr>
                <w:rFonts w:ascii="Calibri" w:eastAsia="Times New Roman" w:hAnsi="Calibri" w:cs="Times New Roman"/>
                <w:color w:val="000000"/>
                <w:lang w:eastAsia="cs-CZ"/>
              </w:rPr>
              <w:t>byvatelstvo 15 let a starší</w:t>
            </w:r>
          </w:p>
        </w:tc>
        <w:tc>
          <w:tcPr>
            <w:tcW w:w="628" w:type="pct"/>
            <w:tcBorders>
              <w:top w:val="single" w:sz="12" w:space="0" w:color="auto"/>
              <w:bottom w:val="single" w:sz="6" w:space="0" w:color="auto"/>
            </w:tcBorders>
            <w:shd w:val="clear" w:color="auto" w:fill="auto"/>
            <w:noWrap/>
            <w:vAlign w:val="center"/>
          </w:tcPr>
          <w:p w14:paraId="1331F5F3" w14:textId="56541089" w:rsidR="00CD10C6" w:rsidRDefault="00CD10C6" w:rsidP="00CD10C6">
            <w:pPr>
              <w:jc w:val="right"/>
              <w:rPr>
                <w:rFonts w:ascii="Calibri" w:hAnsi="Calibri" w:cs="Calibri"/>
                <w:color w:val="000000"/>
              </w:rPr>
            </w:pPr>
            <w:r>
              <w:rPr>
                <w:rFonts w:ascii="Calibri" w:hAnsi="Calibri" w:cs="Calibri"/>
                <w:color w:val="000000"/>
              </w:rPr>
              <w:t>326</w:t>
            </w:r>
          </w:p>
        </w:tc>
        <w:tc>
          <w:tcPr>
            <w:tcW w:w="634" w:type="pct"/>
            <w:tcBorders>
              <w:top w:val="single" w:sz="12" w:space="0" w:color="auto"/>
              <w:bottom w:val="single" w:sz="6" w:space="0" w:color="auto"/>
            </w:tcBorders>
            <w:vAlign w:val="center"/>
          </w:tcPr>
          <w:p w14:paraId="7EB51AB4" w14:textId="720B3D25" w:rsidR="00CD10C6" w:rsidRDefault="00CD10C6" w:rsidP="00CD10C6">
            <w:pPr>
              <w:jc w:val="right"/>
              <w:rPr>
                <w:rFonts w:ascii="Calibri" w:hAnsi="Calibri" w:cs="Calibri"/>
                <w:color w:val="000000"/>
              </w:rPr>
            </w:pPr>
            <w:r>
              <w:rPr>
                <w:rFonts w:ascii="Calibri" w:hAnsi="Calibri" w:cs="Calibri"/>
                <w:color w:val="000000"/>
              </w:rPr>
              <w:t>413</w:t>
            </w:r>
          </w:p>
        </w:tc>
        <w:tc>
          <w:tcPr>
            <w:tcW w:w="632" w:type="pct"/>
            <w:tcBorders>
              <w:top w:val="single" w:sz="12" w:space="0" w:color="auto"/>
              <w:bottom w:val="single" w:sz="6" w:space="0" w:color="auto"/>
            </w:tcBorders>
            <w:vAlign w:val="center"/>
          </w:tcPr>
          <w:p w14:paraId="668ACDE8" w14:textId="3435AB6E" w:rsidR="00CD10C6" w:rsidRDefault="00CD10C6" w:rsidP="00CD10C6">
            <w:pPr>
              <w:jc w:val="right"/>
              <w:rPr>
                <w:rFonts w:ascii="Calibri" w:hAnsi="Calibri" w:cs="Calibri"/>
                <w:color w:val="000000"/>
              </w:rPr>
            </w:pPr>
            <w:r>
              <w:rPr>
                <w:rFonts w:ascii="Calibri" w:hAnsi="Calibri" w:cs="Calibri"/>
                <w:color w:val="000000"/>
              </w:rPr>
              <w:t>497</w:t>
            </w:r>
          </w:p>
        </w:tc>
      </w:tr>
      <w:tr w:rsidR="00CD10C6" w:rsidRPr="00DC6510" w14:paraId="5040CC7A" w14:textId="760A22F5" w:rsidTr="00CD10C6">
        <w:trPr>
          <w:trHeight w:val="48"/>
          <w:jc w:val="center"/>
        </w:trPr>
        <w:tc>
          <w:tcPr>
            <w:tcW w:w="3106" w:type="pct"/>
            <w:tcBorders>
              <w:top w:val="single" w:sz="6" w:space="0" w:color="auto"/>
              <w:bottom w:val="single" w:sz="6" w:space="0" w:color="auto"/>
            </w:tcBorders>
            <w:shd w:val="clear" w:color="auto" w:fill="D9D9D9" w:themeFill="background1" w:themeFillShade="D9"/>
            <w:vAlign w:val="center"/>
            <w:hideMark/>
          </w:tcPr>
          <w:p w14:paraId="7DE2D94F" w14:textId="77777777" w:rsidR="00CD10C6" w:rsidRPr="00DC6510" w:rsidRDefault="00CD10C6" w:rsidP="00CD10C6">
            <w:pPr>
              <w:rPr>
                <w:rFonts w:ascii="Calibri" w:eastAsia="Times New Roman" w:hAnsi="Calibri" w:cs="Times New Roman"/>
                <w:color w:val="000000"/>
                <w:lang w:eastAsia="cs-CZ"/>
              </w:rPr>
            </w:pPr>
            <w:r>
              <w:rPr>
                <w:rFonts w:ascii="Calibri" w:eastAsia="Times New Roman" w:hAnsi="Calibri" w:cs="Times New Roman"/>
                <w:color w:val="000000"/>
                <w:lang w:eastAsia="cs-CZ"/>
              </w:rPr>
              <w:t>B</w:t>
            </w:r>
            <w:r w:rsidRPr="00DC6510">
              <w:rPr>
                <w:rFonts w:ascii="Calibri" w:eastAsia="Times New Roman" w:hAnsi="Calibri" w:cs="Times New Roman"/>
                <w:color w:val="000000"/>
                <w:lang w:eastAsia="cs-CZ"/>
              </w:rPr>
              <w:t>ez vzdělání</w:t>
            </w:r>
          </w:p>
        </w:tc>
        <w:tc>
          <w:tcPr>
            <w:tcW w:w="628" w:type="pct"/>
            <w:tcBorders>
              <w:top w:val="single" w:sz="6" w:space="0" w:color="auto"/>
              <w:bottom w:val="single" w:sz="6" w:space="0" w:color="auto"/>
            </w:tcBorders>
            <w:shd w:val="clear" w:color="auto" w:fill="auto"/>
            <w:noWrap/>
            <w:vAlign w:val="center"/>
          </w:tcPr>
          <w:p w14:paraId="02B7B26D" w14:textId="09FE5F86" w:rsidR="00CD10C6" w:rsidRDefault="00CD10C6" w:rsidP="00CD10C6">
            <w:pPr>
              <w:jc w:val="right"/>
              <w:rPr>
                <w:rFonts w:ascii="Calibri" w:hAnsi="Calibri" w:cs="Calibri"/>
                <w:color w:val="000000"/>
              </w:rPr>
            </w:pPr>
            <w:r>
              <w:rPr>
                <w:rFonts w:ascii="Calibri" w:hAnsi="Calibri" w:cs="Calibri"/>
                <w:color w:val="000000"/>
              </w:rPr>
              <w:t>2</w:t>
            </w:r>
          </w:p>
        </w:tc>
        <w:tc>
          <w:tcPr>
            <w:tcW w:w="634" w:type="pct"/>
            <w:tcBorders>
              <w:top w:val="single" w:sz="6" w:space="0" w:color="auto"/>
              <w:bottom w:val="single" w:sz="6" w:space="0" w:color="auto"/>
            </w:tcBorders>
            <w:vAlign w:val="center"/>
          </w:tcPr>
          <w:p w14:paraId="5C44A37D" w14:textId="7EA352DF" w:rsidR="00CD10C6" w:rsidRDefault="00CD10C6" w:rsidP="00CD10C6">
            <w:pPr>
              <w:jc w:val="right"/>
              <w:rPr>
                <w:rFonts w:ascii="Calibri" w:hAnsi="Calibri" w:cs="Calibri"/>
                <w:color w:val="000000"/>
              </w:rPr>
            </w:pPr>
            <w:r>
              <w:rPr>
                <w:rFonts w:ascii="Calibri" w:hAnsi="Calibri" w:cs="Calibri"/>
                <w:color w:val="000000"/>
              </w:rPr>
              <w:t>1</w:t>
            </w:r>
          </w:p>
        </w:tc>
        <w:tc>
          <w:tcPr>
            <w:tcW w:w="632" w:type="pct"/>
            <w:tcBorders>
              <w:top w:val="single" w:sz="6" w:space="0" w:color="auto"/>
              <w:bottom w:val="single" w:sz="6" w:space="0" w:color="auto"/>
            </w:tcBorders>
            <w:vAlign w:val="center"/>
          </w:tcPr>
          <w:p w14:paraId="7DEBFD7F" w14:textId="5AAF21E2" w:rsidR="00CD10C6" w:rsidRDefault="00CD10C6" w:rsidP="00CD10C6">
            <w:pPr>
              <w:jc w:val="right"/>
              <w:rPr>
                <w:rFonts w:ascii="Calibri" w:hAnsi="Calibri" w:cs="Calibri"/>
                <w:color w:val="000000"/>
              </w:rPr>
            </w:pPr>
            <w:r>
              <w:rPr>
                <w:rFonts w:ascii="Calibri" w:hAnsi="Calibri" w:cs="Calibri"/>
                <w:color w:val="000000"/>
              </w:rPr>
              <w:t>0</w:t>
            </w:r>
          </w:p>
        </w:tc>
      </w:tr>
      <w:tr w:rsidR="00CD10C6" w:rsidRPr="00DC6510" w14:paraId="67CF834D" w14:textId="6168F1F0" w:rsidTr="00CD10C6">
        <w:trPr>
          <w:trHeight w:val="48"/>
          <w:jc w:val="center"/>
        </w:trPr>
        <w:tc>
          <w:tcPr>
            <w:tcW w:w="3106" w:type="pct"/>
            <w:tcBorders>
              <w:top w:val="single" w:sz="6" w:space="0" w:color="auto"/>
              <w:bottom w:val="single" w:sz="6" w:space="0" w:color="auto"/>
            </w:tcBorders>
            <w:shd w:val="clear" w:color="auto" w:fill="D9D9D9" w:themeFill="background1" w:themeFillShade="D9"/>
            <w:vAlign w:val="center"/>
            <w:hideMark/>
          </w:tcPr>
          <w:p w14:paraId="60F13B89" w14:textId="77777777" w:rsidR="00CD10C6" w:rsidRPr="00DC6510" w:rsidRDefault="00CD10C6" w:rsidP="00CD10C6">
            <w:pPr>
              <w:rPr>
                <w:rFonts w:ascii="Calibri" w:eastAsia="Times New Roman" w:hAnsi="Calibri" w:cs="Times New Roman"/>
                <w:color w:val="000000"/>
                <w:lang w:eastAsia="cs-CZ"/>
              </w:rPr>
            </w:pPr>
            <w:r>
              <w:rPr>
                <w:rFonts w:ascii="Calibri" w:eastAsia="Times New Roman" w:hAnsi="Calibri" w:cs="Times New Roman"/>
                <w:color w:val="000000"/>
                <w:lang w:eastAsia="cs-CZ"/>
              </w:rPr>
              <w:t>Z</w:t>
            </w:r>
            <w:r w:rsidRPr="00DC6510">
              <w:rPr>
                <w:rFonts w:ascii="Calibri" w:eastAsia="Times New Roman" w:hAnsi="Calibri" w:cs="Times New Roman"/>
                <w:color w:val="000000"/>
                <w:lang w:eastAsia="cs-CZ"/>
              </w:rPr>
              <w:t>ákladní vzdělání</w:t>
            </w:r>
          </w:p>
        </w:tc>
        <w:tc>
          <w:tcPr>
            <w:tcW w:w="628" w:type="pct"/>
            <w:tcBorders>
              <w:top w:val="single" w:sz="6" w:space="0" w:color="auto"/>
              <w:bottom w:val="single" w:sz="6" w:space="0" w:color="auto"/>
            </w:tcBorders>
            <w:shd w:val="clear" w:color="auto" w:fill="auto"/>
            <w:noWrap/>
            <w:vAlign w:val="center"/>
          </w:tcPr>
          <w:p w14:paraId="2185E118" w14:textId="0BB3B219" w:rsidR="00CD10C6" w:rsidRDefault="00CD10C6" w:rsidP="00CD10C6">
            <w:pPr>
              <w:jc w:val="right"/>
              <w:rPr>
                <w:rFonts w:ascii="Calibri" w:hAnsi="Calibri" w:cs="Calibri"/>
                <w:color w:val="000000"/>
              </w:rPr>
            </w:pPr>
            <w:r>
              <w:rPr>
                <w:rFonts w:ascii="Calibri" w:hAnsi="Calibri" w:cs="Calibri"/>
                <w:color w:val="000000"/>
              </w:rPr>
              <w:t>112</w:t>
            </w:r>
          </w:p>
        </w:tc>
        <w:tc>
          <w:tcPr>
            <w:tcW w:w="634" w:type="pct"/>
            <w:tcBorders>
              <w:top w:val="single" w:sz="6" w:space="0" w:color="auto"/>
              <w:bottom w:val="single" w:sz="6" w:space="0" w:color="auto"/>
            </w:tcBorders>
            <w:vAlign w:val="center"/>
          </w:tcPr>
          <w:p w14:paraId="281925E5" w14:textId="07C41824" w:rsidR="00CD10C6" w:rsidRDefault="00CD10C6" w:rsidP="00CD10C6">
            <w:pPr>
              <w:jc w:val="right"/>
              <w:rPr>
                <w:rFonts w:ascii="Calibri" w:hAnsi="Calibri" w:cs="Calibri"/>
                <w:color w:val="000000"/>
              </w:rPr>
            </w:pPr>
            <w:r>
              <w:rPr>
                <w:rFonts w:ascii="Calibri" w:hAnsi="Calibri" w:cs="Calibri"/>
                <w:color w:val="000000"/>
              </w:rPr>
              <w:t>89</w:t>
            </w:r>
          </w:p>
        </w:tc>
        <w:tc>
          <w:tcPr>
            <w:tcW w:w="632" w:type="pct"/>
            <w:tcBorders>
              <w:top w:val="single" w:sz="6" w:space="0" w:color="auto"/>
              <w:bottom w:val="single" w:sz="6" w:space="0" w:color="auto"/>
            </w:tcBorders>
            <w:vAlign w:val="center"/>
          </w:tcPr>
          <w:p w14:paraId="12166752" w14:textId="08DED341" w:rsidR="00CD10C6" w:rsidRDefault="00CD10C6" w:rsidP="00CD10C6">
            <w:pPr>
              <w:jc w:val="right"/>
              <w:rPr>
                <w:rFonts w:ascii="Calibri" w:hAnsi="Calibri" w:cs="Calibri"/>
                <w:color w:val="000000"/>
              </w:rPr>
            </w:pPr>
            <w:r>
              <w:rPr>
                <w:rFonts w:ascii="Calibri" w:hAnsi="Calibri" w:cs="Calibri"/>
                <w:color w:val="000000"/>
              </w:rPr>
              <w:t>73</w:t>
            </w:r>
          </w:p>
        </w:tc>
      </w:tr>
      <w:tr w:rsidR="00CD10C6" w:rsidRPr="00DC6510" w14:paraId="22444976" w14:textId="0086742F" w:rsidTr="00CD10C6">
        <w:trPr>
          <w:trHeight w:val="48"/>
          <w:jc w:val="center"/>
        </w:trPr>
        <w:tc>
          <w:tcPr>
            <w:tcW w:w="3106" w:type="pct"/>
            <w:tcBorders>
              <w:top w:val="single" w:sz="6" w:space="0" w:color="auto"/>
              <w:bottom w:val="single" w:sz="6" w:space="0" w:color="auto"/>
            </w:tcBorders>
            <w:shd w:val="clear" w:color="auto" w:fill="D9D9D9" w:themeFill="background1" w:themeFillShade="D9"/>
            <w:vAlign w:val="center"/>
            <w:hideMark/>
          </w:tcPr>
          <w:p w14:paraId="1EED1B42" w14:textId="77777777" w:rsidR="00CD10C6" w:rsidRPr="00DC6510" w:rsidRDefault="00CD10C6" w:rsidP="00CD10C6">
            <w:pPr>
              <w:rPr>
                <w:rFonts w:ascii="Calibri" w:eastAsia="Times New Roman" w:hAnsi="Calibri" w:cs="Times New Roman"/>
                <w:color w:val="000000"/>
                <w:lang w:eastAsia="cs-CZ"/>
              </w:rPr>
            </w:pPr>
            <w:r>
              <w:rPr>
                <w:rFonts w:ascii="Calibri" w:eastAsia="Times New Roman" w:hAnsi="Calibri" w:cs="Times New Roman"/>
                <w:color w:val="000000"/>
                <w:lang w:eastAsia="cs-CZ"/>
              </w:rPr>
              <w:t>S</w:t>
            </w:r>
            <w:r w:rsidRPr="00DC6510">
              <w:rPr>
                <w:rFonts w:ascii="Calibri" w:eastAsia="Times New Roman" w:hAnsi="Calibri" w:cs="Times New Roman"/>
                <w:color w:val="000000"/>
                <w:lang w:eastAsia="cs-CZ"/>
              </w:rPr>
              <w:t>tředoškolské včetně vyučení (bez maturity)</w:t>
            </w:r>
          </w:p>
        </w:tc>
        <w:tc>
          <w:tcPr>
            <w:tcW w:w="628" w:type="pct"/>
            <w:tcBorders>
              <w:top w:val="single" w:sz="6" w:space="0" w:color="auto"/>
              <w:bottom w:val="single" w:sz="6" w:space="0" w:color="auto"/>
            </w:tcBorders>
            <w:shd w:val="clear" w:color="auto" w:fill="auto"/>
            <w:noWrap/>
            <w:vAlign w:val="center"/>
          </w:tcPr>
          <w:p w14:paraId="093B773D" w14:textId="675B249A" w:rsidR="00CD10C6" w:rsidRDefault="00CD10C6" w:rsidP="00CD10C6">
            <w:pPr>
              <w:jc w:val="right"/>
              <w:rPr>
                <w:rFonts w:ascii="Calibri" w:hAnsi="Calibri" w:cs="Calibri"/>
                <w:color w:val="000000"/>
              </w:rPr>
            </w:pPr>
            <w:r>
              <w:rPr>
                <w:rFonts w:ascii="Calibri" w:hAnsi="Calibri" w:cs="Calibri"/>
                <w:color w:val="000000"/>
              </w:rPr>
              <w:t>162</w:t>
            </w:r>
          </w:p>
        </w:tc>
        <w:tc>
          <w:tcPr>
            <w:tcW w:w="634" w:type="pct"/>
            <w:tcBorders>
              <w:top w:val="single" w:sz="6" w:space="0" w:color="auto"/>
              <w:bottom w:val="single" w:sz="6" w:space="0" w:color="auto"/>
            </w:tcBorders>
            <w:vAlign w:val="center"/>
          </w:tcPr>
          <w:p w14:paraId="495A24D8" w14:textId="2E98066E" w:rsidR="00CD10C6" w:rsidRDefault="00CD10C6" w:rsidP="00CD10C6">
            <w:pPr>
              <w:jc w:val="right"/>
              <w:rPr>
                <w:rFonts w:ascii="Calibri" w:hAnsi="Calibri" w:cs="Calibri"/>
                <w:color w:val="000000"/>
              </w:rPr>
            </w:pPr>
            <w:r>
              <w:rPr>
                <w:rFonts w:ascii="Calibri" w:hAnsi="Calibri" w:cs="Calibri"/>
                <w:color w:val="000000"/>
              </w:rPr>
              <w:t>178</w:t>
            </w:r>
          </w:p>
        </w:tc>
        <w:tc>
          <w:tcPr>
            <w:tcW w:w="632" w:type="pct"/>
            <w:tcBorders>
              <w:top w:val="single" w:sz="6" w:space="0" w:color="auto"/>
              <w:bottom w:val="single" w:sz="6" w:space="0" w:color="auto"/>
            </w:tcBorders>
            <w:vAlign w:val="center"/>
          </w:tcPr>
          <w:p w14:paraId="4123D5D0" w14:textId="193B85AD" w:rsidR="00CD10C6" w:rsidRDefault="00CD10C6" w:rsidP="00CD10C6">
            <w:pPr>
              <w:jc w:val="right"/>
              <w:rPr>
                <w:rFonts w:ascii="Calibri" w:hAnsi="Calibri" w:cs="Calibri"/>
                <w:color w:val="000000"/>
              </w:rPr>
            </w:pPr>
            <w:r>
              <w:rPr>
                <w:rFonts w:ascii="Calibri" w:hAnsi="Calibri" w:cs="Calibri"/>
                <w:color w:val="000000"/>
              </w:rPr>
              <w:t>193</w:t>
            </w:r>
          </w:p>
        </w:tc>
      </w:tr>
      <w:tr w:rsidR="00CD10C6" w:rsidRPr="00DC6510" w14:paraId="324A6C2C" w14:textId="16CE62E2" w:rsidTr="00CD10C6">
        <w:trPr>
          <w:trHeight w:val="48"/>
          <w:jc w:val="center"/>
        </w:trPr>
        <w:tc>
          <w:tcPr>
            <w:tcW w:w="3106" w:type="pct"/>
            <w:tcBorders>
              <w:top w:val="single" w:sz="6" w:space="0" w:color="auto"/>
              <w:bottom w:val="single" w:sz="6" w:space="0" w:color="auto"/>
            </w:tcBorders>
            <w:shd w:val="clear" w:color="auto" w:fill="D9D9D9" w:themeFill="background1" w:themeFillShade="D9"/>
            <w:vAlign w:val="center"/>
            <w:hideMark/>
          </w:tcPr>
          <w:p w14:paraId="30C30949" w14:textId="41E9655A" w:rsidR="00CD10C6" w:rsidRPr="00DC6510" w:rsidRDefault="00CD10C6" w:rsidP="00CD10C6">
            <w:pPr>
              <w:rPr>
                <w:rFonts w:ascii="Calibri" w:eastAsia="Times New Roman" w:hAnsi="Calibri" w:cs="Times New Roman"/>
                <w:color w:val="000000"/>
                <w:lang w:eastAsia="cs-CZ"/>
              </w:rPr>
            </w:pPr>
            <w:r>
              <w:rPr>
                <w:rFonts w:ascii="Calibri" w:eastAsia="Times New Roman" w:hAnsi="Calibri" w:cs="Times New Roman"/>
                <w:color w:val="000000"/>
                <w:lang w:eastAsia="cs-CZ"/>
              </w:rPr>
              <w:t>Ú</w:t>
            </w:r>
            <w:r w:rsidRPr="00DC6510">
              <w:rPr>
                <w:rFonts w:ascii="Calibri" w:eastAsia="Times New Roman" w:hAnsi="Calibri" w:cs="Times New Roman"/>
                <w:color w:val="000000"/>
                <w:lang w:eastAsia="cs-CZ"/>
              </w:rPr>
              <w:t>plné střední s</w:t>
            </w:r>
            <w:r>
              <w:rPr>
                <w:rFonts w:ascii="Calibri" w:eastAsia="Times New Roman" w:hAnsi="Calibri" w:cs="Times New Roman"/>
                <w:color w:val="000000"/>
                <w:lang w:eastAsia="cs-CZ"/>
              </w:rPr>
              <w:t> </w:t>
            </w:r>
            <w:r w:rsidRPr="00DC6510">
              <w:rPr>
                <w:rFonts w:ascii="Calibri" w:eastAsia="Times New Roman" w:hAnsi="Calibri" w:cs="Times New Roman"/>
                <w:color w:val="000000"/>
                <w:lang w:eastAsia="cs-CZ"/>
              </w:rPr>
              <w:t>maturitou</w:t>
            </w:r>
            <w:r>
              <w:rPr>
                <w:rFonts w:ascii="Calibri" w:eastAsia="Times New Roman" w:hAnsi="Calibri" w:cs="Times New Roman"/>
                <w:color w:val="000000"/>
                <w:lang w:eastAsia="cs-CZ"/>
              </w:rPr>
              <w:t xml:space="preserve"> </w:t>
            </w:r>
            <w:r w:rsidRPr="00CD10C6">
              <w:rPr>
                <w:rFonts w:ascii="Calibri" w:eastAsia="Times New Roman" w:hAnsi="Calibri" w:cs="Times New Roman"/>
                <w:color w:val="000000"/>
                <w:lang w:eastAsia="cs-CZ"/>
              </w:rPr>
              <w:t>vč. nástavbového a pomaturitního</w:t>
            </w:r>
          </w:p>
        </w:tc>
        <w:tc>
          <w:tcPr>
            <w:tcW w:w="628" w:type="pct"/>
            <w:tcBorders>
              <w:top w:val="single" w:sz="6" w:space="0" w:color="auto"/>
              <w:bottom w:val="single" w:sz="6" w:space="0" w:color="auto"/>
            </w:tcBorders>
            <w:shd w:val="clear" w:color="auto" w:fill="auto"/>
            <w:noWrap/>
            <w:vAlign w:val="center"/>
          </w:tcPr>
          <w:p w14:paraId="4548120E" w14:textId="1B83FDEA" w:rsidR="00CD10C6" w:rsidRDefault="00CD10C6" w:rsidP="00CD10C6">
            <w:pPr>
              <w:jc w:val="right"/>
              <w:rPr>
                <w:rFonts w:ascii="Calibri" w:hAnsi="Calibri" w:cs="Calibri"/>
                <w:color w:val="000000"/>
              </w:rPr>
            </w:pPr>
            <w:r>
              <w:rPr>
                <w:rFonts w:ascii="Calibri" w:hAnsi="Calibri" w:cs="Calibri"/>
                <w:color w:val="000000"/>
              </w:rPr>
              <w:t>46</w:t>
            </w:r>
          </w:p>
        </w:tc>
        <w:tc>
          <w:tcPr>
            <w:tcW w:w="634" w:type="pct"/>
            <w:tcBorders>
              <w:top w:val="single" w:sz="6" w:space="0" w:color="auto"/>
              <w:bottom w:val="single" w:sz="6" w:space="0" w:color="auto"/>
            </w:tcBorders>
            <w:vAlign w:val="center"/>
          </w:tcPr>
          <w:p w14:paraId="78E9896F" w14:textId="31B0B919" w:rsidR="00CD10C6" w:rsidRDefault="00CD10C6" w:rsidP="00CD10C6">
            <w:pPr>
              <w:jc w:val="right"/>
              <w:rPr>
                <w:rFonts w:ascii="Calibri" w:hAnsi="Calibri" w:cs="Calibri"/>
                <w:color w:val="000000"/>
              </w:rPr>
            </w:pPr>
            <w:r>
              <w:rPr>
                <w:rFonts w:ascii="Calibri" w:hAnsi="Calibri" w:cs="Calibri"/>
                <w:color w:val="000000"/>
              </w:rPr>
              <w:t>105</w:t>
            </w:r>
          </w:p>
        </w:tc>
        <w:tc>
          <w:tcPr>
            <w:tcW w:w="632" w:type="pct"/>
            <w:tcBorders>
              <w:top w:val="single" w:sz="6" w:space="0" w:color="auto"/>
              <w:bottom w:val="single" w:sz="6" w:space="0" w:color="auto"/>
            </w:tcBorders>
            <w:vAlign w:val="center"/>
          </w:tcPr>
          <w:p w14:paraId="06B440A3" w14:textId="63B9CBAC" w:rsidR="00CD10C6" w:rsidRDefault="00CD10C6" w:rsidP="00CD10C6">
            <w:pPr>
              <w:jc w:val="right"/>
              <w:rPr>
                <w:rFonts w:ascii="Calibri" w:hAnsi="Calibri" w:cs="Calibri"/>
                <w:color w:val="000000"/>
              </w:rPr>
            </w:pPr>
            <w:r>
              <w:rPr>
                <w:rFonts w:ascii="Calibri" w:hAnsi="Calibri" w:cs="Calibri"/>
                <w:color w:val="000000"/>
              </w:rPr>
              <w:t>149</w:t>
            </w:r>
          </w:p>
        </w:tc>
      </w:tr>
      <w:tr w:rsidR="00CD10C6" w:rsidRPr="00DC6510" w14:paraId="195A9DFF" w14:textId="4C205A19" w:rsidTr="00CD10C6">
        <w:trPr>
          <w:trHeight w:val="48"/>
          <w:jc w:val="center"/>
        </w:trPr>
        <w:tc>
          <w:tcPr>
            <w:tcW w:w="3106" w:type="pct"/>
            <w:tcBorders>
              <w:top w:val="single" w:sz="6" w:space="0" w:color="auto"/>
              <w:bottom w:val="single" w:sz="6" w:space="0" w:color="auto"/>
            </w:tcBorders>
            <w:shd w:val="clear" w:color="auto" w:fill="D9D9D9" w:themeFill="background1" w:themeFillShade="D9"/>
            <w:vAlign w:val="center"/>
            <w:hideMark/>
          </w:tcPr>
          <w:p w14:paraId="6C24AFC5" w14:textId="318D957F" w:rsidR="00CD10C6" w:rsidRPr="00DC6510" w:rsidRDefault="00CD10C6" w:rsidP="00CD10C6">
            <w:pPr>
              <w:rPr>
                <w:rFonts w:ascii="Calibri" w:eastAsia="Times New Roman" w:hAnsi="Calibri" w:cs="Times New Roman"/>
                <w:color w:val="000000"/>
                <w:lang w:eastAsia="cs-CZ"/>
              </w:rPr>
            </w:pPr>
            <w:r>
              <w:rPr>
                <w:rFonts w:ascii="Calibri" w:eastAsia="Times New Roman" w:hAnsi="Calibri" w:cs="Times New Roman"/>
                <w:color w:val="000000"/>
                <w:lang w:eastAsia="cs-CZ"/>
              </w:rPr>
              <w:t>V</w:t>
            </w:r>
            <w:r w:rsidRPr="00DC6510">
              <w:rPr>
                <w:rFonts w:ascii="Calibri" w:eastAsia="Times New Roman" w:hAnsi="Calibri" w:cs="Times New Roman"/>
                <w:color w:val="000000"/>
                <w:lang w:eastAsia="cs-CZ"/>
              </w:rPr>
              <w:t>yšší odborné</w:t>
            </w:r>
          </w:p>
        </w:tc>
        <w:tc>
          <w:tcPr>
            <w:tcW w:w="628" w:type="pct"/>
            <w:tcBorders>
              <w:top w:val="single" w:sz="6" w:space="0" w:color="auto"/>
              <w:bottom w:val="single" w:sz="6" w:space="0" w:color="auto"/>
            </w:tcBorders>
            <w:shd w:val="clear" w:color="auto" w:fill="auto"/>
            <w:noWrap/>
            <w:vAlign w:val="center"/>
          </w:tcPr>
          <w:p w14:paraId="567805F6" w14:textId="69C76C49" w:rsidR="00CD10C6" w:rsidRDefault="00CD10C6" w:rsidP="00CD10C6">
            <w:pPr>
              <w:jc w:val="right"/>
              <w:rPr>
                <w:rFonts w:ascii="Calibri" w:hAnsi="Calibri" w:cs="Calibri"/>
                <w:color w:val="000000"/>
              </w:rPr>
            </w:pPr>
            <w:r>
              <w:rPr>
                <w:rFonts w:ascii="Calibri" w:hAnsi="Calibri" w:cs="Calibri"/>
                <w:color w:val="000000"/>
              </w:rPr>
              <w:t>3</w:t>
            </w:r>
          </w:p>
        </w:tc>
        <w:tc>
          <w:tcPr>
            <w:tcW w:w="634" w:type="pct"/>
            <w:tcBorders>
              <w:top w:val="single" w:sz="6" w:space="0" w:color="auto"/>
              <w:bottom w:val="single" w:sz="6" w:space="0" w:color="auto"/>
            </w:tcBorders>
            <w:vAlign w:val="center"/>
          </w:tcPr>
          <w:p w14:paraId="55898FB3" w14:textId="22920E74" w:rsidR="00CD10C6" w:rsidRDefault="00CD10C6" w:rsidP="00CD10C6">
            <w:pPr>
              <w:jc w:val="right"/>
              <w:rPr>
                <w:rFonts w:ascii="Calibri" w:hAnsi="Calibri" w:cs="Calibri"/>
                <w:color w:val="000000"/>
              </w:rPr>
            </w:pPr>
            <w:r>
              <w:rPr>
                <w:rFonts w:ascii="Calibri" w:hAnsi="Calibri" w:cs="Calibri"/>
                <w:color w:val="000000"/>
              </w:rPr>
              <w:t>2</w:t>
            </w:r>
          </w:p>
        </w:tc>
        <w:tc>
          <w:tcPr>
            <w:tcW w:w="632" w:type="pct"/>
            <w:tcBorders>
              <w:top w:val="single" w:sz="6" w:space="0" w:color="auto"/>
              <w:bottom w:val="single" w:sz="6" w:space="0" w:color="auto"/>
            </w:tcBorders>
            <w:vAlign w:val="center"/>
          </w:tcPr>
          <w:p w14:paraId="102D435B" w14:textId="58413B20" w:rsidR="00CD10C6" w:rsidRDefault="00CD10C6" w:rsidP="00CD10C6">
            <w:pPr>
              <w:jc w:val="right"/>
              <w:rPr>
                <w:rFonts w:ascii="Calibri" w:hAnsi="Calibri" w:cs="Calibri"/>
                <w:color w:val="000000"/>
              </w:rPr>
            </w:pPr>
            <w:r>
              <w:rPr>
                <w:rFonts w:ascii="Calibri" w:hAnsi="Calibri" w:cs="Calibri"/>
                <w:color w:val="000000"/>
              </w:rPr>
              <w:t>7</w:t>
            </w:r>
          </w:p>
        </w:tc>
      </w:tr>
      <w:tr w:rsidR="00CD10C6" w:rsidRPr="00DC6510" w14:paraId="5EAE1CCA" w14:textId="337DBE78" w:rsidTr="00CD10C6">
        <w:trPr>
          <w:trHeight w:val="48"/>
          <w:jc w:val="center"/>
        </w:trPr>
        <w:tc>
          <w:tcPr>
            <w:tcW w:w="3106" w:type="pct"/>
            <w:tcBorders>
              <w:top w:val="single" w:sz="6" w:space="0" w:color="auto"/>
              <w:bottom w:val="single" w:sz="6" w:space="0" w:color="auto"/>
            </w:tcBorders>
            <w:shd w:val="clear" w:color="auto" w:fill="D9D9D9" w:themeFill="background1" w:themeFillShade="D9"/>
            <w:vAlign w:val="center"/>
            <w:hideMark/>
          </w:tcPr>
          <w:p w14:paraId="446BFC8E" w14:textId="77777777" w:rsidR="00CD10C6" w:rsidRPr="00DC6510" w:rsidRDefault="00CD10C6" w:rsidP="00CD10C6">
            <w:pPr>
              <w:rPr>
                <w:rFonts w:ascii="Calibri" w:eastAsia="Times New Roman" w:hAnsi="Calibri" w:cs="Times New Roman"/>
                <w:color w:val="000000"/>
                <w:lang w:eastAsia="cs-CZ"/>
              </w:rPr>
            </w:pPr>
            <w:r>
              <w:rPr>
                <w:rFonts w:ascii="Calibri" w:eastAsia="Times New Roman" w:hAnsi="Calibri" w:cs="Times New Roman"/>
                <w:color w:val="000000"/>
                <w:lang w:eastAsia="cs-CZ"/>
              </w:rPr>
              <w:t>V</w:t>
            </w:r>
            <w:r w:rsidRPr="00DC6510">
              <w:rPr>
                <w:rFonts w:ascii="Calibri" w:eastAsia="Times New Roman" w:hAnsi="Calibri" w:cs="Times New Roman"/>
                <w:color w:val="000000"/>
                <w:lang w:eastAsia="cs-CZ"/>
              </w:rPr>
              <w:t>ysokoškolské</w:t>
            </w:r>
          </w:p>
        </w:tc>
        <w:tc>
          <w:tcPr>
            <w:tcW w:w="628" w:type="pct"/>
            <w:tcBorders>
              <w:top w:val="single" w:sz="6" w:space="0" w:color="auto"/>
              <w:bottom w:val="single" w:sz="6" w:space="0" w:color="auto"/>
            </w:tcBorders>
            <w:shd w:val="clear" w:color="auto" w:fill="auto"/>
            <w:noWrap/>
            <w:vAlign w:val="center"/>
          </w:tcPr>
          <w:p w14:paraId="7DC4A0E9" w14:textId="5986234C" w:rsidR="00CD10C6" w:rsidRDefault="00CD10C6" w:rsidP="00CD10C6">
            <w:pPr>
              <w:jc w:val="right"/>
              <w:rPr>
                <w:rFonts w:ascii="Calibri" w:hAnsi="Calibri" w:cs="Calibri"/>
                <w:color w:val="000000"/>
              </w:rPr>
            </w:pPr>
            <w:r>
              <w:rPr>
                <w:rFonts w:ascii="Calibri" w:hAnsi="Calibri" w:cs="Calibri"/>
                <w:color w:val="000000"/>
              </w:rPr>
              <w:t>6</w:t>
            </w:r>
          </w:p>
        </w:tc>
        <w:tc>
          <w:tcPr>
            <w:tcW w:w="634" w:type="pct"/>
            <w:tcBorders>
              <w:top w:val="single" w:sz="6" w:space="0" w:color="auto"/>
              <w:bottom w:val="single" w:sz="6" w:space="0" w:color="auto"/>
            </w:tcBorders>
            <w:vAlign w:val="center"/>
          </w:tcPr>
          <w:p w14:paraId="7B5DF5DD" w14:textId="0A05114D" w:rsidR="00CD10C6" w:rsidRDefault="00CD10C6" w:rsidP="00CD10C6">
            <w:pPr>
              <w:jc w:val="right"/>
              <w:rPr>
                <w:rFonts w:ascii="Calibri" w:hAnsi="Calibri" w:cs="Calibri"/>
                <w:color w:val="000000"/>
              </w:rPr>
            </w:pPr>
            <w:r>
              <w:rPr>
                <w:rFonts w:ascii="Calibri" w:hAnsi="Calibri" w:cs="Calibri"/>
                <w:color w:val="000000"/>
              </w:rPr>
              <w:t>14</w:t>
            </w:r>
          </w:p>
        </w:tc>
        <w:tc>
          <w:tcPr>
            <w:tcW w:w="632" w:type="pct"/>
            <w:tcBorders>
              <w:top w:val="single" w:sz="6" w:space="0" w:color="auto"/>
              <w:bottom w:val="single" w:sz="6" w:space="0" w:color="auto"/>
            </w:tcBorders>
            <w:vAlign w:val="center"/>
          </w:tcPr>
          <w:p w14:paraId="7A00D536" w14:textId="7F755FA8" w:rsidR="00CD10C6" w:rsidRDefault="00CD10C6" w:rsidP="00CD10C6">
            <w:pPr>
              <w:jc w:val="right"/>
              <w:rPr>
                <w:rFonts w:ascii="Calibri" w:hAnsi="Calibri" w:cs="Calibri"/>
                <w:color w:val="000000"/>
              </w:rPr>
            </w:pPr>
            <w:r>
              <w:rPr>
                <w:rFonts w:ascii="Calibri" w:hAnsi="Calibri" w:cs="Calibri"/>
                <w:color w:val="000000"/>
              </w:rPr>
              <w:t>45</w:t>
            </w:r>
          </w:p>
        </w:tc>
      </w:tr>
      <w:tr w:rsidR="00CD10C6" w:rsidRPr="00DC6510" w14:paraId="75F555AA" w14:textId="0D006DBC" w:rsidTr="00CD10C6">
        <w:trPr>
          <w:trHeight w:val="48"/>
          <w:jc w:val="center"/>
        </w:trPr>
        <w:tc>
          <w:tcPr>
            <w:tcW w:w="3106" w:type="pct"/>
            <w:tcBorders>
              <w:top w:val="single" w:sz="6" w:space="0" w:color="auto"/>
              <w:bottom w:val="single" w:sz="12" w:space="0" w:color="auto"/>
            </w:tcBorders>
            <w:shd w:val="clear" w:color="auto" w:fill="D9D9D9" w:themeFill="background1" w:themeFillShade="D9"/>
            <w:vAlign w:val="center"/>
            <w:hideMark/>
          </w:tcPr>
          <w:p w14:paraId="589354D0" w14:textId="77777777" w:rsidR="00CD10C6" w:rsidRPr="00DC6510" w:rsidRDefault="00CD10C6" w:rsidP="00CD10C6">
            <w:pPr>
              <w:rPr>
                <w:rFonts w:ascii="Calibri" w:eastAsia="Times New Roman" w:hAnsi="Calibri" w:cs="Times New Roman"/>
                <w:color w:val="000000"/>
                <w:lang w:eastAsia="cs-CZ"/>
              </w:rPr>
            </w:pPr>
            <w:r>
              <w:rPr>
                <w:rFonts w:ascii="Calibri" w:eastAsia="Times New Roman" w:hAnsi="Calibri" w:cs="Times New Roman"/>
                <w:color w:val="000000"/>
                <w:lang w:eastAsia="cs-CZ"/>
              </w:rPr>
              <w:t>B</w:t>
            </w:r>
            <w:r w:rsidRPr="00DC6510">
              <w:rPr>
                <w:rFonts w:ascii="Calibri" w:eastAsia="Times New Roman" w:hAnsi="Calibri" w:cs="Times New Roman"/>
                <w:color w:val="000000"/>
                <w:lang w:eastAsia="cs-CZ"/>
              </w:rPr>
              <w:t>ez udání vzdělání</w:t>
            </w:r>
          </w:p>
        </w:tc>
        <w:tc>
          <w:tcPr>
            <w:tcW w:w="628" w:type="pct"/>
            <w:tcBorders>
              <w:top w:val="single" w:sz="6" w:space="0" w:color="auto"/>
              <w:bottom w:val="single" w:sz="12" w:space="0" w:color="auto"/>
            </w:tcBorders>
            <w:shd w:val="clear" w:color="auto" w:fill="auto"/>
            <w:noWrap/>
            <w:vAlign w:val="center"/>
          </w:tcPr>
          <w:p w14:paraId="27298AD4" w14:textId="54E3A212" w:rsidR="00CD10C6" w:rsidRDefault="00CD10C6" w:rsidP="00CD10C6">
            <w:pPr>
              <w:jc w:val="right"/>
              <w:rPr>
                <w:rFonts w:ascii="Calibri" w:hAnsi="Calibri" w:cs="Calibri"/>
                <w:color w:val="000000"/>
              </w:rPr>
            </w:pPr>
            <w:r>
              <w:rPr>
                <w:rFonts w:ascii="Calibri" w:hAnsi="Calibri" w:cs="Calibri"/>
                <w:color w:val="000000"/>
              </w:rPr>
              <w:t>5</w:t>
            </w:r>
          </w:p>
        </w:tc>
        <w:tc>
          <w:tcPr>
            <w:tcW w:w="634" w:type="pct"/>
            <w:tcBorders>
              <w:top w:val="single" w:sz="6" w:space="0" w:color="auto"/>
              <w:bottom w:val="single" w:sz="12" w:space="0" w:color="auto"/>
            </w:tcBorders>
            <w:vAlign w:val="center"/>
          </w:tcPr>
          <w:p w14:paraId="7FBFA3A1" w14:textId="3BCD7810" w:rsidR="00CD10C6" w:rsidRDefault="00CD10C6" w:rsidP="00CD10C6">
            <w:pPr>
              <w:jc w:val="right"/>
              <w:rPr>
                <w:rFonts w:ascii="Calibri" w:hAnsi="Calibri" w:cs="Calibri"/>
                <w:color w:val="000000"/>
              </w:rPr>
            </w:pPr>
            <w:r>
              <w:rPr>
                <w:rFonts w:ascii="Calibri" w:hAnsi="Calibri" w:cs="Calibri"/>
                <w:color w:val="000000"/>
              </w:rPr>
              <w:t>24</w:t>
            </w:r>
          </w:p>
        </w:tc>
        <w:tc>
          <w:tcPr>
            <w:tcW w:w="632" w:type="pct"/>
            <w:tcBorders>
              <w:top w:val="single" w:sz="6" w:space="0" w:color="auto"/>
              <w:bottom w:val="single" w:sz="12" w:space="0" w:color="auto"/>
            </w:tcBorders>
            <w:vAlign w:val="center"/>
          </w:tcPr>
          <w:p w14:paraId="647E752D" w14:textId="5483CA63" w:rsidR="00CD10C6" w:rsidRDefault="00CD10C6" w:rsidP="00CD10C6">
            <w:pPr>
              <w:jc w:val="right"/>
              <w:rPr>
                <w:rFonts w:ascii="Calibri" w:hAnsi="Calibri" w:cs="Calibri"/>
                <w:color w:val="000000"/>
              </w:rPr>
            </w:pPr>
            <w:r>
              <w:rPr>
                <w:rFonts w:ascii="Calibri" w:hAnsi="Calibri" w:cs="Calibri"/>
                <w:color w:val="000000"/>
              </w:rPr>
              <w:t>30</w:t>
            </w:r>
          </w:p>
        </w:tc>
      </w:tr>
      <w:tr w:rsidR="00CD10C6" w:rsidRPr="00DC6510" w14:paraId="45D8D021" w14:textId="62621BCF" w:rsidTr="00CD10C6">
        <w:trPr>
          <w:trHeight w:val="38"/>
          <w:jc w:val="center"/>
        </w:trPr>
        <w:tc>
          <w:tcPr>
            <w:tcW w:w="3106" w:type="pct"/>
            <w:tcBorders>
              <w:top w:val="single" w:sz="12" w:space="0" w:color="auto"/>
              <w:bottom w:val="single" w:sz="18" w:space="0" w:color="auto"/>
            </w:tcBorders>
            <w:shd w:val="clear" w:color="auto" w:fill="D9D9D9" w:themeFill="background1" w:themeFillShade="D9"/>
            <w:vAlign w:val="center"/>
            <w:hideMark/>
          </w:tcPr>
          <w:p w14:paraId="5FE45676" w14:textId="77777777" w:rsidR="00CD10C6" w:rsidRPr="009E3A79" w:rsidRDefault="00CD10C6" w:rsidP="00CD10C6">
            <w:pPr>
              <w:rPr>
                <w:rFonts w:ascii="Calibri" w:eastAsia="Times New Roman" w:hAnsi="Calibri" w:cs="Times New Roman"/>
                <w:b/>
                <w:color w:val="000000"/>
                <w:lang w:eastAsia="cs-CZ"/>
              </w:rPr>
            </w:pPr>
            <w:r w:rsidRPr="009E3A79">
              <w:rPr>
                <w:rFonts w:ascii="Calibri" w:eastAsia="Times New Roman" w:hAnsi="Calibri" w:cs="Times New Roman"/>
                <w:b/>
                <w:color w:val="000000"/>
                <w:lang w:eastAsia="cs-CZ"/>
              </w:rPr>
              <w:t>Index vzdělanosti</w:t>
            </w:r>
          </w:p>
        </w:tc>
        <w:tc>
          <w:tcPr>
            <w:tcW w:w="628" w:type="pct"/>
            <w:tcBorders>
              <w:top w:val="single" w:sz="12" w:space="0" w:color="auto"/>
              <w:bottom w:val="single" w:sz="18" w:space="0" w:color="auto"/>
            </w:tcBorders>
            <w:shd w:val="clear" w:color="auto" w:fill="D9D9D9" w:themeFill="background1" w:themeFillShade="D9"/>
            <w:noWrap/>
            <w:vAlign w:val="center"/>
          </w:tcPr>
          <w:p w14:paraId="55D5E8DF" w14:textId="5EF82A3B" w:rsidR="00CD10C6" w:rsidRPr="00CD10C6" w:rsidRDefault="00CD10C6" w:rsidP="00CD10C6">
            <w:pPr>
              <w:jc w:val="right"/>
              <w:rPr>
                <w:rFonts w:ascii="Calibri" w:hAnsi="Calibri" w:cs="Calibri"/>
                <w:b/>
                <w:bCs/>
                <w:color w:val="000000"/>
              </w:rPr>
            </w:pPr>
            <w:r w:rsidRPr="00CD10C6">
              <w:rPr>
                <w:rFonts w:ascii="Calibri" w:hAnsi="Calibri" w:cs="Calibri"/>
                <w:b/>
                <w:bCs/>
                <w:color w:val="000000"/>
              </w:rPr>
              <w:t>20,6</w:t>
            </w:r>
          </w:p>
        </w:tc>
        <w:tc>
          <w:tcPr>
            <w:tcW w:w="634" w:type="pct"/>
            <w:tcBorders>
              <w:top w:val="single" w:sz="12" w:space="0" w:color="auto"/>
              <w:bottom w:val="single" w:sz="18" w:space="0" w:color="auto"/>
            </w:tcBorders>
            <w:shd w:val="clear" w:color="auto" w:fill="D9D9D9" w:themeFill="background1" w:themeFillShade="D9"/>
            <w:vAlign w:val="center"/>
          </w:tcPr>
          <w:p w14:paraId="0A53A475" w14:textId="7178F358" w:rsidR="00CD10C6" w:rsidRPr="00CD10C6" w:rsidRDefault="00CD10C6" w:rsidP="00CD10C6">
            <w:pPr>
              <w:jc w:val="right"/>
              <w:rPr>
                <w:rFonts w:ascii="Calibri" w:hAnsi="Calibri" w:cs="Calibri"/>
                <w:b/>
                <w:bCs/>
                <w:color w:val="000000"/>
              </w:rPr>
            </w:pPr>
            <w:r w:rsidRPr="00CD10C6">
              <w:rPr>
                <w:rFonts w:ascii="Calibri" w:hAnsi="Calibri" w:cs="Calibri"/>
                <w:b/>
                <w:bCs/>
                <w:color w:val="000000"/>
              </w:rPr>
              <w:t>36,1</w:t>
            </w:r>
          </w:p>
        </w:tc>
        <w:tc>
          <w:tcPr>
            <w:tcW w:w="632" w:type="pct"/>
            <w:tcBorders>
              <w:top w:val="single" w:sz="12" w:space="0" w:color="auto"/>
              <w:bottom w:val="single" w:sz="18" w:space="0" w:color="auto"/>
            </w:tcBorders>
            <w:shd w:val="clear" w:color="auto" w:fill="D9D9D9" w:themeFill="background1" w:themeFillShade="D9"/>
            <w:vAlign w:val="center"/>
          </w:tcPr>
          <w:p w14:paraId="68D1B395" w14:textId="481C75F9" w:rsidR="00CD10C6" w:rsidRPr="00CD10C6" w:rsidRDefault="00CD10C6" w:rsidP="00CD10C6">
            <w:pPr>
              <w:jc w:val="right"/>
              <w:rPr>
                <w:rFonts w:ascii="Calibri" w:hAnsi="Calibri" w:cs="Calibri"/>
                <w:b/>
                <w:bCs/>
                <w:color w:val="000000"/>
              </w:rPr>
            </w:pPr>
            <w:r w:rsidRPr="00CD10C6">
              <w:rPr>
                <w:rFonts w:ascii="Calibri" w:hAnsi="Calibri" w:cs="Calibri"/>
                <w:b/>
                <w:bCs/>
                <w:color w:val="000000"/>
              </w:rPr>
              <w:t>58,6</w:t>
            </w:r>
          </w:p>
        </w:tc>
      </w:tr>
    </w:tbl>
    <w:p w14:paraId="49A9EBA2" w14:textId="77777777" w:rsidR="00FA7FD1" w:rsidRDefault="00FA7FD1" w:rsidP="00FA7FD1">
      <w:pPr>
        <w:autoSpaceDE w:val="0"/>
        <w:autoSpaceDN w:val="0"/>
        <w:adjustRightInd w:val="0"/>
        <w:spacing w:after="160"/>
        <w:contextualSpacing/>
        <w:jc w:val="both"/>
      </w:pPr>
      <w:r w:rsidRPr="0074351D">
        <w:rPr>
          <w:b/>
          <w:sz w:val="20"/>
          <w:szCs w:val="20"/>
        </w:rPr>
        <w:t>Zdroje:</w:t>
      </w:r>
      <w:r w:rsidRPr="0074351D">
        <w:rPr>
          <w:sz w:val="20"/>
          <w:szCs w:val="20"/>
        </w:rPr>
        <w:t xml:space="preserve"> </w:t>
      </w:r>
      <w:r w:rsidRPr="0074351D">
        <w:rPr>
          <w:rFonts w:eastAsia="RWXLTG+TimesNewRoman" w:cs="RWXLTG+TimesNewRoman"/>
          <w:color w:val="000000"/>
          <w:sz w:val="20"/>
          <w:szCs w:val="20"/>
        </w:rPr>
        <w:t xml:space="preserve">Sčítání lidu, domů a bytů </w:t>
      </w:r>
      <w:r w:rsidRPr="002808C1">
        <w:rPr>
          <w:rFonts w:eastAsia="RWXLTG+TimesNewRoman" w:cs="RWXLTG+TimesNewRoman"/>
          <w:color w:val="000000"/>
          <w:sz w:val="20"/>
          <w:szCs w:val="20"/>
        </w:rPr>
        <w:t xml:space="preserve">2001, </w:t>
      </w:r>
      <w:hyperlink r:id="rId46" w:history="1">
        <w:r w:rsidR="00F210EF" w:rsidRPr="00A10AB8">
          <w:rPr>
            <w:rStyle w:val="Hypertextovodkaz"/>
            <w:rFonts w:eastAsia="RWXLTG+TimesNewRoman" w:cs="RWXLTG+TimesNewRoman"/>
            <w:sz w:val="20"/>
            <w:szCs w:val="20"/>
          </w:rPr>
          <w:t>https://www.czso.cz/staticke/sldb/sldb2001.nsf/index</w:t>
        </w:r>
      </w:hyperlink>
      <w:r w:rsidR="00F210EF">
        <w:rPr>
          <w:rFonts w:eastAsia="RWXLTG+TimesNewRoman" w:cs="RWXLTG+TimesNewRoman"/>
          <w:color w:val="000000"/>
          <w:sz w:val="20"/>
          <w:szCs w:val="20"/>
        </w:rPr>
        <w:t xml:space="preserve"> </w:t>
      </w:r>
    </w:p>
    <w:p w14:paraId="16C16F6F" w14:textId="45F0D0B3" w:rsidR="00FA7FD1" w:rsidRPr="0014751D" w:rsidRDefault="00FA7FD1" w:rsidP="0014751D">
      <w:pPr>
        <w:jc w:val="both"/>
        <w:rPr>
          <w:color w:val="0000FF" w:themeColor="hyperlink"/>
          <w:sz w:val="20"/>
          <w:szCs w:val="20"/>
          <w:u w:val="single"/>
        </w:rPr>
      </w:pPr>
      <w:r>
        <w:rPr>
          <w:rFonts w:eastAsia="RWXLTG+TimesNewRoman" w:cs="RWXLTG+TimesNewRoman"/>
          <w:color w:val="000000"/>
          <w:sz w:val="20"/>
          <w:szCs w:val="20"/>
        </w:rPr>
        <w:t xml:space="preserve">              Sčítání lidu, domů a bytů </w:t>
      </w:r>
      <w:r w:rsidRPr="002808C1">
        <w:rPr>
          <w:rFonts w:eastAsia="RWXLTG+TimesNewRoman" w:cs="RWXLTG+TimesNewRoman"/>
          <w:color w:val="000000"/>
          <w:sz w:val="20"/>
          <w:szCs w:val="20"/>
        </w:rPr>
        <w:t>2011</w:t>
      </w:r>
      <w:r w:rsidR="006E1BEA">
        <w:rPr>
          <w:rFonts w:eastAsia="RWXLTG+TimesNewRoman" w:cs="RWXLTG+TimesNewRoman"/>
          <w:color w:val="000000"/>
          <w:sz w:val="20"/>
          <w:szCs w:val="20"/>
        </w:rPr>
        <w:t xml:space="preserve"> a 2021</w:t>
      </w:r>
      <w:r w:rsidR="0014751D">
        <w:rPr>
          <w:rFonts w:eastAsia="RWXLTG+TimesNewRoman" w:cs="RWXLTG+TimesNewRoman"/>
          <w:color w:val="000000"/>
          <w:sz w:val="20"/>
          <w:szCs w:val="20"/>
        </w:rPr>
        <w:t xml:space="preserve">, </w:t>
      </w:r>
      <w:hyperlink r:id="rId47" w:history="1">
        <w:r w:rsidR="0014751D" w:rsidRPr="00740CD5">
          <w:rPr>
            <w:rStyle w:val="Hypertextovodkaz"/>
            <w:sz w:val="20"/>
            <w:szCs w:val="20"/>
          </w:rPr>
          <w:t>https://www.czso.cz/csu/czso/scitani-lidu-domu-a-bytu</w:t>
        </w:r>
      </w:hyperlink>
    </w:p>
    <w:p w14:paraId="15DCB70A" w14:textId="77777777" w:rsidR="004C1688" w:rsidRDefault="004C1688" w:rsidP="00FA7FD1">
      <w:pPr>
        <w:spacing w:after="160" w:line="259" w:lineRule="auto"/>
        <w:jc w:val="both"/>
      </w:pPr>
    </w:p>
    <w:p w14:paraId="4F66B992" w14:textId="3B453E75" w:rsidR="00FA7FD1" w:rsidRDefault="00FA7FD1" w:rsidP="00FA7FD1">
      <w:pPr>
        <w:spacing w:after="160" w:line="259" w:lineRule="auto"/>
        <w:jc w:val="both"/>
      </w:pPr>
      <w:r>
        <w:t>Z této tabulky vyplývá, že ve sledovaném období došlo k </w:t>
      </w:r>
      <w:r w:rsidR="009D0392">
        <w:t>poklesu</w:t>
      </w:r>
      <w:r>
        <w:t xml:space="preserve"> počtu osob, které mají pouze základní vzdělání. Mezi sledovanými lety došlo k</w:t>
      </w:r>
      <w:r w:rsidR="000A161C">
        <w:t xml:space="preserve"> </w:t>
      </w:r>
      <w:r>
        <w:t>růstu počtu obyvatel s</w:t>
      </w:r>
      <w:r w:rsidR="00000011">
        <w:t> úplným středním vzděláním zakončeným maturitní zkouškou</w:t>
      </w:r>
      <w:r w:rsidR="009D0392">
        <w:t>, dále i s vysokoškolským vzděláním</w:t>
      </w:r>
      <w:r w:rsidR="00000011">
        <w:t>.</w:t>
      </w:r>
      <w:r>
        <w:t xml:space="preserve"> Vzdělanost obyvatelstva lze hodnotit i pomocí tzv. indexu vzdělanosti</w:t>
      </w:r>
      <w:r>
        <w:rPr>
          <w:rStyle w:val="Znakapoznpodarou"/>
        </w:rPr>
        <w:footnoteReference w:id="21"/>
      </w:r>
      <w:r>
        <w:t xml:space="preserve">. Hodnota indexu </w:t>
      </w:r>
      <w:r w:rsidR="0035733A">
        <w:t xml:space="preserve">se </w:t>
      </w:r>
      <w:r>
        <w:t xml:space="preserve">ve sledovaném období </w:t>
      </w:r>
      <w:r w:rsidR="0035733A">
        <w:t>zvýšila</w:t>
      </w:r>
      <w:r>
        <w:t>, což je pozitivní zjištění.</w:t>
      </w:r>
    </w:p>
    <w:p w14:paraId="64E4712B" w14:textId="77777777" w:rsidR="008147E6" w:rsidRPr="00E07985" w:rsidRDefault="008147E6" w:rsidP="00814D5A">
      <w:pPr>
        <w:pStyle w:val="Nadpis4"/>
      </w:pPr>
      <w:bookmarkStart w:id="120" w:name="_Toc413418361"/>
      <w:bookmarkStart w:id="121" w:name="_Toc440566340"/>
      <w:bookmarkStart w:id="122" w:name="_Toc441227492"/>
      <w:bookmarkStart w:id="123" w:name="_Toc32580112"/>
      <w:bookmarkStart w:id="124" w:name="_Toc120652137"/>
      <w:r w:rsidRPr="00E07985">
        <w:lastRenderedPageBreak/>
        <w:t>2.1.2.2 Sociální situace</w:t>
      </w:r>
      <w:bookmarkEnd w:id="120"/>
      <w:bookmarkEnd w:id="121"/>
      <w:bookmarkEnd w:id="122"/>
      <w:bookmarkEnd w:id="123"/>
      <w:bookmarkEnd w:id="124"/>
    </w:p>
    <w:p w14:paraId="2AD66F04" w14:textId="083B4862" w:rsidR="00757D2E" w:rsidRDefault="00757D2E" w:rsidP="00757D2E">
      <w:pPr>
        <w:spacing w:after="160" w:line="259" w:lineRule="auto"/>
        <w:jc w:val="both"/>
      </w:pPr>
      <w:r w:rsidRPr="00A02E66">
        <w:t>Výskyt národnostních menšin na úze</w:t>
      </w:r>
      <w:r w:rsidRPr="00C66BE1">
        <w:t xml:space="preserve">mí obce </w:t>
      </w:r>
      <w:r w:rsidR="00834A70">
        <w:t>Staré Buky</w:t>
      </w:r>
      <w:r w:rsidRPr="00C66BE1">
        <w:t xml:space="preserve"> </w:t>
      </w:r>
      <w:r w:rsidR="00ED1C68" w:rsidRPr="00C66BE1">
        <w:t>byl</w:t>
      </w:r>
      <w:r w:rsidRPr="00C66BE1">
        <w:t xml:space="preserve"> podle dat ze Sčítání lidu, domů </w:t>
      </w:r>
      <w:r w:rsidRPr="00C66BE1">
        <w:br/>
        <w:t>a bytů v roce 20</w:t>
      </w:r>
      <w:r w:rsidR="00834A70">
        <w:t>21</w:t>
      </w:r>
      <w:r w:rsidRPr="00C66BE1">
        <w:t xml:space="preserve"> zanedbatelný. V tomto sčítání se k národnostním menšinám přihlásil</w:t>
      </w:r>
      <w:r w:rsidR="007836F5">
        <w:t>y</w:t>
      </w:r>
      <w:r w:rsidRPr="00C66BE1">
        <w:t xml:space="preserve"> celkem </w:t>
      </w:r>
      <w:r w:rsidRPr="00C66BE1">
        <w:br/>
      </w:r>
      <w:r w:rsidR="007836F5">
        <w:t>4</w:t>
      </w:r>
      <w:r w:rsidRPr="00C66BE1">
        <w:t xml:space="preserve"> osob</w:t>
      </w:r>
      <w:r w:rsidR="007836F5">
        <w:t>y</w:t>
      </w:r>
      <w:r w:rsidR="006F777D" w:rsidRPr="00C66BE1">
        <w:t xml:space="preserve"> – z toho </w:t>
      </w:r>
      <w:r w:rsidR="007836F5">
        <w:t>2</w:t>
      </w:r>
      <w:r w:rsidR="006F777D" w:rsidRPr="00C66BE1">
        <w:t xml:space="preserve"> osob</w:t>
      </w:r>
      <w:r w:rsidR="007836F5">
        <w:t>y</w:t>
      </w:r>
      <w:r w:rsidR="006F777D" w:rsidRPr="00C66BE1">
        <w:t xml:space="preserve"> </w:t>
      </w:r>
      <w:r w:rsidR="007836F5" w:rsidRPr="00C66BE1">
        <w:t xml:space="preserve">ke slovenské </w:t>
      </w:r>
      <w:r w:rsidRPr="00C66BE1">
        <w:t>národnosti</w:t>
      </w:r>
      <w:r w:rsidR="00880FE6" w:rsidRPr="00C66BE1">
        <w:t xml:space="preserve"> </w:t>
      </w:r>
      <w:r w:rsidR="007836F5">
        <w:t>a 2</w:t>
      </w:r>
      <w:r w:rsidR="00BD718A" w:rsidRPr="00C66BE1">
        <w:t xml:space="preserve"> osob</w:t>
      </w:r>
      <w:r w:rsidR="0093224A">
        <w:t>y</w:t>
      </w:r>
      <w:r w:rsidR="006F777D" w:rsidRPr="00C66BE1">
        <w:t xml:space="preserve"> </w:t>
      </w:r>
      <w:r w:rsidR="007836F5">
        <w:t xml:space="preserve">k německé </w:t>
      </w:r>
      <w:r w:rsidR="006F777D" w:rsidRPr="00C66BE1">
        <w:t>národnosti</w:t>
      </w:r>
      <w:r w:rsidR="007836F5">
        <w:t xml:space="preserve">. Celkem </w:t>
      </w:r>
      <w:r w:rsidR="00122781">
        <w:t xml:space="preserve">224 </w:t>
      </w:r>
      <w:r w:rsidRPr="00C66BE1">
        <w:t>obyvatel obce však národnost neuvedlo, což představ</w:t>
      </w:r>
      <w:r w:rsidR="00A8690F" w:rsidRPr="00C66BE1">
        <w:t>ovalo</w:t>
      </w:r>
      <w:r w:rsidRPr="00C66BE1">
        <w:t xml:space="preserve"> </w:t>
      </w:r>
      <w:r w:rsidR="009E7AC5">
        <w:t>přibližně</w:t>
      </w:r>
      <w:r w:rsidR="00A8690F" w:rsidRPr="00C66BE1">
        <w:t xml:space="preserve"> </w:t>
      </w:r>
      <w:r w:rsidR="00122781">
        <w:t>3</w:t>
      </w:r>
      <w:r w:rsidR="009E7AC5">
        <w:t>6,</w:t>
      </w:r>
      <w:r w:rsidR="00122781">
        <w:t>6</w:t>
      </w:r>
      <w:r w:rsidR="00A8690F" w:rsidRPr="00C66BE1">
        <w:t xml:space="preserve"> %</w:t>
      </w:r>
      <w:r w:rsidRPr="00C66BE1">
        <w:t xml:space="preserve"> obyvatel obce.</w:t>
      </w:r>
    </w:p>
    <w:p w14:paraId="7F6DB19C" w14:textId="52FF8C98" w:rsidR="008147E6" w:rsidRDefault="00755B4B" w:rsidP="008147E6">
      <w:pPr>
        <w:spacing w:after="160" w:line="259" w:lineRule="auto"/>
        <w:jc w:val="both"/>
      </w:pPr>
      <w:r w:rsidRPr="00C66BE1">
        <w:t>Co se týče s</w:t>
      </w:r>
      <w:r w:rsidR="008147E6" w:rsidRPr="00C66BE1">
        <w:t>oužití obyvatel s národnostními menšinami</w:t>
      </w:r>
      <w:r w:rsidRPr="00514216">
        <w:t>, dle vyjádření obecního úřadu</w:t>
      </w:r>
      <w:r w:rsidR="00C435D8" w:rsidRPr="00514216">
        <w:t xml:space="preserve"> </w:t>
      </w:r>
      <w:r w:rsidR="008147E6" w:rsidRPr="00514216">
        <w:t xml:space="preserve">je </w:t>
      </w:r>
      <w:r w:rsidR="00C66BE1" w:rsidRPr="00514216">
        <w:rPr>
          <w:bCs/>
        </w:rPr>
        <w:t>soužití s </w:t>
      </w:r>
      <w:r w:rsidR="00C66BE1" w:rsidRPr="00942E4C">
        <w:rPr>
          <w:bCs/>
        </w:rPr>
        <w:t>menšinami bezproblémové.</w:t>
      </w:r>
    </w:p>
    <w:p w14:paraId="283586F3" w14:textId="6C9B1CC9" w:rsidR="0061337C" w:rsidRDefault="0061337C" w:rsidP="008147E6">
      <w:pPr>
        <w:spacing w:after="160" w:line="259" w:lineRule="auto"/>
        <w:jc w:val="both"/>
      </w:pPr>
    </w:p>
    <w:p w14:paraId="73757316" w14:textId="77777777" w:rsidR="008147E6" w:rsidRPr="00B656A7" w:rsidRDefault="008147E6" w:rsidP="008147E6">
      <w:pPr>
        <w:spacing w:after="160" w:line="259" w:lineRule="auto"/>
        <w:jc w:val="both"/>
        <w:rPr>
          <w:u w:val="single"/>
        </w:rPr>
      </w:pPr>
      <w:r w:rsidRPr="00B656A7">
        <w:rPr>
          <w:u w:val="single"/>
        </w:rPr>
        <w:t>Sociálně patologické jevy</w:t>
      </w:r>
    </w:p>
    <w:p w14:paraId="7BCCFAD7" w14:textId="093E2011" w:rsidR="00C435D8" w:rsidRPr="00670FAB" w:rsidRDefault="008147E6" w:rsidP="008147E6">
      <w:pPr>
        <w:spacing w:after="160" w:line="259" w:lineRule="auto"/>
        <w:jc w:val="both"/>
      </w:pPr>
      <w:r>
        <w:t>Za sociálně patologické jevy jsou označovány takové jevy, které jsou považovány za nežádoucí, jelikož porušují sociální, morální či právní normy společnosti. Jmenovat lze např. kriminalitu, vandalismus, alkoholismus, toxikoman</w:t>
      </w:r>
      <w:r w:rsidRPr="00670FAB">
        <w:t>i</w:t>
      </w:r>
      <w:r w:rsidR="0044044E">
        <w:t>i</w:t>
      </w:r>
      <w:r w:rsidRPr="00670FAB">
        <w:t xml:space="preserve">, domácí násilí atd. Tyto jevy jsou však obtížně měřitelné. </w:t>
      </w:r>
    </w:p>
    <w:p w14:paraId="3DF3DA7C" w14:textId="117B31AF" w:rsidR="008147E6" w:rsidRDefault="00EA25D2" w:rsidP="008147E6">
      <w:pPr>
        <w:spacing w:after="160" w:line="259" w:lineRule="auto"/>
        <w:jc w:val="both"/>
        <w:rPr>
          <w:bCs/>
        </w:rPr>
      </w:pPr>
      <w:r w:rsidRPr="00670FAB">
        <w:rPr>
          <w:bCs/>
        </w:rPr>
        <w:t xml:space="preserve">Dle vyjádření </w:t>
      </w:r>
      <w:r w:rsidRPr="0023309B">
        <w:rPr>
          <w:bCs/>
        </w:rPr>
        <w:t>obecního úřa</w:t>
      </w:r>
      <w:r w:rsidRPr="00942E4C">
        <w:rPr>
          <w:bCs/>
        </w:rPr>
        <w:t xml:space="preserve">du nelze v obci hovořit o častých sociálně patologických jevech. Jedná se o </w:t>
      </w:r>
      <w:r w:rsidR="00670FAB" w:rsidRPr="00942E4C">
        <w:rPr>
          <w:bCs/>
        </w:rPr>
        <w:t>zanedbatelný problém</w:t>
      </w:r>
      <w:r w:rsidRPr="00942E4C">
        <w:rPr>
          <w:bCs/>
        </w:rPr>
        <w:t>.</w:t>
      </w:r>
    </w:p>
    <w:p w14:paraId="50583582" w14:textId="77777777" w:rsidR="00EA25D2" w:rsidRDefault="00EA25D2" w:rsidP="008147E6">
      <w:pPr>
        <w:spacing w:after="160" w:line="259" w:lineRule="auto"/>
        <w:jc w:val="both"/>
      </w:pPr>
    </w:p>
    <w:p w14:paraId="4F118D55" w14:textId="77777777" w:rsidR="008147E6" w:rsidRPr="00B656A7" w:rsidRDefault="008147E6" w:rsidP="008147E6">
      <w:pPr>
        <w:spacing w:after="160" w:line="259" w:lineRule="auto"/>
        <w:jc w:val="both"/>
        <w:rPr>
          <w:u w:val="single"/>
        </w:rPr>
      </w:pPr>
      <w:r w:rsidRPr="00B656A7">
        <w:rPr>
          <w:u w:val="single"/>
        </w:rPr>
        <w:t>Sociálně slabé a sociálně znevýhodněné skupiny obyvatel</w:t>
      </w:r>
    </w:p>
    <w:p w14:paraId="26E1FD24" w14:textId="77777777" w:rsidR="00677C62" w:rsidRDefault="008147E6" w:rsidP="008147E6">
      <w:pPr>
        <w:spacing w:after="160" w:line="259" w:lineRule="auto"/>
        <w:jc w:val="both"/>
      </w:pPr>
      <w:r>
        <w:t>Za sociálně slabé obyvatele lze považovat např. ty osoby, které nedisponují dostatečným příjmem peněz, což může vést k půjčkám, postupnému zadlužování a následně k exekuci. Za sociálně</w:t>
      </w:r>
      <w:r w:rsidR="00677C62">
        <w:t xml:space="preserve"> </w:t>
      </w:r>
      <w:r>
        <w:t>znevýhodněné skupiny obyvatel lze uvést např. osoby s tělesným či duševním postižením, matky s dětmi bez přístřeší apod.</w:t>
      </w:r>
    </w:p>
    <w:p w14:paraId="6F67CEE4" w14:textId="6B4E1E01" w:rsidR="008147E6" w:rsidRPr="000F54A2" w:rsidRDefault="008147E6" w:rsidP="008147E6">
      <w:pPr>
        <w:spacing w:after="160" w:line="259" w:lineRule="auto"/>
        <w:jc w:val="both"/>
      </w:pPr>
      <w:r>
        <w:t>Výskyt sociálně slabých či sociálně znevýhodněných obyvatel je velmi obtížně měřitelný. Zjistit lze ale např. to, která fyzická či právnická osoba v obci je v platební neschopnosti neboli v </w:t>
      </w:r>
      <w:r w:rsidRPr="009B669E">
        <w:t>insolvenci</w:t>
      </w:r>
      <w:r w:rsidRPr="009B669E">
        <w:rPr>
          <w:rStyle w:val="Znakapoznpodarou"/>
        </w:rPr>
        <w:footnoteReference w:id="22"/>
      </w:r>
      <w:r w:rsidR="00A24AE8" w:rsidRPr="009B669E">
        <w:t>. K</w:t>
      </w:r>
      <w:r w:rsidR="009B669E" w:rsidRPr="009B669E">
        <w:t> </w:t>
      </w:r>
      <w:r w:rsidR="00E20567">
        <w:t>1</w:t>
      </w:r>
      <w:r w:rsidR="0044044E">
        <w:t>6</w:t>
      </w:r>
      <w:r w:rsidR="009B669E" w:rsidRPr="009B669E">
        <w:t xml:space="preserve">. </w:t>
      </w:r>
      <w:r w:rsidR="0044044E">
        <w:t>5</w:t>
      </w:r>
      <w:r w:rsidR="009B669E" w:rsidRPr="009B669E">
        <w:t>. 20</w:t>
      </w:r>
      <w:r w:rsidR="00E20567">
        <w:t>2</w:t>
      </w:r>
      <w:r w:rsidR="0044044E">
        <w:t>2</w:t>
      </w:r>
      <w:r w:rsidRPr="009B669E">
        <w:t xml:space="preserve"> byl</w:t>
      </w:r>
      <w:r w:rsidR="000E796A">
        <w:t>o</w:t>
      </w:r>
      <w:r w:rsidRPr="009B669E">
        <w:t xml:space="preserve"> na území obce v insolvenčním rejstříku</w:t>
      </w:r>
      <w:r w:rsidR="009B669E">
        <w:t xml:space="preserve"> </w:t>
      </w:r>
      <w:r w:rsidRPr="009B669E">
        <w:t>evidován</w:t>
      </w:r>
      <w:r w:rsidR="000E796A">
        <w:t>o</w:t>
      </w:r>
      <w:r w:rsidRPr="009B669E">
        <w:t xml:space="preserve"> </w:t>
      </w:r>
      <w:r w:rsidR="00A24AE8" w:rsidRPr="009B669E">
        <w:t>celkem</w:t>
      </w:r>
      <w:r w:rsidR="009B669E" w:rsidRPr="009B669E">
        <w:t xml:space="preserve"> </w:t>
      </w:r>
      <w:r w:rsidR="0044044E">
        <w:t>6</w:t>
      </w:r>
      <w:r w:rsidR="00E20567">
        <w:t xml:space="preserve"> aktivních</w:t>
      </w:r>
      <w:r w:rsidRPr="009B669E">
        <w:t xml:space="preserve"> subjekt</w:t>
      </w:r>
      <w:r w:rsidR="000E796A">
        <w:t>ů</w:t>
      </w:r>
      <w:r w:rsidRPr="009B669E">
        <w:t>.</w:t>
      </w:r>
    </w:p>
    <w:p w14:paraId="79403C78" w14:textId="780BEF3E" w:rsidR="008147E6" w:rsidRDefault="00B04665" w:rsidP="008147E6">
      <w:pPr>
        <w:spacing w:after="160" w:line="259" w:lineRule="auto"/>
        <w:jc w:val="both"/>
        <w:rPr>
          <w:color w:val="FF0000"/>
        </w:rPr>
      </w:pPr>
      <w:r>
        <w:t>Co se týče počtu obyvatel, které lze považovat</w:t>
      </w:r>
      <w:r w:rsidRPr="00B04665">
        <w:t xml:space="preserve"> za sociálně slabé </w:t>
      </w:r>
      <w:r w:rsidR="0001587B">
        <w:t>či</w:t>
      </w:r>
      <w:r w:rsidRPr="00B04665">
        <w:t xml:space="preserve"> za sociálně znevýhodněné</w:t>
      </w:r>
      <w:r>
        <w:t>,</w:t>
      </w:r>
      <w:r w:rsidRPr="00B04665">
        <w:t xml:space="preserve"> obec </w:t>
      </w:r>
      <w:r>
        <w:t xml:space="preserve">nemá </w:t>
      </w:r>
      <w:r w:rsidRPr="00B04665">
        <w:t>představu o tom,</w:t>
      </w:r>
      <w:r>
        <w:t xml:space="preserve"> o</w:t>
      </w:r>
      <w:r w:rsidRPr="00B04665">
        <w:t xml:space="preserve"> kolik </w:t>
      </w:r>
      <w:r>
        <w:t>osob se jedná.</w:t>
      </w:r>
      <w:r w:rsidRPr="00B04665">
        <w:t xml:space="preserve"> </w:t>
      </w:r>
    </w:p>
    <w:p w14:paraId="7A438B5A" w14:textId="77777777" w:rsidR="003B3D57" w:rsidRPr="003B3D57" w:rsidRDefault="003B3D57" w:rsidP="008147E6">
      <w:pPr>
        <w:spacing w:after="160" w:line="259" w:lineRule="auto"/>
        <w:jc w:val="both"/>
      </w:pPr>
    </w:p>
    <w:p w14:paraId="6FE8AB9E" w14:textId="77777777" w:rsidR="008147E6" w:rsidRDefault="008147E6" w:rsidP="00814D5A">
      <w:pPr>
        <w:pStyle w:val="Nadpis4"/>
      </w:pPr>
      <w:bookmarkStart w:id="125" w:name="_Toc413418362"/>
      <w:bookmarkStart w:id="126" w:name="_Toc440566341"/>
      <w:bookmarkStart w:id="127" w:name="_Toc441227493"/>
      <w:bookmarkStart w:id="128" w:name="_Toc32580113"/>
      <w:bookmarkStart w:id="129" w:name="_Toc120652138"/>
      <w:r>
        <w:t>2.1.2.3 Život v obc</w:t>
      </w:r>
      <w:bookmarkEnd w:id="125"/>
      <w:bookmarkEnd w:id="126"/>
      <w:r w:rsidR="00550A72">
        <w:t>i</w:t>
      </w:r>
      <w:bookmarkEnd w:id="127"/>
      <w:bookmarkEnd w:id="128"/>
      <w:bookmarkEnd w:id="129"/>
    </w:p>
    <w:p w14:paraId="4C0CCA6D" w14:textId="77777777" w:rsidR="008147E6" w:rsidRPr="00230418" w:rsidRDefault="008147E6" w:rsidP="008147E6">
      <w:pPr>
        <w:spacing w:after="160" w:line="259" w:lineRule="auto"/>
        <w:jc w:val="both"/>
      </w:pPr>
      <w:r w:rsidRPr="00230418">
        <w:t xml:space="preserve">Sociálním životem v obci je myšlena existence a činnost různých zájmových sdružení občanů na území obce. Díky různým zájmovým spolkům se mohou v obci utvářet jak vzájemné vztahy mezi občany, </w:t>
      </w:r>
      <w:r w:rsidR="00D77347">
        <w:br/>
      </w:r>
      <w:r w:rsidRPr="00230418">
        <w:t>tak vztahy občanů vůči obci, díky čemuž vzniká určitý pocit sounáležitosti s danou komunitou. Spolkovou činností je pozitivně ovlivněn rozvoj obce a aktivita daných spolků</w:t>
      </w:r>
      <w:r>
        <w:t xml:space="preserve"> a obyvatel může v obci napomoci</w:t>
      </w:r>
      <w:r w:rsidRPr="00230418">
        <w:t xml:space="preserve"> k naplňování rozvojových plánů.</w:t>
      </w:r>
    </w:p>
    <w:p w14:paraId="21BEA585" w14:textId="769B43C6" w:rsidR="008147E6" w:rsidRDefault="00655019" w:rsidP="008147E6">
      <w:pPr>
        <w:spacing w:after="160" w:line="259" w:lineRule="auto"/>
        <w:jc w:val="both"/>
      </w:pPr>
      <w:r>
        <w:t xml:space="preserve">Na území obce </w:t>
      </w:r>
      <w:r w:rsidR="00E06F41">
        <w:t>Staré Buky</w:t>
      </w:r>
      <w:r>
        <w:t xml:space="preserve"> existuje a má sídlo </w:t>
      </w:r>
      <w:r w:rsidR="001148AB">
        <w:t>několik</w:t>
      </w:r>
      <w:r>
        <w:t xml:space="preserve"> zájmový</w:t>
      </w:r>
      <w:r w:rsidR="00185B65">
        <w:t>ch</w:t>
      </w:r>
      <w:r>
        <w:t xml:space="preserve"> spolk</w:t>
      </w:r>
      <w:r w:rsidR="00185B65">
        <w:t>ů</w:t>
      </w:r>
      <w:r>
        <w:t>.</w:t>
      </w:r>
      <w:r w:rsidRPr="0052500C">
        <w:t xml:space="preserve"> </w:t>
      </w:r>
      <w:r>
        <w:t xml:space="preserve">Přehled a bližší informace </w:t>
      </w:r>
      <w:r>
        <w:br/>
        <w:t xml:space="preserve">o </w:t>
      </w:r>
      <w:r w:rsidR="00185B65">
        <w:t>nich</w:t>
      </w:r>
      <w:r>
        <w:t xml:space="preserve"> shrnuje tabulka </w:t>
      </w:r>
      <w:r w:rsidR="00E06F41">
        <w:t>6</w:t>
      </w:r>
      <w:r>
        <w:t>.</w:t>
      </w:r>
    </w:p>
    <w:p w14:paraId="2A1B4883" w14:textId="5BC59CE5" w:rsidR="008147E6" w:rsidRPr="007C1346" w:rsidRDefault="008147E6" w:rsidP="00862C89">
      <w:pPr>
        <w:pStyle w:val="TABULKA0"/>
      </w:pPr>
      <w:bookmarkStart w:id="130" w:name="_Toc441221910"/>
      <w:bookmarkStart w:id="131" w:name="_Toc32577783"/>
      <w:bookmarkStart w:id="132" w:name="_Toc120651928"/>
      <w:r w:rsidRPr="00594201">
        <w:lastRenderedPageBreak/>
        <w:t xml:space="preserve">Tabulka </w:t>
      </w:r>
      <w:r w:rsidR="00E06F41">
        <w:t>6</w:t>
      </w:r>
      <w:r w:rsidRPr="00594201">
        <w:t>: Registrované zájmové spolky a sdružení mající sídlo v obci </w:t>
      </w:r>
      <w:bookmarkEnd w:id="130"/>
      <w:bookmarkEnd w:id="131"/>
      <w:r w:rsidR="00E06F41">
        <w:t>Staré Buky</w:t>
      </w:r>
      <w:bookmarkEnd w:id="132"/>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5"/>
        <w:gridCol w:w="2324"/>
        <w:gridCol w:w="2319"/>
        <w:gridCol w:w="1051"/>
        <w:gridCol w:w="1803"/>
      </w:tblGrid>
      <w:tr w:rsidR="001148AB" w:rsidRPr="000E3C0B" w14:paraId="23139F04" w14:textId="77777777" w:rsidTr="007C77A2">
        <w:trPr>
          <w:trHeight w:val="288"/>
          <w:jc w:val="center"/>
        </w:trPr>
        <w:tc>
          <w:tcPr>
            <w:tcW w:w="1545" w:type="dxa"/>
            <w:tcBorders>
              <w:top w:val="single" w:sz="18" w:space="0" w:color="auto"/>
              <w:bottom w:val="single" w:sz="12" w:space="0" w:color="auto"/>
            </w:tcBorders>
            <w:shd w:val="clear" w:color="auto" w:fill="FFC000"/>
            <w:noWrap/>
            <w:vAlign w:val="center"/>
            <w:hideMark/>
          </w:tcPr>
          <w:p w14:paraId="73B98920" w14:textId="77777777" w:rsidR="001148AB" w:rsidRPr="000E3C0B" w:rsidRDefault="001148AB" w:rsidP="00185B65">
            <w:pPr>
              <w:jc w:val="center"/>
              <w:rPr>
                <w:rFonts w:eastAsia="Times New Roman" w:cstheme="minorHAnsi"/>
                <w:b/>
                <w:bCs/>
                <w:color w:val="000000"/>
                <w:sz w:val="20"/>
                <w:szCs w:val="20"/>
                <w:lang w:eastAsia="cs-CZ"/>
              </w:rPr>
            </w:pPr>
            <w:r w:rsidRPr="000E3C0B">
              <w:rPr>
                <w:rFonts w:eastAsia="Times New Roman" w:cstheme="minorHAnsi"/>
                <w:b/>
                <w:bCs/>
                <w:color w:val="000000"/>
                <w:sz w:val="20"/>
                <w:szCs w:val="20"/>
                <w:lang w:eastAsia="cs-CZ"/>
              </w:rPr>
              <w:t>Název spolku</w:t>
            </w:r>
          </w:p>
        </w:tc>
        <w:tc>
          <w:tcPr>
            <w:tcW w:w="2324" w:type="dxa"/>
            <w:tcBorders>
              <w:top w:val="single" w:sz="18" w:space="0" w:color="auto"/>
              <w:bottom w:val="single" w:sz="12" w:space="0" w:color="auto"/>
            </w:tcBorders>
            <w:shd w:val="clear" w:color="auto" w:fill="FFC000"/>
            <w:noWrap/>
            <w:vAlign w:val="center"/>
            <w:hideMark/>
          </w:tcPr>
          <w:p w14:paraId="2FCE9207" w14:textId="77777777" w:rsidR="001148AB" w:rsidRPr="000E3C0B" w:rsidRDefault="001148AB" w:rsidP="00185B65">
            <w:pPr>
              <w:jc w:val="center"/>
              <w:rPr>
                <w:rFonts w:eastAsia="Times New Roman" w:cstheme="minorHAnsi"/>
                <w:b/>
                <w:bCs/>
                <w:color w:val="000000"/>
                <w:sz w:val="20"/>
                <w:szCs w:val="20"/>
                <w:lang w:eastAsia="cs-CZ"/>
              </w:rPr>
            </w:pPr>
            <w:r w:rsidRPr="000E3C0B">
              <w:rPr>
                <w:rFonts w:eastAsia="Times New Roman" w:cstheme="minorHAnsi"/>
                <w:b/>
                <w:bCs/>
                <w:color w:val="000000"/>
                <w:sz w:val="20"/>
                <w:szCs w:val="20"/>
                <w:lang w:eastAsia="cs-CZ"/>
              </w:rPr>
              <w:t>Druh činnosti</w:t>
            </w:r>
          </w:p>
        </w:tc>
        <w:tc>
          <w:tcPr>
            <w:tcW w:w="2319" w:type="dxa"/>
            <w:tcBorders>
              <w:top w:val="single" w:sz="18" w:space="0" w:color="auto"/>
              <w:bottom w:val="single" w:sz="12" w:space="0" w:color="auto"/>
            </w:tcBorders>
            <w:shd w:val="clear" w:color="auto" w:fill="FFC000"/>
            <w:noWrap/>
            <w:vAlign w:val="center"/>
            <w:hideMark/>
          </w:tcPr>
          <w:p w14:paraId="22C4E4B2" w14:textId="77777777" w:rsidR="001148AB" w:rsidRPr="000E3C0B" w:rsidRDefault="001148AB" w:rsidP="00185B65">
            <w:pPr>
              <w:jc w:val="center"/>
              <w:rPr>
                <w:rFonts w:eastAsia="Times New Roman" w:cstheme="minorHAnsi"/>
                <w:b/>
                <w:color w:val="000000"/>
                <w:sz w:val="20"/>
                <w:szCs w:val="20"/>
                <w:lang w:eastAsia="cs-CZ"/>
              </w:rPr>
            </w:pPr>
            <w:r w:rsidRPr="000E3C0B">
              <w:rPr>
                <w:rFonts w:eastAsia="Times New Roman" w:cstheme="minorHAnsi"/>
                <w:b/>
                <w:color w:val="000000"/>
                <w:sz w:val="20"/>
                <w:szCs w:val="20"/>
                <w:lang w:eastAsia="cs-CZ"/>
              </w:rPr>
              <w:t>Sídlo</w:t>
            </w:r>
          </w:p>
        </w:tc>
        <w:tc>
          <w:tcPr>
            <w:tcW w:w="1051" w:type="dxa"/>
            <w:tcBorders>
              <w:top w:val="single" w:sz="18" w:space="0" w:color="auto"/>
              <w:bottom w:val="single" w:sz="12" w:space="0" w:color="auto"/>
            </w:tcBorders>
            <w:shd w:val="clear" w:color="auto" w:fill="FFC000"/>
            <w:noWrap/>
            <w:vAlign w:val="center"/>
            <w:hideMark/>
          </w:tcPr>
          <w:p w14:paraId="18231CE1" w14:textId="77777777" w:rsidR="001148AB" w:rsidRPr="000E3C0B" w:rsidRDefault="001148AB" w:rsidP="00185B65">
            <w:pPr>
              <w:jc w:val="center"/>
              <w:rPr>
                <w:rFonts w:eastAsia="Times New Roman" w:cstheme="minorHAnsi"/>
                <w:b/>
                <w:color w:val="000000"/>
                <w:sz w:val="20"/>
                <w:szCs w:val="20"/>
                <w:lang w:eastAsia="cs-CZ"/>
              </w:rPr>
            </w:pPr>
            <w:r w:rsidRPr="000E3C0B">
              <w:rPr>
                <w:rFonts w:eastAsia="Times New Roman" w:cstheme="minorHAnsi"/>
                <w:b/>
                <w:color w:val="000000"/>
                <w:sz w:val="20"/>
                <w:szCs w:val="20"/>
                <w:lang w:eastAsia="cs-CZ"/>
              </w:rPr>
              <w:t>IČ</w:t>
            </w:r>
          </w:p>
        </w:tc>
        <w:tc>
          <w:tcPr>
            <w:tcW w:w="1803" w:type="dxa"/>
            <w:tcBorders>
              <w:top w:val="single" w:sz="18" w:space="0" w:color="auto"/>
              <w:bottom w:val="single" w:sz="12" w:space="0" w:color="auto"/>
            </w:tcBorders>
            <w:shd w:val="clear" w:color="auto" w:fill="FFC000"/>
            <w:noWrap/>
            <w:vAlign w:val="center"/>
            <w:hideMark/>
          </w:tcPr>
          <w:p w14:paraId="16179DF6" w14:textId="77777777" w:rsidR="001148AB" w:rsidRPr="000E3C0B" w:rsidRDefault="001148AB" w:rsidP="00185B65">
            <w:pPr>
              <w:jc w:val="center"/>
              <w:rPr>
                <w:rFonts w:eastAsia="Times New Roman" w:cstheme="minorHAnsi"/>
                <w:b/>
                <w:color w:val="000000"/>
                <w:sz w:val="20"/>
                <w:szCs w:val="20"/>
                <w:lang w:eastAsia="cs-CZ"/>
              </w:rPr>
            </w:pPr>
            <w:r w:rsidRPr="000E3C0B">
              <w:rPr>
                <w:rFonts w:eastAsia="Times New Roman" w:cstheme="minorHAnsi"/>
                <w:b/>
                <w:color w:val="000000"/>
                <w:sz w:val="20"/>
                <w:szCs w:val="20"/>
                <w:lang w:eastAsia="cs-CZ"/>
              </w:rPr>
              <w:t>Webové stránky</w:t>
            </w:r>
          </w:p>
        </w:tc>
      </w:tr>
      <w:tr w:rsidR="007C77A2" w:rsidRPr="000E3C0B" w14:paraId="7253643D" w14:textId="77777777" w:rsidTr="007C77A2">
        <w:trPr>
          <w:trHeight w:val="288"/>
          <w:jc w:val="center"/>
        </w:trPr>
        <w:tc>
          <w:tcPr>
            <w:tcW w:w="1545" w:type="dxa"/>
            <w:tcBorders>
              <w:top w:val="single" w:sz="12" w:space="0" w:color="auto"/>
              <w:bottom w:val="single" w:sz="4" w:space="0" w:color="auto"/>
            </w:tcBorders>
            <w:shd w:val="clear" w:color="auto" w:fill="auto"/>
            <w:noWrap/>
            <w:vAlign w:val="center"/>
          </w:tcPr>
          <w:p w14:paraId="018B31B6" w14:textId="4B5BA6B5" w:rsidR="007C77A2" w:rsidRPr="007C77A2" w:rsidRDefault="007C77A2" w:rsidP="007C77A2">
            <w:pPr>
              <w:jc w:val="center"/>
              <w:rPr>
                <w:rFonts w:cstheme="minorHAnsi"/>
                <w:color w:val="000000"/>
                <w:sz w:val="20"/>
                <w:szCs w:val="20"/>
              </w:rPr>
            </w:pPr>
            <w:r w:rsidRPr="007C77A2">
              <w:rPr>
                <w:rFonts w:ascii="Calibri" w:hAnsi="Calibri" w:cs="Calibri"/>
                <w:color w:val="000000"/>
                <w:sz w:val="20"/>
                <w:szCs w:val="20"/>
              </w:rPr>
              <w:t>ELDORÁDO, středisko Legenda</w:t>
            </w:r>
          </w:p>
        </w:tc>
        <w:tc>
          <w:tcPr>
            <w:tcW w:w="2324" w:type="dxa"/>
            <w:tcBorders>
              <w:top w:val="single" w:sz="12" w:space="0" w:color="auto"/>
              <w:bottom w:val="single" w:sz="4" w:space="0" w:color="auto"/>
            </w:tcBorders>
            <w:shd w:val="clear" w:color="auto" w:fill="auto"/>
            <w:noWrap/>
            <w:vAlign w:val="center"/>
          </w:tcPr>
          <w:p w14:paraId="53FEBAE7" w14:textId="161739BC" w:rsidR="007C77A2" w:rsidRPr="007C77A2" w:rsidRDefault="007C77A2" w:rsidP="007C77A2">
            <w:pPr>
              <w:jc w:val="center"/>
              <w:rPr>
                <w:rFonts w:cstheme="minorHAnsi"/>
                <w:color w:val="000000"/>
                <w:sz w:val="20"/>
                <w:szCs w:val="20"/>
              </w:rPr>
            </w:pPr>
            <w:r w:rsidRPr="007C77A2">
              <w:rPr>
                <w:rFonts w:ascii="Calibri" w:hAnsi="Calibri" w:cs="Calibri"/>
                <w:color w:val="000000"/>
                <w:sz w:val="20"/>
                <w:szCs w:val="20"/>
              </w:rPr>
              <w:t>prosazování společných zájmů</w:t>
            </w:r>
          </w:p>
        </w:tc>
        <w:tc>
          <w:tcPr>
            <w:tcW w:w="2319" w:type="dxa"/>
            <w:tcBorders>
              <w:top w:val="single" w:sz="12" w:space="0" w:color="auto"/>
              <w:bottom w:val="single" w:sz="4" w:space="0" w:color="auto"/>
            </w:tcBorders>
            <w:shd w:val="clear" w:color="auto" w:fill="auto"/>
            <w:noWrap/>
            <w:vAlign w:val="center"/>
          </w:tcPr>
          <w:p w14:paraId="6E551B10" w14:textId="3FC63DF0" w:rsidR="007C77A2" w:rsidRPr="007C77A2" w:rsidRDefault="007C77A2" w:rsidP="007C77A2">
            <w:pPr>
              <w:jc w:val="center"/>
              <w:rPr>
                <w:rFonts w:cstheme="minorHAnsi"/>
                <w:color w:val="000000"/>
                <w:sz w:val="20"/>
                <w:szCs w:val="20"/>
              </w:rPr>
            </w:pPr>
            <w:r w:rsidRPr="007C77A2">
              <w:rPr>
                <w:rFonts w:ascii="Calibri" w:hAnsi="Calibri" w:cs="Calibri"/>
                <w:color w:val="000000"/>
                <w:sz w:val="20"/>
                <w:szCs w:val="20"/>
              </w:rPr>
              <w:t>Dolní Staré Buky 8</w:t>
            </w:r>
            <w:r>
              <w:rPr>
                <w:rFonts w:ascii="Calibri" w:hAnsi="Calibri" w:cs="Calibri"/>
                <w:color w:val="000000"/>
                <w:sz w:val="20"/>
                <w:szCs w:val="20"/>
              </w:rPr>
              <w:br/>
            </w:r>
            <w:r w:rsidRPr="007C77A2">
              <w:rPr>
                <w:rFonts w:ascii="Calibri" w:hAnsi="Calibri" w:cs="Calibri"/>
                <w:color w:val="000000"/>
                <w:sz w:val="20"/>
                <w:szCs w:val="20"/>
              </w:rPr>
              <w:t>541 01 Staré Buky</w:t>
            </w:r>
          </w:p>
        </w:tc>
        <w:tc>
          <w:tcPr>
            <w:tcW w:w="1051" w:type="dxa"/>
            <w:tcBorders>
              <w:top w:val="single" w:sz="12" w:space="0" w:color="auto"/>
              <w:bottom w:val="single" w:sz="4" w:space="0" w:color="auto"/>
            </w:tcBorders>
            <w:shd w:val="clear" w:color="auto" w:fill="auto"/>
            <w:noWrap/>
            <w:vAlign w:val="center"/>
          </w:tcPr>
          <w:p w14:paraId="51FC36BD" w14:textId="0F7C7573" w:rsidR="007C77A2" w:rsidRPr="007C77A2" w:rsidRDefault="007C77A2" w:rsidP="007C77A2">
            <w:pPr>
              <w:jc w:val="center"/>
              <w:rPr>
                <w:rFonts w:cstheme="minorHAnsi"/>
                <w:color w:val="000000"/>
                <w:sz w:val="20"/>
                <w:szCs w:val="20"/>
              </w:rPr>
            </w:pPr>
            <w:r w:rsidRPr="007C77A2">
              <w:rPr>
                <w:rFonts w:ascii="Calibri" w:hAnsi="Calibri" w:cs="Calibri"/>
                <w:color w:val="000000"/>
                <w:sz w:val="20"/>
                <w:szCs w:val="20"/>
              </w:rPr>
              <w:t>42887186</w:t>
            </w:r>
          </w:p>
        </w:tc>
        <w:tc>
          <w:tcPr>
            <w:tcW w:w="1803" w:type="dxa"/>
            <w:tcBorders>
              <w:top w:val="single" w:sz="12" w:space="0" w:color="auto"/>
              <w:bottom w:val="single" w:sz="4" w:space="0" w:color="auto"/>
            </w:tcBorders>
            <w:shd w:val="clear" w:color="auto" w:fill="auto"/>
            <w:noWrap/>
            <w:vAlign w:val="center"/>
          </w:tcPr>
          <w:p w14:paraId="53CCC94D" w14:textId="3781A5ED" w:rsidR="007C77A2" w:rsidRPr="007C77A2" w:rsidRDefault="00000000" w:rsidP="007C77A2">
            <w:pPr>
              <w:jc w:val="center"/>
              <w:rPr>
                <w:rFonts w:cstheme="minorHAnsi"/>
                <w:sz w:val="20"/>
                <w:szCs w:val="20"/>
              </w:rPr>
            </w:pPr>
            <w:hyperlink r:id="rId48" w:history="1">
              <w:r w:rsidR="007C77A2" w:rsidRPr="00A43CE6">
                <w:rPr>
                  <w:rStyle w:val="Hypertextovodkaz"/>
                  <w:rFonts w:ascii="Calibri" w:hAnsi="Calibri" w:cs="Calibri"/>
                  <w:sz w:val="20"/>
                  <w:szCs w:val="20"/>
                </w:rPr>
                <w:t>https://www.</w:t>
              </w:r>
              <w:r w:rsidR="007C77A2" w:rsidRPr="00A43CE6">
                <w:rPr>
                  <w:rStyle w:val="Hypertextovodkaz"/>
                  <w:rFonts w:ascii="Calibri" w:hAnsi="Calibri" w:cs="Calibri"/>
                  <w:sz w:val="20"/>
                  <w:szCs w:val="20"/>
                </w:rPr>
                <w:br/>
                <w:t>tabor-legenda.cz/</w:t>
              </w:r>
            </w:hyperlink>
          </w:p>
        </w:tc>
      </w:tr>
      <w:tr w:rsidR="007C77A2" w:rsidRPr="000E3C0B" w14:paraId="3C4EB552" w14:textId="77777777" w:rsidTr="007C77A2">
        <w:trPr>
          <w:trHeight w:val="288"/>
          <w:jc w:val="center"/>
        </w:trPr>
        <w:tc>
          <w:tcPr>
            <w:tcW w:w="1545" w:type="dxa"/>
            <w:tcBorders>
              <w:top w:val="single" w:sz="4" w:space="0" w:color="auto"/>
              <w:bottom w:val="single" w:sz="4" w:space="0" w:color="auto"/>
            </w:tcBorders>
            <w:shd w:val="clear" w:color="auto" w:fill="auto"/>
            <w:noWrap/>
            <w:vAlign w:val="center"/>
          </w:tcPr>
          <w:p w14:paraId="42C81C38" w14:textId="3BE84687" w:rsidR="007C77A2" w:rsidRPr="007C77A2" w:rsidRDefault="007C77A2" w:rsidP="007C77A2">
            <w:pPr>
              <w:jc w:val="center"/>
              <w:rPr>
                <w:rFonts w:eastAsia="Times New Roman" w:cstheme="minorHAnsi"/>
                <w:color w:val="000000"/>
                <w:sz w:val="20"/>
                <w:szCs w:val="20"/>
                <w:lang w:eastAsia="cs-CZ"/>
              </w:rPr>
            </w:pPr>
            <w:r w:rsidRPr="007C77A2">
              <w:rPr>
                <w:rFonts w:ascii="Calibri" w:hAnsi="Calibri" w:cs="Calibri"/>
                <w:color w:val="000000"/>
                <w:sz w:val="20"/>
                <w:szCs w:val="20"/>
              </w:rPr>
              <w:t>MS Hrádeček</w:t>
            </w:r>
          </w:p>
        </w:tc>
        <w:tc>
          <w:tcPr>
            <w:tcW w:w="2324" w:type="dxa"/>
            <w:tcBorders>
              <w:top w:val="single" w:sz="4" w:space="0" w:color="auto"/>
              <w:bottom w:val="single" w:sz="4" w:space="0" w:color="auto"/>
            </w:tcBorders>
            <w:shd w:val="clear" w:color="auto" w:fill="auto"/>
            <w:noWrap/>
            <w:vAlign w:val="center"/>
          </w:tcPr>
          <w:p w14:paraId="11EF59ED" w14:textId="7ED2B459" w:rsidR="007C77A2" w:rsidRPr="007C77A2" w:rsidRDefault="007C77A2" w:rsidP="007C77A2">
            <w:pPr>
              <w:jc w:val="center"/>
              <w:rPr>
                <w:rFonts w:eastAsia="Times New Roman" w:cstheme="minorHAnsi"/>
                <w:color w:val="000000"/>
                <w:sz w:val="20"/>
                <w:szCs w:val="20"/>
                <w:lang w:eastAsia="cs-CZ"/>
              </w:rPr>
            </w:pPr>
            <w:r>
              <w:rPr>
                <w:rFonts w:ascii="Calibri" w:hAnsi="Calibri" w:cs="Calibri"/>
                <w:color w:val="000000"/>
                <w:sz w:val="20"/>
                <w:szCs w:val="20"/>
              </w:rPr>
              <w:t>l</w:t>
            </w:r>
            <w:r w:rsidRPr="007C77A2">
              <w:rPr>
                <w:rFonts w:ascii="Calibri" w:hAnsi="Calibri" w:cs="Calibri"/>
                <w:color w:val="000000"/>
                <w:sz w:val="20"/>
                <w:szCs w:val="20"/>
              </w:rPr>
              <w:t>ov a odchyt divokých zvířat a související činnosti</w:t>
            </w:r>
          </w:p>
        </w:tc>
        <w:tc>
          <w:tcPr>
            <w:tcW w:w="2319" w:type="dxa"/>
            <w:tcBorders>
              <w:top w:val="single" w:sz="4" w:space="0" w:color="auto"/>
              <w:bottom w:val="single" w:sz="4" w:space="0" w:color="auto"/>
            </w:tcBorders>
            <w:shd w:val="clear" w:color="auto" w:fill="auto"/>
            <w:noWrap/>
            <w:vAlign w:val="center"/>
          </w:tcPr>
          <w:p w14:paraId="5694DC80" w14:textId="7A95FD5A" w:rsidR="007C77A2" w:rsidRPr="007C77A2" w:rsidRDefault="007C77A2" w:rsidP="007C77A2">
            <w:pPr>
              <w:jc w:val="center"/>
              <w:rPr>
                <w:rFonts w:eastAsia="Times New Roman" w:cstheme="minorHAnsi"/>
                <w:color w:val="000000"/>
                <w:sz w:val="20"/>
                <w:szCs w:val="20"/>
                <w:lang w:eastAsia="cs-CZ"/>
              </w:rPr>
            </w:pPr>
            <w:r w:rsidRPr="007C77A2">
              <w:rPr>
                <w:rFonts w:ascii="Calibri" w:hAnsi="Calibri" w:cs="Calibri"/>
                <w:color w:val="000000"/>
                <w:sz w:val="20"/>
                <w:szCs w:val="20"/>
              </w:rPr>
              <w:t>Horní Staré Buky 135</w:t>
            </w:r>
            <w:r>
              <w:rPr>
                <w:rFonts w:ascii="Calibri" w:hAnsi="Calibri" w:cs="Calibri"/>
                <w:color w:val="000000"/>
                <w:sz w:val="20"/>
                <w:szCs w:val="20"/>
              </w:rPr>
              <w:br/>
            </w:r>
            <w:r w:rsidRPr="007C77A2">
              <w:rPr>
                <w:rFonts w:ascii="Calibri" w:hAnsi="Calibri" w:cs="Calibri"/>
                <w:color w:val="000000"/>
                <w:sz w:val="20"/>
                <w:szCs w:val="20"/>
              </w:rPr>
              <w:t>541 01 Staré Buky</w:t>
            </w:r>
          </w:p>
        </w:tc>
        <w:tc>
          <w:tcPr>
            <w:tcW w:w="1051" w:type="dxa"/>
            <w:tcBorders>
              <w:top w:val="single" w:sz="4" w:space="0" w:color="auto"/>
              <w:bottom w:val="single" w:sz="4" w:space="0" w:color="auto"/>
            </w:tcBorders>
            <w:shd w:val="clear" w:color="auto" w:fill="auto"/>
            <w:noWrap/>
            <w:vAlign w:val="center"/>
          </w:tcPr>
          <w:p w14:paraId="3F8C58FF" w14:textId="3E9CFE1A" w:rsidR="007C77A2" w:rsidRPr="007C77A2" w:rsidRDefault="007C77A2" w:rsidP="007C77A2">
            <w:pPr>
              <w:jc w:val="center"/>
              <w:rPr>
                <w:rFonts w:eastAsia="Times New Roman" w:cstheme="minorHAnsi"/>
                <w:color w:val="000000"/>
                <w:sz w:val="20"/>
                <w:szCs w:val="20"/>
                <w:lang w:eastAsia="cs-CZ"/>
              </w:rPr>
            </w:pPr>
            <w:r w:rsidRPr="007C77A2">
              <w:rPr>
                <w:rFonts w:ascii="Calibri" w:hAnsi="Calibri" w:cs="Calibri"/>
                <w:color w:val="000000"/>
                <w:sz w:val="20"/>
                <w:szCs w:val="20"/>
              </w:rPr>
              <w:t>26601460</w:t>
            </w:r>
          </w:p>
        </w:tc>
        <w:tc>
          <w:tcPr>
            <w:tcW w:w="1803" w:type="dxa"/>
            <w:tcBorders>
              <w:top w:val="single" w:sz="4" w:space="0" w:color="auto"/>
              <w:bottom w:val="single" w:sz="4" w:space="0" w:color="auto"/>
            </w:tcBorders>
            <w:shd w:val="clear" w:color="auto" w:fill="auto"/>
            <w:noWrap/>
            <w:vAlign w:val="center"/>
          </w:tcPr>
          <w:p w14:paraId="063F0FD3" w14:textId="27CCFA6C" w:rsidR="007C77A2" w:rsidRPr="007C77A2" w:rsidRDefault="007C77A2" w:rsidP="007C77A2">
            <w:pPr>
              <w:jc w:val="center"/>
              <w:rPr>
                <w:rFonts w:eastAsia="Times New Roman" w:cstheme="minorHAnsi"/>
                <w:color w:val="0563C1"/>
                <w:sz w:val="20"/>
                <w:szCs w:val="20"/>
                <w:u w:val="single"/>
                <w:lang w:eastAsia="cs-CZ"/>
              </w:rPr>
            </w:pPr>
            <w:r w:rsidRPr="007C77A2">
              <w:rPr>
                <w:rFonts w:ascii="Calibri" w:hAnsi="Calibri" w:cs="Calibri"/>
                <w:color w:val="000000"/>
                <w:sz w:val="20"/>
                <w:szCs w:val="20"/>
              </w:rPr>
              <w:t>nemají</w:t>
            </w:r>
          </w:p>
        </w:tc>
      </w:tr>
      <w:tr w:rsidR="00A260A6" w:rsidRPr="000E3C0B" w14:paraId="7A3DDA11" w14:textId="77777777" w:rsidTr="007C77A2">
        <w:trPr>
          <w:trHeight w:val="288"/>
          <w:jc w:val="center"/>
        </w:trPr>
        <w:tc>
          <w:tcPr>
            <w:tcW w:w="1545" w:type="dxa"/>
            <w:shd w:val="clear" w:color="auto" w:fill="auto"/>
            <w:noWrap/>
            <w:vAlign w:val="center"/>
          </w:tcPr>
          <w:p w14:paraId="2F6A8422" w14:textId="1E197262" w:rsidR="00A260A6" w:rsidRPr="007C77A2" w:rsidRDefault="00A260A6" w:rsidP="00A260A6">
            <w:pPr>
              <w:jc w:val="center"/>
              <w:rPr>
                <w:rFonts w:ascii="Calibri" w:hAnsi="Calibri" w:cs="Calibri"/>
                <w:color w:val="000000"/>
                <w:sz w:val="20"/>
                <w:szCs w:val="20"/>
              </w:rPr>
            </w:pPr>
            <w:r w:rsidRPr="007C77A2">
              <w:rPr>
                <w:rFonts w:ascii="Calibri" w:hAnsi="Calibri" w:cs="Calibri"/>
                <w:color w:val="000000"/>
                <w:sz w:val="20"/>
                <w:szCs w:val="20"/>
              </w:rPr>
              <w:t>Myslivecký spolek Staré Buky</w:t>
            </w:r>
          </w:p>
        </w:tc>
        <w:tc>
          <w:tcPr>
            <w:tcW w:w="2324" w:type="dxa"/>
            <w:shd w:val="clear" w:color="auto" w:fill="auto"/>
            <w:noWrap/>
            <w:vAlign w:val="center"/>
          </w:tcPr>
          <w:p w14:paraId="245BC706" w14:textId="5145ED25" w:rsidR="00A260A6" w:rsidRPr="007C77A2" w:rsidRDefault="00A260A6" w:rsidP="00A260A6">
            <w:pPr>
              <w:jc w:val="center"/>
              <w:rPr>
                <w:rFonts w:ascii="Calibri" w:hAnsi="Calibri" w:cs="Calibri"/>
                <w:color w:val="000000"/>
                <w:sz w:val="20"/>
                <w:szCs w:val="20"/>
              </w:rPr>
            </w:pPr>
            <w:r>
              <w:rPr>
                <w:rFonts w:ascii="Calibri" w:hAnsi="Calibri" w:cs="Calibri"/>
                <w:color w:val="000000"/>
                <w:sz w:val="20"/>
                <w:szCs w:val="20"/>
              </w:rPr>
              <w:t>l</w:t>
            </w:r>
            <w:r w:rsidRPr="007C77A2">
              <w:rPr>
                <w:rFonts w:ascii="Calibri" w:hAnsi="Calibri" w:cs="Calibri"/>
                <w:color w:val="000000"/>
                <w:sz w:val="20"/>
                <w:szCs w:val="20"/>
              </w:rPr>
              <w:t>ov a odchyt divokých zvířat a související činnosti</w:t>
            </w:r>
          </w:p>
        </w:tc>
        <w:tc>
          <w:tcPr>
            <w:tcW w:w="2319" w:type="dxa"/>
            <w:shd w:val="clear" w:color="auto" w:fill="auto"/>
            <w:noWrap/>
            <w:vAlign w:val="center"/>
          </w:tcPr>
          <w:p w14:paraId="6FEEED45" w14:textId="02A79297" w:rsidR="00A260A6" w:rsidRPr="007C77A2" w:rsidRDefault="00A260A6" w:rsidP="00A260A6">
            <w:pPr>
              <w:jc w:val="center"/>
              <w:rPr>
                <w:rFonts w:ascii="Calibri" w:hAnsi="Calibri" w:cs="Calibri"/>
                <w:color w:val="000000"/>
                <w:sz w:val="20"/>
                <w:szCs w:val="20"/>
              </w:rPr>
            </w:pPr>
            <w:r w:rsidRPr="007C77A2">
              <w:rPr>
                <w:rFonts w:ascii="Calibri" w:hAnsi="Calibri" w:cs="Calibri"/>
                <w:color w:val="000000"/>
                <w:sz w:val="20"/>
                <w:szCs w:val="20"/>
              </w:rPr>
              <w:t>Prostřední Staré Buky 50</w:t>
            </w:r>
            <w:r>
              <w:rPr>
                <w:rFonts w:ascii="Calibri" w:hAnsi="Calibri" w:cs="Calibri"/>
                <w:color w:val="000000"/>
                <w:sz w:val="20"/>
                <w:szCs w:val="20"/>
              </w:rPr>
              <w:br/>
            </w:r>
            <w:r w:rsidRPr="007C77A2">
              <w:rPr>
                <w:rFonts w:ascii="Calibri" w:hAnsi="Calibri" w:cs="Calibri"/>
                <w:color w:val="000000"/>
                <w:sz w:val="20"/>
                <w:szCs w:val="20"/>
              </w:rPr>
              <w:t>541 01 Staré Buky</w:t>
            </w:r>
          </w:p>
        </w:tc>
        <w:tc>
          <w:tcPr>
            <w:tcW w:w="1051" w:type="dxa"/>
            <w:shd w:val="clear" w:color="auto" w:fill="auto"/>
            <w:noWrap/>
            <w:vAlign w:val="center"/>
          </w:tcPr>
          <w:p w14:paraId="3C1163D5" w14:textId="71AF5EC7" w:rsidR="00A260A6" w:rsidRPr="007C77A2" w:rsidRDefault="00A260A6" w:rsidP="00A260A6">
            <w:pPr>
              <w:jc w:val="center"/>
              <w:rPr>
                <w:rFonts w:ascii="Calibri" w:hAnsi="Calibri" w:cs="Calibri"/>
                <w:color w:val="000000"/>
                <w:sz w:val="20"/>
                <w:szCs w:val="20"/>
              </w:rPr>
            </w:pPr>
            <w:r w:rsidRPr="007C77A2">
              <w:rPr>
                <w:rFonts w:ascii="Calibri" w:hAnsi="Calibri" w:cs="Calibri"/>
                <w:color w:val="000000"/>
                <w:sz w:val="20"/>
                <w:szCs w:val="20"/>
              </w:rPr>
              <w:t>60150611</w:t>
            </w:r>
          </w:p>
        </w:tc>
        <w:tc>
          <w:tcPr>
            <w:tcW w:w="1803" w:type="dxa"/>
            <w:shd w:val="clear" w:color="auto" w:fill="auto"/>
            <w:noWrap/>
            <w:vAlign w:val="center"/>
          </w:tcPr>
          <w:p w14:paraId="022FAE49" w14:textId="6FD3F3C6" w:rsidR="00A260A6" w:rsidRDefault="00A260A6" w:rsidP="00A260A6">
            <w:pPr>
              <w:jc w:val="center"/>
              <w:rPr>
                <w:rFonts w:ascii="Calibri" w:hAnsi="Calibri" w:cs="Calibri"/>
                <w:color w:val="0563C1"/>
                <w:sz w:val="20"/>
                <w:szCs w:val="20"/>
                <w:u w:val="single"/>
              </w:rPr>
            </w:pPr>
            <w:r w:rsidRPr="007C77A2">
              <w:rPr>
                <w:rFonts w:ascii="Calibri" w:hAnsi="Calibri" w:cs="Calibri"/>
                <w:color w:val="000000"/>
                <w:sz w:val="20"/>
                <w:szCs w:val="20"/>
              </w:rPr>
              <w:t>nemají</w:t>
            </w:r>
          </w:p>
        </w:tc>
      </w:tr>
      <w:tr w:rsidR="007C77A2" w:rsidRPr="000E3C0B" w14:paraId="5EB3E774" w14:textId="77777777" w:rsidTr="007C77A2">
        <w:trPr>
          <w:trHeight w:val="288"/>
          <w:jc w:val="center"/>
        </w:trPr>
        <w:tc>
          <w:tcPr>
            <w:tcW w:w="1545" w:type="dxa"/>
            <w:shd w:val="clear" w:color="auto" w:fill="auto"/>
            <w:noWrap/>
            <w:vAlign w:val="center"/>
          </w:tcPr>
          <w:p w14:paraId="6C4C1B7A" w14:textId="575005FB" w:rsidR="007C77A2" w:rsidRPr="007C77A2" w:rsidRDefault="007C77A2" w:rsidP="007C77A2">
            <w:pPr>
              <w:jc w:val="center"/>
              <w:rPr>
                <w:rFonts w:eastAsia="Times New Roman" w:cstheme="minorHAnsi"/>
                <w:color w:val="000000"/>
                <w:sz w:val="20"/>
                <w:szCs w:val="20"/>
                <w:lang w:eastAsia="cs-CZ"/>
              </w:rPr>
            </w:pPr>
            <w:r w:rsidRPr="007C77A2">
              <w:rPr>
                <w:rFonts w:ascii="Calibri" w:hAnsi="Calibri" w:cs="Calibri"/>
                <w:color w:val="000000"/>
                <w:sz w:val="20"/>
                <w:szCs w:val="20"/>
              </w:rPr>
              <w:t>SPK Staré Buky, z.s.</w:t>
            </w:r>
          </w:p>
        </w:tc>
        <w:tc>
          <w:tcPr>
            <w:tcW w:w="2324" w:type="dxa"/>
            <w:shd w:val="clear" w:color="auto" w:fill="auto"/>
            <w:noWrap/>
            <w:vAlign w:val="center"/>
          </w:tcPr>
          <w:p w14:paraId="3EC70025" w14:textId="34023FEE" w:rsidR="007C77A2" w:rsidRPr="007C77A2" w:rsidRDefault="007C77A2" w:rsidP="007C77A2">
            <w:pPr>
              <w:jc w:val="center"/>
              <w:rPr>
                <w:rFonts w:eastAsia="Times New Roman" w:cstheme="minorHAnsi"/>
                <w:color w:val="000000"/>
                <w:sz w:val="20"/>
                <w:szCs w:val="20"/>
                <w:lang w:eastAsia="cs-CZ"/>
              </w:rPr>
            </w:pPr>
            <w:r w:rsidRPr="007C77A2">
              <w:rPr>
                <w:rFonts w:ascii="Calibri" w:hAnsi="Calibri" w:cs="Calibri"/>
                <w:color w:val="000000"/>
                <w:sz w:val="20"/>
                <w:szCs w:val="20"/>
              </w:rPr>
              <w:t>prosazování společných zájmů</w:t>
            </w:r>
          </w:p>
        </w:tc>
        <w:tc>
          <w:tcPr>
            <w:tcW w:w="2319" w:type="dxa"/>
            <w:shd w:val="clear" w:color="auto" w:fill="auto"/>
            <w:noWrap/>
            <w:vAlign w:val="center"/>
          </w:tcPr>
          <w:p w14:paraId="61AFC511" w14:textId="55CD9070" w:rsidR="007C77A2" w:rsidRPr="007C77A2" w:rsidRDefault="007C77A2" w:rsidP="007C77A2">
            <w:pPr>
              <w:jc w:val="center"/>
              <w:rPr>
                <w:rFonts w:eastAsia="Times New Roman" w:cstheme="minorHAnsi"/>
                <w:color w:val="000000"/>
                <w:sz w:val="20"/>
                <w:szCs w:val="20"/>
                <w:lang w:eastAsia="cs-CZ"/>
              </w:rPr>
            </w:pPr>
            <w:r w:rsidRPr="007C77A2">
              <w:rPr>
                <w:rFonts w:ascii="Calibri" w:hAnsi="Calibri" w:cs="Calibri"/>
                <w:color w:val="000000"/>
                <w:sz w:val="20"/>
                <w:szCs w:val="20"/>
              </w:rPr>
              <w:t>Prostřední Staré Buky 237 541 01 Staré Buky</w:t>
            </w:r>
          </w:p>
        </w:tc>
        <w:tc>
          <w:tcPr>
            <w:tcW w:w="1051" w:type="dxa"/>
            <w:shd w:val="clear" w:color="auto" w:fill="auto"/>
            <w:noWrap/>
            <w:vAlign w:val="center"/>
          </w:tcPr>
          <w:p w14:paraId="2E6101EA" w14:textId="2F90DB65" w:rsidR="007C77A2" w:rsidRPr="007C77A2" w:rsidRDefault="007C77A2" w:rsidP="007C77A2">
            <w:pPr>
              <w:jc w:val="center"/>
              <w:rPr>
                <w:rFonts w:eastAsia="Times New Roman" w:cstheme="minorHAnsi"/>
                <w:color w:val="000000"/>
                <w:sz w:val="20"/>
                <w:szCs w:val="20"/>
                <w:lang w:eastAsia="cs-CZ"/>
              </w:rPr>
            </w:pPr>
            <w:r w:rsidRPr="007C77A2">
              <w:rPr>
                <w:rFonts w:ascii="Calibri" w:hAnsi="Calibri" w:cs="Calibri"/>
                <w:color w:val="000000"/>
                <w:sz w:val="20"/>
                <w:szCs w:val="20"/>
              </w:rPr>
              <w:t>06655416</w:t>
            </w:r>
          </w:p>
        </w:tc>
        <w:tc>
          <w:tcPr>
            <w:tcW w:w="1803" w:type="dxa"/>
            <w:shd w:val="clear" w:color="auto" w:fill="auto"/>
            <w:noWrap/>
            <w:vAlign w:val="center"/>
          </w:tcPr>
          <w:p w14:paraId="5A934466" w14:textId="633D7DD1" w:rsidR="007C77A2" w:rsidRPr="007C77A2" w:rsidRDefault="007C77A2" w:rsidP="007C77A2">
            <w:pPr>
              <w:jc w:val="center"/>
              <w:rPr>
                <w:rFonts w:eastAsia="Times New Roman" w:cstheme="minorHAnsi"/>
                <w:color w:val="000000"/>
                <w:sz w:val="20"/>
                <w:szCs w:val="20"/>
                <w:lang w:eastAsia="cs-CZ"/>
              </w:rPr>
            </w:pPr>
            <w:r w:rsidRPr="007C77A2">
              <w:rPr>
                <w:rFonts w:ascii="Calibri" w:hAnsi="Calibri" w:cs="Calibri"/>
                <w:color w:val="000000"/>
                <w:sz w:val="20"/>
                <w:szCs w:val="20"/>
              </w:rPr>
              <w:t>nemají</w:t>
            </w:r>
          </w:p>
        </w:tc>
      </w:tr>
      <w:tr w:rsidR="00A260A6" w:rsidRPr="000E3C0B" w14:paraId="02189B99" w14:textId="77777777" w:rsidTr="007C77A2">
        <w:trPr>
          <w:trHeight w:val="288"/>
          <w:jc w:val="center"/>
        </w:trPr>
        <w:tc>
          <w:tcPr>
            <w:tcW w:w="1545" w:type="dxa"/>
            <w:shd w:val="clear" w:color="auto" w:fill="auto"/>
            <w:noWrap/>
            <w:vAlign w:val="center"/>
          </w:tcPr>
          <w:p w14:paraId="29D9B3A1" w14:textId="74158644" w:rsidR="00A260A6" w:rsidRPr="007C77A2" w:rsidRDefault="00A260A6" w:rsidP="00A260A6">
            <w:pPr>
              <w:jc w:val="center"/>
              <w:rPr>
                <w:rFonts w:eastAsia="Times New Roman" w:cstheme="minorHAnsi"/>
                <w:color w:val="000000"/>
                <w:sz w:val="20"/>
                <w:szCs w:val="20"/>
                <w:lang w:eastAsia="cs-CZ"/>
              </w:rPr>
            </w:pPr>
            <w:r w:rsidRPr="007C77A2">
              <w:rPr>
                <w:rFonts w:ascii="Calibri" w:hAnsi="Calibri" w:cs="Calibri"/>
                <w:color w:val="000000"/>
                <w:sz w:val="20"/>
                <w:szCs w:val="20"/>
              </w:rPr>
              <w:t>Tělovýchovná jednota Sokol Staré Buky, z.s.</w:t>
            </w:r>
          </w:p>
        </w:tc>
        <w:tc>
          <w:tcPr>
            <w:tcW w:w="2324" w:type="dxa"/>
            <w:shd w:val="clear" w:color="auto" w:fill="auto"/>
            <w:noWrap/>
            <w:vAlign w:val="center"/>
          </w:tcPr>
          <w:p w14:paraId="1FCD0394" w14:textId="78CCD47D" w:rsidR="00A260A6" w:rsidRPr="007C77A2" w:rsidRDefault="00A260A6" w:rsidP="00A260A6">
            <w:pPr>
              <w:jc w:val="center"/>
              <w:rPr>
                <w:rFonts w:eastAsia="Times New Roman" w:cstheme="minorHAnsi"/>
                <w:color w:val="000000"/>
                <w:sz w:val="20"/>
                <w:szCs w:val="20"/>
                <w:lang w:eastAsia="cs-CZ"/>
              </w:rPr>
            </w:pPr>
            <w:r w:rsidRPr="007C77A2">
              <w:rPr>
                <w:rFonts w:ascii="Calibri" w:hAnsi="Calibri" w:cs="Calibri"/>
                <w:color w:val="000000"/>
                <w:sz w:val="20"/>
                <w:szCs w:val="20"/>
              </w:rPr>
              <w:t>sportovní činnost</w:t>
            </w:r>
          </w:p>
        </w:tc>
        <w:tc>
          <w:tcPr>
            <w:tcW w:w="2319" w:type="dxa"/>
            <w:shd w:val="clear" w:color="auto" w:fill="auto"/>
            <w:noWrap/>
            <w:vAlign w:val="center"/>
          </w:tcPr>
          <w:p w14:paraId="170F1850" w14:textId="6500ADED" w:rsidR="00A260A6" w:rsidRPr="007C77A2" w:rsidRDefault="00A260A6" w:rsidP="00A260A6">
            <w:pPr>
              <w:jc w:val="center"/>
              <w:rPr>
                <w:rFonts w:eastAsia="Times New Roman" w:cstheme="minorHAnsi"/>
                <w:color w:val="000000"/>
                <w:sz w:val="20"/>
                <w:szCs w:val="20"/>
                <w:lang w:eastAsia="cs-CZ"/>
              </w:rPr>
            </w:pPr>
            <w:r w:rsidRPr="007C77A2">
              <w:rPr>
                <w:rFonts w:ascii="Calibri" w:hAnsi="Calibri" w:cs="Calibri"/>
                <w:color w:val="000000"/>
                <w:sz w:val="20"/>
                <w:szCs w:val="20"/>
              </w:rPr>
              <w:t>Prostřední Staré Buky 50</w:t>
            </w:r>
            <w:r>
              <w:rPr>
                <w:rFonts w:ascii="Calibri" w:hAnsi="Calibri" w:cs="Calibri"/>
                <w:color w:val="000000"/>
                <w:sz w:val="20"/>
                <w:szCs w:val="20"/>
              </w:rPr>
              <w:br/>
            </w:r>
            <w:r w:rsidRPr="007C77A2">
              <w:rPr>
                <w:rFonts w:ascii="Calibri" w:hAnsi="Calibri" w:cs="Calibri"/>
                <w:color w:val="000000"/>
                <w:sz w:val="20"/>
                <w:szCs w:val="20"/>
              </w:rPr>
              <w:t>541 01 Staré Buky</w:t>
            </w:r>
          </w:p>
        </w:tc>
        <w:tc>
          <w:tcPr>
            <w:tcW w:w="1051" w:type="dxa"/>
            <w:shd w:val="clear" w:color="auto" w:fill="auto"/>
            <w:noWrap/>
            <w:vAlign w:val="center"/>
          </w:tcPr>
          <w:p w14:paraId="39247CD8" w14:textId="661D5A4D" w:rsidR="00A260A6" w:rsidRPr="007C77A2" w:rsidRDefault="00A260A6" w:rsidP="00A260A6">
            <w:pPr>
              <w:jc w:val="center"/>
              <w:rPr>
                <w:rFonts w:eastAsia="Times New Roman" w:cstheme="minorHAnsi"/>
                <w:color w:val="000000"/>
                <w:sz w:val="20"/>
                <w:szCs w:val="20"/>
                <w:lang w:eastAsia="cs-CZ"/>
              </w:rPr>
            </w:pPr>
            <w:r w:rsidRPr="007C77A2">
              <w:rPr>
                <w:rFonts w:ascii="Calibri" w:hAnsi="Calibri" w:cs="Calibri"/>
                <w:color w:val="000000"/>
                <w:sz w:val="20"/>
                <w:szCs w:val="20"/>
              </w:rPr>
              <w:t>60155256</w:t>
            </w:r>
          </w:p>
        </w:tc>
        <w:tc>
          <w:tcPr>
            <w:tcW w:w="1803" w:type="dxa"/>
            <w:shd w:val="clear" w:color="auto" w:fill="auto"/>
            <w:noWrap/>
            <w:vAlign w:val="center"/>
          </w:tcPr>
          <w:p w14:paraId="47D644C2" w14:textId="0F1E29D2" w:rsidR="00A260A6" w:rsidRPr="007C77A2" w:rsidRDefault="00000000" w:rsidP="00A260A6">
            <w:pPr>
              <w:jc w:val="center"/>
              <w:rPr>
                <w:rFonts w:eastAsia="Times New Roman" w:cstheme="minorHAnsi"/>
                <w:color w:val="000000"/>
                <w:sz w:val="20"/>
                <w:szCs w:val="20"/>
                <w:lang w:eastAsia="cs-CZ"/>
              </w:rPr>
            </w:pPr>
            <w:hyperlink r:id="rId49" w:history="1">
              <w:r w:rsidR="00A260A6" w:rsidRPr="00A43CE6">
                <w:rPr>
                  <w:rStyle w:val="Hypertextovodkaz"/>
                  <w:rFonts w:ascii="Calibri" w:hAnsi="Calibri" w:cs="Calibri"/>
                  <w:sz w:val="20"/>
                  <w:szCs w:val="20"/>
                </w:rPr>
                <w:t>https://tjsokolstare</w:t>
              </w:r>
              <w:r w:rsidR="00A260A6" w:rsidRPr="00A43CE6">
                <w:rPr>
                  <w:rStyle w:val="Hypertextovodkaz"/>
                  <w:rFonts w:ascii="Calibri" w:hAnsi="Calibri" w:cs="Calibri"/>
                  <w:sz w:val="20"/>
                  <w:szCs w:val="20"/>
                </w:rPr>
                <w:br/>
                <w:t>buky.netstranky.cz</w:t>
              </w:r>
            </w:hyperlink>
          </w:p>
        </w:tc>
      </w:tr>
    </w:tbl>
    <w:p w14:paraId="7DCE43FF" w14:textId="7A294199" w:rsidR="008147E6" w:rsidRDefault="008147E6" w:rsidP="005C2A9B">
      <w:pPr>
        <w:spacing w:after="160"/>
        <w:contextualSpacing/>
        <w:jc w:val="both"/>
        <w:rPr>
          <w:rStyle w:val="Hypertextovodkaz"/>
          <w:sz w:val="20"/>
          <w:szCs w:val="20"/>
        </w:rPr>
      </w:pPr>
      <w:r w:rsidRPr="00014C79">
        <w:rPr>
          <w:b/>
          <w:sz w:val="20"/>
          <w:szCs w:val="20"/>
        </w:rPr>
        <w:t>Zdroj</w:t>
      </w:r>
      <w:r w:rsidR="008120E2">
        <w:rPr>
          <w:b/>
          <w:sz w:val="20"/>
          <w:szCs w:val="20"/>
        </w:rPr>
        <w:t>e</w:t>
      </w:r>
      <w:r w:rsidRPr="00014C79">
        <w:rPr>
          <w:b/>
          <w:sz w:val="20"/>
          <w:szCs w:val="20"/>
        </w:rPr>
        <w:t>:</w:t>
      </w:r>
      <w:r w:rsidRPr="00014C79">
        <w:rPr>
          <w:sz w:val="20"/>
          <w:szCs w:val="20"/>
        </w:rPr>
        <w:t xml:space="preserve"> </w:t>
      </w:r>
      <w:bookmarkStart w:id="133" w:name="_Hlk32354657"/>
      <w:r w:rsidR="00014C79" w:rsidRPr="00014C79">
        <w:rPr>
          <w:sz w:val="20"/>
          <w:szCs w:val="20"/>
        </w:rPr>
        <w:t xml:space="preserve">Administrativní registr ekonomických subjektů (ARES) </w:t>
      </w:r>
      <w:hyperlink r:id="rId50" w:history="1">
        <w:r w:rsidR="005E40CE" w:rsidRPr="006341E4">
          <w:rPr>
            <w:rStyle w:val="Hypertextovodkaz"/>
            <w:sz w:val="20"/>
            <w:szCs w:val="20"/>
          </w:rPr>
          <w:t>https://wwwinfo.mfcr.cz/ares/ares_es.html.cz</w:t>
        </w:r>
      </w:hyperlink>
      <w:bookmarkEnd w:id="133"/>
    </w:p>
    <w:p w14:paraId="6D137915" w14:textId="77777777" w:rsidR="008147E6" w:rsidRDefault="008120E2" w:rsidP="008120E2">
      <w:pPr>
        <w:spacing w:after="160"/>
        <w:jc w:val="both"/>
        <w:rPr>
          <w:sz w:val="20"/>
          <w:szCs w:val="20"/>
        </w:rPr>
      </w:pPr>
      <w:r>
        <w:rPr>
          <w:sz w:val="20"/>
          <w:szCs w:val="20"/>
        </w:rPr>
        <w:t xml:space="preserve">              Internetové stránky daných spolků</w:t>
      </w:r>
    </w:p>
    <w:p w14:paraId="17E23C22" w14:textId="77777777" w:rsidR="000735E8" w:rsidRDefault="000735E8" w:rsidP="008147E6">
      <w:pPr>
        <w:spacing w:after="160" w:line="259" w:lineRule="auto"/>
        <w:jc w:val="both"/>
      </w:pPr>
    </w:p>
    <w:p w14:paraId="5D29A311" w14:textId="77777777" w:rsidR="008147E6" w:rsidRPr="00A6306A" w:rsidRDefault="008147E6" w:rsidP="008147E6">
      <w:pPr>
        <w:spacing w:after="160" w:line="259" w:lineRule="auto"/>
        <w:jc w:val="both"/>
      </w:pPr>
      <w:r w:rsidRPr="00FF006E">
        <w:rPr>
          <w:u w:val="single"/>
        </w:rPr>
        <w:t xml:space="preserve">Akce a události pořádané </w:t>
      </w:r>
      <w:r>
        <w:rPr>
          <w:u w:val="single"/>
        </w:rPr>
        <w:t>v obci</w:t>
      </w:r>
    </w:p>
    <w:p w14:paraId="21619E4A" w14:textId="794E3424" w:rsidR="00D207CF" w:rsidRDefault="00D207CF" w:rsidP="00115A8F">
      <w:pPr>
        <w:spacing w:after="160" w:line="259" w:lineRule="auto"/>
        <w:jc w:val="both"/>
      </w:pPr>
      <w:r>
        <w:t xml:space="preserve">V obci je každoročně pořádána řada akcí a událostí. Výběr akcí, které </w:t>
      </w:r>
      <w:r w:rsidR="002A2AA8">
        <w:t xml:space="preserve">jsou </w:t>
      </w:r>
      <w:r>
        <w:t>v obci v průběhu roku</w:t>
      </w:r>
      <w:r w:rsidR="002A2AA8">
        <w:t xml:space="preserve"> </w:t>
      </w:r>
      <w:r>
        <w:t xml:space="preserve">pořádány včetně uvedení základních informací k nim, podává tabulka </w:t>
      </w:r>
      <w:r w:rsidR="00A03999">
        <w:t>7</w:t>
      </w:r>
      <w:r>
        <w:t>.</w:t>
      </w:r>
    </w:p>
    <w:p w14:paraId="390251ED" w14:textId="704E0F2E" w:rsidR="00FA39AB" w:rsidRDefault="00FA39AB" w:rsidP="00115A8F">
      <w:pPr>
        <w:spacing w:after="160" w:line="259" w:lineRule="auto"/>
        <w:jc w:val="both"/>
      </w:pPr>
    </w:p>
    <w:p w14:paraId="290DD128" w14:textId="3A689594" w:rsidR="00D207CF" w:rsidRDefault="00D207CF" w:rsidP="00D207CF">
      <w:pPr>
        <w:pStyle w:val="TABULKA0"/>
      </w:pPr>
      <w:bookmarkStart w:id="134" w:name="_Toc32577784"/>
      <w:bookmarkStart w:id="135" w:name="_Toc120651929"/>
      <w:r>
        <w:t xml:space="preserve">Tabulka </w:t>
      </w:r>
      <w:r w:rsidR="00A03999">
        <w:t>7</w:t>
      </w:r>
      <w:r>
        <w:t>:</w:t>
      </w:r>
      <w:r w:rsidRPr="00D80EEE">
        <w:t xml:space="preserve"> </w:t>
      </w:r>
      <w:r>
        <w:t xml:space="preserve">Výběr z akcí a událostí pořádaných v obci </w:t>
      </w:r>
      <w:bookmarkEnd w:id="134"/>
      <w:r w:rsidR="00A03999">
        <w:t>Staré Buky</w:t>
      </w:r>
      <w:bookmarkEnd w:id="135"/>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6"/>
        <w:gridCol w:w="1883"/>
        <w:gridCol w:w="4354"/>
      </w:tblGrid>
      <w:tr w:rsidR="004442C1" w:rsidRPr="00D03237" w14:paraId="2D636043" w14:textId="77777777" w:rsidTr="004F7D24">
        <w:trPr>
          <w:trHeight w:val="288"/>
          <w:jc w:val="center"/>
        </w:trPr>
        <w:tc>
          <w:tcPr>
            <w:tcW w:w="2756" w:type="dxa"/>
            <w:tcBorders>
              <w:top w:val="single" w:sz="18" w:space="0" w:color="auto"/>
              <w:bottom w:val="single" w:sz="12" w:space="0" w:color="auto"/>
            </w:tcBorders>
            <w:shd w:val="clear" w:color="auto" w:fill="FFC000"/>
            <w:noWrap/>
            <w:vAlign w:val="center"/>
            <w:hideMark/>
          </w:tcPr>
          <w:p w14:paraId="121DC021" w14:textId="77777777" w:rsidR="004442C1" w:rsidRPr="00D03237" w:rsidRDefault="004442C1" w:rsidP="000534FC">
            <w:pPr>
              <w:jc w:val="center"/>
              <w:rPr>
                <w:rFonts w:ascii="Calibri" w:eastAsia="Times New Roman" w:hAnsi="Calibri" w:cs="Times New Roman"/>
                <w:b/>
                <w:color w:val="000000"/>
                <w:lang w:eastAsia="cs-CZ"/>
              </w:rPr>
            </w:pPr>
            <w:r w:rsidRPr="00D03237">
              <w:rPr>
                <w:rFonts w:ascii="Calibri" w:eastAsia="Times New Roman" w:hAnsi="Calibri" w:cs="Times New Roman"/>
                <w:b/>
                <w:color w:val="000000"/>
                <w:lang w:eastAsia="cs-CZ"/>
              </w:rPr>
              <w:t>Název akce</w:t>
            </w:r>
          </w:p>
        </w:tc>
        <w:tc>
          <w:tcPr>
            <w:tcW w:w="1883" w:type="dxa"/>
            <w:tcBorders>
              <w:top w:val="single" w:sz="18" w:space="0" w:color="auto"/>
              <w:bottom w:val="single" w:sz="12" w:space="0" w:color="auto"/>
            </w:tcBorders>
            <w:shd w:val="clear" w:color="auto" w:fill="FFC000"/>
            <w:noWrap/>
            <w:vAlign w:val="center"/>
            <w:hideMark/>
          </w:tcPr>
          <w:p w14:paraId="1A60683D" w14:textId="0A3440A7" w:rsidR="004442C1" w:rsidRPr="00D03237" w:rsidRDefault="004442C1" w:rsidP="000534FC">
            <w:pPr>
              <w:jc w:val="center"/>
              <w:rPr>
                <w:rFonts w:ascii="Calibri" w:eastAsia="Times New Roman" w:hAnsi="Calibri" w:cs="Times New Roman"/>
                <w:b/>
                <w:color w:val="000000"/>
                <w:lang w:eastAsia="cs-CZ"/>
              </w:rPr>
            </w:pPr>
            <w:r w:rsidRPr="00D03237">
              <w:rPr>
                <w:rFonts w:ascii="Calibri" w:eastAsia="Times New Roman" w:hAnsi="Calibri" w:cs="Times New Roman"/>
                <w:b/>
                <w:color w:val="000000"/>
                <w:lang w:eastAsia="cs-CZ"/>
              </w:rPr>
              <w:t>Termín konání v</w:t>
            </w:r>
            <w:r w:rsidR="008D5DE9">
              <w:rPr>
                <w:rFonts w:ascii="Calibri" w:eastAsia="Times New Roman" w:hAnsi="Calibri" w:cs="Times New Roman"/>
                <w:b/>
                <w:color w:val="000000"/>
                <w:lang w:eastAsia="cs-CZ"/>
              </w:rPr>
              <w:t xml:space="preserve"> kalendářním </w:t>
            </w:r>
            <w:r w:rsidRPr="00D03237">
              <w:rPr>
                <w:rFonts w:ascii="Calibri" w:eastAsia="Times New Roman" w:hAnsi="Calibri" w:cs="Times New Roman"/>
                <w:b/>
                <w:color w:val="000000"/>
                <w:lang w:eastAsia="cs-CZ"/>
              </w:rPr>
              <w:t>roce</w:t>
            </w:r>
          </w:p>
        </w:tc>
        <w:tc>
          <w:tcPr>
            <w:tcW w:w="4354" w:type="dxa"/>
            <w:tcBorders>
              <w:top w:val="single" w:sz="18" w:space="0" w:color="auto"/>
              <w:bottom w:val="single" w:sz="12" w:space="0" w:color="auto"/>
            </w:tcBorders>
            <w:shd w:val="clear" w:color="auto" w:fill="FFC000"/>
            <w:noWrap/>
            <w:vAlign w:val="center"/>
            <w:hideMark/>
          </w:tcPr>
          <w:p w14:paraId="7F8BB31D" w14:textId="77777777" w:rsidR="004442C1" w:rsidRPr="00D03237" w:rsidRDefault="004442C1" w:rsidP="000534FC">
            <w:pPr>
              <w:jc w:val="center"/>
              <w:rPr>
                <w:rFonts w:ascii="Calibri" w:eastAsia="Times New Roman" w:hAnsi="Calibri" w:cs="Times New Roman"/>
                <w:b/>
                <w:color w:val="000000"/>
                <w:lang w:eastAsia="cs-CZ"/>
              </w:rPr>
            </w:pPr>
            <w:r w:rsidRPr="00D03237">
              <w:rPr>
                <w:rFonts w:ascii="Calibri" w:eastAsia="Times New Roman" w:hAnsi="Calibri" w:cs="Times New Roman"/>
                <w:b/>
                <w:color w:val="000000"/>
                <w:lang w:eastAsia="cs-CZ"/>
              </w:rPr>
              <w:t>Pořadatel</w:t>
            </w:r>
          </w:p>
        </w:tc>
      </w:tr>
      <w:tr w:rsidR="008E3B2B" w:rsidRPr="00D03237" w14:paraId="6D19070F" w14:textId="77777777" w:rsidTr="008E3B2B">
        <w:trPr>
          <w:trHeight w:val="38"/>
          <w:jc w:val="center"/>
        </w:trPr>
        <w:tc>
          <w:tcPr>
            <w:tcW w:w="2756" w:type="dxa"/>
            <w:shd w:val="clear" w:color="auto" w:fill="auto"/>
            <w:noWrap/>
            <w:vAlign w:val="center"/>
          </w:tcPr>
          <w:p w14:paraId="5870C693" w14:textId="383620BD" w:rsidR="008E3B2B" w:rsidRDefault="008E3B2B" w:rsidP="008E3B2B">
            <w:pPr>
              <w:jc w:val="center"/>
              <w:rPr>
                <w:rFonts w:ascii="Calibri" w:hAnsi="Calibri" w:cs="Calibri"/>
                <w:color w:val="000000"/>
              </w:rPr>
            </w:pPr>
            <w:r>
              <w:rPr>
                <w:rFonts w:ascii="Calibri" w:hAnsi="Calibri" w:cs="Calibri"/>
                <w:color w:val="000000"/>
              </w:rPr>
              <w:t>Obecní ples</w:t>
            </w:r>
          </w:p>
        </w:tc>
        <w:tc>
          <w:tcPr>
            <w:tcW w:w="1883" w:type="dxa"/>
            <w:shd w:val="clear" w:color="auto" w:fill="auto"/>
            <w:noWrap/>
            <w:vAlign w:val="center"/>
          </w:tcPr>
          <w:p w14:paraId="797EE63E" w14:textId="0F92CF80" w:rsidR="008E3B2B" w:rsidRDefault="008E3B2B" w:rsidP="008E3B2B">
            <w:pPr>
              <w:jc w:val="center"/>
              <w:rPr>
                <w:rFonts w:ascii="Calibri" w:hAnsi="Calibri" w:cs="Calibri"/>
                <w:color w:val="000000"/>
              </w:rPr>
            </w:pPr>
            <w:r>
              <w:rPr>
                <w:rFonts w:ascii="Calibri" w:hAnsi="Calibri" w:cs="Calibri"/>
                <w:color w:val="000000"/>
              </w:rPr>
              <w:t>19.03.2022</w:t>
            </w:r>
          </w:p>
        </w:tc>
        <w:tc>
          <w:tcPr>
            <w:tcW w:w="4354" w:type="dxa"/>
            <w:shd w:val="clear" w:color="auto" w:fill="auto"/>
            <w:noWrap/>
            <w:vAlign w:val="center"/>
          </w:tcPr>
          <w:p w14:paraId="1453C77F" w14:textId="0E2F1701" w:rsidR="008E3B2B" w:rsidRDefault="008E3B2B" w:rsidP="008E3B2B">
            <w:pPr>
              <w:jc w:val="center"/>
              <w:rPr>
                <w:rFonts w:ascii="Calibri" w:hAnsi="Calibri" w:cs="Calibri"/>
                <w:color w:val="000000"/>
              </w:rPr>
            </w:pPr>
            <w:r>
              <w:rPr>
                <w:rFonts w:ascii="Calibri" w:hAnsi="Calibri" w:cs="Calibri"/>
                <w:color w:val="000000"/>
              </w:rPr>
              <w:t>Obec Staré Buky</w:t>
            </w:r>
          </w:p>
        </w:tc>
      </w:tr>
      <w:tr w:rsidR="008E3B2B" w:rsidRPr="00D03237" w14:paraId="52850ADB" w14:textId="77777777" w:rsidTr="008E3B2B">
        <w:trPr>
          <w:trHeight w:val="58"/>
          <w:jc w:val="center"/>
        </w:trPr>
        <w:tc>
          <w:tcPr>
            <w:tcW w:w="2756" w:type="dxa"/>
            <w:shd w:val="clear" w:color="auto" w:fill="auto"/>
            <w:noWrap/>
            <w:vAlign w:val="center"/>
          </w:tcPr>
          <w:p w14:paraId="3AC45BAF" w14:textId="3F922900" w:rsidR="008E3B2B" w:rsidRDefault="008E3B2B" w:rsidP="008E3B2B">
            <w:pPr>
              <w:jc w:val="center"/>
              <w:rPr>
                <w:rFonts w:ascii="Calibri" w:hAnsi="Calibri" w:cs="Calibri"/>
                <w:color w:val="000000"/>
              </w:rPr>
            </w:pPr>
            <w:r>
              <w:rPr>
                <w:rFonts w:ascii="Calibri" w:hAnsi="Calibri" w:cs="Calibri"/>
                <w:color w:val="000000"/>
              </w:rPr>
              <w:t>Dětský karneval</w:t>
            </w:r>
          </w:p>
        </w:tc>
        <w:tc>
          <w:tcPr>
            <w:tcW w:w="1883" w:type="dxa"/>
            <w:shd w:val="clear" w:color="auto" w:fill="auto"/>
            <w:noWrap/>
            <w:vAlign w:val="center"/>
          </w:tcPr>
          <w:p w14:paraId="19FE0EB6" w14:textId="653BC235" w:rsidR="008E3B2B" w:rsidRDefault="008E3B2B" w:rsidP="008E3B2B">
            <w:pPr>
              <w:jc w:val="center"/>
              <w:rPr>
                <w:rFonts w:ascii="Calibri" w:hAnsi="Calibri" w:cs="Calibri"/>
                <w:color w:val="000000"/>
              </w:rPr>
            </w:pPr>
            <w:r>
              <w:rPr>
                <w:rFonts w:ascii="Calibri" w:hAnsi="Calibri" w:cs="Calibri"/>
                <w:color w:val="000000"/>
              </w:rPr>
              <w:t>02.04.2022</w:t>
            </w:r>
          </w:p>
        </w:tc>
        <w:tc>
          <w:tcPr>
            <w:tcW w:w="4354" w:type="dxa"/>
            <w:shd w:val="clear" w:color="auto" w:fill="auto"/>
            <w:noWrap/>
            <w:vAlign w:val="center"/>
          </w:tcPr>
          <w:p w14:paraId="42871031" w14:textId="409669F5" w:rsidR="008E3B2B" w:rsidRDefault="008E3B2B" w:rsidP="008E3B2B">
            <w:pPr>
              <w:jc w:val="center"/>
              <w:rPr>
                <w:rFonts w:ascii="Calibri" w:hAnsi="Calibri" w:cs="Calibri"/>
                <w:color w:val="000000"/>
              </w:rPr>
            </w:pPr>
            <w:r>
              <w:rPr>
                <w:rFonts w:ascii="Calibri" w:hAnsi="Calibri" w:cs="Calibri"/>
                <w:color w:val="000000"/>
              </w:rPr>
              <w:t>Obec Staré Buky</w:t>
            </w:r>
          </w:p>
        </w:tc>
      </w:tr>
      <w:tr w:rsidR="008E3B2B" w:rsidRPr="00D03237" w14:paraId="185B1BFA" w14:textId="77777777" w:rsidTr="008E3B2B">
        <w:trPr>
          <w:trHeight w:val="58"/>
          <w:jc w:val="center"/>
        </w:trPr>
        <w:tc>
          <w:tcPr>
            <w:tcW w:w="2756" w:type="dxa"/>
            <w:shd w:val="clear" w:color="auto" w:fill="auto"/>
            <w:noWrap/>
            <w:vAlign w:val="center"/>
          </w:tcPr>
          <w:p w14:paraId="54FE5258" w14:textId="656BBBC3" w:rsidR="008E3B2B" w:rsidRDefault="008E3B2B" w:rsidP="008E3B2B">
            <w:pPr>
              <w:jc w:val="center"/>
              <w:rPr>
                <w:rFonts w:ascii="Calibri" w:hAnsi="Calibri" w:cs="Calibri"/>
                <w:color w:val="000000"/>
              </w:rPr>
            </w:pPr>
            <w:r>
              <w:rPr>
                <w:rFonts w:ascii="Calibri" w:hAnsi="Calibri" w:cs="Calibri"/>
                <w:color w:val="000000"/>
              </w:rPr>
              <w:t>Lampionový průvod a pálení čarodějnic</w:t>
            </w:r>
          </w:p>
        </w:tc>
        <w:tc>
          <w:tcPr>
            <w:tcW w:w="1883" w:type="dxa"/>
            <w:shd w:val="clear" w:color="auto" w:fill="auto"/>
            <w:noWrap/>
            <w:vAlign w:val="center"/>
          </w:tcPr>
          <w:p w14:paraId="3BA9CB31" w14:textId="710F06EC" w:rsidR="008E3B2B" w:rsidRDefault="008E3B2B" w:rsidP="008E3B2B">
            <w:pPr>
              <w:jc w:val="center"/>
              <w:rPr>
                <w:rFonts w:ascii="Calibri" w:hAnsi="Calibri" w:cs="Calibri"/>
                <w:color w:val="000000"/>
              </w:rPr>
            </w:pPr>
            <w:r>
              <w:rPr>
                <w:rFonts w:ascii="Calibri" w:hAnsi="Calibri" w:cs="Calibri"/>
                <w:color w:val="000000"/>
              </w:rPr>
              <w:t>30.04.2022</w:t>
            </w:r>
          </w:p>
        </w:tc>
        <w:tc>
          <w:tcPr>
            <w:tcW w:w="4354" w:type="dxa"/>
            <w:shd w:val="clear" w:color="auto" w:fill="auto"/>
            <w:noWrap/>
            <w:vAlign w:val="center"/>
          </w:tcPr>
          <w:p w14:paraId="7BE4ECBD" w14:textId="48464AFA" w:rsidR="008E3B2B" w:rsidRDefault="008E3B2B" w:rsidP="008E3B2B">
            <w:pPr>
              <w:jc w:val="center"/>
              <w:rPr>
                <w:rFonts w:ascii="Calibri" w:hAnsi="Calibri" w:cs="Calibri"/>
                <w:color w:val="000000"/>
              </w:rPr>
            </w:pPr>
            <w:r>
              <w:rPr>
                <w:rFonts w:ascii="Calibri" w:hAnsi="Calibri" w:cs="Calibri"/>
                <w:color w:val="000000"/>
              </w:rPr>
              <w:t xml:space="preserve">Obec Staré Buky </w:t>
            </w:r>
            <w:r>
              <w:rPr>
                <w:rFonts w:ascii="Calibri" w:hAnsi="Calibri" w:cs="Calibri"/>
                <w:color w:val="000000"/>
              </w:rPr>
              <w:br/>
              <w:t>a Tělovýchovná jednota Sokol Staré Buky, z.s.</w:t>
            </w:r>
          </w:p>
        </w:tc>
      </w:tr>
      <w:tr w:rsidR="008E3B2B" w:rsidRPr="00D03237" w14:paraId="12C3EADF" w14:textId="77777777" w:rsidTr="008E3B2B">
        <w:trPr>
          <w:trHeight w:val="58"/>
          <w:jc w:val="center"/>
        </w:trPr>
        <w:tc>
          <w:tcPr>
            <w:tcW w:w="2756" w:type="dxa"/>
            <w:shd w:val="clear" w:color="auto" w:fill="auto"/>
            <w:noWrap/>
            <w:vAlign w:val="center"/>
          </w:tcPr>
          <w:p w14:paraId="50D75FED" w14:textId="7CED48D6" w:rsidR="008E3B2B" w:rsidRDefault="008E3B2B" w:rsidP="008E3B2B">
            <w:pPr>
              <w:jc w:val="center"/>
              <w:rPr>
                <w:rFonts w:ascii="Calibri" w:hAnsi="Calibri" w:cs="Calibri"/>
                <w:color w:val="000000"/>
              </w:rPr>
            </w:pPr>
            <w:r>
              <w:rPr>
                <w:rFonts w:ascii="Calibri" w:hAnsi="Calibri" w:cs="Calibri"/>
                <w:color w:val="000000"/>
              </w:rPr>
              <w:t>Dětský den</w:t>
            </w:r>
          </w:p>
        </w:tc>
        <w:tc>
          <w:tcPr>
            <w:tcW w:w="1883" w:type="dxa"/>
            <w:shd w:val="clear" w:color="auto" w:fill="auto"/>
            <w:noWrap/>
            <w:vAlign w:val="center"/>
          </w:tcPr>
          <w:p w14:paraId="7187D911" w14:textId="36102231" w:rsidR="008E3B2B" w:rsidRDefault="008E3B2B" w:rsidP="008E3B2B">
            <w:pPr>
              <w:jc w:val="center"/>
              <w:rPr>
                <w:rFonts w:ascii="Calibri" w:hAnsi="Calibri" w:cs="Calibri"/>
                <w:color w:val="000000"/>
              </w:rPr>
            </w:pPr>
            <w:r>
              <w:rPr>
                <w:rFonts w:ascii="Calibri" w:hAnsi="Calibri" w:cs="Calibri"/>
                <w:color w:val="000000"/>
              </w:rPr>
              <w:t>20.06.2021</w:t>
            </w:r>
          </w:p>
        </w:tc>
        <w:tc>
          <w:tcPr>
            <w:tcW w:w="4354" w:type="dxa"/>
            <w:shd w:val="clear" w:color="auto" w:fill="auto"/>
            <w:noWrap/>
            <w:vAlign w:val="center"/>
          </w:tcPr>
          <w:p w14:paraId="039F5671" w14:textId="23FC93BC" w:rsidR="008E3B2B" w:rsidRDefault="008E3B2B" w:rsidP="008E3B2B">
            <w:pPr>
              <w:jc w:val="center"/>
              <w:rPr>
                <w:rFonts w:ascii="Calibri" w:hAnsi="Calibri" w:cs="Calibri"/>
                <w:color w:val="000000"/>
              </w:rPr>
            </w:pPr>
            <w:r>
              <w:rPr>
                <w:rFonts w:ascii="Calibri" w:hAnsi="Calibri" w:cs="Calibri"/>
                <w:color w:val="000000"/>
              </w:rPr>
              <w:t>Obec Staré Buky, Tělovýchovná jednota Sokol Staré Buky, z.s. a Myslivecký spolek Staré Buky</w:t>
            </w:r>
          </w:p>
        </w:tc>
      </w:tr>
      <w:tr w:rsidR="008E3B2B" w:rsidRPr="00D03237" w14:paraId="3657F5EC" w14:textId="77777777" w:rsidTr="008E3B2B">
        <w:trPr>
          <w:trHeight w:val="58"/>
          <w:jc w:val="center"/>
        </w:trPr>
        <w:tc>
          <w:tcPr>
            <w:tcW w:w="2756" w:type="dxa"/>
            <w:shd w:val="clear" w:color="auto" w:fill="auto"/>
            <w:noWrap/>
            <w:vAlign w:val="center"/>
          </w:tcPr>
          <w:p w14:paraId="7A4D0F79" w14:textId="2BBC5649" w:rsidR="008E3B2B" w:rsidRDefault="008E3B2B" w:rsidP="008E3B2B">
            <w:pPr>
              <w:jc w:val="center"/>
              <w:rPr>
                <w:rFonts w:ascii="Calibri" w:hAnsi="Calibri" w:cs="Calibri"/>
                <w:color w:val="000000"/>
              </w:rPr>
            </w:pPr>
            <w:r>
              <w:rPr>
                <w:rFonts w:ascii="Calibri" w:hAnsi="Calibri" w:cs="Calibri"/>
                <w:color w:val="000000"/>
              </w:rPr>
              <w:t>Taneční zábava</w:t>
            </w:r>
          </w:p>
        </w:tc>
        <w:tc>
          <w:tcPr>
            <w:tcW w:w="1883" w:type="dxa"/>
            <w:shd w:val="clear" w:color="auto" w:fill="auto"/>
            <w:noWrap/>
            <w:vAlign w:val="center"/>
          </w:tcPr>
          <w:p w14:paraId="795783FF" w14:textId="7346F0D4" w:rsidR="008E3B2B" w:rsidRDefault="008E3B2B" w:rsidP="008E3B2B">
            <w:pPr>
              <w:jc w:val="center"/>
              <w:rPr>
                <w:rFonts w:ascii="Calibri" w:hAnsi="Calibri" w:cs="Calibri"/>
                <w:color w:val="000000"/>
              </w:rPr>
            </w:pPr>
            <w:r>
              <w:rPr>
                <w:rFonts w:ascii="Calibri" w:hAnsi="Calibri" w:cs="Calibri"/>
                <w:color w:val="000000"/>
              </w:rPr>
              <w:t>14.08.2021</w:t>
            </w:r>
          </w:p>
        </w:tc>
        <w:tc>
          <w:tcPr>
            <w:tcW w:w="4354" w:type="dxa"/>
            <w:shd w:val="clear" w:color="auto" w:fill="auto"/>
            <w:noWrap/>
            <w:vAlign w:val="center"/>
          </w:tcPr>
          <w:p w14:paraId="2D6FD555" w14:textId="0391EBB5" w:rsidR="008E3B2B" w:rsidRDefault="008E3B2B" w:rsidP="008E3B2B">
            <w:pPr>
              <w:jc w:val="center"/>
              <w:rPr>
                <w:rFonts w:ascii="Calibri" w:hAnsi="Calibri" w:cs="Calibri"/>
                <w:color w:val="000000"/>
              </w:rPr>
            </w:pPr>
            <w:r>
              <w:rPr>
                <w:rFonts w:ascii="Calibri" w:hAnsi="Calibri" w:cs="Calibri"/>
                <w:color w:val="000000"/>
              </w:rPr>
              <w:t>Obec Staré Buky</w:t>
            </w:r>
          </w:p>
        </w:tc>
      </w:tr>
      <w:tr w:rsidR="008E3B2B" w:rsidRPr="00D03237" w14:paraId="71AE05CE" w14:textId="77777777" w:rsidTr="008E3B2B">
        <w:trPr>
          <w:trHeight w:val="58"/>
          <w:jc w:val="center"/>
        </w:trPr>
        <w:tc>
          <w:tcPr>
            <w:tcW w:w="2756" w:type="dxa"/>
            <w:shd w:val="clear" w:color="auto" w:fill="auto"/>
            <w:noWrap/>
            <w:vAlign w:val="center"/>
          </w:tcPr>
          <w:p w14:paraId="7D8FB0C9" w14:textId="100C2771" w:rsidR="008E3B2B" w:rsidRDefault="008E3B2B" w:rsidP="008E3B2B">
            <w:pPr>
              <w:jc w:val="center"/>
              <w:rPr>
                <w:rFonts w:ascii="Calibri" w:hAnsi="Calibri" w:cs="Calibri"/>
                <w:color w:val="000000"/>
              </w:rPr>
            </w:pPr>
            <w:r>
              <w:rPr>
                <w:rFonts w:ascii="Calibri" w:hAnsi="Calibri" w:cs="Calibri"/>
                <w:color w:val="000000"/>
              </w:rPr>
              <w:t>Varhanní koncert</w:t>
            </w:r>
          </w:p>
        </w:tc>
        <w:tc>
          <w:tcPr>
            <w:tcW w:w="1883" w:type="dxa"/>
            <w:shd w:val="clear" w:color="auto" w:fill="auto"/>
            <w:noWrap/>
            <w:vAlign w:val="center"/>
          </w:tcPr>
          <w:p w14:paraId="0C7E0988" w14:textId="3D51E5BB" w:rsidR="008E3B2B" w:rsidRDefault="008E3B2B" w:rsidP="008E3B2B">
            <w:pPr>
              <w:jc w:val="center"/>
              <w:rPr>
                <w:rFonts w:ascii="Calibri" w:hAnsi="Calibri" w:cs="Calibri"/>
                <w:color w:val="000000"/>
              </w:rPr>
            </w:pPr>
            <w:r>
              <w:rPr>
                <w:rFonts w:ascii="Calibri" w:hAnsi="Calibri" w:cs="Calibri"/>
                <w:color w:val="000000"/>
              </w:rPr>
              <w:t>23.10.2021</w:t>
            </w:r>
          </w:p>
        </w:tc>
        <w:tc>
          <w:tcPr>
            <w:tcW w:w="4354" w:type="dxa"/>
            <w:shd w:val="clear" w:color="auto" w:fill="auto"/>
            <w:noWrap/>
            <w:vAlign w:val="center"/>
          </w:tcPr>
          <w:p w14:paraId="5A405948" w14:textId="09E6FBF2" w:rsidR="008E3B2B" w:rsidRDefault="008E3B2B" w:rsidP="008E3B2B">
            <w:pPr>
              <w:jc w:val="center"/>
              <w:rPr>
                <w:rFonts w:ascii="Calibri" w:hAnsi="Calibri" w:cs="Calibri"/>
                <w:color w:val="000000"/>
              </w:rPr>
            </w:pPr>
            <w:r>
              <w:rPr>
                <w:rFonts w:ascii="Calibri" w:hAnsi="Calibri" w:cs="Calibri"/>
                <w:color w:val="000000"/>
              </w:rPr>
              <w:t>Obec Staré Buky</w:t>
            </w:r>
          </w:p>
        </w:tc>
      </w:tr>
      <w:tr w:rsidR="008E3B2B" w:rsidRPr="00D03237" w14:paraId="56BC630F" w14:textId="77777777" w:rsidTr="008E3B2B">
        <w:trPr>
          <w:trHeight w:val="58"/>
          <w:jc w:val="center"/>
        </w:trPr>
        <w:tc>
          <w:tcPr>
            <w:tcW w:w="2756" w:type="dxa"/>
            <w:shd w:val="clear" w:color="auto" w:fill="auto"/>
            <w:noWrap/>
            <w:vAlign w:val="center"/>
          </w:tcPr>
          <w:p w14:paraId="6782229E" w14:textId="7D5C318D" w:rsidR="008E3B2B" w:rsidRDefault="008E3B2B" w:rsidP="008E3B2B">
            <w:pPr>
              <w:jc w:val="center"/>
              <w:rPr>
                <w:rFonts w:ascii="Calibri" w:hAnsi="Calibri" w:cs="Calibri"/>
                <w:color w:val="000000"/>
              </w:rPr>
            </w:pPr>
            <w:r>
              <w:rPr>
                <w:rFonts w:ascii="Calibri" w:hAnsi="Calibri" w:cs="Calibri"/>
                <w:color w:val="000000"/>
              </w:rPr>
              <w:t>Poslední leč</w:t>
            </w:r>
          </w:p>
        </w:tc>
        <w:tc>
          <w:tcPr>
            <w:tcW w:w="1883" w:type="dxa"/>
            <w:shd w:val="clear" w:color="auto" w:fill="auto"/>
            <w:noWrap/>
            <w:vAlign w:val="center"/>
          </w:tcPr>
          <w:p w14:paraId="0676F6F8" w14:textId="54E5E8BB" w:rsidR="008E3B2B" w:rsidRDefault="008E3B2B" w:rsidP="008E3B2B">
            <w:pPr>
              <w:jc w:val="center"/>
              <w:rPr>
                <w:rFonts w:ascii="Calibri" w:hAnsi="Calibri" w:cs="Calibri"/>
                <w:color w:val="000000"/>
              </w:rPr>
            </w:pPr>
            <w:r>
              <w:rPr>
                <w:rFonts w:ascii="Calibri" w:hAnsi="Calibri" w:cs="Calibri"/>
                <w:color w:val="000000"/>
              </w:rPr>
              <w:t>06.11.2021</w:t>
            </w:r>
          </w:p>
        </w:tc>
        <w:tc>
          <w:tcPr>
            <w:tcW w:w="4354" w:type="dxa"/>
            <w:shd w:val="clear" w:color="auto" w:fill="auto"/>
            <w:noWrap/>
            <w:vAlign w:val="bottom"/>
          </w:tcPr>
          <w:p w14:paraId="1CED4D54" w14:textId="131E272D" w:rsidR="008E3B2B" w:rsidRDefault="008E3B2B" w:rsidP="008E3B2B">
            <w:pPr>
              <w:jc w:val="center"/>
              <w:rPr>
                <w:rFonts w:ascii="Calibri" w:hAnsi="Calibri" w:cs="Calibri"/>
                <w:color w:val="000000"/>
              </w:rPr>
            </w:pPr>
            <w:r>
              <w:rPr>
                <w:rFonts w:ascii="Calibri" w:hAnsi="Calibri" w:cs="Calibri"/>
                <w:color w:val="000000"/>
              </w:rPr>
              <w:t>Myslivecký spolek Staré Buky</w:t>
            </w:r>
          </w:p>
        </w:tc>
      </w:tr>
    </w:tbl>
    <w:p w14:paraId="14312499" w14:textId="038C2796" w:rsidR="00090B82" w:rsidRPr="00090B82" w:rsidRDefault="00D207CF" w:rsidP="00115A8F">
      <w:pPr>
        <w:spacing w:after="160"/>
        <w:jc w:val="both"/>
        <w:rPr>
          <w:sz w:val="20"/>
          <w:szCs w:val="20"/>
        </w:rPr>
      </w:pPr>
      <w:r w:rsidRPr="009E0984">
        <w:rPr>
          <w:b/>
          <w:sz w:val="20"/>
          <w:szCs w:val="20"/>
        </w:rPr>
        <w:t>Zdroj</w:t>
      </w:r>
      <w:r>
        <w:rPr>
          <w:b/>
          <w:sz w:val="20"/>
          <w:szCs w:val="20"/>
        </w:rPr>
        <w:t xml:space="preserve">: </w:t>
      </w:r>
      <w:r w:rsidR="00A03999">
        <w:rPr>
          <w:sz w:val="20"/>
          <w:szCs w:val="20"/>
        </w:rPr>
        <w:t>Facebookový profil</w:t>
      </w:r>
      <w:r w:rsidR="00115A8F">
        <w:rPr>
          <w:sz w:val="20"/>
          <w:szCs w:val="20"/>
        </w:rPr>
        <w:t xml:space="preserve"> obce </w:t>
      </w:r>
      <w:r w:rsidR="00A03999">
        <w:rPr>
          <w:sz w:val="20"/>
          <w:szCs w:val="20"/>
        </w:rPr>
        <w:t xml:space="preserve">Staré Buky </w:t>
      </w:r>
      <w:hyperlink r:id="rId51" w:history="1">
        <w:r w:rsidR="00A03999" w:rsidRPr="00A43CE6">
          <w:rPr>
            <w:rStyle w:val="Hypertextovodkaz"/>
            <w:sz w:val="20"/>
            <w:szCs w:val="20"/>
          </w:rPr>
          <w:t>https://www.facebook.com/groups/494089651113464</w:t>
        </w:r>
      </w:hyperlink>
      <w:r w:rsidR="00A03999">
        <w:rPr>
          <w:sz w:val="20"/>
          <w:szCs w:val="20"/>
        </w:rPr>
        <w:t xml:space="preserve"> </w:t>
      </w:r>
    </w:p>
    <w:p w14:paraId="2E817D2E" w14:textId="77777777" w:rsidR="00115A8F" w:rsidRDefault="00115A8F" w:rsidP="00115A8F">
      <w:pPr>
        <w:spacing w:after="120" w:line="259" w:lineRule="auto"/>
        <w:jc w:val="both"/>
      </w:pPr>
    </w:p>
    <w:p w14:paraId="77F3BB21" w14:textId="2BAE7198" w:rsidR="00115A8F" w:rsidRDefault="00115A8F" w:rsidP="00D207CF">
      <w:pPr>
        <w:spacing w:after="160" w:line="259" w:lineRule="auto"/>
        <w:jc w:val="both"/>
      </w:pPr>
      <w:r>
        <w:t xml:space="preserve">Uvedený výčet akcí v tabulce </w:t>
      </w:r>
      <w:r w:rsidR="00FC69EA">
        <w:t>7</w:t>
      </w:r>
      <w:r>
        <w:t xml:space="preserve"> není konečný a v obci probíhá i řada dalších akcí, např.</w:t>
      </w:r>
      <w:r w:rsidR="00FC69EA">
        <w:t xml:space="preserve"> </w:t>
      </w:r>
      <w:r>
        <w:t>sportovní soutěže</w:t>
      </w:r>
      <w:r w:rsidR="00FC69EA">
        <w:t>, mše</w:t>
      </w:r>
      <w:r>
        <w:t xml:space="preserve"> atd.</w:t>
      </w:r>
    </w:p>
    <w:p w14:paraId="5E488F43" w14:textId="228B4897" w:rsidR="004F7D24" w:rsidRDefault="004F7D24" w:rsidP="00D207CF">
      <w:pPr>
        <w:spacing w:after="160" w:line="259" w:lineRule="auto"/>
        <w:jc w:val="both"/>
      </w:pPr>
      <w:r>
        <w:br w:type="page"/>
      </w:r>
    </w:p>
    <w:p w14:paraId="7C745E1B" w14:textId="77777777" w:rsidR="008147E6" w:rsidRPr="00473D5E" w:rsidRDefault="008147E6" w:rsidP="008147E6">
      <w:pPr>
        <w:spacing w:after="160" w:line="259" w:lineRule="auto"/>
        <w:jc w:val="both"/>
        <w:rPr>
          <w:u w:val="single"/>
        </w:rPr>
      </w:pPr>
      <w:r w:rsidRPr="00473D5E">
        <w:rPr>
          <w:u w:val="single"/>
        </w:rPr>
        <w:lastRenderedPageBreak/>
        <w:t>Možnosti trávení volného času</w:t>
      </w:r>
    </w:p>
    <w:p w14:paraId="174B3550" w14:textId="3F617CBE" w:rsidR="00A6254C" w:rsidRDefault="00A6254C" w:rsidP="00AA470A">
      <w:pPr>
        <w:spacing w:after="160" w:line="259" w:lineRule="auto"/>
        <w:jc w:val="both"/>
      </w:pPr>
      <w:r>
        <w:t xml:space="preserve">Možností, jak trávit volný čas, je celá řada. </w:t>
      </w:r>
      <w:r w:rsidR="00115A8F">
        <w:t>Okolí obce disponuje zajímavým přírodním prostředím</w:t>
      </w:r>
      <w:r w:rsidRPr="00CC4E76">
        <w:t>, které může být cílem řady pěších turistů či cyklistů</w:t>
      </w:r>
      <w:r w:rsidR="00632510" w:rsidRPr="00632510">
        <w:t xml:space="preserve"> </w:t>
      </w:r>
      <w:r w:rsidR="00632510">
        <w:t>a v zimním období i běžkařů</w:t>
      </w:r>
      <w:r w:rsidRPr="00632510">
        <w:rPr>
          <w:bCs/>
        </w:rPr>
        <w:t>.</w:t>
      </w:r>
    </w:p>
    <w:p w14:paraId="3F0F47F0" w14:textId="707293FD" w:rsidR="00A81368" w:rsidRDefault="00A6254C" w:rsidP="00AA470A">
      <w:pPr>
        <w:spacing w:after="160" w:line="259" w:lineRule="auto"/>
        <w:jc w:val="both"/>
      </w:pPr>
      <w:r>
        <w:t xml:space="preserve">Na území obce lze obdivovat </w:t>
      </w:r>
      <w:bookmarkStart w:id="136" w:name="_Hlk529395085"/>
      <w:r>
        <w:rPr>
          <w:b/>
        </w:rPr>
        <w:t>některé</w:t>
      </w:r>
      <w:r w:rsidRPr="00A17FF3">
        <w:rPr>
          <w:b/>
        </w:rPr>
        <w:t xml:space="preserve"> kulturn</w:t>
      </w:r>
      <w:r w:rsidR="006E3373">
        <w:rPr>
          <w:b/>
        </w:rPr>
        <w:t xml:space="preserve">ě-historické </w:t>
      </w:r>
      <w:r w:rsidRPr="00A17FF3">
        <w:rPr>
          <w:b/>
        </w:rPr>
        <w:t>zajímavost</w:t>
      </w:r>
      <w:r>
        <w:rPr>
          <w:b/>
        </w:rPr>
        <w:t>i</w:t>
      </w:r>
      <w:bookmarkEnd w:id="136"/>
      <w:r>
        <w:t xml:space="preserve">. Jmenovat lze </w:t>
      </w:r>
      <w:r w:rsidR="00574147">
        <w:rPr>
          <w:b/>
        </w:rPr>
        <w:t>Kostel sv. Anny</w:t>
      </w:r>
      <w:r w:rsidR="00115A8F">
        <w:rPr>
          <w:b/>
          <w:bCs/>
        </w:rPr>
        <w:t xml:space="preserve"> </w:t>
      </w:r>
      <w:r w:rsidR="00115A8F" w:rsidRPr="00115A8F">
        <w:t>nacházející se</w:t>
      </w:r>
      <w:r w:rsidR="00115A8F">
        <w:rPr>
          <w:b/>
          <w:bCs/>
        </w:rPr>
        <w:t xml:space="preserve"> </w:t>
      </w:r>
      <w:r w:rsidR="00574147">
        <w:t>severozápadně od budovy obecného úřadu</w:t>
      </w:r>
      <w:r w:rsidR="00115A8F">
        <w:t xml:space="preserve">, dále </w:t>
      </w:r>
      <w:r w:rsidR="00115A8F" w:rsidRPr="00BE35A1">
        <w:rPr>
          <w:b/>
          <w:bCs/>
        </w:rPr>
        <w:t xml:space="preserve">Pomník </w:t>
      </w:r>
      <w:r w:rsidR="00574147">
        <w:rPr>
          <w:b/>
          <w:bCs/>
        </w:rPr>
        <w:t xml:space="preserve">obětem </w:t>
      </w:r>
      <w:r w:rsidR="00E64872">
        <w:rPr>
          <w:b/>
          <w:bCs/>
        </w:rPr>
        <w:t>2</w:t>
      </w:r>
      <w:r w:rsidR="00574147">
        <w:rPr>
          <w:b/>
          <w:bCs/>
        </w:rPr>
        <w:t>. světové války</w:t>
      </w:r>
      <w:r w:rsidR="00BE35A1">
        <w:rPr>
          <w:b/>
        </w:rPr>
        <w:t xml:space="preserve"> </w:t>
      </w:r>
      <w:r w:rsidR="003D2736">
        <w:rPr>
          <w:bCs/>
        </w:rPr>
        <w:t xml:space="preserve">(obrázek 6) </w:t>
      </w:r>
      <w:r w:rsidR="00BE35A1">
        <w:rPr>
          <w:bCs/>
        </w:rPr>
        <w:t xml:space="preserve">nacházející se </w:t>
      </w:r>
      <w:r w:rsidR="00574147">
        <w:rPr>
          <w:bCs/>
        </w:rPr>
        <w:t>poblíž</w:t>
      </w:r>
      <w:r w:rsidR="00FD50E9">
        <w:rPr>
          <w:bCs/>
        </w:rPr>
        <w:t xml:space="preserve"> </w:t>
      </w:r>
      <w:r w:rsidR="00574147">
        <w:rPr>
          <w:bCs/>
        </w:rPr>
        <w:t>budovy obecného úřadu</w:t>
      </w:r>
      <w:r w:rsidR="00FD50E9">
        <w:rPr>
          <w:bCs/>
        </w:rPr>
        <w:t xml:space="preserve">. </w:t>
      </w:r>
      <w:r>
        <w:t xml:space="preserve">Blíže je o kulturní vybavenosti obce pojednáno v kap. 2.1.5.5 Kultura. </w:t>
      </w:r>
    </w:p>
    <w:p w14:paraId="5356619B" w14:textId="33EB62D5" w:rsidR="00276328" w:rsidRDefault="00276328" w:rsidP="00AA470A">
      <w:pPr>
        <w:spacing w:after="160" w:line="259" w:lineRule="auto"/>
        <w:jc w:val="both"/>
      </w:pPr>
    </w:p>
    <w:p w14:paraId="62D91F8A" w14:textId="3C81F9AD" w:rsidR="003D2736" w:rsidRDefault="003D2736" w:rsidP="003D2736">
      <w:pPr>
        <w:pStyle w:val="OBRZEK0"/>
      </w:pPr>
      <w:bookmarkStart w:id="137" w:name="_Toc104473127"/>
      <w:bookmarkStart w:id="138" w:name="_Toc120652025"/>
      <w:r>
        <w:t xml:space="preserve">Obrázek </w:t>
      </w:r>
      <w:r w:rsidR="00E7281E">
        <w:t>6</w:t>
      </w:r>
      <w:r>
        <w:t xml:space="preserve">: </w:t>
      </w:r>
      <w:r w:rsidRPr="003D2736">
        <w:t xml:space="preserve">Pomník obětem </w:t>
      </w:r>
      <w:r w:rsidR="00E64872">
        <w:t>2</w:t>
      </w:r>
      <w:r w:rsidRPr="003D2736">
        <w:t xml:space="preserve">. světové války </w:t>
      </w:r>
      <w:r>
        <w:t>– stav ke květnu 2022</w:t>
      </w:r>
      <w:bookmarkEnd w:id="137"/>
      <w:bookmarkEnd w:id="138"/>
    </w:p>
    <w:p w14:paraId="3E9BD28A" w14:textId="762766C9" w:rsidR="003D2736" w:rsidRDefault="00BB6BCF" w:rsidP="00BB6BCF">
      <w:pPr>
        <w:spacing w:line="259" w:lineRule="auto"/>
        <w:jc w:val="center"/>
        <w:rPr>
          <w:rFonts w:eastAsia="RWXLTG+TimesNewRoman" w:cs="RWXLTG+TimesNewRoman"/>
          <w:bCs/>
        </w:rPr>
      </w:pPr>
      <w:r>
        <w:rPr>
          <w:rFonts w:eastAsia="RWXLTG+TimesNewRoman" w:cs="RWXLTG+TimesNewRoman"/>
          <w:bCs/>
          <w:noProof/>
        </w:rPr>
        <w:drawing>
          <wp:inline distT="0" distB="0" distL="0" distR="0" wp14:anchorId="609F12B2" wp14:editId="7E2233ED">
            <wp:extent cx="3032916" cy="42291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40548" cy="4239743"/>
                    </a:xfrm>
                    <a:prstGeom prst="rect">
                      <a:avLst/>
                    </a:prstGeom>
                  </pic:spPr>
                </pic:pic>
              </a:graphicData>
            </a:graphic>
          </wp:inline>
        </w:drawing>
      </w:r>
    </w:p>
    <w:p w14:paraId="3C324D1D" w14:textId="7AE8D710" w:rsidR="00276328" w:rsidRPr="00276328" w:rsidRDefault="003D2736" w:rsidP="003D2736">
      <w:pPr>
        <w:spacing w:after="160" w:line="259" w:lineRule="auto"/>
        <w:jc w:val="both"/>
        <w:rPr>
          <w:sz w:val="20"/>
          <w:szCs w:val="20"/>
        </w:rPr>
      </w:pPr>
      <w:r w:rsidRPr="004D2394">
        <w:rPr>
          <w:rFonts w:eastAsia="RWXLTG+TimesNewRoman" w:cs="RWXLTG+TimesNewRoman"/>
          <w:b/>
          <w:sz w:val="20"/>
          <w:szCs w:val="20"/>
        </w:rPr>
        <w:t>Zdroj:</w:t>
      </w:r>
      <w:r w:rsidRPr="004D2394">
        <w:rPr>
          <w:rFonts w:eastAsia="RWXLTG+TimesNewRoman" w:cs="RWXLTG+TimesNewRoman"/>
          <w:bCs/>
          <w:sz w:val="20"/>
          <w:szCs w:val="20"/>
        </w:rPr>
        <w:t xml:space="preserve"> vlastní průzkum</w:t>
      </w:r>
    </w:p>
    <w:p w14:paraId="49E7AB1B" w14:textId="77777777" w:rsidR="00276328" w:rsidRDefault="00276328" w:rsidP="00AA470A">
      <w:pPr>
        <w:spacing w:after="160" w:line="259" w:lineRule="auto"/>
        <w:jc w:val="both"/>
      </w:pPr>
    </w:p>
    <w:p w14:paraId="3B48E926" w14:textId="4CA05CA7" w:rsidR="00A6254C" w:rsidRDefault="00A6254C" w:rsidP="00AA470A">
      <w:pPr>
        <w:spacing w:after="160" w:line="259" w:lineRule="auto"/>
        <w:jc w:val="both"/>
      </w:pPr>
      <w:r>
        <w:t xml:space="preserve">Volný čas lze trávit i </w:t>
      </w:r>
      <w:r w:rsidRPr="00A17FF3">
        <w:rPr>
          <w:b/>
        </w:rPr>
        <w:t>navštěvováním akcí a událostí s různorodou tématikou</w:t>
      </w:r>
      <w:r>
        <w:t xml:space="preserve"> (viz tato kapitola a „Akce a události pořádané v obci“). </w:t>
      </w:r>
    </w:p>
    <w:p w14:paraId="77251B49" w14:textId="21B19A39" w:rsidR="00957FA3" w:rsidRDefault="00A6254C" w:rsidP="00AA470A">
      <w:pPr>
        <w:spacing w:after="160" w:line="259" w:lineRule="auto"/>
        <w:jc w:val="both"/>
      </w:pPr>
      <w:r>
        <w:t xml:space="preserve">Další možností, jak trávit volný čas, je </w:t>
      </w:r>
      <w:r w:rsidRPr="00A17FF3">
        <w:rPr>
          <w:b/>
        </w:rPr>
        <w:t>sport</w:t>
      </w:r>
      <w:r>
        <w:t>. Obyvatel</w:t>
      </w:r>
      <w:r w:rsidR="00B37912">
        <w:t>ům je k dispozici</w:t>
      </w:r>
      <w:r>
        <w:t xml:space="preserve"> </w:t>
      </w:r>
      <w:r w:rsidR="00BD135B">
        <w:t xml:space="preserve">obecní </w:t>
      </w:r>
      <w:r w:rsidR="008F45A4">
        <w:rPr>
          <w:b/>
        </w:rPr>
        <w:t>hřiště</w:t>
      </w:r>
      <w:r w:rsidR="00FD50E9">
        <w:rPr>
          <w:b/>
        </w:rPr>
        <w:t xml:space="preserve"> s</w:t>
      </w:r>
      <w:r w:rsidR="00BD135B">
        <w:rPr>
          <w:b/>
        </w:rPr>
        <w:t>e štěrkovým povrchem</w:t>
      </w:r>
      <w:r w:rsidR="00BD135B">
        <w:rPr>
          <w:bCs/>
        </w:rPr>
        <w:t xml:space="preserve"> a na řadě místech zarostlé trávou. Hřiště se nachází v Prostředních Starých Bukách</w:t>
      </w:r>
      <w:r w:rsidR="008F45A4">
        <w:t xml:space="preserve"> </w:t>
      </w:r>
      <w:r w:rsidR="004C6A3E">
        <w:t>jihozápadně</w:t>
      </w:r>
      <w:r w:rsidR="008F45A4">
        <w:t xml:space="preserve"> od </w:t>
      </w:r>
      <w:r w:rsidR="00BD135B">
        <w:t>budovy s č. p. 95</w:t>
      </w:r>
      <w:r w:rsidRPr="004C6A3E">
        <w:t>.</w:t>
      </w:r>
      <w:r>
        <w:t xml:space="preserve"> Blíže je o sportovní vybavenosti obce pojednáno v kapitole 2.1.5.6 Sport a tělovýchova</w:t>
      </w:r>
      <w:r w:rsidR="0063037B">
        <w:t>.</w:t>
      </w:r>
    </w:p>
    <w:p w14:paraId="6594C078" w14:textId="7E6010F7" w:rsidR="00A6254C" w:rsidRDefault="00A6254C" w:rsidP="00AA470A">
      <w:pPr>
        <w:spacing w:after="160" w:line="259" w:lineRule="auto"/>
        <w:jc w:val="both"/>
        <w:rPr>
          <w:b/>
        </w:rPr>
      </w:pPr>
      <w:r>
        <w:t>Volný čas lze trávit i v</w:t>
      </w:r>
      <w:r w:rsidR="001D1A2B">
        <w:t> </w:t>
      </w:r>
      <w:r>
        <w:rPr>
          <w:b/>
        </w:rPr>
        <w:t>místn</w:t>
      </w:r>
      <w:r w:rsidR="003B7122">
        <w:rPr>
          <w:b/>
        </w:rPr>
        <w:t>í</w:t>
      </w:r>
      <w:r w:rsidR="00387D8C">
        <w:rPr>
          <w:b/>
        </w:rPr>
        <w:t>ch</w:t>
      </w:r>
      <w:r w:rsidR="001D1A2B">
        <w:rPr>
          <w:b/>
        </w:rPr>
        <w:t xml:space="preserve"> restaurac</w:t>
      </w:r>
      <w:r w:rsidR="00387D8C">
        <w:rPr>
          <w:b/>
        </w:rPr>
        <w:t>ích</w:t>
      </w:r>
      <w:r w:rsidR="004C6A3E">
        <w:t>, kde si</w:t>
      </w:r>
      <w:r>
        <w:t xml:space="preserve"> </w:t>
      </w:r>
      <w:r w:rsidR="004C6A3E">
        <w:t>l</w:t>
      </w:r>
      <w:r>
        <w:t xml:space="preserve">idé mohou popovídat, sdělit své zážitky apod. Náplní volného času může být i </w:t>
      </w:r>
      <w:r>
        <w:rPr>
          <w:b/>
        </w:rPr>
        <w:t>pobyt s dětmi na dětsk</w:t>
      </w:r>
      <w:r w:rsidR="004C6A3E">
        <w:rPr>
          <w:b/>
        </w:rPr>
        <w:t>ém</w:t>
      </w:r>
      <w:r>
        <w:rPr>
          <w:b/>
        </w:rPr>
        <w:t xml:space="preserve"> hřišt</w:t>
      </w:r>
      <w:r w:rsidR="004C6A3E">
        <w:rPr>
          <w:b/>
        </w:rPr>
        <w:t>i</w:t>
      </w:r>
      <w:r>
        <w:rPr>
          <w:b/>
        </w:rPr>
        <w:t>.</w:t>
      </w:r>
    </w:p>
    <w:p w14:paraId="1172D5C4" w14:textId="2A2E56B8" w:rsidR="008147E6" w:rsidRDefault="00A6254C" w:rsidP="00A6254C">
      <w:pPr>
        <w:spacing w:after="160" w:line="259" w:lineRule="auto"/>
        <w:jc w:val="both"/>
      </w:pPr>
      <w:r>
        <w:lastRenderedPageBreak/>
        <w:t xml:space="preserve">V zimním období je možné v případě dobrých sněhových podmínek vyrazit na </w:t>
      </w:r>
      <w:r>
        <w:rPr>
          <w:b/>
        </w:rPr>
        <w:t>běžk</w:t>
      </w:r>
      <w:r w:rsidRPr="00A17FF3">
        <w:rPr>
          <w:b/>
        </w:rPr>
        <w:t>y</w:t>
      </w:r>
      <w:r w:rsidRPr="00BC6FD2">
        <w:t>.</w:t>
      </w:r>
      <w:r>
        <w:t xml:space="preserve"> Volný čas lze trávit i </w:t>
      </w:r>
      <w:r w:rsidRPr="00A17FF3">
        <w:rPr>
          <w:b/>
        </w:rPr>
        <w:t>procházkou</w:t>
      </w:r>
      <w:r>
        <w:rPr>
          <w:b/>
        </w:rPr>
        <w:t xml:space="preserve"> po obci </w:t>
      </w:r>
      <w:r>
        <w:t>apod.</w:t>
      </w:r>
    </w:p>
    <w:p w14:paraId="53A61375" w14:textId="130CCD91" w:rsidR="007A2FD2" w:rsidRDefault="007A2FD2" w:rsidP="00C051C3">
      <w:pPr>
        <w:spacing w:line="259" w:lineRule="auto"/>
        <w:jc w:val="both"/>
      </w:pPr>
    </w:p>
    <w:p w14:paraId="1F5D16AD" w14:textId="77777777" w:rsidR="008147E6" w:rsidRPr="00955E7A" w:rsidRDefault="008147E6" w:rsidP="008147E6">
      <w:pPr>
        <w:spacing w:after="160" w:line="259" w:lineRule="auto"/>
        <w:jc w:val="both"/>
        <w:rPr>
          <w:u w:val="single"/>
        </w:rPr>
      </w:pPr>
      <w:r w:rsidRPr="00955E7A">
        <w:rPr>
          <w:u w:val="single"/>
        </w:rPr>
        <w:t>Informovanost občanů a její kvalita</w:t>
      </w:r>
    </w:p>
    <w:p w14:paraId="513BACB5" w14:textId="77777777" w:rsidR="002C4BE8" w:rsidRDefault="002C4BE8" w:rsidP="002C4BE8">
      <w:pPr>
        <w:spacing w:after="160" w:line="259" w:lineRule="auto"/>
        <w:jc w:val="both"/>
      </w:pPr>
      <w:r>
        <w:t>Aktuální informace jsou v dnešní době velmi významné. Bez informací se obejde jen málokdo. Poskytovat informace z Obecního úřadu občanům lze několika způsoby.</w:t>
      </w:r>
    </w:p>
    <w:p w14:paraId="795D8EFE" w14:textId="7C2769D4" w:rsidR="002C4BE8" w:rsidRDefault="002C4BE8" w:rsidP="002C4BE8">
      <w:pPr>
        <w:spacing w:after="160" w:line="259" w:lineRule="auto"/>
        <w:jc w:val="both"/>
      </w:pPr>
      <w:r>
        <w:t xml:space="preserve">První možností je místní rozhlas. </w:t>
      </w:r>
      <w:r w:rsidRPr="002C3735">
        <w:rPr>
          <w:b/>
        </w:rPr>
        <w:t xml:space="preserve">Informování prostřednictvím </w:t>
      </w:r>
      <w:r w:rsidRPr="00601F9C">
        <w:rPr>
          <w:b/>
        </w:rPr>
        <w:t xml:space="preserve">rozhlasu </w:t>
      </w:r>
      <w:r w:rsidR="00600139">
        <w:rPr>
          <w:b/>
        </w:rPr>
        <w:t>není</w:t>
      </w:r>
      <w:r w:rsidRPr="00601F9C">
        <w:rPr>
          <w:b/>
        </w:rPr>
        <w:t xml:space="preserve"> v</w:t>
      </w:r>
      <w:r w:rsidR="00CB3EE1">
        <w:rPr>
          <w:b/>
        </w:rPr>
        <w:t> </w:t>
      </w:r>
      <w:r>
        <w:rPr>
          <w:b/>
        </w:rPr>
        <w:t>obci</w:t>
      </w:r>
      <w:r w:rsidR="00CB3EE1">
        <w:rPr>
          <w:b/>
        </w:rPr>
        <w:t xml:space="preserve"> </w:t>
      </w:r>
      <w:r>
        <w:rPr>
          <w:b/>
        </w:rPr>
        <w:t xml:space="preserve">k </w:t>
      </w:r>
      <w:r w:rsidRPr="002C3735">
        <w:rPr>
          <w:b/>
        </w:rPr>
        <w:t>dispozici</w:t>
      </w:r>
      <w:r>
        <w:t>.</w:t>
      </w:r>
    </w:p>
    <w:p w14:paraId="15438E0D" w14:textId="42A37289" w:rsidR="002C4BE8" w:rsidRDefault="002C4BE8" w:rsidP="002C4BE8">
      <w:pPr>
        <w:spacing w:after="160" w:line="259" w:lineRule="auto"/>
        <w:jc w:val="both"/>
      </w:pPr>
      <w:r>
        <w:t xml:space="preserve">Druhou možností jsou </w:t>
      </w:r>
      <w:r w:rsidRPr="002C3735">
        <w:rPr>
          <w:b/>
        </w:rPr>
        <w:t>výlepové plochy</w:t>
      </w:r>
      <w:r>
        <w:t xml:space="preserve">. </w:t>
      </w:r>
      <w:r w:rsidR="008F53B5" w:rsidRPr="0070032A">
        <w:t>T</w:t>
      </w:r>
      <w:r w:rsidR="008F53B5">
        <w:t>y</w:t>
      </w:r>
      <w:r w:rsidR="008F53B5" w:rsidRPr="0070032A">
        <w:t xml:space="preserve"> se </w:t>
      </w:r>
      <w:r w:rsidR="008F53B5" w:rsidRPr="0070032A">
        <w:rPr>
          <w:b/>
        </w:rPr>
        <w:t>na území obce</w:t>
      </w:r>
      <w:r w:rsidR="008F53B5" w:rsidRPr="0070032A">
        <w:t xml:space="preserve"> nachází</w:t>
      </w:r>
      <w:r w:rsidR="008F53B5" w:rsidRPr="0070032A">
        <w:rPr>
          <w:b/>
        </w:rPr>
        <w:t xml:space="preserve"> </w:t>
      </w:r>
      <w:r w:rsidR="008F53B5" w:rsidRPr="00AB52B8">
        <w:t>na</w:t>
      </w:r>
      <w:r w:rsidR="008F53B5">
        <w:rPr>
          <w:b/>
        </w:rPr>
        <w:t xml:space="preserve"> </w:t>
      </w:r>
      <w:r w:rsidR="00C36F2A">
        <w:rPr>
          <w:b/>
        </w:rPr>
        <w:t>několika</w:t>
      </w:r>
      <w:r w:rsidR="008F53B5">
        <w:rPr>
          <w:b/>
        </w:rPr>
        <w:t xml:space="preserve"> místech</w:t>
      </w:r>
      <w:r w:rsidR="008F53B5">
        <w:t xml:space="preserve">, </w:t>
      </w:r>
      <w:r w:rsidR="00672810">
        <w:t xml:space="preserve">např. </w:t>
      </w:r>
      <w:r w:rsidR="00A67315">
        <w:br/>
      </w:r>
      <w:r w:rsidR="00F661E3">
        <w:t>v ZSJ Dolníky jižně od budovy Horní Staré Buky s č. p. 155</w:t>
      </w:r>
      <w:r w:rsidR="00D60670">
        <w:t>,</w:t>
      </w:r>
      <w:r w:rsidR="00F661E3">
        <w:t xml:space="preserve"> dále</w:t>
      </w:r>
      <w:r w:rsidR="00D60670">
        <w:t xml:space="preserve"> </w:t>
      </w:r>
      <w:r w:rsidR="00F661E3">
        <w:t>na</w:t>
      </w:r>
      <w:r w:rsidR="00D60670">
        <w:t xml:space="preserve"> budov</w:t>
      </w:r>
      <w:r w:rsidR="00F661E3">
        <w:t>ě autobusové zastávky</w:t>
      </w:r>
      <w:r w:rsidR="00D60670">
        <w:t xml:space="preserve"> „</w:t>
      </w:r>
      <w:r w:rsidR="00F661E3" w:rsidRPr="00F661E3">
        <w:t>Staré Buky, Dolní Staré Buky, rybník</w:t>
      </w:r>
      <w:r w:rsidR="00D60670">
        <w:t>“</w:t>
      </w:r>
      <w:r w:rsidR="00F661E3">
        <w:t>, u budovy obecního úřadu</w:t>
      </w:r>
      <w:r w:rsidR="00D60670">
        <w:t xml:space="preserve"> atd.</w:t>
      </w:r>
    </w:p>
    <w:p w14:paraId="5BAD523A" w14:textId="3E860B64" w:rsidR="002C4BE8" w:rsidRDefault="002C4BE8" w:rsidP="002C4BE8">
      <w:pPr>
        <w:spacing w:after="160" w:line="259" w:lineRule="auto"/>
        <w:jc w:val="both"/>
      </w:pPr>
      <w:r>
        <w:t xml:space="preserve">Další možností je </w:t>
      </w:r>
      <w:r>
        <w:rPr>
          <w:b/>
        </w:rPr>
        <w:t>obecní</w:t>
      </w:r>
      <w:r w:rsidRPr="002C3735">
        <w:rPr>
          <w:b/>
        </w:rPr>
        <w:t xml:space="preserve"> zpravodaj</w:t>
      </w:r>
      <w:r>
        <w:t xml:space="preserve">. </w:t>
      </w:r>
      <w:bookmarkStart w:id="139" w:name="_Hlk529391179"/>
      <w:r w:rsidR="00D260F7">
        <w:t>V obci</w:t>
      </w:r>
      <w:r w:rsidR="00B97200">
        <w:t xml:space="preserve"> fung</w:t>
      </w:r>
      <w:r w:rsidR="00D260F7">
        <w:t>uje občasník,</w:t>
      </w:r>
      <w:r w:rsidR="00B97200">
        <w:t xml:space="preserve"> obecní zpravodaj Bukoviny.</w:t>
      </w:r>
      <w:r w:rsidR="00D260F7">
        <w:t xml:space="preserve"> V roce 2021 byla vydána dvě čísla (v srpnu a v prosinci), v roce 2022 vyšlo prozatím jedno číslo</w:t>
      </w:r>
      <w:r w:rsidR="00B97200">
        <w:t xml:space="preserve"> </w:t>
      </w:r>
      <w:r w:rsidR="00D260F7" w:rsidRPr="00D260F7">
        <w:t>v </w:t>
      </w:r>
      <w:r w:rsidR="00B97200" w:rsidRPr="00D260F7">
        <w:t>květnu</w:t>
      </w:r>
      <w:bookmarkEnd w:id="139"/>
      <w:r w:rsidR="00D260F7" w:rsidRPr="00D260F7">
        <w:t>.</w:t>
      </w:r>
    </w:p>
    <w:p w14:paraId="23385C2E" w14:textId="2EAB198E" w:rsidR="002C4BE8" w:rsidRDefault="002C4BE8" w:rsidP="002C4BE8">
      <w:pPr>
        <w:spacing w:after="160" w:line="259" w:lineRule="auto"/>
        <w:jc w:val="both"/>
      </w:pPr>
      <w:r w:rsidRPr="002C3735">
        <w:rPr>
          <w:b/>
        </w:rPr>
        <w:t>Internet</w:t>
      </w:r>
      <w:r>
        <w:t xml:space="preserve"> představuje další variantu, jak </w:t>
      </w:r>
      <w:r w:rsidRPr="00321ADC">
        <w:t xml:space="preserve">informovat. </w:t>
      </w:r>
      <w:r w:rsidRPr="00321ADC">
        <w:rPr>
          <w:b/>
        </w:rPr>
        <w:t xml:space="preserve">Obec </w:t>
      </w:r>
      <w:r w:rsidR="00ED17CD">
        <w:rPr>
          <w:b/>
        </w:rPr>
        <w:t>Staré Buky</w:t>
      </w:r>
      <w:r w:rsidRPr="00321ADC">
        <w:rPr>
          <w:b/>
        </w:rPr>
        <w:t xml:space="preserve"> má své internetové stránky</w:t>
      </w:r>
      <w:r w:rsidRPr="00321ADC">
        <w:t xml:space="preserve">, </w:t>
      </w:r>
      <w:r w:rsidR="00A4504F">
        <w:br/>
      </w:r>
      <w:r w:rsidRPr="00321ADC">
        <w:t>na kterých mohou občané a další su</w:t>
      </w:r>
      <w:r>
        <w:t>bjekty zjistit různorodé informace týkající se obce</w:t>
      </w:r>
      <w:r>
        <w:rPr>
          <w:rStyle w:val="Znakapoznpodarou"/>
        </w:rPr>
        <w:footnoteReference w:id="23"/>
      </w:r>
      <w:r>
        <w:t>.</w:t>
      </w:r>
    </w:p>
    <w:p w14:paraId="443513C6" w14:textId="7EF6765B" w:rsidR="002C4BE8" w:rsidRDefault="002C4BE8" w:rsidP="002C4BE8">
      <w:pPr>
        <w:spacing w:after="160" w:line="259" w:lineRule="auto"/>
        <w:jc w:val="both"/>
      </w:pPr>
      <w:r>
        <w:t xml:space="preserve">Další možností, jak získat informace, je prostřednictvím </w:t>
      </w:r>
      <w:r>
        <w:rPr>
          <w:b/>
        </w:rPr>
        <w:t xml:space="preserve">sociálních sítí. </w:t>
      </w:r>
      <w:r w:rsidRPr="006D373F">
        <w:rPr>
          <w:b/>
        </w:rPr>
        <w:t>Obec má založen</w:t>
      </w:r>
      <w:r w:rsidR="007207A8">
        <w:rPr>
          <w:b/>
        </w:rPr>
        <w:t>u</w:t>
      </w:r>
      <w:r w:rsidRPr="006D373F">
        <w:rPr>
          <w:b/>
        </w:rPr>
        <w:t xml:space="preserve"> </w:t>
      </w:r>
      <w:r>
        <w:rPr>
          <w:b/>
        </w:rPr>
        <w:br/>
      </w:r>
      <w:r w:rsidR="007207A8">
        <w:rPr>
          <w:b/>
        </w:rPr>
        <w:t>skupinu</w:t>
      </w:r>
      <w:r w:rsidR="00ED17CD">
        <w:rPr>
          <w:b/>
        </w:rPr>
        <w:t xml:space="preserve"> </w:t>
      </w:r>
      <w:r w:rsidRPr="006D373F">
        <w:rPr>
          <w:b/>
        </w:rPr>
        <w:t>na sociální sít</w:t>
      </w:r>
      <w:r w:rsidR="00ED17CD">
        <w:rPr>
          <w:b/>
        </w:rPr>
        <w:t>i Facebook</w:t>
      </w:r>
      <w:r w:rsidR="007207A8">
        <w:rPr>
          <w:bCs/>
        </w:rPr>
        <w:t xml:space="preserve"> s názvem „Staré Buky“</w:t>
      </w:r>
      <w:r>
        <w:t>, prostřednictvím kter</w:t>
      </w:r>
      <w:r w:rsidR="00ED17CD">
        <w:t>é</w:t>
      </w:r>
      <w:r>
        <w:t xml:space="preserve"> </w:t>
      </w:r>
      <w:r w:rsidR="00ED17CD">
        <w:t>jsou také</w:t>
      </w:r>
      <w:r>
        <w:t xml:space="preserve"> podávány informace týkající se dění v obci.</w:t>
      </w:r>
    </w:p>
    <w:p w14:paraId="2B787BF6" w14:textId="7E3839F7" w:rsidR="00160B4D" w:rsidRDefault="00403528" w:rsidP="002C4BE8">
      <w:pPr>
        <w:spacing w:after="160" w:line="259" w:lineRule="auto"/>
        <w:jc w:val="both"/>
      </w:pPr>
      <w:r w:rsidRPr="00E27676">
        <w:t xml:space="preserve">Informovat lze i prostřednictvím </w:t>
      </w:r>
      <w:r w:rsidRPr="00E27676">
        <w:rPr>
          <w:b/>
        </w:rPr>
        <w:t>emailu</w:t>
      </w:r>
      <w:r>
        <w:rPr>
          <w:b/>
        </w:rPr>
        <w:t xml:space="preserve"> či krátkých textových zpráv, tzv. SMS</w:t>
      </w:r>
      <w:r w:rsidRPr="00E27676">
        <w:t xml:space="preserve">. </w:t>
      </w:r>
      <w:bookmarkStart w:id="140" w:name="_Hlk529391486"/>
      <w:r w:rsidRPr="002C3735">
        <w:rPr>
          <w:b/>
        </w:rPr>
        <w:t>Občané či subjekty mají</w:t>
      </w:r>
      <w:r>
        <w:t xml:space="preserve"> v současné době </w:t>
      </w:r>
      <w:r w:rsidRPr="002C3735">
        <w:rPr>
          <w:b/>
        </w:rPr>
        <w:t>možnost</w:t>
      </w:r>
      <w:r>
        <w:t xml:space="preserve"> </w:t>
      </w:r>
      <w:r w:rsidRPr="002C3735">
        <w:rPr>
          <w:b/>
        </w:rPr>
        <w:t xml:space="preserve">přihlásit </w:t>
      </w:r>
      <w:r w:rsidRPr="00247174">
        <w:rPr>
          <w:b/>
          <w:bCs/>
        </w:rPr>
        <w:t>se</w:t>
      </w:r>
      <w:r>
        <w:t xml:space="preserve"> </w:t>
      </w:r>
      <w:r w:rsidRPr="002C3735">
        <w:rPr>
          <w:b/>
        </w:rPr>
        <w:t xml:space="preserve">k odběru </w:t>
      </w:r>
      <w:r w:rsidR="009260B8">
        <w:rPr>
          <w:b/>
        </w:rPr>
        <w:t xml:space="preserve">informací, </w:t>
      </w:r>
      <w:r w:rsidRPr="002C3735">
        <w:rPr>
          <w:b/>
        </w:rPr>
        <w:t>novinek a aktualit</w:t>
      </w:r>
      <w:r>
        <w:t xml:space="preserve"> na internetových stránkách obce, které by jim pak chodily jako SMS do mobilu.</w:t>
      </w:r>
      <w:bookmarkEnd w:id="140"/>
    </w:p>
    <w:p w14:paraId="780CFAB6" w14:textId="14165242" w:rsidR="008147E6" w:rsidRDefault="00403528" w:rsidP="007A2FD2">
      <w:pPr>
        <w:spacing w:after="160" w:line="259" w:lineRule="auto"/>
        <w:jc w:val="both"/>
        <w:rPr>
          <w:rFonts w:eastAsia="RWXLTG+TimesNewRoman" w:cs="RWXLTG+TimesNewRoman"/>
        </w:rPr>
      </w:pPr>
      <w:r w:rsidRPr="00884DCA">
        <w:rPr>
          <w:rFonts w:eastAsia="RWXLTG+TimesNewRoman" w:cs="RWXLTG+TimesNewRoman"/>
        </w:rPr>
        <w:t xml:space="preserve">Informovat lze i prostřednictvím </w:t>
      </w:r>
      <w:r w:rsidRPr="00884DCA">
        <w:rPr>
          <w:rFonts w:eastAsia="RWXLTG+TimesNewRoman" w:cs="RWXLTG+TimesNewRoman"/>
          <w:b/>
        </w:rPr>
        <w:t>kabelové televize</w:t>
      </w:r>
      <w:r w:rsidRPr="00884DCA">
        <w:rPr>
          <w:rFonts w:eastAsia="RWXLTG+TimesNewRoman" w:cs="RWXLTG+TimesNewRoman"/>
        </w:rPr>
        <w:t xml:space="preserve">. Ta </w:t>
      </w:r>
      <w:r>
        <w:rPr>
          <w:rFonts w:eastAsia="RWXLTG+TimesNewRoman" w:cs="RWXLTG+TimesNewRoman"/>
        </w:rPr>
        <w:t>v obci není vybudována</w:t>
      </w:r>
      <w:r w:rsidRPr="00247174">
        <w:rPr>
          <w:rFonts w:eastAsia="RWXLTG+TimesNewRoman" w:cs="RWXLTG+TimesNewRoman"/>
        </w:rPr>
        <w:t>.</w:t>
      </w:r>
    </w:p>
    <w:p w14:paraId="1795DDB1" w14:textId="77777777" w:rsidR="007A2FD2" w:rsidRDefault="007A2FD2" w:rsidP="00D83851">
      <w:pPr>
        <w:spacing w:after="160" w:line="259" w:lineRule="auto"/>
        <w:jc w:val="both"/>
      </w:pPr>
    </w:p>
    <w:p w14:paraId="4D3A720E" w14:textId="77777777" w:rsidR="008147E6" w:rsidRPr="00ED2A3B" w:rsidRDefault="008147E6" w:rsidP="00814D5A">
      <w:pPr>
        <w:pStyle w:val="Nadpis3"/>
      </w:pPr>
      <w:bookmarkStart w:id="141" w:name="_Toc413418363"/>
      <w:bookmarkStart w:id="142" w:name="_Toc440566342"/>
      <w:bookmarkStart w:id="143" w:name="_Toc441227494"/>
      <w:bookmarkStart w:id="144" w:name="_Toc32580114"/>
      <w:bookmarkStart w:id="145" w:name="_Toc120652139"/>
      <w:r w:rsidRPr="00ED2A3B">
        <w:t>2.1.3 Hospodářství</w:t>
      </w:r>
      <w:bookmarkEnd w:id="141"/>
      <w:bookmarkEnd w:id="142"/>
      <w:bookmarkEnd w:id="143"/>
      <w:bookmarkEnd w:id="144"/>
      <w:bookmarkEnd w:id="145"/>
    </w:p>
    <w:p w14:paraId="563670EE" w14:textId="77777777" w:rsidR="008147E6" w:rsidRDefault="008147E6" w:rsidP="00814D5A">
      <w:pPr>
        <w:pStyle w:val="Nadpis4"/>
      </w:pPr>
      <w:bookmarkStart w:id="146" w:name="_Toc413418364"/>
      <w:bookmarkStart w:id="147" w:name="_Toc440566343"/>
      <w:bookmarkStart w:id="148" w:name="_Toc441227495"/>
      <w:bookmarkStart w:id="149" w:name="_Toc32580115"/>
      <w:bookmarkStart w:id="150" w:name="_Toc120652140"/>
      <w:r>
        <w:t>2.1.3.1 Ekonomická situace</w:t>
      </w:r>
      <w:bookmarkEnd w:id="146"/>
      <w:bookmarkEnd w:id="147"/>
      <w:bookmarkEnd w:id="148"/>
      <w:bookmarkEnd w:id="149"/>
      <w:bookmarkEnd w:id="150"/>
    </w:p>
    <w:p w14:paraId="01973F3E" w14:textId="77777777" w:rsidR="008147E6" w:rsidRPr="00991728" w:rsidRDefault="008147E6" w:rsidP="008147E6">
      <w:pPr>
        <w:spacing w:after="160" w:line="259" w:lineRule="auto"/>
        <w:jc w:val="both"/>
        <w:rPr>
          <w:rFonts w:eastAsia="RWXLTG+TimesNewRoman" w:cs="RWXLTG+TimesNewRoman"/>
          <w:u w:val="single"/>
        </w:rPr>
      </w:pPr>
      <w:r w:rsidRPr="00991728">
        <w:rPr>
          <w:rFonts w:eastAsia="RWXLTG+TimesNewRoman" w:cs="RWXLTG+TimesNewRoman"/>
          <w:u w:val="single"/>
        </w:rPr>
        <w:t>Charakter hospodářství a charakteristika klíčových subjektů</w:t>
      </w:r>
    </w:p>
    <w:p w14:paraId="2261ECC4" w14:textId="29AE775D" w:rsidR="00222C53" w:rsidRDefault="00D75CB9" w:rsidP="00222C53">
      <w:pPr>
        <w:spacing w:after="160" w:line="259" w:lineRule="auto"/>
        <w:jc w:val="both"/>
      </w:pPr>
      <w:r w:rsidRPr="00247B78">
        <w:t>Charakter hospodářství</w:t>
      </w:r>
      <w:r>
        <w:t xml:space="preserve"> </w:t>
      </w:r>
      <w:r w:rsidR="00247B78">
        <w:t xml:space="preserve">byl v minulosti spjat především se zemědělstvím. Do roku 1945 byl </w:t>
      </w:r>
      <w:r w:rsidR="002837D4">
        <w:t xml:space="preserve">dále </w:t>
      </w:r>
      <w:r w:rsidR="00247B78">
        <w:t xml:space="preserve">velký počet obyvatel během léta činný v širokém okolí jako zedníci, tesaři a nádeníci. V zimním období bylo provozováno domácí tkalcovství. V 19. a začátkem 20. století byly v obci 3 mlýny, pivovar, lihovar, pila se šindelnou, bavlnářská manufaktura, sekernický závod a pazderna. V období komunismu státní statek </w:t>
      </w:r>
      <w:r w:rsidR="00247B78" w:rsidRPr="00C930FF">
        <w:t>zaměstnával velkou část obyvatelstva obce</w:t>
      </w:r>
      <w:r w:rsidR="00247B78">
        <w:t>.</w:t>
      </w:r>
      <w:r w:rsidR="00247B78" w:rsidRPr="00C930FF">
        <w:t xml:space="preserve"> Po transformaci </w:t>
      </w:r>
      <w:r w:rsidR="00247B78">
        <w:t xml:space="preserve">statku po roce 1990 </w:t>
      </w:r>
      <w:r w:rsidR="00247B78" w:rsidRPr="00C930FF">
        <w:t>dochází ke změně hospodaření ve směru omezení rostlinné výroby a k přechodu na pastevní odchov dobytka. Tím došlo k velkému snížení počtu zaměstnanců a z toho plynoucí nutností hledat zaměstnání v okolních obcích, hlavně v Trutnově.</w:t>
      </w:r>
      <w:r w:rsidR="00247B78" w:rsidRPr="00610762">
        <w:t xml:space="preserve"> </w:t>
      </w:r>
      <w:r w:rsidR="00247B78">
        <w:t>P</w:t>
      </w:r>
      <w:r w:rsidR="00247B78" w:rsidRPr="00610762">
        <w:t xml:space="preserve">o roce 1990 </w:t>
      </w:r>
      <w:r w:rsidR="00247B78">
        <w:t>č</w:t>
      </w:r>
      <w:r w:rsidR="00247B78" w:rsidRPr="00610762">
        <w:t xml:space="preserve">ást obyvatel začala soukromě podnikat. V obci </w:t>
      </w:r>
      <w:r w:rsidR="0047342F">
        <w:t xml:space="preserve">začaly být k dispozici určité soukromé služby (např. </w:t>
      </w:r>
      <w:r w:rsidR="00247B78" w:rsidRPr="00610762">
        <w:t>truhlář</w:t>
      </w:r>
      <w:r w:rsidR="0047342F">
        <w:t>ství, pohostinství), dále ně</w:t>
      </w:r>
      <w:r w:rsidR="00247B78" w:rsidRPr="00610762">
        <w:t xml:space="preserve">kolik občanů </w:t>
      </w:r>
      <w:r w:rsidR="0047342F">
        <w:t xml:space="preserve">začalo </w:t>
      </w:r>
      <w:r w:rsidR="00247B78" w:rsidRPr="00610762">
        <w:t>podnik</w:t>
      </w:r>
      <w:r w:rsidR="00247B78">
        <w:t>a</w:t>
      </w:r>
      <w:r w:rsidR="0047342F">
        <w:t>t</w:t>
      </w:r>
      <w:r w:rsidR="00247B78" w:rsidRPr="00610762">
        <w:t xml:space="preserve"> ve stavebnictví, ve službách pro zemědělství a v pěstební činnosti v</w:t>
      </w:r>
      <w:r w:rsidR="00247B78">
        <w:t> </w:t>
      </w:r>
      <w:r w:rsidR="00247B78" w:rsidRPr="00610762">
        <w:t>lese</w:t>
      </w:r>
      <w:r w:rsidR="006D5840">
        <w:rPr>
          <w:rStyle w:val="Znakapoznpodarou"/>
        </w:rPr>
        <w:footnoteReference w:id="24"/>
      </w:r>
      <w:r w:rsidR="00247B78">
        <w:t xml:space="preserve">. </w:t>
      </w:r>
    </w:p>
    <w:p w14:paraId="17FA3236" w14:textId="4C4EB8C2" w:rsidR="00222C53" w:rsidRDefault="00222C53" w:rsidP="005974CD">
      <w:pPr>
        <w:spacing w:after="160" w:line="259" w:lineRule="auto"/>
        <w:jc w:val="both"/>
      </w:pPr>
      <w:r>
        <w:lastRenderedPageBreak/>
        <w:t xml:space="preserve">Následující tabulka </w:t>
      </w:r>
      <w:r w:rsidR="00095BFF">
        <w:t>6</w:t>
      </w:r>
      <w:r>
        <w:t xml:space="preserve"> shrnuje podnikající společnosti, které mají sídlo na území obce </w:t>
      </w:r>
      <w:r w:rsidR="002C074E">
        <w:t>Staré Buky</w:t>
      </w:r>
      <w:r>
        <w:t>.</w:t>
      </w:r>
    </w:p>
    <w:p w14:paraId="63A092D8" w14:textId="416AD589" w:rsidR="00D83851" w:rsidRDefault="00D83851" w:rsidP="005974CD">
      <w:pPr>
        <w:spacing w:after="160" w:line="259" w:lineRule="auto"/>
        <w:jc w:val="both"/>
      </w:pPr>
    </w:p>
    <w:p w14:paraId="222E617B" w14:textId="0D39EF2A" w:rsidR="00222C53" w:rsidRPr="00B777D9" w:rsidRDefault="00222C53" w:rsidP="00222C53">
      <w:pPr>
        <w:pStyle w:val="TABULKA0"/>
      </w:pPr>
      <w:bookmarkStart w:id="151" w:name="_Toc441221911"/>
      <w:bookmarkStart w:id="152" w:name="_Toc32577785"/>
      <w:bookmarkStart w:id="153" w:name="_Toc120651930"/>
      <w:r w:rsidRPr="0081506F">
        <w:t xml:space="preserve">Tabulka </w:t>
      </w:r>
      <w:r w:rsidR="00B247CA">
        <w:t>8</w:t>
      </w:r>
      <w:r w:rsidRPr="0081506F">
        <w:t xml:space="preserve">: Podnikatelské subjekty mající sídlo na území obce </w:t>
      </w:r>
      <w:r w:rsidR="00B247CA">
        <w:t>Staré Buky</w:t>
      </w:r>
      <w:r w:rsidRPr="0081506F">
        <w:t xml:space="preserve"> (k</w:t>
      </w:r>
      <w:r w:rsidR="00B247CA">
        <w:t xml:space="preserve">e květnu </w:t>
      </w:r>
      <w:r w:rsidR="00152505">
        <w:t>202</w:t>
      </w:r>
      <w:r w:rsidR="00B247CA">
        <w:t>2</w:t>
      </w:r>
      <w:r w:rsidRPr="0081506F">
        <w:t>)</w:t>
      </w:r>
      <w:bookmarkEnd w:id="151"/>
      <w:bookmarkEnd w:id="152"/>
      <w:bookmarkEnd w:id="153"/>
    </w:p>
    <w:tbl>
      <w:tblPr>
        <w:tblW w:w="4944"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1295"/>
        <w:gridCol w:w="1701"/>
        <w:gridCol w:w="2126"/>
        <w:gridCol w:w="993"/>
        <w:gridCol w:w="1134"/>
        <w:gridCol w:w="1860"/>
      </w:tblGrid>
      <w:tr w:rsidR="007F7144" w:rsidRPr="001B040C" w14:paraId="362AFEE6" w14:textId="77777777" w:rsidTr="001B040C">
        <w:trPr>
          <w:trHeight w:val="300"/>
          <w:jc w:val="center"/>
        </w:trPr>
        <w:tc>
          <w:tcPr>
            <w:tcW w:w="1295" w:type="dxa"/>
            <w:tcBorders>
              <w:top w:val="single" w:sz="18" w:space="0" w:color="auto"/>
              <w:bottom w:val="single" w:sz="12" w:space="0" w:color="auto"/>
            </w:tcBorders>
            <w:shd w:val="clear" w:color="auto" w:fill="FFC000"/>
            <w:noWrap/>
            <w:vAlign w:val="center"/>
            <w:hideMark/>
          </w:tcPr>
          <w:p w14:paraId="685E6C92" w14:textId="77777777" w:rsidR="00222C53" w:rsidRPr="001B040C" w:rsidRDefault="00222C53" w:rsidP="00525144">
            <w:pPr>
              <w:jc w:val="center"/>
              <w:rPr>
                <w:rFonts w:eastAsia="Times New Roman" w:cstheme="minorHAnsi"/>
                <w:b/>
                <w:bCs/>
                <w:color w:val="000000"/>
                <w:sz w:val="18"/>
                <w:szCs w:val="18"/>
                <w:lang w:eastAsia="cs-CZ"/>
              </w:rPr>
            </w:pPr>
            <w:r w:rsidRPr="001B040C">
              <w:rPr>
                <w:rFonts w:eastAsia="Times New Roman" w:cstheme="minorHAnsi"/>
                <w:b/>
                <w:bCs/>
                <w:color w:val="000000"/>
                <w:sz w:val="18"/>
                <w:szCs w:val="18"/>
                <w:lang w:eastAsia="cs-CZ"/>
              </w:rPr>
              <w:t>Název firmy</w:t>
            </w:r>
          </w:p>
        </w:tc>
        <w:tc>
          <w:tcPr>
            <w:tcW w:w="1701" w:type="dxa"/>
            <w:tcBorders>
              <w:top w:val="single" w:sz="18" w:space="0" w:color="auto"/>
              <w:bottom w:val="single" w:sz="12" w:space="0" w:color="auto"/>
            </w:tcBorders>
            <w:shd w:val="clear" w:color="auto" w:fill="FFC000"/>
            <w:noWrap/>
            <w:vAlign w:val="center"/>
            <w:hideMark/>
          </w:tcPr>
          <w:p w14:paraId="0978026C" w14:textId="77777777" w:rsidR="00222C53" w:rsidRPr="001B040C" w:rsidRDefault="00222C53" w:rsidP="00525144">
            <w:pPr>
              <w:jc w:val="center"/>
              <w:rPr>
                <w:rFonts w:eastAsia="Times New Roman" w:cstheme="minorHAnsi"/>
                <w:b/>
                <w:bCs/>
                <w:color w:val="000000"/>
                <w:sz w:val="18"/>
                <w:szCs w:val="18"/>
                <w:lang w:eastAsia="cs-CZ"/>
              </w:rPr>
            </w:pPr>
            <w:r w:rsidRPr="001B040C">
              <w:rPr>
                <w:rFonts w:eastAsia="Times New Roman" w:cstheme="minorHAnsi"/>
                <w:b/>
                <w:bCs/>
                <w:color w:val="000000"/>
                <w:sz w:val="18"/>
                <w:szCs w:val="18"/>
                <w:lang w:eastAsia="cs-CZ"/>
              </w:rPr>
              <w:t>Hlavní předmět činnosti</w:t>
            </w:r>
          </w:p>
        </w:tc>
        <w:tc>
          <w:tcPr>
            <w:tcW w:w="2126" w:type="dxa"/>
            <w:tcBorders>
              <w:top w:val="single" w:sz="18" w:space="0" w:color="auto"/>
              <w:bottom w:val="single" w:sz="12" w:space="0" w:color="auto"/>
            </w:tcBorders>
            <w:shd w:val="clear" w:color="auto" w:fill="FFC000"/>
            <w:noWrap/>
            <w:vAlign w:val="center"/>
            <w:hideMark/>
          </w:tcPr>
          <w:p w14:paraId="5C01937E" w14:textId="77777777" w:rsidR="00222C53" w:rsidRPr="001B040C" w:rsidRDefault="00222C53" w:rsidP="00525144">
            <w:pPr>
              <w:jc w:val="center"/>
              <w:rPr>
                <w:rFonts w:eastAsia="Times New Roman" w:cstheme="minorHAnsi"/>
                <w:b/>
                <w:bCs/>
                <w:color w:val="000000"/>
                <w:sz w:val="18"/>
                <w:szCs w:val="18"/>
                <w:lang w:eastAsia="cs-CZ"/>
              </w:rPr>
            </w:pPr>
            <w:r w:rsidRPr="001B040C">
              <w:rPr>
                <w:rFonts w:eastAsia="Times New Roman" w:cstheme="minorHAnsi"/>
                <w:b/>
                <w:bCs/>
                <w:color w:val="000000"/>
                <w:sz w:val="18"/>
                <w:szCs w:val="18"/>
                <w:lang w:eastAsia="cs-CZ"/>
              </w:rPr>
              <w:t>Adresa</w:t>
            </w:r>
          </w:p>
        </w:tc>
        <w:tc>
          <w:tcPr>
            <w:tcW w:w="993" w:type="dxa"/>
            <w:tcBorders>
              <w:top w:val="single" w:sz="18" w:space="0" w:color="auto"/>
              <w:bottom w:val="single" w:sz="12" w:space="0" w:color="auto"/>
            </w:tcBorders>
            <w:shd w:val="clear" w:color="auto" w:fill="FFC000"/>
            <w:noWrap/>
            <w:vAlign w:val="center"/>
            <w:hideMark/>
          </w:tcPr>
          <w:p w14:paraId="438433B2" w14:textId="77777777" w:rsidR="00222C53" w:rsidRPr="001B040C" w:rsidRDefault="00222C53" w:rsidP="00525144">
            <w:pPr>
              <w:jc w:val="center"/>
              <w:rPr>
                <w:rFonts w:eastAsia="Times New Roman" w:cstheme="minorHAnsi"/>
                <w:b/>
                <w:bCs/>
                <w:color w:val="000000"/>
                <w:sz w:val="18"/>
                <w:szCs w:val="18"/>
                <w:lang w:eastAsia="cs-CZ"/>
              </w:rPr>
            </w:pPr>
            <w:r w:rsidRPr="001B040C">
              <w:rPr>
                <w:rFonts w:eastAsia="Times New Roman" w:cstheme="minorHAnsi"/>
                <w:b/>
                <w:bCs/>
                <w:color w:val="000000"/>
                <w:sz w:val="18"/>
                <w:szCs w:val="18"/>
                <w:lang w:eastAsia="cs-CZ"/>
              </w:rPr>
              <w:t>IČ</w:t>
            </w:r>
          </w:p>
        </w:tc>
        <w:tc>
          <w:tcPr>
            <w:tcW w:w="1134" w:type="dxa"/>
            <w:tcBorders>
              <w:top w:val="single" w:sz="18" w:space="0" w:color="auto"/>
              <w:bottom w:val="single" w:sz="12" w:space="0" w:color="auto"/>
            </w:tcBorders>
            <w:shd w:val="clear" w:color="auto" w:fill="FFC000"/>
            <w:noWrap/>
            <w:vAlign w:val="center"/>
            <w:hideMark/>
          </w:tcPr>
          <w:p w14:paraId="41C01539" w14:textId="77777777" w:rsidR="00222C53" w:rsidRPr="001B040C" w:rsidRDefault="00222C53" w:rsidP="00525144">
            <w:pPr>
              <w:jc w:val="center"/>
              <w:rPr>
                <w:rFonts w:eastAsia="Times New Roman" w:cstheme="minorHAnsi"/>
                <w:b/>
                <w:bCs/>
                <w:color w:val="000000"/>
                <w:sz w:val="18"/>
                <w:szCs w:val="18"/>
                <w:lang w:eastAsia="cs-CZ"/>
              </w:rPr>
            </w:pPr>
            <w:r w:rsidRPr="001B040C">
              <w:rPr>
                <w:rFonts w:eastAsia="Times New Roman" w:cstheme="minorHAnsi"/>
                <w:b/>
                <w:bCs/>
                <w:color w:val="000000"/>
                <w:sz w:val="18"/>
                <w:szCs w:val="18"/>
                <w:lang w:eastAsia="cs-CZ"/>
              </w:rPr>
              <w:t>Počet zaměstnanců</w:t>
            </w:r>
          </w:p>
        </w:tc>
        <w:tc>
          <w:tcPr>
            <w:tcW w:w="1860" w:type="dxa"/>
            <w:tcBorders>
              <w:top w:val="single" w:sz="18" w:space="0" w:color="auto"/>
              <w:bottom w:val="single" w:sz="12" w:space="0" w:color="auto"/>
            </w:tcBorders>
            <w:shd w:val="clear" w:color="auto" w:fill="FFC000"/>
            <w:noWrap/>
            <w:vAlign w:val="center"/>
            <w:hideMark/>
          </w:tcPr>
          <w:p w14:paraId="00FAF238" w14:textId="77777777" w:rsidR="00222C53" w:rsidRPr="001B040C" w:rsidRDefault="00222C53" w:rsidP="00525144">
            <w:pPr>
              <w:jc w:val="center"/>
              <w:rPr>
                <w:rFonts w:eastAsia="Times New Roman" w:cstheme="minorHAnsi"/>
                <w:b/>
                <w:bCs/>
                <w:color w:val="000000"/>
                <w:sz w:val="18"/>
                <w:szCs w:val="18"/>
                <w:lang w:eastAsia="cs-CZ"/>
              </w:rPr>
            </w:pPr>
            <w:r w:rsidRPr="001B040C">
              <w:rPr>
                <w:rFonts w:eastAsia="Times New Roman" w:cstheme="minorHAnsi"/>
                <w:b/>
                <w:bCs/>
                <w:color w:val="000000"/>
                <w:sz w:val="18"/>
                <w:szCs w:val="18"/>
                <w:lang w:eastAsia="cs-CZ"/>
              </w:rPr>
              <w:t>Internetové stránky</w:t>
            </w:r>
          </w:p>
        </w:tc>
      </w:tr>
      <w:tr w:rsidR="00C56FFB" w:rsidRPr="001B040C" w14:paraId="31E1EF03" w14:textId="77777777" w:rsidTr="001B040C">
        <w:trPr>
          <w:trHeight w:val="300"/>
          <w:jc w:val="center"/>
        </w:trPr>
        <w:tc>
          <w:tcPr>
            <w:tcW w:w="1295" w:type="dxa"/>
            <w:tcBorders>
              <w:top w:val="single" w:sz="12" w:space="0" w:color="auto"/>
              <w:bottom w:val="single" w:sz="6" w:space="0" w:color="auto"/>
            </w:tcBorders>
            <w:shd w:val="clear" w:color="auto" w:fill="D9D9D9" w:themeFill="background1" w:themeFillShade="D9"/>
            <w:noWrap/>
            <w:vAlign w:val="center"/>
          </w:tcPr>
          <w:p w14:paraId="2A818C02" w14:textId="59C4677F" w:rsidR="00C56FFB" w:rsidRPr="001B040C" w:rsidRDefault="00C56FFB" w:rsidP="00C56FFB">
            <w:pPr>
              <w:jc w:val="center"/>
              <w:rPr>
                <w:rFonts w:cstheme="minorHAnsi"/>
                <w:color w:val="000000"/>
                <w:sz w:val="18"/>
                <w:szCs w:val="18"/>
              </w:rPr>
            </w:pPr>
            <w:r w:rsidRPr="001B040C">
              <w:rPr>
                <w:rFonts w:cstheme="minorHAnsi"/>
                <w:color w:val="000000"/>
                <w:sz w:val="18"/>
                <w:szCs w:val="18"/>
              </w:rPr>
              <w:t>Zemědělská a.s. Výšina</w:t>
            </w:r>
          </w:p>
        </w:tc>
        <w:tc>
          <w:tcPr>
            <w:tcW w:w="1701" w:type="dxa"/>
            <w:tcBorders>
              <w:top w:val="single" w:sz="12" w:space="0" w:color="auto"/>
              <w:bottom w:val="single" w:sz="6" w:space="0" w:color="auto"/>
            </w:tcBorders>
            <w:shd w:val="clear" w:color="auto" w:fill="auto"/>
            <w:noWrap/>
            <w:vAlign w:val="center"/>
          </w:tcPr>
          <w:p w14:paraId="46E4EE7C" w14:textId="5EC347E1" w:rsidR="00C56FFB" w:rsidRPr="001B040C" w:rsidRDefault="00C56FFB" w:rsidP="00C56FFB">
            <w:pPr>
              <w:jc w:val="center"/>
              <w:rPr>
                <w:rFonts w:cstheme="minorHAnsi"/>
                <w:color w:val="000000"/>
                <w:sz w:val="18"/>
                <w:szCs w:val="18"/>
              </w:rPr>
            </w:pPr>
            <w:r w:rsidRPr="001B040C">
              <w:rPr>
                <w:rFonts w:cstheme="minorHAnsi"/>
                <w:color w:val="000000"/>
                <w:sz w:val="18"/>
                <w:szCs w:val="18"/>
              </w:rPr>
              <w:t>Smíšené hospodářství</w:t>
            </w:r>
          </w:p>
        </w:tc>
        <w:tc>
          <w:tcPr>
            <w:tcW w:w="2126" w:type="dxa"/>
            <w:tcBorders>
              <w:top w:val="single" w:sz="12" w:space="0" w:color="auto"/>
              <w:bottom w:val="single" w:sz="6" w:space="0" w:color="auto"/>
            </w:tcBorders>
            <w:shd w:val="clear" w:color="auto" w:fill="auto"/>
            <w:noWrap/>
            <w:vAlign w:val="center"/>
          </w:tcPr>
          <w:p w14:paraId="6000C306" w14:textId="0251C071" w:rsidR="00C56FFB" w:rsidRPr="001B040C" w:rsidRDefault="00C56FFB" w:rsidP="00C56FFB">
            <w:pPr>
              <w:jc w:val="center"/>
              <w:rPr>
                <w:rFonts w:cstheme="minorHAnsi"/>
                <w:color w:val="000000"/>
                <w:sz w:val="18"/>
                <w:szCs w:val="18"/>
              </w:rPr>
            </w:pPr>
            <w:r w:rsidRPr="001B040C">
              <w:rPr>
                <w:rFonts w:cstheme="minorHAnsi"/>
                <w:color w:val="000000"/>
                <w:sz w:val="18"/>
                <w:szCs w:val="18"/>
              </w:rPr>
              <w:t>Horní Staré Buky 192</w:t>
            </w:r>
            <w:r w:rsidR="001B040C">
              <w:rPr>
                <w:rFonts w:cstheme="minorHAnsi"/>
                <w:color w:val="000000"/>
                <w:sz w:val="18"/>
                <w:szCs w:val="18"/>
              </w:rPr>
              <w:br/>
            </w:r>
            <w:r w:rsidRPr="001B040C">
              <w:rPr>
                <w:rFonts w:cstheme="minorHAnsi"/>
                <w:color w:val="000000"/>
                <w:sz w:val="18"/>
                <w:szCs w:val="18"/>
              </w:rPr>
              <w:t>541 01 Staré Buky</w:t>
            </w:r>
          </w:p>
        </w:tc>
        <w:tc>
          <w:tcPr>
            <w:tcW w:w="993" w:type="dxa"/>
            <w:tcBorders>
              <w:top w:val="single" w:sz="12" w:space="0" w:color="auto"/>
              <w:bottom w:val="single" w:sz="6" w:space="0" w:color="auto"/>
            </w:tcBorders>
            <w:shd w:val="clear" w:color="auto" w:fill="auto"/>
            <w:noWrap/>
            <w:vAlign w:val="center"/>
          </w:tcPr>
          <w:p w14:paraId="18469A18" w14:textId="72D26E98" w:rsidR="00C56FFB" w:rsidRPr="001B040C" w:rsidRDefault="00C56FFB" w:rsidP="00C56FFB">
            <w:pPr>
              <w:jc w:val="center"/>
              <w:rPr>
                <w:rFonts w:cstheme="minorHAnsi"/>
                <w:color w:val="000000"/>
                <w:sz w:val="18"/>
                <w:szCs w:val="18"/>
              </w:rPr>
            </w:pPr>
            <w:r w:rsidRPr="001B040C">
              <w:rPr>
                <w:rFonts w:cstheme="minorHAnsi"/>
                <w:color w:val="000000"/>
                <w:sz w:val="18"/>
                <w:szCs w:val="18"/>
              </w:rPr>
              <w:t>60108932</w:t>
            </w:r>
          </w:p>
        </w:tc>
        <w:tc>
          <w:tcPr>
            <w:tcW w:w="1134" w:type="dxa"/>
            <w:tcBorders>
              <w:top w:val="single" w:sz="12" w:space="0" w:color="auto"/>
              <w:bottom w:val="single" w:sz="6" w:space="0" w:color="auto"/>
            </w:tcBorders>
            <w:shd w:val="clear" w:color="auto" w:fill="auto"/>
            <w:noWrap/>
            <w:vAlign w:val="center"/>
          </w:tcPr>
          <w:p w14:paraId="6792472F" w14:textId="0DE9BEB3" w:rsidR="00C56FFB" w:rsidRPr="001B040C" w:rsidRDefault="00C56FFB" w:rsidP="00C56FFB">
            <w:pPr>
              <w:jc w:val="center"/>
              <w:rPr>
                <w:rFonts w:cstheme="minorHAnsi"/>
                <w:color w:val="000000"/>
                <w:sz w:val="18"/>
                <w:szCs w:val="18"/>
              </w:rPr>
            </w:pPr>
            <w:r w:rsidRPr="001B040C">
              <w:rPr>
                <w:rFonts w:cstheme="minorHAnsi"/>
                <w:color w:val="000000"/>
                <w:sz w:val="18"/>
                <w:szCs w:val="18"/>
              </w:rPr>
              <w:t>25 - 49 zaměstnanců</w:t>
            </w:r>
          </w:p>
        </w:tc>
        <w:tc>
          <w:tcPr>
            <w:tcW w:w="1860" w:type="dxa"/>
            <w:tcBorders>
              <w:top w:val="single" w:sz="12" w:space="0" w:color="auto"/>
              <w:bottom w:val="single" w:sz="6" w:space="0" w:color="auto"/>
            </w:tcBorders>
            <w:shd w:val="clear" w:color="auto" w:fill="auto"/>
            <w:noWrap/>
            <w:vAlign w:val="center"/>
          </w:tcPr>
          <w:p w14:paraId="71C1C650" w14:textId="5B4587B5" w:rsidR="00C56FFB" w:rsidRPr="001B040C" w:rsidRDefault="00000000" w:rsidP="00C56FFB">
            <w:pPr>
              <w:jc w:val="center"/>
              <w:rPr>
                <w:rFonts w:cstheme="minorHAnsi"/>
                <w:color w:val="0563C1"/>
                <w:sz w:val="18"/>
                <w:szCs w:val="18"/>
                <w:u w:val="single"/>
              </w:rPr>
            </w:pPr>
            <w:hyperlink r:id="rId53" w:history="1">
              <w:r w:rsidR="00C56FFB" w:rsidRPr="001B040C">
                <w:rPr>
                  <w:rStyle w:val="Hypertextovodkaz"/>
                  <w:rFonts w:cstheme="minorHAnsi"/>
                  <w:sz w:val="18"/>
                  <w:szCs w:val="18"/>
                </w:rPr>
                <w:t>https://zemedelska-a-s-vysina2.webnode.cz/</w:t>
              </w:r>
            </w:hyperlink>
          </w:p>
        </w:tc>
      </w:tr>
      <w:tr w:rsidR="00C56FFB" w:rsidRPr="001B040C" w14:paraId="7458B34C" w14:textId="77777777" w:rsidTr="001B040C">
        <w:trPr>
          <w:trHeight w:val="300"/>
          <w:jc w:val="center"/>
        </w:trPr>
        <w:tc>
          <w:tcPr>
            <w:tcW w:w="1295" w:type="dxa"/>
            <w:tcBorders>
              <w:top w:val="single" w:sz="6" w:space="0" w:color="auto"/>
              <w:bottom w:val="single" w:sz="6" w:space="0" w:color="auto"/>
            </w:tcBorders>
            <w:shd w:val="clear" w:color="auto" w:fill="D9D9D9" w:themeFill="background1" w:themeFillShade="D9"/>
            <w:noWrap/>
            <w:vAlign w:val="center"/>
          </w:tcPr>
          <w:p w14:paraId="439B1AFC" w14:textId="15740AD1" w:rsidR="00C56FFB" w:rsidRPr="001B040C" w:rsidRDefault="00C56FFB" w:rsidP="00C56FFB">
            <w:pPr>
              <w:jc w:val="center"/>
              <w:rPr>
                <w:rFonts w:cstheme="minorHAnsi"/>
                <w:color w:val="000000"/>
                <w:sz w:val="18"/>
                <w:szCs w:val="18"/>
              </w:rPr>
            </w:pPr>
            <w:r w:rsidRPr="001B040C">
              <w:rPr>
                <w:rFonts w:cstheme="minorHAnsi"/>
                <w:color w:val="000000"/>
                <w:sz w:val="18"/>
                <w:szCs w:val="18"/>
              </w:rPr>
              <w:t>ATOL PP, s.r.o.</w:t>
            </w:r>
          </w:p>
        </w:tc>
        <w:tc>
          <w:tcPr>
            <w:tcW w:w="1701" w:type="dxa"/>
            <w:tcBorders>
              <w:top w:val="single" w:sz="6" w:space="0" w:color="auto"/>
              <w:bottom w:val="single" w:sz="6" w:space="0" w:color="auto"/>
            </w:tcBorders>
            <w:shd w:val="clear" w:color="auto" w:fill="auto"/>
            <w:noWrap/>
            <w:vAlign w:val="center"/>
          </w:tcPr>
          <w:p w14:paraId="306707AB" w14:textId="1FCFA229" w:rsidR="00C56FFB" w:rsidRPr="001B040C" w:rsidRDefault="00C56FFB" w:rsidP="00C56FFB">
            <w:pPr>
              <w:jc w:val="center"/>
              <w:rPr>
                <w:rFonts w:cstheme="minorHAnsi"/>
                <w:color w:val="000000"/>
                <w:sz w:val="18"/>
                <w:szCs w:val="18"/>
              </w:rPr>
            </w:pPr>
            <w:r w:rsidRPr="001B040C">
              <w:rPr>
                <w:rFonts w:cstheme="minorHAnsi"/>
                <w:color w:val="000000"/>
                <w:sz w:val="18"/>
                <w:szCs w:val="18"/>
              </w:rPr>
              <w:t>Činnost účetních poradců, vedení účetnictví, vedení daňové evidence</w:t>
            </w:r>
          </w:p>
        </w:tc>
        <w:tc>
          <w:tcPr>
            <w:tcW w:w="2126" w:type="dxa"/>
            <w:tcBorders>
              <w:top w:val="single" w:sz="6" w:space="0" w:color="auto"/>
              <w:bottom w:val="single" w:sz="6" w:space="0" w:color="auto"/>
            </w:tcBorders>
            <w:shd w:val="clear" w:color="auto" w:fill="auto"/>
            <w:noWrap/>
            <w:vAlign w:val="center"/>
          </w:tcPr>
          <w:p w14:paraId="78A41DDD" w14:textId="15505AD0" w:rsidR="00C56FFB" w:rsidRPr="001B040C" w:rsidRDefault="00C56FFB" w:rsidP="00C56FFB">
            <w:pPr>
              <w:jc w:val="center"/>
              <w:rPr>
                <w:rFonts w:cstheme="minorHAnsi"/>
                <w:color w:val="000000"/>
                <w:sz w:val="18"/>
                <w:szCs w:val="18"/>
              </w:rPr>
            </w:pPr>
            <w:r w:rsidRPr="001B040C">
              <w:rPr>
                <w:rFonts w:cstheme="minorHAnsi"/>
                <w:color w:val="000000"/>
                <w:sz w:val="18"/>
                <w:szCs w:val="18"/>
              </w:rPr>
              <w:t>Prostřední Staré Buky 241 541 01 Staré Buky</w:t>
            </w:r>
          </w:p>
        </w:tc>
        <w:tc>
          <w:tcPr>
            <w:tcW w:w="993" w:type="dxa"/>
            <w:tcBorders>
              <w:top w:val="single" w:sz="6" w:space="0" w:color="auto"/>
              <w:bottom w:val="single" w:sz="6" w:space="0" w:color="auto"/>
            </w:tcBorders>
            <w:shd w:val="clear" w:color="auto" w:fill="auto"/>
            <w:noWrap/>
            <w:vAlign w:val="center"/>
          </w:tcPr>
          <w:p w14:paraId="4B1A9BCC" w14:textId="600E1366" w:rsidR="00C56FFB" w:rsidRPr="001B040C" w:rsidRDefault="00C56FFB" w:rsidP="00C56FFB">
            <w:pPr>
              <w:jc w:val="center"/>
              <w:rPr>
                <w:rFonts w:cstheme="minorHAnsi"/>
                <w:color w:val="000000"/>
                <w:sz w:val="18"/>
                <w:szCs w:val="18"/>
              </w:rPr>
            </w:pPr>
            <w:r w:rsidRPr="001B040C">
              <w:rPr>
                <w:rFonts w:cstheme="minorHAnsi"/>
                <w:color w:val="000000"/>
                <w:sz w:val="18"/>
                <w:szCs w:val="18"/>
              </w:rPr>
              <w:t>28796641</w:t>
            </w:r>
          </w:p>
        </w:tc>
        <w:tc>
          <w:tcPr>
            <w:tcW w:w="1134" w:type="dxa"/>
            <w:tcBorders>
              <w:top w:val="single" w:sz="6" w:space="0" w:color="auto"/>
              <w:bottom w:val="single" w:sz="6" w:space="0" w:color="auto"/>
            </w:tcBorders>
            <w:shd w:val="clear" w:color="auto" w:fill="auto"/>
            <w:noWrap/>
            <w:vAlign w:val="center"/>
          </w:tcPr>
          <w:p w14:paraId="56D7CC55" w14:textId="170B0A7F" w:rsidR="00C56FFB" w:rsidRPr="001B040C" w:rsidRDefault="00C56FFB" w:rsidP="00C56FFB">
            <w:pPr>
              <w:jc w:val="center"/>
              <w:rPr>
                <w:rFonts w:cstheme="minorHAnsi"/>
                <w:color w:val="000000"/>
                <w:sz w:val="18"/>
                <w:szCs w:val="18"/>
              </w:rPr>
            </w:pPr>
            <w:r w:rsidRPr="001B040C">
              <w:rPr>
                <w:rFonts w:cstheme="minorHAnsi"/>
                <w:color w:val="000000"/>
                <w:sz w:val="18"/>
                <w:szCs w:val="18"/>
              </w:rPr>
              <w:t>1 - 5 zaměstnanců</w:t>
            </w:r>
          </w:p>
        </w:tc>
        <w:tc>
          <w:tcPr>
            <w:tcW w:w="1860" w:type="dxa"/>
            <w:tcBorders>
              <w:top w:val="single" w:sz="6" w:space="0" w:color="auto"/>
              <w:bottom w:val="single" w:sz="6" w:space="0" w:color="auto"/>
            </w:tcBorders>
            <w:shd w:val="clear" w:color="auto" w:fill="auto"/>
            <w:noWrap/>
            <w:vAlign w:val="center"/>
          </w:tcPr>
          <w:p w14:paraId="2FC6AFF2" w14:textId="1D9E66D5" w:rsidR="00C56FFB" w:rsidRPr="001B040C" w:rsidRDefault="00000000" w:rsidP="00C56FFB">
            <w:pPr>
              <w:jc w:val="center"/>
              <w:rPr>
                <w:rFonts w:cstheme="minorHAnsi"/>
                <w:color w:val="000000"/>
                <w:sz w:val="18"/>
                <w:szCs w:val="18"/>
              </w:rPr>
            </w:pPr>
            <w:hyperlink r:id="rId54" w:history="1">
              <w:r w:rsidR="00C56FFB" w:rsidRPr="001B040C">
                <w:rPr>
                  <w:rStyle w:val="Hypertextovodkaz"/>
                  <w:rFonts w:cstheme="minorHAnsi"/>
                  <w:sz w:val="18"/>
                  <w:szCs w:val="18"/>
                </w:rPr>
                <w:t>https://atol-pp.sluzby.cz/</w:t>
              </w:r>
            </w:hyperlink>
          </w:p>
        </w:tc>
      </w:tr>
      <w:tr w:rsidR="00C56FFB" w:rsidRPr="001B040C" w14:paraId="0AA8D99E" w14:textId="77777777" w:rsidTr="001B040C">
        <w:trPr>
          <w:trHeight w:val="300"/>
          <w:jc w:val="center"/>
        </w:trPr>
        <w:tc>
          <w:tcPr>
            <w:tcW w:w="1295" w:type="dxa"/>
            <w:tcBorders>
              <w:top w:val="single" w:sz="6" w:space="0" w:color="auto"/>
              <w:bottom w:val="single" w:sz="6" w:space="0" w:color="auto"/>
            </w:tcBorders>
            <w:shd w:val="clear" w:color="auto" w:fill="D9D9D9" w:themeFill="background1" w:themeFillShade="D9"/>
            <w:noWrap/>
            <w:vAlign w:val="center"/>
          </w:tcPr>
          <w:p w14:paraId="09E36964" w14:textId="60DBB1CC" w:rsidR="00C56FFB" w:rsidRPr="001B040C" w:rsidRDefault="00C56FFB" w:rsidP="00C56FFB">
            <w:pPr>
              <w:jc w:val="center"/>
              <w:rPr>
                <w:rFonts w:cstheme="minorHAnsi"/>
                <w:color w:val="000000"/>
                <w:sz w:val="18"/>
                <w:szCs w:val="18"/>
              </w:rPr>
            </w:pPr>
            <w:r w:rsidRPr="001B040C">
              <w:rPr>
                <w:rFonts w:cstheme="minorHAnsi"/>
                <w:color w:val="000000"/>
                <w:sz w:val="18"/>
                <w:szCs w:val="18"/>
              </w:rPr>
              <w:t>AXXA, s.r.o.</w:t>
            </w:r>
          </w:p>
        </w:tc>
        <w:tc>
          <w:tcPr>
            <w:tcW w:w="1701" w:type="dxa"/>
            <w:tcBorders>
              <w:top w:val="single" w:sz="6" w:space="0" w:color="auto"/>
              <w:bottom w:val="single" w:sz="6" w:space="0" w:color="auto"/>
            </w:tcBorders>
            <w:shd w:val="clear" w:color="auto" w:fill="auto"/>
            <w:noWrap/>
            <w:vAlign w:val="center"/>
          </w:tcPr>
          <w:p w14:paraId="744EE1B0" w14:textId="6740D6B1" w:rsidR="00C56FFB" w:rsidRPr="001B040C" w:rsidRDefault="00C56FFB" w:rsidP="00C56FFB">
            <w:pPr>
              <w:jc w:val="center"/>
              <w:rPr>
                <w:rFonts w:cstheme="minorHAnsi"/>
                <w:color w:val="000000"/>
                <w:sz w:val="18"/>
                <w:szCs w:val="18"/>
              </w:rPr>
            </w:pPr>
            <w:r w:rsidRPr="001B040C">
              <w:rPr>
                <w:rFonts w:cstheme="minorHAnsi"/>
                <w:color w:val="000000"/>
                <w:sz w:val="18"/>
                <w:szCs w:val="18"/>
              </w:rPr>
              <w:t>Činnosti v oblasti stavebnictví</w:t>
            </w:r>
          </w:p>
        </w:tc>
        <w:tc>
          <w:tcPr>
            <w:tcW w:w="2126" w:type="dxa"/>
            <w:tcBorders>
              <w:top w:val="single" w:sz="6" w:space="0" w:color="auto"/>
              <w:bottom w:val="single" w:sz="6" w:space="0" w:color="auto"/>
            </w:tcBorders>
            <w:shd w:val="clear" w:color="auto" w:fill="auto"/>
            <w:noWrap/>
            <w:vAlign w:val="center"/>
          </w:tcPr>
          <w:p w14:paraId="3DD6DDF6" w14:textId="46BBD3A6" w:rsidR="00C56FFB" w:rsidRPr="001B040C" w:rsidRDefault="00C56FFB" w:rsidP="00C56FFB">
            <w:pPr>
              <w:jc w:val="center"/>
              <w:rPr>
                <w:rFonts w:cstheme="minorHAnsi"/>
                <w:color w:val="000000"/>
                <w:sz w:val="18"/>
                <w:szCs w:val="18"/>
              </w:rPr>
            </w:pPr>
            <w:r w:rsidRPr="001B040C">
              <w:rPr>
                <w:rFonts w:cstheme="minorHAnsi"/>
                <w:color w:val="000000"/>
                <w:sz w:val="18"/>
                <w:szCs w:val="18"/>
              </w:rPr>
              <w:t>Dolní Staré Buky 199</w:t>
            </w:r>
            <w:r w:rsidR="001B040C">
              <w:rPr>
                <w:rFonts w:cstheme="minorHAnsi"/>
                <w:color w:val="000000"/>
                <w:sz w:val="18"/>
                <w:szCs w:val="18"/>
              </w:rPr>
              <w:br/>
            </w:r>
            <w:r w:rsidRPr="001B040C">
              <w:rPr>
                <w:rFonts w:cstheme="minorHAnsi"/>
                <w:color w:val="000000"/>
                <w:sz w:val="18"/>
                <w:szCs w:val="18"/>
              </w:rPr>
              <w:t>541 01 Staré Buky</w:t>
            </w:r>
          </w:p>
        </w:tc>
        <w:tc>
          <w:tcPr>
            <w:tcW w:w="993" w:type="dxa"/>
            <w:tcBorders>
              <w:top w:val="single" w:sz="6" w:space="0" w:color="auto"/>
              <w:bottom w:val="single" w:sz="6" w:space="0" w:color="auto"/>
            </w:tcBorders>
            <w:shd w:val="clear" w:color="auto" w:fill="auto"/>
            <w:noWrap/>
            <w:vAlign w:val="center"/>
          </w:tcPr>
          <w:p w14:paraId="770DF63D" w14:textId="6FB06142" w:rsidR="00C56FFB" w:rsidRPr="001B040C" w:rsidRDefault="00C56FFB" w:rsidP="00C56FFB">
            <w:pPr>
              <w:jc w:val="center"/>
              <w:rPr>
                <w:rFonts w:cstheme="minorHAnsi"/>
                <w:color w:val="000000"/>
                <w:sz w:val="18"/>
                <w:szCs w:val="18"/>
              </w:rPr>
            </w:pPr>
            <w:r w:rsidRPr="001B040C">
              <w:rPr>
                <w:rFonts w:cstheme="minorHAnsi"/>
                <w:color w:val="000000"/>
                <w:sz w:val="18"/>
                <w:szCs w:val="18"/>
              </w:rPr>
              <w:t>25292617</w:t>
            </w:r>
          </w:p>
        </w:tc>
        <w:tc>
          <w:tcPr>
            <w:tcW w:w="1134" w:type="dxa"/>
            <w:tcBorders>
              <w:top w:val="single" w:sz="6" w:space="0" w:color="auto"/>
              <w:bottom w:val="single" w:sz="6" w:space="0" w:color="auto"/>
            </w:tcBorders>
            <w:shd w:val="clear" w:color="auto" w:fill="auto"/>
            <w:noWrap/>
            <w:vAlign w:val="center"/>
          </w:tcPr>
          <w:p w14:paraId="6DAC7420" w14:textId="5C9010D8" w:rsidR="00C56FFB" w:rsidRPr="001B040C" w:rsidRDefault="00C56FFB" w:rsidP="00C56FFB">
            <w:pPr>
              <w:jc w:val="center"/>
              <w:rPr>
                <w:rFonts w:cstheme="minorHAnsi"/>
                <w:color w:val="000000"/>
                <w:sz w:val="18"/>
                <w:szCs w:val="18"/>
              </w:rPr>
            </w:pPr>
            <w:r w:rsidRPr="001B040C">
              <w:rPr>
                <w:rFonts w:cstheme="minorHAnsi"/>
                <w:color w:val="000000"/>
                <w:sz w:val="18"/>
                <w:szCs w:val="18"/>
              </w:rPr>
              <w:t>1 - 5 zaměstnanců</w:t>
            </w:r>
          </w:p>
        </w:tc>
        <w:tc>
          <w:tcPr>
            <w:tcW w:w="1860" w:type="dxa"/>
            <w:tcBorders>
              <w:top w:val="single" w:sz="6" w:space="0" w:color="auto"/>
              <w:bottom w:val="single" w:sz="6" w:space="0" w:color="auto"/>
            </w:tcBorders>
            <w:shd w:val="clear" w:color="auto" w:fill="auto"/>
            <w:noWrap/>
            <w:vAlign w:val="center"/>
          </w:tcPr>
          <w:p w14:paraId="0BEFD41B" w14:textId="1DE30FA7" w:rsidR="00C56FFB" w:rsidRPr="001B040C" w:rsidRDefault="00C56FFB" w:rsidP="00C56FFB">
            <w:pPr>
              <w:jc w:val="center"/>
              <w:rPr>
                <w:rFonts w:cstheme="minorHAnsi"/>
                <w:color w:val="0563C1"/>
                <w:sz w:val="18"/>
                <w:szCs w:val="18"/>
                <w:u w:val="single"/>
              </w:rPr>
            </w:pPr>
            <w:r w:rsidRPr="001B040C">
              <w:rPr>
                <w:rFonts w:cstheme="minorHAnsi"/>
                <w:color w:val="000000"/>
                <w:sz w:val="18"/>
                <w:szCs w:val="18"/>
              </w:rPr>
              <w:t>nemají</w:t>
            </w:r>
          </w:p>
        </w:tc>
      </w:tr>
      <w:tr w:rsidR="00C56FFB" w:rsidRPr="001B040C" w14:paraId="1E77AD17" w14:textId="77777777" w:rsidTr="001B040C">
        <w:trPr>
          <w:trHeight w:val="300"/>
          <w:jc w:val="center"/>
        </w:trPr>
        <w:tc>
          <w:tcPr>
            <w:tcW w:w="1295" w:type="dxa"/>
            <w:tcBorders>
              <w:top w:val="single" w:sz="6" w:space="0" w:color="auto"/>
              <w:bottom w:val="single" w:sz="6" w:space="0" w:color="auto"/>
            </w:tcBorders>
            <w:shd w:val="clear" w:color="auto" w:fill="D9D9D9" w:themeFill="background1" w:themeFillShade="D9"/>
            <w:noWrap/>
            <w:vAlign w:val="center"/>
          </w:tcPr>
          <w:p w14:paraId="0AB132A8" w14:textId="2ADC43B3" w:rsidR="00C56FFB" w:rsidRPr="001B040C" w:rsidRDefault="00C56FFB" w:rsidP="00C56FFB">
            <w:pPr>
              <w:jc w:val="center"/>
              <w:rPr>
                <w:rFonts w:cstheme="minorHAnsi"/>
                <w:color w:val="000000"/>
                <w:sz w:val="18"/>
                <w:szCs w:val="18"/>
              </w:rPr>
            </w:pPr>
            <w:r w:rsidRPr="001B040C">
              <w:rPr>
                <w:rFonts w:cstheme="minorHAnsi"/>
                <w:color w:val="000000"/>
                <w:sz w:val="18"/>
                <w:szCs w:val="18"/>
              </w:rPr>
              <w:t>GO KULTURA s.r.o.</w:t>
            </w:r>
          </w:p>
        </w:tc>
        <w:tc>
          <w:tcPr>
            <w:tcW w:w="1701" w:type="dxa"/>
            <w:tcBorders>
              <w:top w:val="single" w:sz="6" w:space="0" w:color="auto"/>
              <w:bottom w:val="single" w:sz="6" w:space="0" w:color="auto"/>
            </w:tcBorders>
            <w:shd w:val="clear" w:color="auto" w:fill="auto"/>
            <w:noWrap/>
            <w:vAlign w:val="center"/>
          </w:tcPr>
          <w:p w14:paraId="4AF1099C" w14:textId="5F1DEF2F" w:rsidR="00C56FFB" w:rsidRPr="001B040C" w:rsidRDefault="00C56FFB" w:rsidP="00C56FFB">
            <w:pPr>
              <w:jc w:val="center"/>
              <w:rPr>
                <w:rFonts w:cstheme="minorHAnsi"/>
                <w:color w:val="000000"/>
                <w:sz w:val="18"/>
                <w:szCs w:val="18"/>
              </w:rPr>
            </w:pPr>
            <w:r w:rsidRPr="001B040C">
              <w:rPr>
                <w:rFonts w:cstheme="minorHAnsi"/>
                <w:color w:val="000000"/>
                <w:sz w:val="18"/>
                <w:szCs w:val="18"/>
              </w:rPr>
              <w:t>Činnost umělecké agentury</w:t>
            </w:r>
          </w:p>
        </w:tc>
        <w:tc>
          <w:tcPr>
            <w:tcW w:w="2126" w:type="dxa"/>
            <w:tcBorders>
              <w:top w:val="single" w:sz="6" w:space="0" w:color="auto"/>
              <w:bottom w:val="single" w:sz="6" w:space="0" w:color="auto"/>
            </w:tcBorders>
            <w:shd w:val="clear" w:color="auto" w:fill="auto"/>
            <w:noWrap/>
            <w:vAlign w:val="center"/>
          </w:tcPr>
          <w:p w14:paraId="5788D041" w14:textId="42664DCD" w:rsidR="00C56FFB" w:rsidRPr="001B040C" w:rsidRDefault="00C56FFB" w:rsidP="00C56FFB">
            <w:pPr>
              <w:jc w:val="center"/>
              <w:rPr>
                <w:rFonts w:cstheme="minorHAnsi"/>
                <w:color w:val="000000"/>
                <w:sz w:val="18"/>
                <w:szCs w:val="18"/>
              </w:rPr>
            </w:pPr>
            <w:r w:rsidRPr="001B040C">
              <w:rPr>
                <w:rFonts w:cstheme="minorHAnsi"/>
                <w:color w:val="000000"/>
                <w:sz w:val="18"/>
                <w:szCs w:val="18"/>
              </w:rPr>
              <w:t>Horní Staré Buky 197</w:t>
            </w:r>
            <w:r w:rsidR="001B040C">
              <w:rPr>
                <w:rFonts w:cstheme="minorHAnsi"/>
                <w:color w:val="000000"/>
                <w:sz w:val="18"/>
                <w:szCs w:val="18"/>
              </w:rPr>
              <w:br/>
            </w:r>
            <w:r w:rsidRPr="001B040C">
              <w:rPr>
                <w:rFonts w:cstheme="minorHAnsi"/>
                <w:color w:val="000000"/>
                <w:sz w:val="18"/>
                <w:szCs w:val="18"/>
              </w:rPr>
              <w:t>541 01 Staré Buky</w:t>
            </w:r>
          </w:p>
        </w:tc>
        <w:tc>
          <w:tcPr>
            <w:tcW w:w="993" w:type="dxa"/>
            <w:tcBorders>
              <w:top w:val="single" w:sz="6" w:space="0" w:color="auto"/>
              <w:bottom w:val="single" w:sz="6" w:space="0" w:color="auto"/>
            </w:tcBorders>
            <w:shd w:val="clear" w:color="auto" w:fill="auto"/>
            <w:noWrap/>
            <w:vAlign w:val="center"/>
          </w:tcPr>
          <w:p w14:paraId="36AA3DB5" w14:textId="01F8525C" w:rsidR="00C56FFB" w:rsidRPr="001B040C" w:rsidRDefault="00C56FFB" w:rsidP="00C56FFB">
            <w:pPr>
              <w:jc w:val="center"/>
              <w:rPr>
                <w:rFonts w:cstheme="minorHAnsi"/>
                <w:color w:val="000000"/>
                <w:sz w:val="18"/>
                <w:szCs w:val="18"/>
              </w:rPr>
            </w:pPr>
            <w:r w:rsidRPr="001B040C">
              <w:rPr>
                <w:rFonts w:cstheme="minorHAnsi"/>
                <w:color w:val="000000"/>
                <w:sz w:val="18"/>
                <w:szCs w:val="18"/>
              </w:rPr>
              <w:t>24796689</w:t>
            </w:r>
          </w:p>
        </w:tc>
        <w:tc>
          <w:tcPr>
            <w:tcW w:w="1134" w:type="dxa"/>
            <w:tcBorders>
              <w:top w:val="single" w:sz="6" w:space="0" w:color="auto"/>
              <w:bottom w:val="single" w:sz="6" w:space="0" w:color="auto"/>
            </w:tcBorders>
            <w:shd w:val="clear" w:color="auto" w:fill="auto"/>
            <w:noWrap/>
            <w:vAlign w:val="center"/>
          </w:tcPr>
          <w:p w14:paraId="3C0E1867" w14:textId="2E7C46F9" w:rsidR="00C56FFB" w:rsidRPr="001B040C" w:rsidRDefault="00C56FFB" w:rsidP="00C56FFB">
            <w:pPr>
              <w:jc w:val="center"/>
              <w:rPr>
                <w:rFonts w:cstheme="minorHAnsi"/>
                <w:color w:val="000000"/>
                <w:sz w:val="18"/>
                <w:szCs w:val="18"/>
              </w:rPr>
            </w:pPr>
            <w:r w:rsidRPr="001B040C">
              <w:rPr>
                <w:rFonts w:cstheme="minorHAnsi"/>
                <w:color w:val="000000"/>
                <w:sz w:val="18"/>
                <w:szCs w:val="18"/>
              </w:rPr>
              <w:t>1 - 5 zaměstnanců</w:t>
            </w:r>
          </w:p>
        </w:tc>
        <w:tc>
          <w:tcPr>
            <w:tcW w:w="1860" w:type="dxa"/>
            <w:tcBorders>
              <w:top w:val="single" w:sz="6" w:space="0" w:color="auto"/>
              <w:bottom w:val="single" w:sz="6" w:space="0" w:color="auto"/>
            </w:tcBorders>
            <w:shd w:val="clear" w:color="auto" w:fill="auto"/>
            <w:noWrap/>
            <w:vAlign w:val="center"/>
          </w:tcPr>
          <w:p w14:paraId="03CB047C" w14:textId="70BB9719" w:rsidR="00C56FFB" w:rsidRPr="001B040C" w:rsidRDefault="00000000" w:rsidP="00C56FFB">
            <w:pPr>
              <w:jc w:val="center"/>
              <w:rPr>
                <w:rFonts w:cstheme="minorHAnsi"/>
                <w:color w:val="000000"/>
                <w:sz w:val="18"/>
                <w:szCs w:val="18"/>
              </w:rPr>
            </w:pPr>
            <w:hyperlink r:id="rId55" w:history="1">
              <w:r w:rsidR="00C56FFB" w:rsidRPr="001B040C">
                <w:rPr>
                  <w:rStyle w:val="Hypertextovodkaz"/>
                  <w:rFonts w:cstheme="minorHAnsi"/>
                  <w:sz w:val="18"/>
                  <w:szCs w:val="18"/>
                </w:rPr>
                <w:t>https://go-kultura.cz/</w:t>
              </w:r>
            </w:hyperlink>
          </w:p>
        </w:tc>
      </w:tr>
      <w:tr w:rsidR="00C56FFB" w:rsidRPr="001B040C" w14:paraId="173D5DA9" w14:textId="77777777" w:rsidTr="001B040C">
        <w:trPr>
          <w:trHeight w:val="300"/>
          <w:jc w:val="center"/>
        </w:trPr>
        <w:tc>
          <w:tcPr>
            <w:tcW w:w="1295" w:type="dxa"/>
            <w:tcBorders>
              <w:top w:val="single" w:sz="6" w:space="0" w:color="auto"/>
              <w:bottom w:val="single" w:sz="6" w:space="0" w:color="auto"/>
            </w:tcBorders>
            <w:shd w:val="clear" w:color="auto" w:fill="D9D9D9" w:themeFill="background1" w:themeFillShade="D9"/>
            <w:noWrap/>
            <w:vAlign w:val="center"/>
          </w:tcPr>
          <w:p w14:paraId="70380CFD" w14:textId="67A0865A" w:rsidR="00C56FFB" w:rsidRPr="001B040C" w:rsidRDefault="00C56FFB" w:rsidP="00C56FFB">
            <w:pPr>
              <w:jc w:val="center"/>
              <w:rPr>
                <w:rFonts w:cstheme="minorHAnsi"/>
                <w:color w:val="000000"/>
                <w:sz w:val="18"/>
                <w:szCs w:val="18"/>
              </w:rPr>
            </w:pPr>
            <w:r w:rsidRPr="001B040C">
              <w:rPr>
                <w:rFonts w:cstheme="minorHAnsi"/>
                <w:color w:val="000000"/>
                <w:sz w:val="18"/>
                <w:szCs w:val="18"/>
              </w:rPr>
              <w:t>P.M.P. COMPANY s.r.o.</w:t>
            </w:r>
          </w:p>
        </w:tc>
        <w:tc>
          <w:tcPr>
            <w:tcW w:w="1701" w:type="dxa"/>
            <w:tcBorders>
              <w:top w:val="single" w:sz="6" w:space="0" w:color="auto"/>
              <w:bottom w:val="single" w:sz="6" w:space="0" w:color="auto"/>
            </w:tcBorders>
            <w:shd w:val="clear" w:color="auto" w:fill="auto"/>
            <w:noWrap/>
            <w:vAlign w:val="center"/>
          </w:tcPr>
          <w:p w14:paraId="31574A9C" w14:textId="144F16AC" w:rsidR="00C56FFB" w:rsidRPr="001B040C" w:rsidRDefault="00C56FFB" w:rsidP="00C56FFB">
            <w:pPr>
              <w:jc w:val="center"/>
              <w:rPr>
                <w:rFonts w:cstheme="minorHAnsi"/>
                <w:color w:val="000000"/>
                <w:sz w:val="18"/>
                <w:szCs w:val="18"/>
              </w:rPr>
            </w:pPr>
            <w:r w:rsidRPr="001B040C">
              <w:rPr>
                <w:rFonts w:cstheme="minorHAnsi"/>
                <w:color w:val="000000"/>
                <w:sz w:val="18"/>
                <w:szCs w:val="18"/>
              </w:rPr>
              <w:t>Výroba nábytku a bytových doplňků</w:t>
            </w:r>
          </w:p>
        </w:tc>
        <w:tc>
          <w:tcPr>
            <w:tcW w:w="2126" w:type="dxa"/>
            <w:tcBorders>
              <w:top w:val="single" w:sz="6" w:space="0" w:color="auto"/>
              <w:bottom w:val="single" w:sz="6" w:space="0" w:color="auto"/>
            </w:tcBorders>
            <w:shd w:val="clear" w:color="auto" w:fill="auto"/>
            <w:noWrap/>
            <w:vAlign w:val="center"/>
          </w:tcPr>
          <w:p w14:paraId="3B44B3F4" w14:textId="69C394AD" w:rsidR="00C56FFB" w:rsidRPr="001B040C" w:rsidRDefault="00C56FFB" w:rsidP="00C56FFB">
            <w:pPr>
              <w:jc w:val="center"/>
              <w:rPr>
                <w:rFonts w:cstheme="minorHAnsi"/>
                <w:color w:val="000000"/>
                <w:sz w:val="18"/>
                <w:szCs w:val="18"/>
              </w:rPr>
            </w:pPr>
            <w:r w:rsidRPr="001B040C">
              <w:rPr>
                <w:rFonts w:cstheme="minorHAnsi"/>
                <w:color w:val="000000"/>
                <w:sz w:val="18"/>
                <w:szCs w:val="18"/>
              </w:rPr>
              <w:t>Prostřední Staré Buky 162 541 01 Staré Buky</w:t>
            </w:r>
          </w:p>
        </w:tc>
        <w:tc>
          <w:tcPr>
            <w:tcW w:w="993" w:type="dxa"/>
            <w:tcBorders>
              <w:top w:val="single" w:sz="6" w:space="0" w:color="auto"/>
              <w:bottom w:val="single" w:sz="6" w:space="0" w:color="auto"/>
            </w:tcBorders>
            <w:shd w:val="clear" w:color="auto" w:fill="auto"/>
            <w:noWrap/>
            <w:vAlign w:val="center"/>
          </w:tcPr>
          <w:p w14:paraId="55B8785F" w14:textId="6BFF5AFA" w:rsidR="00C56FFB" w:rsidRPr="001B040C" w:rsidRDefault="00C56FFB" w:rsidP="00C56FFB">
            <w:pPr>
              <w:jc w:val="center"/>
              <w:rPr>
                <w:rFonts w:cstheme="minorHAnsi"/>
                <w:color w:val="000000"/>
                <w:sz w:val="18"/>
                <w:szCs w:val="18"/>
              </w:rPr>
            </w:pPr>
            <w:r w:rsidRPr="001B040C">
              <w:rPr>
                <w:rFonts w:cstheme="minorHAnsi"/>
                <w:color w:val="000000"/>
                <w:sz w:val="18"/>
                <w:szCs w:val="18"/>
              </w:rPr>
              <w:t>25933388</w:t>
            </w:r>
          </w:p>
        </w:tc>
        <w:tc>
          <w:tcPr>
            <w:tcW w:w="1134" w:type="dxa"/>
            <w:tcBorders>
              <w:top w:val="single" w:sz="6" w:space="0" w:color="auto"/>
              <w:bottom w:val="single" w:sz="6" w:space="0" w:color="auto"/>
            </w:tcBorders>
            <w:shd w:val="clear" w:color="auto" w:fill="auto"/>
            <w:noWrap/>
            <w:vAlign w:val="center"/>
          </w:tcPr>
          <w:p w14:paraId="20EEC176" w14:textId="3E522B59" w:rsidR="00C56FFB" w:rsidRPr="001B040C" w:rsidRDefault="00C56FFB" w:rsidP="00C56FFB">
            <w:pPr>
              <w:jc w:val="center"/>
              <w:rPr>
                <w:rFonts w:cstheme="minorHAnsi"/>
                <w:color w:val="000000"/>
                <w:sz w:val="18"/>
                <w:szCs w:val="18"/>
              </w:rPr>
            </w:pPr>
            <w:r w:rsidRPr="001B040C">
              <w:rPr>
                <w:rFonts w:cstheme="minorHAnsi"/>
                <w:color w:val="000000"/>
                <w:sz w:val="18"/>
                <w:szCs w:val="18"/>
              </w:rPr>
              <w:t>1 - 5 zaměstnanců</w:t>
            </w:r>
          </w:p>
        </w:tc>
        <w:tc>
          <w:tcPr>
            <w:tcW w:w="1860" w:type="dxa"/>
            <w:tcBorders>
              <w:top w:val="single" w:sz="6" w:space="0" w:color="auto"/>
              <w:bottom w:val="single" w:sz="6" w:space="0" w:color="auto"/>
            </w:tcBorders>
            <w:shd w:val="clear" w:color="auto" w:fill="auto"/>
            <w:noWrap/>
            <w:vAlign w:val="center"/>
          </w:tcPr>
          <w:p w14:paraId="02808365" w14:textId="7155B8FD" w:rsidR="00C56FFB" w:rsidRPr="001B040C" w:rsidRDefault="00C56FFB" w:rsidP="00C56FFB">
            <w:pPr>
              <w:jc w:val="center"/>
              <w:rPr>
                <w:rFonts w:cstheme="minorHAnsi"/>
                <w:color w:val="000000"/>
                <w:sz w:val="18"/>
                <w:szCs w:val="18"/>
              </w:rPr>
            </w:pPr>
            <w:r w:rsidRPr="001B040C">
              <w:rPr>
                <w:rFonts w:cstheme="minorHAnsi"/>
                <w:color w:val="000000"/>
                <w:sz w:val="18"/>
                <w:szCs w:val="18"/>
              </w:rPr>
              <w:t>nemají</w:t>
            </w:r>
          </w:p>
        </w:tc>
      </w:tr>
      <w:tr w:rsidR="00C56FFB" w:rsidRPr="001B040C" w14:paraId="4C0D2784" w14:textId="77777777" w:rsidTr="001B040C">
        <w:trPr>
          <w:trHeight w:val="300"/>
          <w:jc w:val="center"/>
        </w:trPr>
        <w:tc>
          <w:tcPr>
            <w:tcW w:w="1295" w:type="dxa"/>
            <w:tcBorders>
              <w:top w:val="single" w:sz="6" w:space="0" w:color="auto"/>
              <w:bottom w:val="single" w:sz="6" w:space="0" w:color="auto"/>
            </w:tcBorders>
            <w:shd w:val="clear" w:color="auto" w:fill="D9D9D9" w:themeFill="background1" w:themeFillShade="D9"/>
            <w:noWrap/>
            <w:vAlign w:val="center"/>
          </w:tcPr>
          <w:p w14:paraId="283ED711" w14:textId="00A6C2F1" w:rsidR="00C56FFB" w:rsidRPr="001B040C" w:rsidRDefault="00C56FFB" w:rsidP="00C56FFB">
            <w:pPr>
              <w:jc w:val="center"/>
              <w:rPr>
                <w:rFonts w:cstheme="minorHAnsi"/>
                <w:color w:val="000000"/>
                <w:sz w:val="18"/>
                <w:szCs w:val="18"/>
              </w:rPr>
            </w:pPr>
            <w:r w:rsidRPr="001B040C">
              <w:rPr>
                <w:rFonts w:cstheme="minorHAnsi"/>
                <w:color w:val="000000"/>
                <w:sz w:val="18"/>
                <w:szCs w:val="18"/>
              </w:rPr>
              <w:t>4 Jaar Getijden s. r. o.</w:t>
            </w:r>
          </w:p>
        </w:tc>
        <w:tc>
          <w:tcPr>
            <w:tcW w:w="1701" w:type="dxa"/>
            <w:tcBorders>
              <w:top w:val="single" w:sz="6" w:space="0" w:color="auto"/>
              <w:bottom w:val="single" w:sz="6" w:space="0" w:color="auto"/>
            </w:tcBorders>
            <w:shd w:val="clear" w:color="auto" w:fill="auto"/>
            <w:noWrap/>
            <w:vAlign w:val="center"/>
          </w:tcPr>
          <w:p w14:paraId="0DCD7A46" w14:textId="189142F0" w:rsidR="00C56FFB" w:rsidRPr="001B040C" w:rsidRDefault="00C56FFB" w:rsidP="00C56FFB">
            <w:pPr>
              <w:jc w:val="center"/>
              <w:rPr>
                <w:rFonts w:cstheme="minorHAnsi"/>
                <w:color w:val="000000"/>
                <w:sz w:val="18"/>
                <w:szCs w:val="18"/>
              </w:rPr>
            </w:pPr>
            <w:r w:rsidRPr="001B040C">
              <w:rPr>
                <w:rFonts w:cstheme="minorHAnsi"/>
                <w:color w:val="000000"/>
                <w:sz w:val="18"/>
                <w:szCs w:val="18"/>
              </w:rPr>
              <w:t>Pronájem nemovitostí</w:t>
            </w:r>
          </w:p>
        </w:tc>
        <w:tc>
          <w:tcPr>
            <w:tcW w:w="2126" w:type="dxa"/>
            <w:tcBorders>
              <w:top w:val="single" w:sz="6" w:space="0" w:color="auto"/>
              <w:bottom w:val="single" w:sz="6" w:space="0" w:color="auto"/>
            </w:tcBorders>
            <w:shd w:val="clear" w:color="auto" w:fill="auto"/>
            <w:noWrap/>
            <w:vAlign w:val="center"/>
          </w:tcPr>
          <w:p w14:paraId="75A992DA" w14:textId="5B089D82" w:rsidR="00C56FFB" w:rsidRPr="001B040C" w:rsidRDefault="00C56FFB" w:rsidP="00C56FFB">
            <w:pPr>
              <w:jc w:val="center"/>
              <w:rPr>
                <w:rFonts w:cstheme="minorHAnsi"/>
                <w:color w:val="000000"/>
                <w:sz w:val="18"/>
                <w:szCs w:val="18"/>
              </w:rPr>
            </w:pPr>
            <w:r w:rsidRPr="001B040C">
              <w:rPr>
                <w:rFonts w:cstheme="minorHAnsi"/>
                <w:color w:val="000000"/>
                <w:sz w:val="18"/>
                <w:szCs w:val="18"/>
              </w:rPr>
              <w:t>Horní Staré Buky 144</w:t>
            </w:r>
            <w:r w:rsidR="001B040C">
              <w:rPr>
                <w:rFonts w:cstheme="minorHAnsi"/>
                <w:color w:val="000000"/>
                <w:sz w:val="18"/>
                <w:szCs w:val="18"/>
              </w:rPr>
              <w:br/>
            </w:r>
            <w:r w:rsidRPr="001B040C">
              <w:rPr>
                <w:rFonts w:cstheme="minorHAnsi"/>
                <w:color w:val="000000"/>
                <w:sz w:val="18"/>
                <w:szCs w:val="18"/>
              </w:rPr>
              <w:t>541 01 Staré Buky</w:t>
            </w:r>
          </w:p>
        </w:tc>
        <w:tc>
          <w:tcPr>
            <w:tcW w:w="993" w:type="dxa"/>
            <w:tcBorders>
              <w:top w:val="single" w:sz="6" w:space="0" w:color="auto"/>
              <w:bottom w:val="single" w:sz="6" w:space="0" w:color="auto"/>
            </w:tcBorders>
            <w:shd w:val="clear" w:color="auto" w:fill="auto"/>
            <w:noWrap/>
            <w:vAlign w:val="center"/>
          </w:tcPr>
          <w:p w14:paraId="0573AE6F" w14:textId="7BD0FFAD" w:rsidR="00C56FFB" w:rsidRPr="001B040C" w:rsidRDefault="00C56FFB" w:rsidP="00C56FFB">
            <w:pPr>
              <w:jc w:val="center"/>
              <w:rPr>
                <w:rFonts w:cstheme="minorHAnsi"/>
                <w:color w:val="000000"/>
                <w:sz w:val="18"/>
                <w:szCs w:val="18"/>
              </w:rPr>
            </w:pPr>
            <w:r w:rsidRPr="001B040C">
              <w:rPr>
                <w:rFonts w:cstheme="minorHAnsi"/>
                <w:color w:val="000000"/>
                <w:sz w:val="18"/>
                <w:szCs w:val="18"/>
              </w:rPr>
              <w:t>27497950</w:t>
            </w:r>
          </w:p>
        </w:tc>
        <w:tc>
          <w:tcPr>
            <w:tcW w:w="1134" w:type="dxa"/>
            <w:tcBorders>
              <w:top w:val="single" w:sz="6" w:space="0" w:color="auto"/>
              <w:bottom w:val="single" w:sz="6" w:space="0" w:color="auto"/>
            </w:tcBorders>
            <w:shd w:val="clear" w:color="auto" w:fill="auto"/>
            <w:noWrap/>
            <w:vAlign w:val="center"/>
          </w:tcPr>
          <w:p w14:paraId="41F787E7" w14:textId="1BED90FD" w:rsidR="00C56FFB" w:rsidRPr="001B040C" w:rsidRDefault="00C56FFB" w:rsidP="00C56FFB">
            <w:pPr>
              <w:jc w:val="center"/>
              <w:rPr>
                <w:rFonts w:cstheme="minorHAnsi"/>
                <w:color w:val="000000"/>
                <w:sz w:val="18"/>
                <w:szCs w:val="18"/>
              </w:rPr>
            </w:pPr>
            <w:r w:rsidRPr="001B040C">
              <w:rPr>
                <w:rFonts w:cstheme="minorHAnsi"/>
                <w:color w:val="000000"/>
                <w:sz w:val="18"/>
                <w:szCs w:val="18"/>
              </w:rPr>
              <w:t>neuvedeno</w:t>
            </w:r>
          </w:p>
        </w:tc>
        <w:tc>
          <w:tcPr>
            <w:tcW w:w="1860" w:type="dxa"/>
            <w:tcBorders>
              <w:top w:val="single" w:sz="6" w:space="0" w:color="auto"/>
              <w:bottom w:val="single" w:sz="6" w:space="0" w:color="auto"/>
            </w:tcBorders>
            <w:shd w:val="clear" w:color="auto" w:fill="auto"/>
            <w:noWrap/>
            <w:vAlign w:val="center"/>
          </w:tcPr>
          <w:p w14:paraId="50258FDE" w14:textId="03E002D2" w:rsidR="00C56FFB" w:rsidRPr="001B040C" w:rsidRDefault="00C56FFB" w:rsidP="00C56FFB">
            <w:pPr>
              <w:jc w:val="center"/>
              <w:rPr>
                <w:rFonts w:cstheme="minorHAnsi"/>
                <w:color w:val="000000"/>
                <w:sz w:val="18"/>
                <w:szCs w:val="18"/>
              </w:rPr>
            </w:pPr>
            <w:r w:rsidRPr="001B040C">
              <w:rPr>
                <w:rFonts w:cstheme="minorHAnsi"/>
                <w:color w:val="000000"/>
                <w:sz w:val="18"/>
                <w:szCs w:val="18"/>
              </w:rPr>
              <w:t>nemají</w:t>
            </w:r>
          </w:p>
        </w:tc>
      </w:tr>
      <w:tr w:rsidR="00C56FFB" w:rsidRPr="001B040C" w14:paraId="7B292499" w14:textId="77777777" w:rsidTr="001B040C">
        <w:trPr>
          <w:trHeight w:val="300"/>
          <w:jc w:val="center"/>
        </w:trPr>
        <w:tc>
          <w:tcPr>
            <w:tcW w:w="1295" w:type="dxa"/>
            <w:tcBorders>
              <w:top w:val="single" w:sz="6" w:space="0" w:color="auto"/>
              <w:bottom w:val="single" w:sz="6" w:space="0" w:color="auto"/>
            </w:tcBorders>
            <w:shd w:val="clear" w:color="auto" w:fill="D9D9D9" w:themeFill="background1" w:themeFillShade="D9"/>
            <w:noWrap/>
            <w:vAlign w:val="center"/>
          </w:tcPr>
          <w:p w14:paraId="2FB1D410" w14:textId="43D8DBA6" w:rsidR="00C56FFB" w:rsidRPr="001B040C" w:rsidRDefault="00C56FFB" w:rsidP="00C56FFB">
            <w:pPr>
              <w:jc w:val="center"/>
              <w:rPr>
                <w:rFonts w:cstheme="minorHAnsi"/>
                <w:color w:val="000000"/>
                <w:sz w:val="18"/>
                <w:szCs w:val="18"/>
              </w:rPr>
            </w:pPr>
            <w:r w:rsidRPr="001B040C">
              <w:rPr>
                <w:rFonts w:cstheme="minorHAnsi"/>
                <w:color w:val="000000"/>
                <w:sz w:val="18"/>
                <w:szCs w:val="18"/>
              </w:rPr>
              <w:t>4MC - Masters of Creativy s.r.o.</w:t>
            </w:r>
          </w:p>
        </w:tc>
        <w:tc>
          <w:tcPr>
            <w:tcW w:w="1701" w:type="dxa"/>
            <w:tcBorders>
              <w:top w:val="single" w:sz="6" w:space="0" w:color="auto"/>
              <w:bottom w:val="single" w:sz="6" w:space="0" w:color="auto"/>
            </w:tcBorders>
            <w:shd w:val="clear" w:color="auto" w:fill="auto"/>
            <w:noWrap/>
            <w:vAlign w:val="center"/>
          </w:tcPr>
          <w:p w14:paraId="54212CDF" w14:textId="716F5355" w:rsidR="00C56FFB" w:rsidRPr="001B040C" w:rsidRDefault="00C56FFB" w:rsidP="00C56FFB">
            <w:pPr>
              <w:jc w:val="center"/>
              <w:rPr>
                <w:rFonts w:cstheme="minorHAnsi"/>
                <w:color w:val="000000"/>
                <w:sz w:val="18"/>
                <w:szCs w:val="18"/>
              </w:rPr>
            </w:pPr>
            <w:r w:rsidRPr="001B040C">
              <w:rPr>
                <w:rFonts w:cstheme="minorHAnsi"/>
                <w:color w:val="000000"/>
                <w:sz w:val="18"/>
                <w:szCs w:val="18"/>
              </w:rPr>
              <w:t>Pronájem nemovitostí</w:t>
            </w:r>
          </w:p>
        </w:tc>
        <w:tc>
          <w:tcPr>
            <w:tcW w:w="2126" w:type="dxa"/>
            <w:tcBorders>
              <w:top w:val="single" w:sz="6" w:space="0" w:color="auto"/>
              <w:bottom w:val="single" w:sz="6" w:space="0" w:color="auto"/>
            </w:tcBorders>
            <w:shd w:val="clear" w:color="auto" w:fill="auto"/>
            <w:noWrap/>
            <w:vAlign w:val="center"/>
          </w:tcPr>
          <w:p w14:paraId="3BE0373C" w14:textId="748F6422" w:rsidR="00C56FFB" w:rsidRPr="001B040C" w:rsidRDefault="00C56FFB" w:rsidP="00C56FFB">
            <w:pPr>
              <w:jc w:val="center"/>
              <w:rPr>
                <w:rFonts w:cstheme="minorHAnsi"/>
                <w:color w:val="000000"/>
                <w:sz w:val="18"/>
                <w:szCs w:val="18"/>
              </w:rPr>
            </w:pPr>
            <w:r w:rsidRPr="001B040C">
              <w:rPr>
                <w:rFonts w:cstheme="minorHAnsi"/>
                <w:color w:val="000000"/>
                <w:sz w:val="18"/>
                <w:szCs w:val="18"/>
              </w:rPr>
              <w:t>Prostřední Staré Buky 241 541 01 Staré Buky</w:t>
            </w:r>
          </w:p>
        </w:tc>
        <w:tc>
          <w:tcPr>
            <w:tcW w:w="993" w:type="dxa"/>
            <w:tcBorders>
              <w:top w:val="single" w:sz="6" w:space="0" w:color="auto"/>
              <w:bottom w:val="single" w:sz="6" w:space="0" w:color="auto"/>
            </w:tcBorders>
            <w:shd w:val="clear" w:color="auto" w:fill="auto"/>
            <w:noWrap/>
            <w:vAlign w:val="center"/>
          </w:tcPr>
          <w:p w14:paraId="23B3C839" w14:textId="70388D34" w:rsidR="00C56FFB" w:rsidRPr="001B040C" w:rsidRDefault="00C56FFB" w:rsidP="00C56FFB">
            <w:pPr>
              <w:jc w:val="center"/>
              <w:rPr>
                <w:rFonts w:cstheme="minorHAnsi"/>
                <w:color w:val="000000"/>
                <w:sz w:val="18"/>
                <w:szCs w:val="18"/>
              </w:rPr>
            </w:pPr>
            <w:r w:rsidRPr="001B040C">
              <w:rPr>
                <w:rFonts w:cstheme="minorHAnsi"/>
                <w:color w:val="000000"/>
                <w:sz w:val="18"/>
                <w:szCs w:val="18"/>
              </w:rPr>
              <w:t>08468079</w:t>
            </w:r>
          </w:p>
        </w:tc>
        <w:tc>
          <w:tcPr>
            <w:tcW w:w="1134" w:type="dxa"/>
            <w:tcBorders>
              <w:top w:val="single" w:sz="6" w:space="0" w:color="auto"/>
              <w:bottom w:val="single" w:sz="6" w:space="0" w:color="auto"/>
            </w:tcBorders>
            <w:shd w:val="clear" w:color="auto" w:fill="auto"/>
            <w:noWrap/>
            <w:vAlign w:val="center"/>
          </w:tcPr>
          <w:p w14:paraId="4314FADD" w14:textId="448DECA4" w:rsidR="00C56FFB" w:rsidRPr="001B040C" w:rsidRDefault="00C56FFB" w:rsidP="00C56FFB">
            <w:pPr>
              <w:jc w:val="center"/>
              <w:rPr>
                <w:rFonts w:cstheme="minorHAnsi"/>
                <w:color w:val="000000"/>
                <w:sz w:val="18"/>
                <w:szCs w:val="18"/>
              </w:rPr>
            </w:pPr>
            <w:r w:rsidRPr="001B040C">
              <w:rPr>
                <w:rFonts w:cstheme="minorHAnsi"/>
                <w:color w:val="000000"/>
                <w:sz w:val="18"/>
                <w:szCs w:val="18"/>
              </w:rPr>
              <w:t>neuvedeno</w:t>
            </w:r>
          </w:p>
        </w:tc>
        <w:tc>
          <w:tcPr>
            <w:tcW w:w="1860" w:type="dxa"/>
            <w:tcBorders>
              <w:top w:val="single" w:sz="6" w:space="0" w:color="auto"/>
              <w:bottom w:val="single" w:sz="6" w:space="0" w:color="auto"/>
            </w:tcBorders>
            <w:shd w:val="clear" w:color="auto" w:fill="auto"/>
            <w:noWrap/>
            <w:vAlign w:val="center"/>
          </w:tcPr>
          <w:p w14:paraId="16E8C70E" w14:textId="13BC2706" w:rsidR="00C56FFB" w:rsidRPr="001B040C" w:rsidRDefault="00000000" w:rsidP="00C56FFB">
            <w:pPr>
              <w:jc w:val="center"/>
              <w:rPr>
                <w:rFonts w:cstheme="minorHAnsi"/>
                <w:color w:val="000000"/>
                <w:sz w:val="18"/>
                <w:szCs w:val="18"/>
              </w:rPr>
            </w:pPr>
            <w:hyperlink r:id="rId56" w:history="1">
              <w:r w:rsidR="00C56FFB" w:rsidRPr="001B040C">
                <w:rPr>
                  <w:rStyle w:val="Hypertextovodkaz"/>
                  <w:rFonts w:cstheme="minorHAnsi"/>
                  <w:sz w:val="18"/>
                  <w:szCs w:val="18"/>
                </w:rPr>
                <w:t>https://www.4mc.eu/</w:t>
              </w:r>
            </w:hyperlink>
          </w:p>
        </w:tc>
      </w:tr>
      <w:tr w:rsidR="00C56FFB" w:rsidRPr="001B040C" w14:paraId="5B8D7D7C" w14:textId="77777777" w:rsidTr="00657FC7">
        <w:trPr>
          <w:trHeight w:val="300"/>
          <w:jc w:val="center"/>
        </w:trPr>
        <w:tc>
          <w:tcPr>
            <w:tcW w:w="1295" w:type="dxa"/>
            <w:tcBorders>
              <w:top w:val="single" w:sz="6" w:space="0" w:color="auto"/>
              <w:bottom w:val="single" w:sz="6" w:space="0" w:color="auto"/>
            </w:tcBorders>
            <w:shd w:val="clear" w:color="auto" w:fill="FBD4B4" w:themeFill="accent6" w:themeFillTint="66"/>
            <w:noWrap/>
            <w:vAlign w:val="center"/>
          </w:tcPr>
          <w:p w14:paraId="664E7BE0" w14:textId="69DC2735" w:rsidR="00C56FFB" w:rsidRPr="001B040C" w:rsidRDefault="00C56FFB" w:rsidP="00C56FFB">
            <w:pPr>
              <w:jc w:val="center"/>
              <w:rPr>
                <w:rFonts w:cstheme="minorHAnsi"/>
                <w:color w:val="000000"/>
                <w:sz w:val="18"/>
                <w:szCs w:val="18"/>
              </w:rPr>
            </w:pPr>
            <w:r w:rsidRPr="001B040C">
              <w:rPr>
                <w:rFonts w:cstheme="minorHAnsi"/>
                <w:color w:val="000000"/>
                <w:sz w:val="18"/>
                <w:szCs w:val="18"/>
              </w:rPr>
              <w:t>Bungalov s.r.o.</w:t>
            </w:r>
            <w:r w:rsidR="009353D6">
              <w:rPr>
                <w:rFonts w:cstheme="minorHAnsi"/>
                <w:color w:val="000000"/>
                <w:sz w:val="18"/>
                <w:szCs w:val="18"/>
              </w:rPr>
              <w:t>*</w:t>
            </w:r>
          </w:p>
        </w:tc>
        <w:tc>
          <w:tcPr>
            <w:tcW w:w="1701" w:type="dxa"/>
            <w:tcBorders>
              <w:top w:val="single" w:sz="6" w:space="0" w:color="auto"/>
              <w:bottom w:val="single" w:sz="6" w:space="0" w:color="auto"/>
            </w:tcBorders>
            <w:shd w:val="clear" w:color="auto" w:fill="FBD4B4" w:themeFill="accent6" w:themeFillTint="66"/>
            <w:noWrap/>
            <w:vAlign w:val="center"/>
          </w:tcPr>
          <w:p w14:paraId="6BF32AB2" w14:textId="742CD462" w:rsidR="00C56FFB" w:rsidRPr="001B040C" w:rsidRDefault="00C56FFB" w:rsidP="00C56FFB">
            <w:pPr>
              <w:jc w:val="center"/>
              <w:rPr>
                <w:rFonts w:cstheme="minorHAnsi"/>
                <w:color w:val="000000"/>
                <w:sz w:val="18"/>
                <w:szCs w:val="18"/>
              </w:rPr>
            </w:pPr>
            <w:r w:rsidRPr="001B040C">
              <w:rPr>
                <w:rFonts w:cstheme="minorHAnsi"/>
                <w:color w:val="000000"/>
                <w:sz w:val="18"/>
                <w:szCs w:val="18"/>
              </w:rPr>
              <w:t>Činnosti v oblasti stavebnictví</w:t>
            </w:r>
          </w:p>
        </w:tc>
        <w:tc>
          <w:tcPr>
            <w:tcW w:w="2126" w:type="dxa"/>
            <w:tcBorders>
              <w:top w:val="single" w:sz="6" w:space="0" w:color="auto"/>
              <w:bottom w:val="single" w:sz="6" w:space="0" w:color="auto"/>
            </w:tcBorders>
            <w:shd w:val="clear" w:color="auto" w:fill="FBD4B4" w:themeFill="accent6" w:themeFillTint="66"/>
            <w:noWrap/>
            <w:vAlign w:val="center"/>
          </w:tcPr>
          <w:p w14:paraId="6AB9E533" w14:textId="3C01595F" w:rsidR="00C56FFB" w:rsidRPr="001B040C" w:rsidRDefault="00C56FFB" w:rsidP="00C56FFB">
            <w:pPr>
              <w:jc w:val="center"/>
              <w:rPr>
                <w:rFonts w:cstheme="minorHAnsi"/>
                <w:color w:val="000000"/>
                <w:sz w:val="18"/>
                <w:szCs w:val="18"/>
              </w:rPr>
            </w:pPr>
            <w:r w:rsidRPr="001B040C">
              <w:rPr>
                <w:rFonts w:cstheme="minorHAnsi"/>
                <w:color w:val="000000"/>
                <w:sz w:val="18"/>
                <w:szCs w:val="18"/>
              </w:rPr>
              <w:t>Prostřední Staré Buky 226 541 01 Staré Buky</w:t>
            </w:r>
          </w:p>
        </w:tc>
        <w:tc>
          <w:tcPr>
            <w:tcW w:w="993" w:type="dxa"/>
            <w:tcBorders>
              <w:top w:val="single" w:sz="6" w:space="0" w:color="auto"/>
              <w:bottom w:val="single" w:sz="6" w:space="0" w:color="auto"/>
            </w:tcBorders>
            <w:shd w:val="clear" w:color="auto" w:fill="FBD4B4" w:themeFill="accent6" w:themeFillTint="66"/>
            <w:noWrap/>
            <w:vAlign w:val="center"/>
          </w:tcPr>
          <w:p w14:paraId="789ABD26" w14:textId="08614040" w:rsidR="00C56FFB" w:rsidRPr="001B040C" w:rsidRDefault="00C56FFB" w:rsidP="00C56FFB">
            <w:pPr>
              <w:jc w:val="center"/>
              <w:rPr>
                <w:rFonts w:cstheme="minorHAnsi"/>
                <w:color w:val="000000"/>
                <w:sz w:val="18"/>
                <w:szCs w:val="18"/>
              </w:rPr>
            </w:pPr>
            <w:r w:rsidRPr="001B040C">
              <w:rPr>
                <w:rFonts w:cstheme="minorHAnsi"/>
                <w:color w:val="000000"/>
                <w:sz w:val="18"/>
                <w:szCs w:val="18"/>
              </w:rPr>
              <w:t>27539075</w:t>
            </w:r>
          </w:p>
        </w:tc>
        <w:tc>
          <w:tcPr>
            <w:tcW w:w="1134" w:type="dxa"/>
            <w:tcBorders>
              <w:top w:val="single" w:sz="6" w:space="0" w:color="auto"/>
              <w:bottom w:val="single" w:sz="6" w:space="0" w:color="auto"/>
            </w:tcBorders>
            <w:shd w:val="clear" w:color="auto" w:fill="FBD4B4" w:themeFill="accent6" w:themeFillTint="66"/>
            <w:noWrap/>
            <w:vAlign w:val="center"/>
          </w:tcPr>
          <w:p w14:paraId="63576306" w14:textId="15EA8423" w:rsidR="00C56FFB" w:rsidRPr="001B040C" w:rsidRDefault="00C56FFB" w:rsidP="00C56FFB">
            <w:pPr>
              <w:jc w:val="center"/>
              <w:rPr>
                <w:rFonts w:cstheme="minorHAnsi"/>
                <w:color w:val="000000"/>
                <w:sz w:val="18"/>
                <w:szCs w:val="18"/>
              </w:rPr>
            </w:pPr>
            <w:r w:rsidRPr="001B040C">
              <w:rPr>
                <w:rFonts w:cstheme="minorHAnsi"/>
                <w:color w:val="000000"/>
                <w:sz w:val="18"/>
                <w:szCs w:val="18"/>
              </w:rPr>
              <w:t>neuvedeno</w:t>
            </w:r>
          </w:p>
        </w:tc>
        <w:tc>
          <w:tcPr>
            <w:tcW w:w="1860" w:type="dxa"/>
            <w:tcBorders>
              <w:top w:val="single" w:sz="6" w:space="0" w:color="auto"/>
              <w:bottom w:val="single" w:sz="6" w:space="0" w:color="auto"/>
            </w:tcBorders>
            <w:shd w:val="clear" w:color="auto" w:fill="FBD4B4" w:themeFill="accent6" w:themeFillTint="66"/>
            <w:noWrap/>
            <w:vAlign w:val="center"/>
          </w:tcPr>
          <w:p w14:paraId="2A7EBFB6" w14:textId="60DBDE9F" w:rsidR="00C56FFB" w:rsidRPr="001B040C" w:rsidRDefault="00C56FFB" w:rsidP="00C56FFB">
            <w:pPr>
              <w:jc w:val="center"/>
              <w:rPr>
                <w:rFonts w:cstheme="minorHAnsi"/>
                <w:color w:val="000000"/>
                <w:sz w:val="18"/>
                <w:szCs w:val="18"/>
              </w:rPr>
            </w:pPr>
            <w:r w:rsidRPr="001B040C">
              <w:rPr>
                <w:rFonts w:cstheme="minorHAnsi"/>
                <w:color w:val="000000"/>
                <w:sz w:val="18"/>
                <w:szCs w:val="18"/>
              </w:rPr>
              <w:t>nemají</w:t>
            </w:r>
          </w:p>
        </w:tc>
      </w:tr>
      <w:tr w:rsidR="00C56FFB" w:rsidRPr="001B040C" w14:paraId="1C613ED1" w14:textId="77777777" w:rsidTr="001B040C">
        <w:trPr>
          <w:trHeight w:val="300"/>
          <w:jc w:val="center"/>
        </w:trPr>
        <w:tc>
          <w:tcPr>
            <w:tcW w:w="1295" w:type="dxa"/>
            <w:tcBorders>
              <w:top w:val="single" w:sz="6" w:space="0" w:color="auto"/>
              <w:bottom w:val="single" w:sz="6" w:space="0" w:color="auto"/>
            </w:tcBorders>
            <w:shd w:val="clear" w:color="auto" w:fill="D9D9D9" w:themeFill="background1" w:themeFillShade="D9"/>
            <w:noWrap/>
            <w:vAlign w:val="center"/>
          </w:tcPr>
          <w:p w14:paraId="410CEE62" w14:textId="6DF86488" w:rsidR="00C56FFB" w:rsidRPr="001B040C" w:rsidRDefault="00C56FFB" w:rsidP="00C56FFB">
            <w:pPr>
              <w:jc w:val="center"/>
              <w:rPr>
                <w:rFonts w:cstheme="minorHAnsi"/>
                <w:color w:val="000000"/>
                <w:sz w:val="18"/>
                <w:szCs w:val="18"/>
              </w:rPr>
            </w:pPr>
            <w:r w:rsidRPr="001B040C">
              <w:rPr>
                <w:rFonts w:cstheme="minorHAnsi"/>
                <w:color w:val="000000"/>
                <w:sz w:val="18"/>
                <w:szCs w:val="18"/>
              </w:rPr>
              <w:t>Dromos Buky, s.r.o.</w:t>
            </w:r>
          </w:p>
        </w:tc>
        <w:tc>
          <w:tcPr>
            <w:tcW w:w="1701" w:type="dxa"/>
            <w:tcBorders>
              <w:top w:val="single" w:sz="6" w:space="0" w:color="auto"/>
              <w:bottom w:val="single" w:sz="6" w:space="0" w:color="auto"/>
            </w:tcBorders>
            <w:shd w:val="clear" w:color="auto" w:fill="auto"/>
            <w:noWrap/>
            <w:vAlign w:val="center"/>
          </w:tcPr>
          <w:p w14:paraId="2821EA76" w14:textId="6D35AF63" w:rsidR="00C56FFB" w:rsidRPr="001B040C" w:rsidRDefault="00C56FFB" w:rsidP="00C56FFB">
            <w:pPr>
              <w:jc w:val="center"/>
              <w:rPr>
                <w:rFonts w:cstheme="minorHAnsi"/>
                <w:color w:val="000000"/>
                <w:sz w:val="18"/>
                <w:szCs w:val="18"/>
              </w:rPr>
            </w:pPr>
            <w:r w:rsidRPr="001B040C">
              <w:rPr>
                <w:rFonts w:cstheme="minorHAnsi"/>
                <w:color w:val="000000"/>
                <w:sz w:val="18"/>
                <w:szCs w:val="18"/>
              </w:rPr>
              <w:t>Podpůrné činnosti pro zemědělství a posklizňové činnosti</w:t>
            </w:r>
          </w:p>
        </w:tc>
        <w:tc>
          <w:tcPr>
            <w:tcW w:w="2126" w:type="dxa"/>
            <w:tcBorders>
              <w:top w:val="single" w:sz="6" w:space="0" w:color="auto"/>
              <w:bottom w:val="single" w:sz="6" w:space="0" w:color="auto"/>
            </w:tcBorders>
            <w:shd w:val="clear" w:color="auto" w:fill="auto"/>
            <w:noWrap/>
            <w:vAlign w:val="center"/>
          </w:tcPr>
          <w:p w14:paraId="382C87EF" w14:textId="1ACE7671" w:rsidR="00C56FFB" w:rsidRPr="001B040C" w:rsidRDefault="00C56FFB" w:rsidP="00C56FFB">
            <w:pPr>
              <w:jc w:val="center"/>
              <w:rPr>
                <w:rFonts w:cstheme="minorHAnsi"/>
                <w:color w:val="000000"/>
                <w:sz w:val="18"/>
                <w:szCs w:val="18"/>
              </w:rPr>
            </w:pPr>
            <w:r w:rsidRPr="001B040C">
              <w:rPr>
                <w:rFonts w:cstheme="minorHAnsi"/>
                <w:color w:val="000000"/>
                <w:sz w:val="18"/>
                <w:szCs w:val="18"/>
              </w:rPr>
              <w:t>Prostřední Staré Buky 226 541 01 Staré Buky</w:t>
            </w:r>
          </w:p>
        </w:tc>
        <w:tc>
          <w:tcPr>
            <w:tcW w:w="993" w:type="dxa"/>
            <w:tcBorders>
              <w:top w:val="single" w:sz="6" w:space="0" w:color="auto"/>
              <w:bottom w:val="single" w:sz="6" w:space="0" w:color="auto"/>
            </w:tcBorders>
            <w:shd w:val="clear" w:color="auto" w:fill="auto"/>
            <w:noWrap/>
            <w:vAlign w:val="center"/>
          </w:tcPr>
          <w:p w14:paraId="1F67B837" w14:textId="06A3FB83" w:rsidR="00C56FFB" w:rsidRPr="001B040C" w:rsidRDefault="00C56FFB" w:rsidP="00C56FFB">
            <w:pPr>
              <w:jc w:val="center"/>
              <w:rPr>
                <w:rFonts w:cstheme="minorHAnsi"/>
                <w:color w:val="000000"/>
                <w:sz w:val="18"/>
                <w:szCs w:val="18"/>
              </w:rPr>
            </w:pPr>
            <w:r w:rsidRPr="001B040C">
              <w:rPr>
                <w:rFonts w:cstheme="minorHAnsi"/>
                <w:color w:val="000000"/>
                <w:sz w:val="18"/>
                <w:szCs w:val="18"/>
              </w:rPr>
              <w:t>11916419</w:t>
            </w:r>
          </w:p>
        </w:tc>
        <w:tc>
          <w:tcPr>
            <w:tcW w:w="1134" w:type="dxa"/>
            <w:tcBorders>
              <w:top w:val="single" w:sz="6" w:space="0" w:color="auto"/>
              <w:bottom w:val="single" w:sz="6" w:space="0" w:color="auto"/>
            </w:tcBorders>
            <w:shd w:val="clear" w:color="auto" w:fill="auto"/>
            <w:noWrap/>
            <w:vAlign w:val="center"/>
          </w:tcPr>
          <w:p w14:paraId="6912C808" w14:textId="5BF486B0" w:rsidR="00C56FFB" w:rsidRPr="001B040C" w:rsidRDefault="00C56FFB" w:rsidP="00C56FFB">
            <w:pPr>
              <w:jc w:val="center"/>
              <w:rPr>
                <w:rFonts w:cstheme="minorHAnsi"/>
                <w:color w:val="000000"/>
                <w:sz w:val="18"/>
                <w:szCs w:val="18"/>
              </w:rPr>
            </w:pPr>
            <w:r w:rsidRPr="001B040C">
              <w:rPr>
                <w:rFonts w:cstheme="minorHAnsi"/>
                <w:color w:val="000000"/>
                <w:sz w:val="18"/>
                <w:szCs w:val="18"/>
              </w:rPr>
              <w:t>neuvedeno</w:t>
            </w:r>
          </w:p>
        </w:tc>
        <w:tc>
          <w:tcPr>
            <w:tcW w:w="1860" w:type="dxa"/>
            <w:tcBorders>
              <w:top w:val="single" w:sz="6" w:space="0" w:color="auto"/>
              <w:bottom w:val="single" w:sz="6" w:space="0" w:color="auto"/>
            </w:tcBorders>
            <w:shd w:val="clear" w:color="auto" w:fill="auto"/>
            <w:noWrap/>
            <w:vAlign w:val="center"/>
          </w:tcPr>
          <w:p w14:paraId="1090C1A3" w14:textId="4EDFED52" w:rsidR="00C56FFB" w:rsidRPr="001B040C" w:rsidRDefault="00C56FFB" w:rsidP="00C56FFB">
            <w:pPr>
              <w:jc w:val="center"/>
              <w:rPr>
                <w:rFonts w:cstheme="minorHAnsi"/>
                <w:color w:val="000000"/>
                <w:sz w:val="18"/>
                <w:szCs w:val="18"/>
              </w:rPr>
            </w:pPr>
            <w:r w:rsidRPr="001B040C">
              <w:rPr>
                <w:rFonts w:cstheme="minorHAnsi"/>
                <w:color w:val="000000"/>
                <w:sz w:val="18"/>
                <w:szCs w:val="18"/>
              </w:rPr>
              <w:t>nemají</w:t>
            </w:r>
          </w:p>
        </w:tc>
      </w:tr>
      <w:tr w:rsidR="00C56FFB" w:rsidRPr="001B040C" w14:paraId="4761DDA4" w14:textId="77777777" w:rsidTr="001B040C">
        <w:trPr>
          <w:trHeight w:val="300"/>
          <w:jc w:val="center"/>
        </w:trPr>
        <w:tc>
          <w:tcPr>
            <w:tcW w:w="1295" w:type="dxa"/>
            <w:tcBorders>
              <w:top w:val="single" w:sz="6" w:space="0" w:color="auto"/>
              <w:bottom w:val="single" w:sz="6" w:space="0" w:color="auto"/>
            </w:tcBorders>
            <w:shd w:val="clear" w:color="auto" w:fill="D9D9D9" w:themeFill="background1" w:themeFillShade="D9"/>
            <w:noWrap/>
            <w:vAlign w:val="center"/>
          </w:tcPr>
          <w:p w14:paraId="59B39F08" w14:textId="7FA04564" w:rsidR="00C56FFB" w:rsidRPr="001B040C" w:rsidRDefault="00C56FFB" w:rsidP="00C56FFB">
            <w:pPr>
              <w:jc w:val="center"/>
              <w:rPr>
                <w:rFonts w:cstheme="minorHAnsi"/>
                <w:color w:val="000000"/>
                <w:sz w:val="18"/>
                <w:szCs w:val="18"/>
              </w:rPr>
            </w:pPr>
            <w:r w:rsidRPr="001B040C">
              <w:rPr>
                <w:rFonts w:cstheme="minorHAnsi"/>
                <w:color w:val="000000"/>
                <w:sz w:val="18"/>
                <w:szCs w:val="18"/>
              </w:rPr>
              <w:t>MPS 84 s.r.o.</w:t>
            </w:r>
          </w:p>
        </w:tc>
        <w:tc>
          <w:tcPr>
            <w:tcW w:w="1701" w:type="dxa"/>
            <w:tcBorders>
              <w:top w:val="single" w:sz="6" w:space="0" w:color="auto"/>
              <w:bottom w:val="single" w:sz="6" w:space="0" w:color="auto"/>
            </w:tcBorders>
            <w:shd w:val="clear" w:color="auto" w:fill="auto"/>
            <w:noWrap/>
            <w:vAlign w:val="center"/>
          </w:tcPr>
          <w:p w14:paraId="5AE8DE35" w14:textId="42930F07" w:rsidR="00C56FFB" w:rsidRPr="001B040C" w:rsidRDefault="00C56FFB" w:rsidP="00C56FFB">
            <w:pPr>
              <w:jc w:val="center"/>
              <w:rPr>
                <w:rFonts w:cstheme="minorHAnsi"/>
                <w:color w:val="000000"/>
                <w:sz w:val="18"/>
                <w:szCs w:val="18"/>
              </w:rPr>
            </w:pPr>
            <w:r w:rsidRPr="001B040C">
              <w:rPr>
                <w:rFonts w:cstheme="minorHAnsi"/>
                <w:color w:val="000000"/>
                <w:sz w:val="18"/>
                <w:szCs w:val="18"/>
              </w:rPr>
              <w:t>Hostinská činnost</w:t>
            </w:r>
          </w:p>
        </w:tc>
        <w:tc>
          <w:tcPr>
            <w:tcW w:w="2126" w:type="dxa"/>
            <w:tcBorders>
              <w:top w:val="single" w:sz="6" w:space="0" w:color="auto"/>
              <w:bottom w:val="single" w:sz="6" w:space="0" w:color="auto"/>
            </w:tcBorders>
            <w:shd w:val="clear" w:color="auto" w:fill="auto"/>
            <w:noWrap/>
            <w:vAlign w:val="center"/>
          </w:tcPr>
          <w:p w14:paraId="32A16B1A" w14:textId="3B600271" w:rsidR="00C56FFB" w:rsidRPr="001B040C" w:rsidRDefault="00C56FFB" w:rsidP="00C56FFB">
            <w:pPr>
              <w:jc w:val="center"/>
              <w:rPr>
                <w:rFonts w:cstheme="minorHAnsi"/>
                <w:color w:val="000000"/>
                <w:sz w:val="18"/>
                <w:szCs w:val="18"/>
              </w:rPr>
            </w:pPr>
            <w:r w:rsidRPr="001B040C">
              <w:rPr>
                <w:rFonts w:cstheme="minorHAnsi"/>
                <w:color w:val="000000"/>
                <w:sz w:val="18"/>
                <w:szCs w:val="18"/>
              </w:rPr>
              <w:t>Horní Staré Buky 126</w:t>
            </w:r>
            <w:r w:rsidR="001B040C">
              <w:rPr>
                <w:rFonts w:cstheme="minorHAnsi"/>
                <w:color w:val="000000"/>
                <w:sz w:val="18"/>
                <w:szCs w:val="18"/>
              </w:rPr>
              <w:br/>
            </w:r>
            <w:r w:rsidRPr="001B040C">
              <w:rPr>
                <w:rFonts w:cstheme="minorHAnsi"/>
                <w:color w:val="000000"/>
                <w:sz w:val="18"/>
                <w:szCs w:val="18"/>
              </w:rPr>
              <w:t>541 01 Staré Buky</w:t>
            </w:r>
          </w:p>
        </w:tc>
        <w:tc>
          <w:tcPr>
            <w:tcW w:w="993" w:type="dxa"/>
            <w:tcBorders>
              <w:top w:val="single" w:sz="6" w:space="0" w:color="auto"/>
              <w:bottom w:val="single" w:sz="6" w:space="0" w:color="auto"/>
            </w:tcBorders>
            <w:shd w:val="clear" w:color="auto" w:fill="auto"/>
            <w:noWrap/>
            <w:vAlign w:val="center"/>
          </w:tcPr>
          <w:p w14:paraId="759681BC" w14:textId="0A42BA58" w:rsidR="00C56FFB" w:rsidRPr="001B040C" w:rsidRDefault="00C56FFB" w:rsidP="00C56FFB">
            <w:pPr>
              <w:jc w:val="center"/>
              <w:rPr>
                <w:rFonts w:cstheme="minorHAnsi"/>
                <w:color w:val="000000"/>
                <w:sz w:val="18"/>
                <w:szCs w:val="18"/>
              </w:rPr>
            </w:pPr>
            <w:r w:rsidRPr="001B040C">
              <w:rPr>
                <w:rFonts w:cstheme="minorHAnsi"/>
                <w:color w:val="000000"/>
                <w:sz w:val="18"/>
                <w:szCs w:val="18"/>
              </w:rPr>
              <w:t>05193745</w:t>
            </w:r>
          </w:p>
        </w:tc>
        <w:tc>
          <w:tcPr>
            <w:tcW w:w="1134" w:type="dxa"/>
            <w:tcBorders>
              <w:top w:val="single" w:sz="6" w:space="0" w:color="auto"/>
              <w:bottom w:val="single" w:sz="6" w:space="0" w:color="auto"/>
            </w:tcBorders>
            <w:shd w:val="clear" w:color="auto" w:fill="auto"/>
            <w:noWrap/>
            <w:vAlign w:val="center"/>
          </w:tcPr>
          <w:p w14:paraId="29FBF977" w14:textId="3CF36D34" w:rsidR="00C56FFB" w:rsidRPr="001B040C" w:rsidRDefault="00C56FFB" w:rsidP="00C56FFB">
            <w:pPr>
              <w:jc w:val="center"/>
              <w:rPr>
                <w:rFonts w:cstheme="minorHAnsi"/>
                <w:color w:val="000000"/>
                <w:sz w:val="18"/>
                <w:szCs w:val="18"/>
              </w:rPr>
            </w:pPr>
            <w:r w:rsidRPr="001B040C">
              <w:rPr>
                <w:rFonts w:cstheme="minorHAnsi"/>
                <w:color w:val="000000"/>
                <w:sz w:val="18"/>
                <w:szCs w:val="18"/>
              </w:rPr>
              <w:t>neuvedeno</w:t>
            </w:r>
          </w:p>
        </w:tc>
        <w:tc>
          <w:tcPr>
            <w:tcW w:w="1860" w:type="dxa"/>
            <w:tcBorders>
              <w:top w:val="single" w:sz="6" w:space="0" w:color="auto"/>
              <w:bottom w:val="single" w:sz="6" w:space="0" w:color="auto"/>
            </w:tcBorders>
            <w:shd w:val="clear" w:color="auto" w:fill="auto"/>
            <w:noWrap/>
            <w:vAlign w:val="center"/>
          </w:tcPr>
          <w:p w14:paraId="429E20EC" w14:textId="61B1364F" w:rsidR="00C56FFB" w:rsidRPr="001B040C" w:rsidRDefault="00C56FFB" w:rsidP="00C56FFB">
            <w:pPr>
              <w:jc w:val="center"/>
              <w:rPr>
                <w:rFonts w:cstheme="minorHAnsi"/>
                <w:color w:val="000000"/>
                <w:sz w:val="18"/>
                <w:szCs w:val="18"/>
              </w:rPr>
            </w:pPr>
            <w:r w:rsidRPr="001B040C">
              <w:rPr>
                <w:rFonts w:cstheme="minorHAnsi"/>
                <w:color w:val="000000"/>
                <w:sz w:val="18"/>
                <w:szCs w:val="18"/>
              </w:rPr>
              <w:t>nemají</w:t>
            </w:r>
          </w:p>
        </w:tc>
      </w:tr>
      <w:tr w:rsidR="00C56FFB" w:rsidRPr="001B040C" w14:paraId="7AF2F03C" w14:textId="77777777" w:rsidTr="001B040C">
        <w:trPr>
          <w:trHeight w:val="300"/>
          <w:jc w:val="center"/>
        </w:trPr>
        <w:tc>
          <w:tcPr>
            <w:tcW w:w="1295" w:type="dxa"/>
            <w:tcBorders>
              <w:top w:val="single" w:sz="6" w:space="0" w:color="auto"/>
              <w:bottom w:val="single" w:sz="6" w:space="0" w:color="auto"/>
            </w:tcBorders>
            <w:shd w:val="clear" w:color="auto" w:fill="D9D9D9" w:themeFill="background1" w:themeFillShade="D9"/>
            <w:noWrap/>
            <w:vAlign w:val="center"/>
          </w:tcPr>
          <w:p w14:paraId="1080C99A" w14:textId="667D6D68" w:rsidR="00C56FFB" w:rsidRPr="001B040C" w:rsidRDefault="00C56FFB" w:rsidP="00C56FFB">
            <w:pPr>
              <w:jc w:val="center"/>
              <w:rPr>
                <w:rFonts w:cstheme="minorHAnsi"/>
                <w:color w:val="000000"/>
                <w:sz w:val="18"/>
                <w:szCs w:val="18"/>
              </w:rPr>
            </w:pPr>
            <w:r w:rsidRPr="001B040C">
              <w:rPr>
                <w:rFonts w:cstheme="minorHAnsi"/>
                <w:color w:val="000000"/>
                <w:sz w:val="18"/>
                <w:szCs w:val="18"/>
              </w:rPr>
              <w:t>Nero Buky s.r.o.</w:t>
            </w:r>
          </w:p>
        </w:tc>
        <w:tc>
          <w:tcPr>
            <w:tcW w:w="1701" w:type="dxa"/>
            <w:tcBorders>
              <w:top w:val="single" w:sz="6" w:space="0" w:color="auto"/>
              <w:bottom w:val="single" w:sz="6" w:space="0" w:color="auto"/>
            </w:tcBorders>
            <w:shd w:val="clear" w:color="auto" w:fill="auto"/>
            <w:noWrap/>
            <w:vAlign w:val="center"/>
          </w:tcPr>
          <w:p w14:paraId="37C2D770" w14:textId="74DB2085" w:rsidR="00C56FFB" w:rsidRPr="001B040C" w:rsidRDefault="00C56FFB" w:rsidP="00C56FFB">
            <w:pPr>
              <w:jc w:val="center"/>
              <w:rPr>
                <w:rFonts w:cstheme="minorHAnsi"/>
                <w:color w:val="000000"/>
                <w:sz w:val="18"/>
                <w:szCs w:val="18"/>
              </w:rPr>
            </w:pPr>
            <w:r w:rsidRPr="001B040C">
              <w:rPr>
                <w:rFonts w:cstheme="minorHAnsi"/>
                <w:color w:val="000000"/>
                <w:sz w:val="18"/>
                <w:szCs w:val="18"/>
              </w:rPr>
              <w:t>Podpůrné činnosti pro lesnictví</w:t>
            </w:r>
          </w:p>
        </w:tc>
        <w:tc>
          <w:tcPr>
            <w:tcW w:w="2126" w:type="dxa"/>
            <w:tcBorders>
              <w:top w:val="single" w:sz="6" w:space="0" w:color="auto"/>
              <w:bottom w:val="single" w:sz="6" w:space="0" w:color="auto"/>
            </w:tcBorders>
            <w:shd w:val="clear" w:color="auto" w:fill="auto"/>
            <w:noWrap/>
            <w:vAlign w:val="center"/>
          </w:tcPr>
          <w:p w14:paraId="48CFA9E5" w14:textId="2A420B2C" w:rsidR="00C56FFB" w:rsidRPr="001B040C" w:rsidRDefault="00C56FFB" w:rsidP="00C56FFB">
            <w:pPr>
              <w:jc w:val="center"/>
              <w:rPr>
                <w:rFonts w:cstheme="minorHAnsi"/>
                <w:color w:val="000000"/>
                <w:sz w:val="18"/>
                <w:szCs w:val="18"/>
              </w:rPr>
            </w:pPr>
            <w:r w:rsidRPr="001B040C">
              <w:rPr>
                <w:rFonts w:cstheme="minorHAnsi"/>
                <w:color w:val="000000"/>
                <w:sz w:val="18"/>
                <w:szCs w:val="18"/>
              </w:rPr>
              <w:t>Prostřední Staré Buky 226</w:t>
            </w:r>
            <w:r w:rsidR="001B040C">
              <w:rPr>
                <w:rFonts w:cstheme="minorHAnsi"/>
                <w:color w:val="000000"/>
                <w:sz w:val="18"/>
                <w:szCs w:val="18"/>
              </w:rPr>
              <w:br/>
            </w:r>
            <w:r w:rsidRPr="001B040C">
              <w:rPr>
                <w:rFonts w:cstheme="minorHAnsi"/>
                <w:color w:val="000000"/>
                <w:sz w:val="18"/>
                <w:szCs w:val="18"/>
              </w:rPr>
              <w:t>541 01 Staré Buky</w:t>
            </w:r>
          </w:p>
        </w:tc>
        <w:tc>
          <w:tcPr>
            <w:tcW w:w="993" w:type="dxa"/>
            <w:tcBorders>
              <w:top w:val="single" w:sz="6" w:space="0" w:color="auto"/>
              <w:bottom w:val="single" w:sz="6" w:space="0" w:color="auto"/>
            </w:tcBorders>
            <w:shd w:val="clear" w:color="auto" w:fill="auto"/>
            <w:noWrap/>
            <w:vAlign w:val="center"/>
          </w:tcPr>
          <w:p w14:paraId="61B59799" w14:textId="3E8AA7E9" w:rsidR="00C56FFB" w:rsidRPr="001B040C" w:rsidRDefault="00C56FFB" w:rsidP="00C56FFB">
            <w:pPr>
              <w:jc w:val="center"/>
              <w:rPr>
                <w:rFonts w:cstheme="minorHAnsi"/>
                <w:color w:val="000000"/>
                <w:sz w:val="18"/>
                <w:szCs w:val="18"/>
              </w:rPr>
            </w:pPr>
            <w:r w:rsidRPr="001B040C">
              <w:rPr>
                <w:rFonts w:cstheme="minorHAnsi"/>
                <w:color w:val="000000"/>
                <w:sz w:val="18"/>
                <w:szCs w:val="18"/>
              </w:rPr>
              <w:t>11916036</w:t>
            </w:r>
          </w:p>
        </w:tc>
        <w:tc>
          <w:tcPr>
            <w:tcW w:w="1134" w:type="dxa"/>
            <w:tcBorders>
              <w:top w:val="single" w:sz="6" w:space="0" w:color="auto"/>
              <w:bottom w:val="single" w:sz="6" w:space="0" w:color="auto"/>
            </w:tcBorders>
            <w:shd w:val="clear" w:color="auto" w:fill="auto"/>
            <w:noWrap/>
            <w:vAlign w:val="center"/>
          </w:tcPr>
          <w:p w14:paraId="0E85A785" w14:textId="68586F42" w:rsidR="00C56FFB" w:rsidRPr="001B040C" w:rsidRDefault="00C56FFB" w:rsidP="00C56FFB">
            <w:pPr>
              <w:jc w:val="center"/>
              <w:rPr>
                <w:rFonts w:cstheme="minorHAnsi"/>
                <w:color w:val="000000"/>
                <w:sz w:val="18"/>
                <w:szCs w:val="18"/>
              </w:rPr>
            </w:pPr>
            <w:r w:rsidRPr="001B040C">
              <w:rPr>
                <w:rFonts w:cstheme="minorHAnsi"/>
                <w:color w:val="000000"/>
                <w:sz w:val="18"/>
                <w:szCs w:val="18"/>
              </w:rPr>
              <w:t>neuvedeno</w:t>
            </w:r>
          </w:p>
        </w:tc>
        <w:tc>
          <w:tcPr>
            <w:tcW w:w="1860" w:type="dxa"/>
            <w:tcBorders>
              <w:top w:val="single" w:sz="6" w:space="0" w:color="auto"/>
              <w:bottom w:val="single" w:sz="6" w:space="0" w:color="auto"/>
            </w:tcBorders>
            <w:shd w:val="clear" w:color="auto" w:fill="auto"/>
            <w:noWrap/>
            <w:vAlign w:val="center"/>
          </w:tcPr>
          <w:p w14:paraId="3878521D" w14:textId="23B11A1C" w:rsidR="00C56FFB" w:rsidRPr="001B040C" w:rsidRDefault="00C56FFB" w:rsidP="00C56FFB">
            <w:pPr>
              <w:jc w:val="center"/>
              <w:rPr>
                <w:rFonts w:cstheme="minorHAnsi"/>
                <w:color w:val="000000"/>
                <w:sz w:val="18"/>
                <w:szCs w:val="18"/>
              </w:rPr>
            </w:pPr>
            <w:r w:rsidRPr="001B040C">
              <w:rPr>
                <w:rFonts w:cstheme="minorHAnsi"/>
                <w:color w:val="000000"/>
                <w:sz w:val="18"/>
                <w:szCs w:val="18"/>
              </w:rPr>
              <w:t>nemají</w:t>
            </w:r>
          </w:p>
        </w:tc>
      </w:tr>
      <w:tr w:rsidR="00C56FFB" w:rsidRPr="001B040C" w14:paraId="6A1B7DA0" w14:textId="77777777" w:rsidTr="00657FC7">
        <w:trPr>
          <w:trHeight w:val="300"/>
          <w:jc w:val="center"/>
        </w:trPr>
        <w:tc>
          <w:tcPr>
            <w:tcW w:w="1295" w:type="dxa"/>
            <w:tcBorders>
              <w:top w:val="single" w:sz="6" w:space="0" w:color="auto"/>
              <w:bottom w:val="single" w:sz="6" w:space="0" w:color="auto"/>
            </w:tcBorders>
            <w:shd w:val="clear" w:color="auto" w:fill="FBD4B4" w:themeFill="accent6" w:themeFillTint="66"/>
            <w:noWrap/>
            <w:vAlign w:val="center"/>
          </w:tcPr>
          <w:p w14:paraId="54F7157F" w14:textId="72094D02" w:rsidR="00C56FFB" w:rsidRPr="001B040C" w:rsidRDefault="00C56FFB" w:rsidP="00C56FFB">
            <w:pPr>
              <w:jc w:val="center"/>
              <w:rPr>
                <w:rFonts w:cstheme="minorHAnsi"/>
                <w:color w:val="000000"/>
                <w:sz w:val="18"/>
                <w:szCs w:val="18"/>
              </w:rPr>
            </w:pPr>
            <w:r w:rsidRPr="001B040C">
              <w:rPr>
                <w:rFonts w:cstheme="minorHAnsi"/>
                <w:color w:val="000000"/>
                <w:sz w:val="18"/>
                <w:szCs w:val="18"/>
              </w:rPr>
              <w:t>Starobucká s.r.o.</w:t>
            </w:r>
            <w:r w:rsidR="009353D6">
              <w:rPr>
                <w:rFonts w:cstheme="minorHAnsi"/>
                <w:color w:val="000000"/>
                <w:sz w:val="18"/>
                <w:szCs w:val="18"/>
              </w:rPr>
              <w:t>*</w:t>
            </w:r>
          </w:p>
        </w:tc>
        <w:tc>
          <w:tcPr>
            <w:tcW w:w="1701" w:type="dxa"/>
            <w:tcBorders>
              <w:top w:val="single" w:sz="6" w:space="0" w:color="auto"/>
              <w:bottom w:val="single" w:sz="6" w:space="0" w:color="auto"/>
            </w:tcBorders>
            <w:shd w:val="clear" w:color="auto" w:fill="FBD4B4" w:themeFill="accent6" w:themeFillTint="66"/>
            <w:noWrap/>
            <w:vAlign w:val="center"/>
          </w:tcPr>
          <w:p w14:paraId="260091F7" w14:textId="204F586A" w:rsidR="00C56FFB" w:rsidRPr="001B040C" w:rsidRDefault="00C56FFB" w:rsidP="00C56FFB">
            <w:pPr>
              <w:jc w:val="center"/>
              <w:rPr>
                <w:rFonts w:cstheme="minorHAnsi"/>
                <w:color w:val="000000"/>
                <w:sz w:val="18"/>
                <w:szCs w:val="18"/>
              </w:rPr>
            </w:pPr>
            <w:r w:rsidRPr="001B040C">
              <w:rPr>
                <w:rFonts w:cstheme="minorHAnsi"/>
                <w:color w:val="000000"/>
                <w:sz w:val="18"/>
                <w:szCs w:val="18"/>
              </w:rPr>
              <w:t>Ostatní profesní, vědecké a technické činnosti</w:t>
            </w:r>
          </w:p>
        </w:tc>
        <w:tc>
          <w:tcPr>
            <w:tcW w:w="2126" w:type="dxa"/>
            <w:tcBorders>
              <w:top w:val="single" w:sz="6" w:space="0" w:color="auto"/>
              <w:bottom w:val="single" w:sz="6" w:space="0" w:color="auto"/>
            </w:tcBorders>
            <w:shd w:val="clear" w:color="auto" w:fill="FBD4B4" w:themeFill="accent6" w:themeFillTint="66"/>
            <w:noWrap/>
            <w:vAlign w:val="center"/>
          </w:tcPr>
          <w:p w14:paraId="7EEC68A0" w14:textId="38777657" w:rsidR="00C56FFB" w:rsidRPr="001B040C" w:rsidRDefault="00C56FFB" w:rsidP="00C56FFB">
            <w:pPr>
              <w:jc w:val="center"/>
              <w:rPr>
                <w:rFonts w:cstheme="minorHAnsi"/>
                <w:color w:val="000000"/>
                <w:sz w:val="18"/>
                <w:szCs w:val="18"/>
              </w:rPr>
            </w:pPr>
            <w:r w:rsidRPr="001B040C">
              <w:rPr>
                <w:rFonts w:cstheme="minorHAnsi"/>
                <w:color w:val="000000"/>
                <w:sz w:val="18"/>
                <w:szCs w:val="18"/>
              </w:rPr>
              <w:t>Prostřední Staré Buky 226</w:t>
            </w:r>
            <w:r w:rsidR="001B040C">
              <w:rPr>
                <w:rFonts w:cstheme="minorHAnsi"/>
                <w:color w:val="000000"/>
                <w:sz w:val="18"/>
                <w:szCs w:val="18"/>
              </w:rPr>
              <w:br/>
            </w:r>
            <w:r w:rsidRPr="001B040C">
              <w:rPr>
                <w:rFonts w:cstheme="minorHAnsi"/>
                <w:color w:val="000000"/>
                <w:sz w:val="18"/>
                <w:szCs w:val="18"/>
              </w:rPr>
              <w:t>541 01 Staré Buky</w:t>
            </w:r>
          </w:p>
        </w:tc>
        <w:tc>
          <w:tcPr>
            <w:tcW w:w="993" w:type="dxa"/>
            <w:tcBorders>
              <w:top w:val="single" w:sz="6" w:space="0" w:color="auto"/>
              <w:bottom w:val="single" w:sz="6" w:space="0" w:color="auto"/>
            </w:tcBorders>
            <w:shd w:val="clear" w:color="auto" w:fill="FBD4B4" w:themeFill="accent6" w:themeFillTint="66"/>
            <w:noWrap/>
            <w:vAlign w:val="center"/>
          </w:tcPr>
          <w:p w14:paraId="4E76AF4C" w14:textId="522F7215" w:rsidR="00C56FFB" w:rsidRPr="001B040C" w:rsidRDefault="00C56FFB" w:rsidP="00C56FFB">
            <w:pPr>
              <w:jc w:val="center"/>
              <w:rPr>
                <w:rFonts w:cstheme="minorHAnsi"/>
                <w:color w:val="000000"/>
                <w:sz w:val="18"/>
                <w:szCs w:val="18"/>
              </w:rPr>
            </w:pPr>
            <w:r w:rsidRPr="001B040C">
              <w:rPr>
                <w:rFonts w:cstheme="minorHAnsi"/>
                <w:color w:val="000000"/>
                <w:sz w:val="18"/>
                <w:szCs w:val="18"/>
              </w:rPr>
              <w:t>04433211</w:t>
            </w:r>
          </w:p>
        </w:tc>
        <w:tc>
          <w:tcPr>
            <w:tcW w:w="1134" w:type="dxa"/>
            <w:tcBorders>
              <w:top w:val="single" w:sz="6" w:space="0" w:color="auto"/>
              <w:bottom w:val="single" w:sz="6" w:space="0" w:color="auto"/>
            </w:tcBorders>
            <w:shd w:val="clear" w:color="auto" w:fill="FBD4B4" w:themeFill="accent6" w:themeFillTint="66"/>
            <w:noWrap/>
            <w:vAlign w:val="center"/>
          </w:tcPr>
          <w:p w14:paraId="3A2FC31D" w14:textId="01386AE5" w:rsidR="00C56FFB" w:rsidRPr="001B040C" w:rsidRDefault="00C56FFB" w:rsidP="00C56FFB">
            <w:pPr>
              <w:jc w:val="center"/>
              <w:rPr>
                <w:rFonts w:cstheme="minorHAnsi"/>
                <w:color w:val="000000"/>
                <w:sz w:val="18"/>
                <w:szCs w:val="18"/>
              </w:rPr>
            </w:pPr>
            <w:r w:rsidRPr="001B040C">
              <w:rPr>
                <w:rFonts w:cstheme="minorHAnsi"/>
                <w:color w:val="000000"/>
                <w:sz w:val="18"/>
                <w:szCs w:val="18"/>
              </w:rPr>
              <w:t>neuvedeno</w:t>
            </w:r>
          </w:p>
        </w:tc>
        <w:tc>
          <w:tcPr>
            <w:tcW w:w="1860" w:type="dxa"/>
            <w:tcBorders>
              <w:top w:val="single" w:sz="6" w:space="0" w:color="auto"/>
              <w:bottom w:val="single" w:sz="6" w:space="0" w:color="auto"/>
            </w:tcBorders>
            <w:shd w:val="clear" w:color="auto" w:fill="FBD4B4" w:themeFill="accent6" w:themeFillTint="66"/>
            <w:noWrap/>
            <w:vAlign w:val="center"/>
          </w:tcPr>
          <w:p w14:paraId="555CF478" w14:textId="6C698FCE" w:rsidR="00C56FFB" w:rsidRPr="001B040C" w:rsidRDefault="00C56FFB" w:rsidP="00C56FFB">
            <w:pPr>
              <w:jc w:val="center"/>
              <w:rPr>
                <w:rFonts w:cstheme="minorHAnsi"/>
                <w:color w:val="000000"/>
                <w:sz w:val="18"/>
                <w:szCs w:val="18"/>
              </w:rPr>
            </w:pPr>
            <w:r w:rsidRPr="001B040C">
              <w:rPr>
                <w:rFonts w:cstheme="minorHAnsi"/>
                <w:color w:val="000000"/>
                <w:sz w:val="18"/>
                <w:szCs w:val="18"/>
              </w:rPr>
              <w:t>nemají</w:t>
            </w:r>
          </w:p>
        </w:tc>
      </w:tr>
      <w:tr w:rsidR="00C56FFB" w:rsidRPr="001B040C" w14:paraId="72983834" w14:textId="77777777" w:rsidTr="001B040C">
        <w:trPr>
          <w:trHeight w:val="300"/>
          <w:jc w:val="center"/>
        </w:trPr>
        <w:tc>
          <w:tcPr>
            <w:tcW w:w="1295" w:type="dxa"/>
            <w:tcBorders>
              <w:top w:val="single" w:sz="6" w:space="0" w:color="auto"/>
              <w:bottom w:val="single" w:sz="6" w:space="0" w:color="auto"/>
            </w:tcBorders>
            <w:shd w:val="clear" w:color="auto" w:fill="D9D9D9" w:themeFill="background1" w:themeFillShade="D9"/>
            <w:noWrap/>
            <w:vAlign w:val="center"/>
          </w:tcPr>
          <w:p w14:paraId="3BAF61C1" w14:textId="28BED005" w:rsidR="00C56FFB" w:rsidRPr="001B040C" w:rsidRDefault="00C56FFB" w:rsidP="00C56FFB">
            <w:pPr>
              <w:jc w:val="center"/>
              <w:rPr>
                <w:rFonts w:cstheme="minorHAnsi"/>
                <w:color w:val="000000"/>
                <w:sz w:val="18"/>
                <w:szCs w:val="18"/>
              </w:rPr>
            </w:pPr>
            <w:r w:rsidRPr="001B040C">
              <w:rPr>
                <w:rFonts w:cstheme="minorHAnsi"/>
                <w:color w:val="000000"/>
                <w:sz w:val="18"/>
                <w:szCs w:val="18"/>
              </w:rPr>
              <w:t>VP STAR s.r.o.</w:t>
            </w:r>
          </w:p>
        </w:tc>
        <w:tc>
          <w:tcPr>
            <w:tcW w:w="1701" w:type="dxa"/>
            <w:tcBorders>
              <w:top w:val="single" w:sz="6" w:space="0" w:color="auto"/>
              <w:bottom w:val="single" w:sz="6" w:space="0" w:color="auto"/>
            </w:tcBorders>
            <w:shd w:val="clear" w:color="auto" w:fill="auto"/>
            <w:noWrap/>
            <w:vAlign w:val="center"/>
          </w:tcPr>
          <w:p w14:paraId="524601E7" w14:textId="3B3F0A56" w:rsidR="00C56FFB" w:rsidRPr="001B040C" w:rsidRDefault="00C56FFB" w:rsidP="00C56FFB">
            <w:pPr>
              <w:jc w:val="center"/>
              <w:rPr>
                <w:rFonts w:cstheme="minorHAnsi"/>
                <w:color w:val="000000"/>
                <w:sz w:val="18"/>
                <w:szCs w:val="18"/>
              </w:rPr>
            </w:pPr>
            <w:r w:rsidRPr="001B040C">
              <w:rPr>
                <w:rFonts w:cstheme="minorHAnsi"/>
                <w:color w:val="000000"/>
                <w:sz w:val="18"/>
                <w:szCs w:val="18"/>
              </w:rPr>
              <w:t>Činnosti v oblasti stavebnictví</w:t>
            </w:r>
          </w:p>
        </w:tc>
        <w:tc>
          <w:tcPr>
            <w:tcW w:w="2126" w:type="dxa"/>
            <w:tcBorders>
              <w:top w:val="single" w:sz="6" w:space="0" w:color="auto"/>
              <w:bottom w:val="single" w:sz="6" w:space="0" w:color="auto"/>
            </w:tcBorders>
            <w:shd w:val="clear" w:color="auto" w:fill="auto"/>
            <w:noWrap/>
            <w:vAlign w:val="center"/>
          </w:tcPr>
          <w:p w14:paraId="62C3DE1F" w14:textId="43253C51" w:rsidR="00C56FFB" w:rsidRPr="001B040C" w:rsidRDefault="00C56FFB" w:rsidP="00C56FFB">
            <w:pPr>
              <w:jc w:val="center"/>
              <w:rPr>
                <w:rFonts w:cstheme="minorHAnsi"/>
                <w:color w:val="000000"/>
                <w:sz w:val="18"/>
                <w:szCs w:val="18"/>
              </w:rPr>
            </w:pPr>
            <w:r w:rsidRPr="001B040C">
              <w:rPr>
                <w:rFonts w:cstheme="minorHAnsi"/>
                <w:color w:val="000000"/>
                <w:sz w:val="18"/>
                <w:szCs w:val="18"/>
              </w:rPr>
              <w:t>Horní Staré Buky 250</w:t>
            </w:r>
            <w:r w:rsidR="001B040C">
              <w:rPr>
                <w:rFonts w:cstheme="minorHAnsi"/>
                <w:color w:val="000000"/>
                <w:sz w:val="18"/>
                <w:szCs w:val="18"/>
              </w:rPr>
              <w:br/>
            </w:r>
            <w:r w:rsidRPr="001B040C">
              <w:rPr>
                <w:rFonts w:cstheme="minorHAnsi"/>
                <w:color w:val="000000"/>
                <w:sz w:val="18"/>
                <w:szCs w:val="18"/>
              </w:rPr>
              <w:t>541 01 Staré Buky</w:t>
            </w:r>
          </w:p>
        </w:tc>
        <w:tc>
          <w:tcPr>
            <w:tcW w:w="993" w:type="dxa"/>
            <w:tcBorders>
              <w:top w:val="single" w:sz="6" w:space="0" w:color="auto"/>
              <w:bottom w:val="single" w:sz="6" w:space="0" w:color="auto"/>
            </w:tcBorders>
            <w:shd w:val="clear" w:color="auto" w:fill="auto"/>
            <w:noWrap/>
            <w:vAlign w:val="center"/>
          </w:tcPr>
          <w:p w14:paraId="0F2D37FC" w14:textId="498C637C" w:rsidR="00C56FFB" w:rsidRPr="001B040C" w:rsidRDefault="00C56FFB" w:rsidP="00C56FFB">
            <w:pPr>
              <w:jc w:val="center"/>
              <w:rPr>
                <w:rFonts w:cstheme="minorHAnsi"/>
                <w:color w:val="000000"/>
                <w:sz w:val="18"/>
                <w:szCs w:val="18"/>
              </w:rPr>
            </w:pPr>
            <w:r w:rsidRPr="001B040C">
              <w:rPr>
                <w:rFonts w:cstheme="minorHAnsi"/>
                <w:color w:val="000000"/>
                <w:sz w:val="18"/>
                <w:szCs w:val="18"/>
              </w:rPr>
              <w:t>28850068</w:t>
            </w:r>
          </w:p>
        </w:tc>
        <w:tc>
          <w:tcPr>
            <w:tcW w:w="1134" w:type="dxa"/>
            <w:tcBorders>
              <w:top w:val="single" w:sz="6" w:space="0" w:color="auto"/>
              <w:bottom w:val="single" w:sz="6" w:space="0" w:color="auto"/>
            </w:tcBorders>
            <w:shd w:val="clear" w:color="auto" w:fill="auto"/>
            <w:noWrap/>
            <w:vAlign w:val="center"/>
          </w:tcPr>
          <w:p w14:paraId="54C98787" w14:textId="29D15734" w:rsidR="00C56FFB" w:rsidRPr="001B040C" w:rsidRDefault="00C56FFB" w:rsidP="00C56FFB">
            <w:pPr>
              <w:jc w:val="center"/>
              <w:rPr>
                <w:rFonts w:cstheme="minorHAnsi"/>
                <w:color w:val="000000"/>
                <w:sz w:val="18"/>
                <w:szCs w:val="18"/>
              </w:rPr>
            </w:pPr>
            <w:r w:rsidRPr="001B040C">
              <w:rPr>
                <w:rFonts w:cstheme="minorHAnsi"/>
                <w:color w:val="000000"/>
                <w:sz w:val="18"/>
                <w:szCs w:val="18"/>
              </w:rPr>
              <w:t>neuvedeno</w:t>
            </w:r>
          </w:p>
        </w:tc>
        <w:tc>
          <w:tcPr>
            <w:tcW w:w="1860" w:type="dxa"/>
            <w:tcBorders>
              <w:top w:val="single" w:sz="6" w:space="0" w:color="auto"/>
              <w:bottom w:val="single" w:sz="6" w:space="0" w:color="auto"/>
            </w:tcBorders>
            <w:shd w:val="clear" w:color="auto" w:fill="auto"/>
            <w:noWrap/>
            <w:vAlign w:val="center"/>
          </w:tcPr>
          <w:p w14:paraId="52611CBC" w14:textId="5F0B207C" w:rsidR="00C56FFB" w:rsidRPr="001B040C" w:rsidRDefault="00000000" w:rsidP="00C56FFB">
            <w:pPr>
              <w:jc w:val="center"/>
              <w:rPr>
                <w:rFonts w:cstheme="minorHAnsi"/>
                <w:color w:val="000000"/>
                <w:sz w:val="18"/>
                <w:szCs w:val="18"/>
              </w:rPr>
            </w:pPr>
            <w:hyperlink r:id="rId57" w:history="1">
              <w:r w:rsidR="00C56FFB" w:rsidRPr="001B040C">
                <w:rPr>
                  <w:rStyle w:val="Hypertextovodkaz"/>
                  <w:rFonts w:cstheme="minorHAnsi"/>
                  <w:sz w:val="18"/>
                  <w:szCs w:val="18"/>
                </w:rPr>
                <w:t>https://vpstar.cz/</w:t>
              </w:r>
            </w:hyperlink>
          </w:p>
        </w:tc>
      </w:tr>
      <w:tr w:rsidR="00C56FFB" w:rsidRPr="001B040C" w14:paraId="57FD371E" w14:textId="77777777" w:rsidTr="001B040C">
        <w:trPr>
          <w:trHeight w:val="300"/>
          <w:jc w:val="center"/>
        </w:trPr>
        <w:tc>
          <w:tcPr>
            <w:tcW w:w="1295" w:type="dxa"/>
            <w:tcBorders>
              <w:top w:val="single" w:sz="6" w:space="0" w:color="auto"/>
              <w:bottom w:val="single" w:sz="18" w:space="0" w:color="auto"/>
            </w:tcBorders>
            <w:shd w:val="clear" w:color="auto" w:fill="D9D9D9" w:themeFill="background1" w:themeFillShade="D9"/>
            <w:noWrap/>
            <w:vAlign w:val="center"/>
          </w:tcPr>
          <w:p w14:paraId="5E13EC1D" w14:textId="48EA1089" w:rsidR="00C56FFB" w:rsidRPr="001B040C" w:rsidRDefault="00C56FFB" w:rsidP="00C56FFB">
            <w:pPr>
              <w:jc w:val="center"/>
              <w:rPr>
                <w:rFonts w:cstheme="minorHAnsi"/>
                <w:color w:val="000000"/>
                <w:sz w:val="18"/>
                <w:szCs w:val="18"/>
              </w:rPr>
            </w:pPr>
            <w:r w:rsidRPr="001B040C">
              <w:rPr>
                <w:rFonts w:cstheme="minorHAnsi"/>
                <w:color w:val="000000"/>
                <w:sz w:val="18"/>
                <w:szCs w:val="18"/>
              </w:rPr>
              <w:t>ZDRAVÁ FARMA s.r.o.</w:t>
            </w:r>
          </w:p>
        </w:tc>
        <w:tc>
          <w:tcPr>
            <w:tcW w:w="1701" w:type="dxa"/>
            <w:tcBorders>
              <w:top w:val="single" w:sz="6" w:space="0" w:color="auto"/>
              <w:bottom w:val="single" w:sz="18" w:space="0" w:color="auto"/>
            </w:tcBorders>
            <w:shd w:val="clear" w:color="auto" w:fill="auto"/>
            <w:noWrap/>
            <w:vAlign w:val="center"/>
          </w:tcPr>
          <w:p w14:paraId="3D560E38" w14:textId="5689294A" w:rsidR="00C56FFB" w:rsidRPr="001B040C" w:rsidRDefault="00C56FFB" w:rsidP="00C56FFB">
            <w:pPr>
              <w:jc w:val="center"/>
              <w:rPr>
                <w:rFonts w:cstheme="minorHAnsi"/>
                <w:color w:val="000000"/>
                <w:sz w:val="18"/>
                <w:szCs w:val="18"/>
              </w:rPr>
            </w:pPr>
            <w:r w:rsidRPr="001B040C">
              <w:rPr>
                <w:rFonts w:cstheme="minorHAnsi"/>
                <w:color w:val="000000"/>
                <w:sz w:val="18"/>
                <w:szCs w:val="18"/>
              </w:rPr>
              <w:t>Zemědělská výroba</w:t>
            </w:r>
          </w:p>
        </w:tc>
        <w:tc>
          <w:tcPr>
            <w:tcW w:w="2126" w:type="dxa"/>
            <w:tcBorders>
              <w:top w:val="single" w:sz="6" w:space="0" w:color="auto"/>
              <w:bottom w:val="single" w:sz="18" w:space="0" w:color="auto"/>
            </w:tcBorders>
            <w:shd w:val="clear" w:color="auto" w:fill="auto"/>
            <w:noWrap/>
            <w:vAlign w:val="center"/>
          </w:tcPr>
          <w:p w14:paraId="296C5396" w14:textId="1A6FA0E7" w:rsidR="00C56FFB" w:rsidRPr="001B040C" w:rsidRDefault="00C56FFB" w:rsidP="00C56FFB">
            <w:pPr>
              <w:jc w:val="center"/>
              <w:rPr>
                <w:rFonts w:cstheme="minorHAnsi"/>
                <w:color w:val="000000"/>
                <w:sz w:val="18"/>
                <w:szCs w:val="18"/>
              </w:rPr>
            </w:pPr>
            <w:r w:rsidRPr="001B040C">
              <w:rPr>
                <w:rFonts w:cstheme="minorHAnsi"/>
                <w:color w:val="000000"/>
                <w:sz w:val="18"/>
                <w:szCs w:val="18"/>
              </w:rPr>
              <w:t>Horní Staré Buky 126</w:t>
            </w:r>
            <w:r w:rsidR="001B040C">
              <w:rPr>
                <w:rFonts w:cstheme="minorHAnsi"/>
                <w:color w:val="000000"/>
                <w:sz w:val="18"/>
                <w:szCs w:val="18"/>
              </w:rPr>
              <w:br/>
            </w:r>
            <w:r w:rsidRPr="001B040C">
              <w:rPr>
                <w:rFonts w:cstheme="minorHAnsi"/>
                <w:color w:val="000000"/>
                <w:sz w:val="18"/>
                <w:szCs w:val="18"/>
              </w:rPr>
              <w:t>541 01 Staré Buky</w:t>
            </w:r>
          </w:p>
        </w:tc>
        <w:tc>
          <w:tcPr>
            <w:tcW w:w="993" w:type="dxa"/>
            <w:tcBorders>
              <w:top w:val="single" w:sz="6" w:space="0" w:color="auto"/>
              <w:bottom w:val="single" w:sz="18" w:space="0" w:color="auto"/>
            </w:tcBorders>
            <w:shd w:val="clear" w:color="auto" w:fill="auto"/>
            <w:noWrap/>
            <w:vAlign w:val="center"/>
          </w:tcPr>
          <w:p w14:paraId="3BCF61C8" w14:textId="5008C27E" w:rsidR="00C56FFB" w:rsidRPr="001B040C" w:rsidRDefault="00C56FFB" w:rsidP="00C56FFB">
            <w:pPr>
              <w:jc w:val="center"/>
              <w:rPr>
                <w:rFonts w:cstheme="minorHAnsi"/>
                <w:color w:val="000000"/>
                <w:sz w:val="18"/>
                <w:szCs w:val="18"/>
              </w:rPr>
            </w:pPr>
            <w:r w:rsidRPr="001B040C">
              <w:rPr>
                <w:rFonts w:cstheme="minorHAnsi"/>
                <w:color w:val="000000"/>
                <w:sz w:val="18"/>
                <w:szCs w:val="18"/>
              </w:rPr>
              <w:t>06647511</w:t>
            </w:r>
          </w:p>
        </w:tc>
        <w:tc>
          <w:tcPr>
            <w:tcW w:w="1134" w:type="dxa"/>
            <w:tcBorders>
              <w:top w:val="single" w:sz="6" w:space="0" w:color="auto"/>
              <w:bottom w:val="single" w:sz="18" w:space="0" w:color="auto"/>
            </w:tcBorders>
            <w:shd w:val="clear" w:color="auto" w:fill="auto"/>
            <w:noWrap/>
            <w:vAlign w:val="center"/>
          </w:tcPr>
          <w:p w14:paraId="1DE709A7" w14:textId="7B1A4D23" w:rsidR="00C56FFB" w:rsidRPr="001B040C" w:rsidRDefault="00C56FFB" w:rsidP="00C56FFB">
            <w:pPr>
              <w:jc w:val="center"/>
              <w:rPr>
                <w:rFonts w:cstheme="minorHAnsi"/>
                <w:color w:val="000000"/>
                <w:sz w:val="18"/>
                <w:szCs w:val="18"/>
              </w:rPr>
            </w:pPr>
            <w:r w:rsidRPr="001B040C">
              <w:rPr>
                <w:rFonts w:cstheme="minorHAnsi"/>
                <w:color w:val="000000"/>
                <w:sz w:val="18"/>
                <w:szCs w:val="18"/>
              </w:rPr>
              <w:t>neuvedeno</w:t>
            </w:r>
          </w:p>
        </w:tc>
        <w:tc>
          <w:tcPr>
            <w:tcW w:w="1860" w:type="dxa"/>
            <w:tcBorders>
              <w:top w:val="single" w:sz="6" w:space="0" w:color="auto"/>
              <w:bottom w:val="single" w:sz="18" w:space="0" w:color="auto"/>
            </w:tcBorders>
            <w:shd w:val="clear" w:color="auto" w:fill="auto"/>
            <w:noWrap/>
            <w:vAlign w:val="center"/>
          </w:tcPr>
          <w:p w14:paraId="436A16E5" w14:textId="3B0E3119" w:rsidR="00C56FFB" w:rsidRPr="001B040C" w:rsidRDefault="00000000" w:rsidP="00C56FFB">
            <w:pPr>
              <w:jc w:val="center"/>
              <w:rPr>
                <w:rFonts w:cstheme="minorHAnsi"/>
                <w:color w:val="000000"/>
                <w:sz w:val="18"/>
                <w:szCs w:val="18"/>
              </w:rPr>
            </w:pPr>
            <w:hyperlink r:id="rId58" w:history="1">
              <w:r w:rsidR="00C56FFB" w:rsidRPr="001B040C">
                <w:rPr>
                  <w:rStyle w:val="Hypertextovodkaz"/>
                  <w:rFonts w:cstheme="minorHAnsi"/>
                  <w:sz w:val="18"/>
                  <w:szCs w:val="18"/>
                </w:rPr>
                <w:t>https://www.facebook.com/Zdrav%C3%A1-FARMA-sro-148271709164267/</w:t>
              </w:r>
            </w:hyperlink>
          </w:p>
        </w:tc>
      </w:tr>
    </w:tbl>
    <w:p w14:paraId="4995F2BC" w14:textId="5462EC1F" w:rsidR="00657FC7" w:rsidRDefault="00657FC7" w:rsidP="00222C53">
      <w:pPr>
        <w:spacing w:after="160"/>
        <w:contextualSpacing/>
        <w:jc w:val="both"/>
        <w:rPr>
          <w:b/>
          <w:sz w:val="20"/>
          <w:szCs w:val="20"/>
        </w:rPr>
      </w:pPr>
      <w:r>
        <w:rPr>
          <w:b/>
          <w:sz w:val="20"/>
          <w:szCs w:val="20"/>
        </w:rPr>
        <w:t xml:space="preserve">Poznámka: </w:t>
      </w:r>
      <w:r>
        <w:rPr>
          <w:sz w:val="20"/>
          <w:szCs w:val="20"/>
        </w:rPr>
        <w:t>F</w:t>
      </w:r>
      <w:r w:rsidRPr="003603AC">
        <w:rPr>
          <w:sz w:val="20"/>
          <w:szCs w:val="20"/>
        </w:rPr>
        <w:t xml:space="preserve">irmy </w:t>
      </w:r>
      <w:r w:rsidRPr="00657FC7">
        <w:rPr>
          <w:sz w:val="20"/>
          <w:szCs w:val="20"/>
        </w:rPr>
        <w:t>Bungalov s.r.o.</w:t>
      </w:r>
      <w:r w:rsidRPr="003603AC">
        <w:rPr>
          <w:sz w:val="20"/>
          <w:szCs w:val="20"/>
        </w:rPr>
        <w:t xml:space="preserve"> a </w:t>
      </w:r>
      <w:r w:rsidRPr="00657FC7">
        <w:rPr>
          <w:sz w:val="20"/>
          <w:szCs w:val="20"/>
        </w:rPr>
        <w:t>Starobucká s.r.o.</w:t>
      </w:r>
      <w:r w:rsidRPr="003603AC">
        <w:rPr>
          <w:sz w:val="20"/>
          <w:szCs w:val="20"/>
        </w:rPr>
        <w:t xml:space="preserve">, které mají vedeno sídlo na adrese </w:t>
      </w:r>
      <w:r w:rsidR="009353D6" w:rsidRPr="009353D6">
        <w:rPr>
          <w:sz w:val="20"/>
          <w:szCs w:val="20"/>
        </w:rPr>
        <w:t xml:space="preserve">Prostřední Staré Buky 226 </w:t>
      </w:r>
      <w:r>
        <w:rPr>
          <w:sz w:val="20"/>
          <w:szCs w:val="20"/>
        </w:rPr>
        <w:t xml:space="preserve">– v realitě již </w:t>
      </w:r>
      <w:r w:rsidR="009353D6">
        <w:rPr>
          <w:sz w:val="20"/>
          <w:szCs w:val="20"/>
        </w:rPr>
        <w:t>tyto společnosti činnost nevyvíjejí</w:t>
      </w:r>
      <w:r>
        <w:rPr>
          <w:sz w:val="20"/>
          <w:szCs w:val="20"/>
        </w:rPr>
        <w:t>.</w:t>
      </w:r>
      <w:r w:rsidRPr="003603AC">
        <w:rPr>
          <w:sz w:val="20"/>
          <w:szCs w:val="20"/>
        </w:rPr>
        <w:t xml:space="preserve"> </w:t>
      </w:r>
      <w:r>
        <w:rPr>
          <w:sz w:val="20"/>
          <w:szCs w:val="20"/>
        </w:rPr>
        <w:t>V tabulce jsou označeny barevně a * a jsou tam ponechány z toho důvodu, že v A</w:t>
      </w:r>
      <w:r w:rsidRPr="00BB3C92">
        <w:rPr>
          <w:sz w:val="20"/>
          <w:szCs w:val="20"/>
        </w:rPr>
        <w:t>dministrativní</w:t>
      </w:r>
      <w:r>
        <w:rPr>
          <w:sz w:val="20"/>
          <w:szCs w:val="20"/>
        </w:rPr>
        <w:t>m</w:t>
      </w:r>
      <w:r w:rsidRPr="00BB3C92">
        <w:rPr>
          <w:sz w:val="20"/>
          <w:szCs w:val="20"/>
        </w:rPr>
        <w:t xml:space="preserve"> registr</w:t>
      </w:r>
      <w:r>
        <w:rPr>
          <w:sz w:val="20"/>
          <w:szCs w:val="20"/>
        </w:rPr>
        <w:t>u</w:t>
      </w:r>
      <w:r w:rsidRPr="00BB3C92">
        <w:rPr>
          <w:sz w:val="20"/>
          <w:szCs w:val="20"/>
        </w:rPr>
        <w:t xml:space="preserve"> ekonomických subjektů</w:t>
      </w:r>
      <w:r>
        <w:rPr>
          <w:sz w:val="20"/>
          <w:szCs w:val="20"/>
        </w:rPr>
        <w:t xml:space="preserve"> (ARES) jsou stále na stávající adrese vedeny.</w:t>
      </w:r>
    </w:p>
    <w:p w14:paraId="33D93952" w14:textId="3E226BFF" w:rsidR="00222C53" w:rsidRPr="001F38C8" w:rsidRDefault="00222C53" w:rsidP="00222C53">
      <w:pPr>
        <w:spacing w:after="160"/>
        <w:contextualSpacing/>
        <w:jc w:val="both"/>
        <w:rPr>
          <w:sz w:val="20"/>
          <w:szCs w:val="20"/>
        </w:rPr>
      </w:pPr>
      <w:r w:rsidRPr="001F38C8">
        <w:rPr>
          <w:b/>
          <w:sz w:val="20"/>
          <w:szCs w:val="20"/>
        </w:rPr>
        <w:t>Zdroje:</w:t>
      </w:r>
      <w:r w:rsidRPr="001F38C8">
        <w:rPr>
          <w:sz w:val="20"/>
          <w:szCs w:val="20"/>
        </w:rPr>
        <w:t xml:space="preserve"> ARES </w:t>
      </w:r>
      <w:hyperlink r:id="rId59" w:history="1">
        <w:r w:rsidR="00AF5359" w:rsidRPr="006341E4">
          <w:rPr>
            <w:rStyle w:val="Hypertextovodkaz"/>
            <w:sz w:val="20"/>
            <w:szCs w:val="20"/>
          </w:rPr>
          <w:t>https://wwwinfo.mfcr.cz/ares/ares_es.html.cz</w:t>
        </w:r>
      </w:hyperlink>
    </w:p>
    <w:p w14:paraId="2F78DB8D" w14:textId="77777777" w:rsidR="00222C53" w:rsidRPr="002E5C26" w:rsidRDefault="00222C53" w:rsidP="00222C53">
      <w:pPr>
        <w:spacing w:after="160"/>
        <w:contextualSpacing/>
        <w:jc w:val="both"/>
        <w:rPr>
          <w:sz w:val="20"/>
          <w:szCs w:val="20"/>
        </w:rPr>
      </w:pPr>
      <w:r>
        <w:rPr>
          <w:sz w:val="20"/>
          <w:szCs w:val="20"/>
        </w:rPr>
        <w:t xml:space="preserve">              </w:t>
      </w:r>
      <w:r w:rsidRPr="001F38C8">
        <w:rPr>
          <w:sz w:val="20"/>
          <w:szCs w:val="20"/>
        </w:rPr>
        <w:t>Internetové stránky jednotlivých podnikatelských subjektů</w:t>
      </w:r>
    </w:p>
    <w:p w14:paraId="61EAD5CD" w14:textId="77777777" w:rsidR="00154462" w:rsidRDefault="00154462" w:rsidP="004938DC">
      <w:pPr>
        <w:spacing w:after="160" w:line="259" w:lineRule="auto"/>
        <w:jc w:val="both"/>
      </w:pPr>
    </w:p>
    <w:p w14:paraId="657EA205" w14:textId="7B060384" w:rsidR="00222C53" w:rsidRDefault="00222C53" w:rsidP="004938DC">
      <w:pPr>
        <w:spacing w:after="160" w:line="259" w:lineRule="auto"/>
        <w:jc w:val="both"/>
      </w:pPr>
      <w:r>
        <w:t xml:space="preserve">Z této tabulky vyplývá, že na území obce </w:t>
      </w:r>
      <w:r w:rsidR="00B44485">
        <w:t>Staré Buky</w:t>
      </w:r>
      <w:r>
        <w:t xml:space="preserve"> měl</w:t>
      </w:r>
      <w:r w:rsidR="00F34921">
        <w:t>o</w:t>
      </w:r>
      <w:r>
        <w:t xml:space="preserve"> k</w:t>
      </w:r>
      <w:r w:rsidR="00B25A6D">
        <w:t>e květnu</w:t>
      </w:r>
      <w:r w:rsidR="006F3E2B">
        <w:t xml:space="preserve"> 202</w:t>
      </w:r>
      <w:r w:rsidR="00B25A6D">
        <w:t>2</w:t>
      </w:r>
      <w:r w:rsidR="007061D7">
        <w:t xml:space="preserve"> </w:t>
      </w:r>
      <w:r>
        <w:t xml:space="preserve">sídlo celkem </w:t>
      </w:r>
      <w:r w:rsidR="007F7144">
        <w:t>1</w:t>
      </w:r>
      <w:r w:rsidR="00DC59A1">
        <w:t>4</w:t>
      </w:r>
      <w:r>
        <w:t xml:space="preserve"> podnikající</w:t>
      </w:r>
      <w:r w:rsidR="00F34921">
        <w:t>ch</w:t>
      </w:r>
      <w:r>
        <w:t xml:space="preserve"> společnost</w:t>
      </w:r>
      <w:r w:rsidR="00F34921">
        <w:t>í</w:t>
      </w:r>
      <w:r>
        <w:t xml:space="preserve">. Co se týče počtu zaměstnanců, </w:t>
      </w:r>
      <w:r w:rsidR="00EE45E6">
        <w:t xml:space="preserve">nejvíce zaměstnanců </w:t>
      </w:r>
      <w:r w:rsidR="007F7144">
        <w:t>zaměstnávala</w:t>
      </w:r>
      <w:r w:rsidR="00EE45E6">
        <w:t xml:space="preserve"> společnost </w:t>
      </w:r>
      <w:r w:rsidR="00A26425" w:rsidRPr="00A26425">
        <w:rPr>
          <w:b/>
        </w:rPr>
        <w:t>Zemědělská a.s. Výšina</w:t>
      </w:r>
      <w:r w:rsidR="006F3E2B">
        <w:rPr>
          <w:b/>
        </w:rPr>
        <w:t xml:space="preserve"> </w:t>
      </w:r>
      <w:r w:rsidR="00EE45E6">
        <w:t xml:space="preserve">(mezi </w:t>
      </w:r>
      <w:r w:rsidR="007F7144">
        <w:t>25</w:t>
      </w:r>
      <w:r w:rsidR="00EE45E6">
        <w:t xml:space="preserve"> až </w:t>
      </w:r>
      <w:r w:rsidR="007F7144">
        <w:t>4</w:t>
      </w:r>
      <w:r w:rsidR="006F3E2B">
        <w:t>9</w:t>
      </w:r>
      <w:r w:rsidR="00EE45E6">
        <w:t xml:space="preserve"> zaměstnanci)</w:t>
      </w:r>
      <w:r>
        <w:t>.</w:t>
      </w:r>
      <w:r w:rsidR="00C25F3F">
        <w:t xml:space="preserve"> </w:t>
      </w:r>
      <w:r w:rsidR="00A95DBD">
        <w:t>Další společnost</w:t>
      </w:r>
      <w:r w:rsidR="003379F2">
        <w:t>i,</w:t>
      </w:r>
      <w:r w:rsidR="00A95DBD">
        <w:t xml:space="preserve"> kter</w:t>
      </w:r>
      <w:r w:rsidR="007F7144">
        <w:t>é</w:t>
      </w:r>
      <w:r w:rsidR="003379F2">
        <w:t xml:space="preserve"> uvedly velikostní kategorii zaměstnanců,</w:t>
      </w:r>
      <w:r w:rsidR="00A95DBD">
        <w:t xml:space="preserve"> zaměstnáv</w:t>
      </w:r>
      <w:r w:rsidR="007F7144">
        <w:t xml:space="preserve">aly mezi </w:t>
      </w:r>
      <w:r w:rsidR="003379F2">
        <w:t>1</w:t>
      </w:r>
      <w:r w:rsidR="007F7144">
        <w:t xml:space="preserve"> až </w:t>
      </w:r>
      <w:r w:rsidR="003379F2">
        <w:t>5</w:t>
      </w:r>
      <w:r w:rsidR="007F7144">
        <w:t xml:space="preserve"> zaměstnanci)</w:t>
      </w:r>
      <w:r w:rsidR="003379F2">
        <w:t>.</w:t>
      </w:r>
    </w:p>
    <w:p w14:paraId="30C1E7EC" w14:textId="497A2C29" w:rsidR="00480964" w:rsidRPr="007F7144" w:rsidRDefault="00480964" w:rsidP="004938DC">
      <w:pPr>
        <w:spacing w:after="160" w:line="259" w:lineRule="auto"/>
        <w:jc w:val="both"/>
      </w:pPr>
      <w:r w:rsidRPr="0095023B">
        <w:rPr>
          <w:b/>
          <w:bCs/>
        </w:rPr>
        <w:t>V oblasti zaměstnanosti nelze opomenout i zaměstnavatele z řad</w:t>
      </w:r>
      <w:r w:rsidR="00F02BA9">
        <w:rPr>
          <w:b/>
          <w:bCs/>
        </w:rPr>
        <w:t>y</w:t>
      </w:r>
      <w:r w:rsidRPr="0095023B">
        <w:rPr>
          <w:b/>
          <w:bCs/>
        </w:rPr>
        <w:t xml:space="preserve"> veřejných institucí</w:t>
      </w:r>
      <w:r w:rsidR="00F02BA9">
        <w:t>, konkrétně samotnou</w:t>
      </w:r>
      <w:r>
        <w:t xml:space="preserve"> Obec Staré Buky</w:t>
      </w:r>
      <w:r w:rsidR="00F02BA9">
        <w:t xml:space="preserve"> (</w:t>
      </w:r>
      <w:r w:rsidR="009B1BD5">
        <w:t>mezi 6 až 9 zaměstnanci)</w:t>
      </w:r>
      <w:r w:rsidR="00F02BA9">
        <w:t>.</w:t>
      </w:r>
    </w:p>
    <w:p w14:paraId="167145FF" w14:textId="2CF7D416" w:rsidR="005B02AF" w:rsidRDefault="004B6184" w:rsidP="005B02AF">
      <w:pPr>
        <w:spacing w:after="160" w:line="259" w:lineRule="auto"/>
        <w:jc w:val="both"/>
      </w:pPr>
      <w:r w:rsidRPr="004657DB">
        <w:rPr>
          <w:b/>
        </w:rPr>
        <w:lastRenderedPageBreak/>
        <w:t xml:space="preserve">Na území </w:t>
      </w:r>
      <w:r>
        <w:rPr>
          <w:b/>
        </w:rPr>
        <w:t xml:space="preserve">obce </w:t>
      </w:r>
      <w:r w:rsidR="00C7032C">
        <w:rPr>
          <w:b/>
        </w:rPr>
        <w:t>Staré Buky</w:t>
      </w:r>
      <w:r w:rsidRPr="004657DB">
        <w:rPr>
          <w:b/>
        </w:rPr>
        <w:t xml:space="preserve"> není evidován žádný tzv. „brownfield“, </w:t>
      </w:r>
      <w:r w:rsidRPr="004657DB">
        <w:t>který by byl veden v národní databázi brownfieldů</w:t>
      </w:r>
      <w:r w:rsidRPr="004B6184">
        <w:rPr>
          <w:rStyle w:val="Znakapoznpodarou"/>
          <w:bCs/>
        </w:rPr>
        <w:footnoteReference w:id="25"/>
      </w:r>
      <w:r w:rsidRPr="004657DB">
        <w:t>.</w:t>
      </w:r>
    </w:p>
    <w:p w14:paraId="3C6C5D4B" w14:textId="5486078F" w:rsidR="009003A0" w:rsidRDefault="009003A0" w:rsidP="005B02AF">
      <w:pPr>
        <w:spacing w:after="160" w:line="259" w:lineRule="auto"/>
        <w:jc w:val="both"/>
      </w:pPr>
    </w:p>
    <w:p w14:paraId="12970801" w14:textId="77777777" w:rsidR="00222C53" w:rsidRPr="00E617FA" w:rsidRDefault="00222C53" w:rsidP="00222C53">
      <w:pPr>
        <w:spacing w:after="160" w:line="259" w:lineRule="auto"/>
        <w:jc w:val="both"/>
        <w:rPr>
          <w:u w:val="single"/>
        </w:rPr>
      </w:pPr>
      <w:r w:rsidRPr="00E617FA">
        <w:rPr>
          <w:u w:val="single"/>
        </w:rPr>
        <w:t>Podnikatelská aktivita a struktura podnikatelských subjektů</w:t>
      </w:r>
    </w:p>
    <w:p w14:paraId="3B128F97" w14:textId="5B64EAB1" w:rsidR="00154462" w:rsidRDefault="00154462" w:rsidP="00154462">
      <w:pPr>
        <w:spacing w:after="160" w:line="259" w:lineRule="auto"/>
        <w:jc w:val="both"/>
      </w:pPr>
      <w:r>
        <w:t xml:space="preserve">Na území obce </w:t>
      </w:r>
      <w:r w:rsidR="002547C4">
        <w:t>Staré Buky</w:t>
      </w:r>
      <w:r>
        <w:t xml:space="preserve"> bylo k 31. 12. 20</w:t>
      </w:r>
      <w:r w:rsidR="00663A10">
        <w:t>2</w:t>
      </w:r>
      <w:r w:rsidR="00D26F4A">
        <w:t>1</w:t>
      </w:r>
      <w:r>
        <w:t xml:space="preserve"> registrováno celkem </w:t>
      </w:r>
      <w:r w:rsidR="00E24117">
        <w:t>1</w:t>
      </w:r>
      <w:r w:rsidR="002547C4">
        <w:t>77</w:t>
      </w:r>
      <w:r>
        <w:t xml:space="preserve"> podnikatelských subjektů. Podnikatelských subjektů, u kterých byla zjištěna aktivita, bylo k 31. 12. 20</w:t>
      </w:r>
      <w:r w:rsidR="00E24117">
        <w:t>2</w:t>
      </w:r>
      <w:r w:rsidR="004F2C2F">
        <w:t>1</w:t>
      </w:r>
      <w:r>
        <w:t xml:space="preserve"> celkem </w:t>
      </w:r>
      <w:r w:rsidR="004F2C2F">
        <w:t>78</w:t>
      </w:r>
      <w:r>
        <w:t xml:space="preserve">. Následující graf </w:t>
      </w:r>
      <w:r w:rsidR="00650598">
        <w:t>6</w:t>
      </w:r>
      <w:r>
        <w:t xml:space="preserve"> znázorňuje podle procentuálního zastoupení strukturu podnikatelských subjektů na území obce </w:t>
      </w:r>
      <w:r w:rsidR="00650598">
        <w:t>Staré Buky</w:t>
      </w:r>
      <w:r>
        <w:t>, a to jednak z pohledu všech registrovaných podniků, tak z pohledu podniků, u kterých byla zjištěna aktivita.</w:t>
      </w:r>
    </w:p>
    <w:p w14:paraId="521B6D3F" w14:textId="1B819937" w:rsidR="00042D94" w:rsidRDefault="00042D94" w:rsidP="00154462">
      <w:pPr>
        <w:spacing w:line="259" w:lineRule="auto"/>
        <w:jc w:val="both"/>
      </w:pPr>
    </w:p>
    <w:p w14:paraId="013AD81E" w14:textId="193FB9F5" w:rsidR="00154462" w:rsidRPr="00434CE7" w:rsidRDefault="00154462" w:rsidP="00154462">
      <w:pPr>
        <w:pStyle w:val="GRAF0"/>
      </w:pPr>
      <w:bookmarkStart w:id="154" w:name="_Toc104472751"/>
      <w:bookmarkStart w:id="155" w:name="_Toc120651985"/>
      <w:r>
        <w:t xml:space="preserve">Graf </w:t>
      </w:r>
      <w:r w:rsidR="00650598">
        <w:t>6</w:t>
      </w:r>
      <w:r w:rsidRPr="00434CE7">
        <w:t>: Struk</w:t>
      </w:r>
      <w:r>
        <w:t xml:space="preserve">tura podnikatelských subjektů v obci </w:t>
      </w:r>
      <w:r w:rsidR="00650598">
        <w:t>Staré Buky</w:t>
      </w:r>
      <w:r>
        <w:t xml:space="preserve"> </w:t>
      </w:r>
      <w:r w:rsidRPr="00434CE7">
        <w:t>k 31.</w:t>
      </w:r>
      <w:r>
        <w:t xml:space="preserve"> </w:t>
      </w:r>
      <w:r w:rsidRPr="00434CE7">
        <w:t>12.</w:t>
      </w:r>
      <w:r>
        <w:t xml:space="preserve"> 20</w:t>
      </w:r>
      <w:r w:rsidR="00E24117">
        <w:t>2</w:t>
      </w:r>
      <w:r w:rsidR="00650598">
        <w:t>1</w:t>
      </w:r>
      <w:r w:rsidRPr="00434CE7">
        <w:t xml:space="preserve"> (v %)</w:t>
      </w:r>
      <w:bookmarkEnd w:id="154"/>
      <w:bookmarkEnd w:id="155"/>
    </w:p>
    <w:p w14:paraId="49819C4A" w14:textId="1FC3A107" w:rsidR="00154462" w:rsidRDefault="00E3419C" w:rsidP="00154462">
      <w:pPr>
        <w:spacing w:line="360" w:lineRule="auto"/>
        <w:jc w:val="center"/>
      </w:pPr>
      <w:r>
        <w:rPr>
          <w:noProof/>
        </w:rPr>
        <w:drawing>
          <wp:inline distT="0" distB="0" distL="0" distR="0" wp14:anchorId="2F054DF4" wp14:editId="194036A4">
            <wp:extent cx="5571067" cy="4017432"/>
            <wp:effectExtent l="0" t="0" r="10795" b="2540"/>
            <wp:docPr id="2" name="Graf 2">
              <a:extLst xmlns:a="http://schemas.openxmlformats.org/drawingml/2006/main">
                <a:ext uri="{FF2B5EF4-FFF2-40B4-BE49-F238E27FC236}">
                  <a16:creationId xmlns:a16="http://schemas.microsoft.com/office/drawing/2014/main" id="{17FDB090-6F24-45BE-BFFD-007C41E09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C558EDD" w14:textId="77777777" w:rsidR="00154462" w:rsidRPr="0027563D" w:rsidRDefault="00154462" w:rsidP="006C3558">
      <w:pPr>
        <w:spacing w:after="160"/>
        <w:jc w:val="both"/>
        <w:rPr>
          <w:sz w:val="20"/>
          <w:szCs w:val="20"/>
        </w:rPr>
      </w:pPr>
      <w:r w:rsidRPr="00434CE7">
        <w:rPr>
          <w:b/>
          <w:sz w:val="20"/>
          <w:szCs w:val="20"/>
        </w:rPr>
        <w:t>Zdroj:</w:t>
      </w:r>
      <w:r w:rsidRPr="00434CE7">
        <w:rPr>
          <w:sz w:val="20"/>
          <w:szCs w:val="20"/>
        </w:rPr>
        <w:t xml:space="preserve"> Městská a obecní statistika </w:t>
      </w:r>
      <w:hyperlink r:id="rId61" w:history="1">
        <w:r w:rsidRPr="00043390">
          <w:rPr>
            <w:rStyle w:val="Hypertextovodkaz"/>
            <w:sz w:val="20"/>
            <w:szCs w:val="20"/>
          </w:rPr>
          <w:t>https://vdb.czso.cz/mos/</w:t>
        </w:r>
      </w:hyperlink>
      <w:r>
        <w:rPr>
          <w:sz w:val="20"/>
          <w:szCs w:val="20"/>
        </w:rPr>
        <w:t xml:space="preserve"> </w:t>
      </w:r>
    </w:p>
    <w:p w14:paraId="2C26B610" w14:textId="77777777" w:rsidR="006C3558" w:rsidRDefault="006C3558" w:rsidP="00154462">
      <w:pPr>
        <w:spacing w:after="160" w:line="259" w:lineRule="auto"/>
        <w:jc w:val="both"/>
      </w:pPr>
    </w:p>
    <w:p w14:paraId="49567A45" w14:textId="52ABDFA5" w:rsidR="00154462" w:rsidRDefault="00154462" w:rsidP="00154462">
      <w:pPr>
        <w:spacing w:after="160" w:line="259" w:lineRule="auto"/>
        <w:jc w:val="both"/>
      </w:pPr>
      <w:r>
        <w:t>Z tohoto grafu vyplývá, že největší množství podnikatelských subjektů mělo registrováno jako svoji profesi</w:t>
      </w:r>
      <w:r w:rsidR="009E548A">
        <w:t xml:space="preserve"> </w:t>
      </w:r>
      <w:r w:rsidR="009E548A" w:rsidRPr="009E548A">
        <w:rPr>
          <w:b/>
          <w:bCs/>
        </w:rPr>
        <w:t>stavebnictví</w:t>
      </w:r>
      <w:r>
        <w:t xml:space="preserve"> </w:t>
      </w:r>
      <w:r w:rsidR="00E24117">
        <w:t>(2</w:t>
      </w:r>
      <w:r w:rsidR="009E548A">
        <w:t>0</w:t>
      </w:r>
      <w:r w:rsidR="00E24117">
        <w:t>,9 %),</w:t>
      </w:r>
      <w:r w:rsidR="00905299">
        <w:t xml:space="preserve"> </w:t>
      </w:r>
      <w:r w:rsidR="009E548A">
        <w:rPr>
          <w:b/>
          <w:bCs/>
        </w:rPr>
        <w:t xml:space="preserve">velkoobchod </w:t>
      </w:r>
      <w:r w:rsidR="009E548A" w:rsidRPr="0064195A">
        <w:rPr>
          <w:b/>
          <w:bCs/>
        </w:rPr>
        <w:t>a maloobchod</w:t>
      </w:r>
      <w:r w:rsidR="009E548A">
        <w:t xml:space="preserve"> </w:t>
      </w:r>
      <w:r>
        <w:t>(1</w:t>
      </w:r>
      <w:r w:rsidR="00E24117">
        <w:t>8</w:t>
      </w:r>
      <w:r>
        <w:t>,</w:t>
      </w:r>
      <w:r w:rsidR="009E548A">
        <w:t>1</w:t>
      </w:r>
      <w:r>
        <w:t xml:space="preserve"> %)</w:t>
      </w:r>
      <w:r w:rsidR="00E24117">
        <w:t xml:space="preserve"> a </w:t>
      </w:r>
      <w:r w:rsidR="009E548A">
        <w:rPr>
          <w:b/>
          <w:bCs/>
        </w:rPr>
        <w:t>z</w:t>
      </w:r>
      <w:r w:rsidR="009E548A" w:rsidRPr="009E548A">
        <w:rPr>
          <w:b/>
          <w:bCs/>
        </w:rPr>
        <w:t>emědělství, lesnictví, rybářství</w:t>
      </w:r>
      <w:r w:rsidR="00E24117">
        <w:t xml:space="preserve"> (1</w:t>
      </w:r>
      <w:r w:rsidR="00574E3F">
        <w:t>5</w:t>
      </w:r>
      <w:r w:rsidR="00E24117">
        <w:t>,</w:t>
      </w:r>
      <w:r w:rsidR="00574E3F">
        <w:t>8</w:t>
      </w:r>
      <w:r w:rsidR="00E24117">
        <w:t xml:space="preserve"> %).</w:t>
      </w:r>
    </w:p>
    <w:p w14:paraId="159D7592" w14:textId="595D4BA0" w:rsidR="00154462" w:rsidRDefault="00154462" w:rsidP="00154462">
      <w:pPr>
        <w:spacing w:after="160" w:line="259" w:lineRule="auto"/>
        <w:jc w:val="both"/>
      </w:pPr>
      <w:r>
        <w:lastRenderedPageBreak/>
        <w:t xml:space="preserve">V případě subjektů, u kterých byla zjištěna aktivita, </w:t>
      </w:r>
      <w:r w:rsidR="00FC5805">
        <w:t>byla situace částečně odlišná</w:t>
      </w:r>
      <w:r w:rsidR="00E24117">
        <w:t>.</w:t>
      </w:r>
      <w:r>
        <w:t xml:space="preserve"> Největší množství podniků se aktivně věnovalo </w:t>
      </w:r>
      <w:r w:rsidR="00FC5805">
        <w:rPr>
          <w:b/>
          <w:bCs/>
        </w:rPr>
        <w:t>stavebnictví</w:t>
      </w:r>
      <w:r>
        <w:t xml:space="preserve"> (2</w:t>
      </w:r>
      <w:r w:rsidR="00FC5805">
        <w:t>3</w:t>
      </w:r>
      <w:r>
        <w:t>,</w:t>
      </w:r>
      <w:r w:rsidR="00FC5805">
        <w:t>1</w:t>
      </w:r>
      <w:r>
        <w:t xml:space="preserve"> %), </w:t>
      </w:r>
      <w:r w:rsidR="00FC5805">
        <w:t xml:space="preserve">následoval </w:t>
      </w:r>
      <w:r w:rsidR="00FC5805" w:rsidRPr="00FC5805">
        <w:rPr>
          <w:b/>
          <w:bCs/>
        </w:rPr>
        <w:t>průmysl</w:t>
      </w:r>
      <w:r w:rsidR="00183D92">
        <w:t xml:space="preserve"> </w:t>
      </w:r>
      <w:r>
        <w:t>(1</w:t>
      </w:r>
      <w:r w:rsidR="00FC5805">
        <w:t>6</w:t>
      </w:r>
      <w:r>
        <w:t>,</w:t>
      </w:r>
      <w:r w:rsidR="00FC5805">
        <w:t>7</w:t>
      </w:r>
      <w:r>
        <w:t xml:space="preserve"> %) a </w:t>
      </w:r>
      <w:r w:rsidR="00FC5805">
        <w:rPr>
          <w:b/>
          <w:bCs/>
        </w:rPr>
        <w:t>z</w:t>
      </w:r>
      <w:r w:rsidR="00FC5805" w:rsidRPr="009E548A">
        <w:rPr>
          <w:b/>
          <w:bCs/>
        </w:rPr>
        <w:t>emědělství, lesnictví, rybářství</w:t>
      </w:r>
      <w:r w:rsidR="00E24117">
        <w:t xml:space="preserve"> </w:t>
      </w:r>
      <w:r>
        <w:t>(1</w:t>
      </w:r>
      <w:r w:rsidR="00E24117">
        <w:t>4</w:t>
      </w:r>
      <w:r>
        <w:t>,</w:t>
      </w:r>
      <w:r w:rsidR="00FC5805">
        <w:t>1</w:t>
      </w:r>
      <w:r>
        <w:t xml:space="preserve"> %).</w:t>
      </w:r>
    </w:p>
    <w:p w14:paraId="54B426F9" w14:textId="0F721424" w:rsidR="00154462" w:rsidRDefault="00154462" w:rsidP="00154462">
      <w:pPr>
        <w:spacing w:after="160" w:line="259" w:lineRule="auto"/>
        <w:jc w:val="both"/>
      </w:pPr>
      <w:r>
        <w:t xml:space="preserve">Na druhé straně žádný z podnikatelských subjektů neměl registrovánu jako svoji profesi </w:t>
      </w:r>
      <w:r>
        <w:br/>
        <w:t xml:space="preserve">či aktivně nevyvíjel činnost v oblasti </w:t>
      </w:r>
      <w:r w:rsidR="00EC4F15">
        <w:t>vzdělávání</w:t>
      </w:r>
      <w:r w:rsidR="008E4DBF">
        <w:t xml:space="preserve"> a v oblasti informačních a komunikačních činností</w:t>
      </w:r>
      <w:r>
        <w:t>.</w:t>
      </w:r>
    </w:p>
    <w:p w14:paraId="1E47FC7F" w14:textId="6B424A74" w:rsidR="00154462" w:rsidRDefault="00154462" w:rsidP="00154462">
      <w:pPr>
        <w:spacing w:after="160" w:line="259" w:lineRule="auto"/>
        <w:jc w:val="both"/>
      </w:pPr>
      <w:r>
        <w:t xml:space="preserve">Graf </w:t>
      </w:r>
      <w:r w:rsidR="00F36628">
        <w:t>7</w:t>
      </w:r>
      <w:r>
        <w:t xml:space="preserve"> znázorňuje strukturu podnikatelských subjektů podle právní formy, opět z pohledu všech registrovaných podniků, tak z pohledu podniků, u kterých byla zjištěna aktivita.</w:t>
      </w:r>
    </w:p>
    <w:p w14:paraId="4AAE460A" w14:textId="55DF9FA2" w:rsidR="009003A0" w:rsidRDefault="009003A0" w:rsidP="00154462">
      <w:pPr>
        <w:spacing w:after="160" w:line="259" w:lineRule="auto"/>
        <w:jc w:val="both"/>
      </w:pPr>
    </w:p>
    <w:p w14:paraId="1AC1C66D" w14:textId="16F8C6AF" w:rsidR="00154462" w:rsidRPr="00434CE7" w:rsidRDefault="00154462" w:rsidP="00154462">
      <w:pPr>
        <w:pStyle w:val="GRAF0"/>
      </w:pPr>
      <w:bookmarkStart w:id="156" w:name="_Toc104472752"/>
      <w:bookmarkStart w:id="157" w:name="_Toc120651986"/>
      <w:r>
        <w:t xml:space="preserve">Graf </w:t>
      </w:r>
      <w:r w:rsidR="00F36628">
        <w:t>7</w:t>
      </w:r>
      <w:r w:rsidRPr="00434CE7">
        <w:t>: Struktura podnikatelských subjektů podle právn</w:t>
      </w:r>
      <w:r>
        <w:t xml:space="preserve">í formy v obci </w:t>
      </w:r>
      <w:r w:rsidR="00F36628">
        <w:t>Staré Buky</w:t>
      </w:r>
      <w:r>
        <w:t xml:space="preserve"> k 31. 12. 20</w:t>
      </w:r>
      <w:r w:rsidR="003C4BC0">
        <w:t>2</w:t>
      </w:r>
      <w:r w:rsidR="00F36628">
        <w:t>1</w:t>
      </w:r>
      <w:r>
        <w:t xml:space="preserve"> (v %)</w:t>
      </w:r>
      <w:bookmarkEnd w:id="156"/>
      <w:bookmarkEnd w:id="157"/>
    </w:p>
    <w:p w14:paraId="16E60071" w14:textId="3281D2A1" w:rsidR="00154462" w:rsidRDefault="00410A42" w:rsidP="00154462">
      <w:pPr>
        <w:spacing w:line="360" w:lineRule="auto"/>
        <w:jc w:val="center"/>
      </w:pPr>
      <w:r>
        <w:rPr>
          <w:noProof/>
        </w:rPr>
        <w:drawing>
          <wp:inline distT="0" distB="0" distL="0" distR="0" wp14:anchorId="397A4A53" wp14:editId="238211D8">
            <wp:extent cx="5664200" cy="3611034"/>
            <wp:effectExtent l="0" t="0" r="12700" b="8890"/>
            <wp:docPr id="4" name="Graf 4">
              <a:extLst xmlns:a="http://schemas.openxmlformats.org/drawingml/2006/main">
                <a:ext uri="{FF2B5EF4-FFF2-40B4-BE49-F238E27FC236}">
                  <a16:creationId xmlns:a16="http://schemas.microsoft.com/office/drawing/2014/main" id="{C307C2F8-DA65-41D0-8AF7-55017937D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0ABB569" w14:textId="06286A2C" w:rsidR="00154462" w:rsidRPr="00B719F3" w:rsidRDefault="00154462" w:rsidP="00154462">
      <w:pPr>
        <w:jc w:val="both"/>
        <w:rPr>
          <w:bCs/>
          <w:sz w:val="20"/>
          <w:szCs w:val="20"/>
        </w:rPr>
      </w:pPr>
      <w:r>
        <w:rPr>
          <w:b/>
          <w:sz w:val="20"/>
          <w:szCs w:val="20"/>
        </w:rPr>
        <w:t>Poznámka:</w:t>
      </w:r>
      <w:r>
        <w:rPr>
          <w:bCs/>
          <w:sz w:val="20"/>
          <w:szCs w:val="20"/>
        </w:rPr>
        <w:t xml:space="preserve"> Subjekty s právní formou</w:t>
      </w:r>
      <w:r w:rsidR="009F4554">
        <w:rPr>
          <w:bCs/>
          <w:sz w:val="20"/>
          <w:szCs w:val="20"/>
        </w:rPr>
        <w:t xml:space="preserve"> </w:t>
      </w:r>
      <w:r>
        <w:rPr>
          <w:bCs/>
          <w:sz w:val="20"/>
          <w:szCs w:val="20"/>
        </w:rPr>
        <w:t>„družstv</w:t>
      </w:r>
      <w:r w:rsidR="009F4554">
        <w:rPr>
          <w:bCs/>
          <w:sz w:val="20"/>
          <w:szCs w:val="20"/>
        </w:rPr>
        <w:t>o</w:t>
      </w:r>
      <w:r>
        <w:rPr>
          <w:bCs/>
          <w:sz w:val="20"/>
          <w:szCs w:val="20"/>
        </w:rPr>
        <w:t>“ nejsou na území obce zastoupeny a z důvodu přehlednosti grafu nebyl</w:t>
      </w:r>
      <w:r w:rsidR="00410A42">
        <w:rPr>
          <w:bCs/>
          <w:sz w:val="20"/>
          <w:szCs w:val="20"/>
        </w:rPr>
        <w:t>a</w:t>
      </w:r>
      <w:r>
        <w:rPr>
          <w:bCs/>
          <w:sz w:val="20"/>
          <w:szCs w:val="20"/>
        </w:rPr>
        <w:t xml:space="preserve"> </w:t>
      </w:r>
      <w:r w:rsidR="009F4554">
        <w:rPr>
          <w:bCs/>
          <w:sz w:val="20"/>
          <w:szCs w:val="20"/>
        </w:rPr>
        <w:t>t</w:t>
      </w:r>
      <w:r w:rsidR="00410A42">
        <w:rPr>
          <w:bCs/>
          <w:sz w:val="20"/>
          <w:szCs w:val="20"/>
        </w:rPr>
        <w:t>a</w:t>
      </w:r>
      <w:r w:rsidR="009F4554">
        <w:rPr>
          <w:bCs/>
          <w:sz w:val="20"/>
          <w:szCs w:val="20"/>
        </w:rPr>
        <w:t>to právní form</w:t>
      </w:r>
      <w:r w:rsidR="00410A42">
        <w:rPr>
          <w:bCs/>
          <w:sz w:val="20"/>
          <w:szCs w:val="20"/>
        </w:rPr>
        <w:t>a</w:t>
      </w:r>
      <w:r w:rsidR="009F4554">
        <w:rPr>
          <w:bCs/>
          <w:sz w:val="20"/>
          <w:szCs w:val="20"/>
        </w:rPr>
        <w:t xml:space="preserve"> </w:t>
      </w:r>
      <w:r>
        <w:rPr>
          <w:bCs/>
          <w:sz w:val="20"/>
          <w:szCs w:val="20"/>
        </w:rPr>
        <w:t>s nulovými hodnotami znázorněn</w:t>
      </w:r>
      <w:r w:rsidR="00410A42">
        <w:rPr>
          <w:bCs/>
          <w:sz w:val="20"/>
          <w:szCs w:val="20"/>
        </w:rPr>
        <w:t>a</w:t>
      </w:r>
      <w:r>
        <w:rPr>
          <w:bCs/>
          <w:sz w:val="20"/>
          <w:szCs w:val="20"/>
        </w:rPr>
        <w:t>.</w:t>
      </w:r>
    </w:p>
    <w:p w14:paraId="265B4620" w14:textId="77777777" w:rsidR="00154462" w:rsidRPr="00434CE7" w:rsidRDefault="00154462" w:rsidP="00D83851">
      <w:pPr>
        <w:spacing w:after="160"/>
        <w:jc w:val="both"/>
        <w:rPr>
          <w:sz w:val="20"/>
          <w:szCs w:val="20"/>
        </w:rPr>
      </w:pPr>
      <w:r w:rsidRPr="00434CE7">
        <w:rPr>
          <w:b/>
          <w:sz w:val="20"/>
          <w:szCs w:val="20"/>
        </w:rPr>
        <w:t>Zdroj:</w:t>
      </w:r>
      <w:r w:rsidRPr="00434CE7">
        <w:rPr>
          <w:sz w:val="20"/>
          <w:szCs w:val="20"/>
        </w:rPr>
        <w:t xml:space="preserve"> Městská a obecní statistika </w:t>
      </w:r>
      <w:hyperlink r:id="rId63" w:history="1">
        <w:r w:rsidRPr="00043390">
          <w:rPr>
            <w:rStyle w:val="Hypertextovodkaz"/>
            <w:sz w:val="20"/>
            <w:szCs w:val="20"/>
          </w:rPr>
          <w:t>https://vdb.czso.cz/mos/</w:t>
        </w:r>
      </w:hyperlink>
    </w:p>
    <w:p w14:paraId="169E1052" w14:textId="77777777" w:rsidR="00154462" w:rsidRDefault="00154462" w:rsidP="00154462">
      <w:pPr>
        <w:spacing w:after="160" w:line="259" w:lineRule="auto"/>
      </w:pPr>
    </w:p>
    <w:p w14:paraId="48E4D355" w14:textId="17F11B53" w:rsidR="00154462" w:rsidRDefault="00154462" w:rsidP="00154462">
      <w:pPr>
        <w:spacing w:after="160" w:line="259" w:lineRule="auto"/>
        <w:jc w:val="both"/>
      </w:pPr>
      <w:r>
        <w:t>Z tohoto grafu vyplývá, že v obci dominují osoby podnikající podle živnostenského zákona neboli živnostníci. Co se týče dalších forem, následují obchodní společnosti</w:t>
      </w:r>
      <w:r w:rsidR="00920640">
        <w:t xml:space="preserve"> a zemědělští podnikatelé</w:t>
      </w:r>
      <w:r>
        <w:t xml:space="preserve">. Přibližně u </w:t>
      </w:r>
      <w:r w:rsidR="00920640">
        <w:t>4</w:t>
      </w:r>
      <w:r>
        <w:t xml:space="preserve"> % subjektů se nepodařilo podnikatelskou aktivitu zjistit.</w:t>
      </w:r>
    </w:p>
    <w:p w14:paraId="0D8C50E7" w14:textId="3BB80D62" w:rsidR="00154462" w:rsidRDefault="00154462" w:rsidP="00154462">
      <w:pPr>
        <w:spacing w:line="259" w:lineRule="auto"/>
        <w:jc w:val="both"/>
      </w:pPr>
      <w:r w:rsidRPr="0088779F">
        <w:t>K 31. 12. 20</w:t>
      </w:r>
      <w:r w:rsidR="00BC1AB5">
        <w:t>2</w:t>
      </w:r>
      <w:r w:rsidR="005D7BF9">
        <w:t>1</w:t>
      </w:r>
      <w:r w:rsidRPr="0088779F">
        <w:t xml:space="preserve"> bylo </w:t>
      </w:r>
      <w:r>
        <w:t xml:space="preserve">v obci </w:t>
      </w:r>
      <w:r w:rsidR="005D7BF9">
        <w:t>Staré Buky</w:t>
      </w:r>
      <w:r>
        <w:t xml:space="preserve"> evidováno celkem </w:t>
      </w:r>
      <w:r w:rsidR="005D7BF9">
        <w:t>142</w:t>
      </w:r>
      <w:r>
        <w:t xml:space="preserve"> živnostníků. K tomuto datu tak připadalo okolo </w:t>
      </w:r>
      <w:r w:rsidR="003C1567">
        <w:t>2</w:t>
      </w:r>
      <w:r w:rsidR="00991B91">
        <w:t>2</w:t>
      </w:r>
      <w:r>
        <w:t xml:space="preserve"> živnostníků na každých 100 obyvatel. Skutečnost</w:t>
      </w:r>
      <w:r w:rsidRPr="008E6930">
        <w:t xml:space="preserve"> však</w:t>
      </w:r>
      <w:r>
        <w:t xml:space="preserve"> může být poněkud odlišná, neboť u</w:t>
      </w:r>
      <w:r w:rsidRPr="008E6930">
        <w:t>vedený oficiální počet živnostníků jednak obsahuje i živnostníky, kteří svou činnost přerušili, a zároveň obsahuje i živnostníky, kteří již nepodnikají a pouze svou činnost oficiálně neukončili.</w:t>
      </w:r>
      <w:r>
        <w:t xml:space="preserve"> Pokud bychom vzali v potaz počet živnostníků, u kterých byla zjištěna aktivita (</w:t>
      </w:r>
      <w:r w:rsidR="00991B91">
        <w:t>57</w:t>
      </w:r>
      <w:r>
        <w:t xml:space="preserve"> osob), připadalo by na každých 100 obyvatel pouze přibližně </w:t>
      </w:r>
      <w:r w:rsidR="00991B91">
        <w:t>9</w:t>
      </w:r>
      <w:r>
        <w:t xml:space="preserve"> živnostníků.</w:t>
      </w:r>
    </w:p>
    <w:p w14:paraId="5B086C68" w14:textId="77777777" w:rsidR="00154462" w:rsidRDefault="00154462" w:rsidP="00154462">
      <w:pPr>
        <w:spacing w:after="160" w:line="259" w:lineRule="auto"/>
        <w:jc w:val="both"/>
      </w:pPr>
    </w:p>
    <w:p w14:paraId="6D33BE5A" w14:textId="680BB9C8" w:rsidR="00154462" w:rsidRDefault="00154462" w:rsidP="00154462">
      <w:pPr>
        <w:spacing w:after="160" w:line="259" w:lineRule="auto"/>
        <w:jc w:val="both"/>
      </w:pPr>
      <w:r w:rsidRPr="00D83851">
        <w:lastRenderedPageBreak/>
        <w:t xml:space="preserve">Úroveň spolupráce mezi obcí a místními podnikatelskými subjekty je z pohledu obce vnímána jako </w:t>
      </w:r>
      <w:r w:rsidR="00C47FF6">
        <w:t>mizivá.</w:t>
      </w:r>
    </w:p>
    <w:p w14:paraId="7857AE14" w14:textId="456FDABB" w:rsidR="008147E6" w:rsidRPr="00D83851" w:rsidRDefault="00154462" w:rsidP="00154462">
      <w:pPr>
        <w:spacing w:after="160" w:line="259" w:lineRule="auto"/>
        <w:jc w:val="both"/>
      </w:pPr>
      <w:r w:rsidRPr="00D83851">
        <w:t>Co se týče volných ploch vhodných k</w:t>
      </w:r>
      <w:r w:rsidR="00D83851" w:rsidRPr="00D83851">
        <w:t> </w:t>
      </w:r>
      <w:r w:rsidRPr="00D83851">
        <w:t>podnikání</w:t>
      </w:r>
      <w:r w:rsidR="00D83851" w:rsidRPr="00D83851">
        <w:t xml:space="preserve">, na území obce </w:t>
      </w:r>
      <w:r w:rsidR="00C47FF6">
        <w:t>jsou v územním plánu vymezeny plochy výroby a skladování – využívány pro zemědělství</w:t>
      </w:r>
      <w:r w:rsidR="00D83851" w:rsidRPr="00D83851">
        <w:t>.</w:t>
      </w:r>
    </w:p>
    <w:p w14:paraId="5886803E" w14:textId="7A6A0874" w:rsidR="00DF3964" w:rsidRDefault="00DF3964" w:rsidP="00222C53">
      <w:pPr>
        <w:spacing w:after="160" w:line="259" w:lineRule="auto"/>
        <w:jc w:val="both"/>
      </w:pPr>
    </w:p>
    <w:p w14:paraId="3AF2A14B" w14:textId="77777777" w:rsidR="008147E6" w:rsidRPr="00E617FA" w:rsidRDefault="008147E6" w:rsidP="008147E6">
      <w:pPr>
        <w:spacing w:after="160" w:line="259" w:lineRule="auto"/>
        <w:rPr>
          <w:u w:val="single"/>
        </w:rPr>
      </w:pPr>
      <w:r w:rsidRPr="00E617FA">
        <w:rPr>
          <w:u w:val="single"/>
        </w:rPr>
        <w:t>Poskytované komerční služby</w:t>
      </w:r>
    </w:p>
    <w:p w14:paraId="551B08A0" w14:textId="6EC15A30" w:rsidR="00373CBE" w:rsidRDefault="00373CBE" w:rsidP="00373CBE">
      <w:pPr>
        <w:spacing w:after="160" w:line="259" w:lineRule="auto"/>
        <w:jc w:val="both"/>
        <w:rPr>
          <w:rFonts w:eastAsia="RWXLTG+TimesNewRoman" w:cs="RWXLTG+TimesNewRoman"/>
        </w:rPr>
      </w:pPr>
      <w:r>
        <w:rPr>
          <w:rFonts w:eastAsia="RWXLTG+TimesNewRoman" w:cs="RWXLTG+TimesNewRoman"/>
        </w:rPr>
        <w:t xml:space="preserve">V obci </w:t>
      </w:r>
      <w:r w:rsidR="00AE0195">
        <w:rPr>
          <w:rFonts w:eastAsia="RWXLTG+TimesNewRoman" w:cs="RWXLTG+TimesNewRoman"/>
        </w:rPr>
        <w:t>Staré Buky</w:t>
      </w:r>
      <w:r>
        <w:rPr>
          <w:rFonts w:eastAsia="RWXLTG+TimesNewRoman" w:cs="RWXLTG+TimesNewRoman"/>
        </w:rPr>
        <w:t xml:space="preserve"> jsou k dispozici některé služby, které mohou lidé využít k uskutečnění svých potřeb. V obci </w:t>
      </w:r>
      <w:r w:rsidR="005D54DF">
        <w:rPr>
          <w:rFonts w:eastAsia="RWXLTG+TimesNewRoman" w:cs="RWXLTG+TimesNewRoman"/>
        </w:rPr>
        <w:t xml:space="preserve">je k dispozici </w:t>
      </w:r>
      <w:r w:rsidR="00AE0195">
        <w:rPr>
          <w:rFonts w:eastAsia="RWXLTG+TimesNewRoman" w:cs="RWXLTG+TimesNewRoman"/>
          <w:b/>
          <w:bCs/>
        </w:rPr>
        <w:t>pobočka</w:t>
      </w:r>
      <w:r w:rsidR="005D54DF" w:rsidRPr="005D54DF">
        <w:rPr>
          <w:rFonts w:eastAsia="RWXLTG+TimesNewRoman" w:cs="RWXLTG+TimesNewRoman"/>
          <w:b/>
          <w:bCs/>
        </w:rPr>
        <w:t xml:space="preserve"> </w:t>
      </w:r>
      <w:r w:rsidRPr="0074386F">
        <w:rPr>
          <w:rFonts w:eastAsia="RWXLTG+TimesNewRoman" w:cs="RWXLTG+TimesNewRoman"/>
          <w:b/>
          <w:bCs/>
        </w:rPr>
        <w:t>pošty</w:t>
      </w:r>
      <w:r w:rsidR="00AE0195">
        <w:rPr>
          <w:rFonts w:eastAsia="RWXLTG+TimesNewRoman" w:cs="RWXLTG+TimesNewRoman"/>
          <w:b/>
          <w:bCs/>
        </w:rPr>
        <w:t xml:space="preserve"> partner</w:t>
      </w:r>
      <w:r w:rsidR="004A78AA">
        <w:rPr>
          <w:rFonts w:eastAsia="RWXLTG+TimesNewRoman" w:cs="RWXLTG+TimesNewRoman"/>
        </w:rPr>
        <w:t>, která je otevřena každý pracovní den v týdnu od 8:00 do 11:00 hodin a v pondělí a ve čtvrtek navíc ještě od 15:00 do 17:00 hodin</w:t>
      </w:r>
      <w:r w:rsidR="005D54DF">
        <w:rPr>
          <w:rFonts w:eastAsia="RWXLTG+TimesNewRoman" w:cs="RWXLTG+TimesNewRoman"/>
        </w:rPr>
        <w:t xml:space="preserve">. </w:t>
      </w:r>
      <w:r>
        <w:rPr>
          <w:rFonts w:eastAsia="RWXLTG+TimesNewRoman" w:cs="RWXLTG+TimesNewRoman"/>
        </w:rPr>
        <w:t>Lidé mohou využít i služeb</w:t>
      </w:r>
      <w:r w:rsidR="003B6293">
        <w:rPr>
          <w:rFonts w:eastAsia="RWXLTG+TimesNewRoman" w:cs="RWXLTG+TimesNewRoman"/>
        </w:rPr>
        <w:t xml:space="preserve"> </w:t>
      </w:r>
      <w:r w:rsidR="005D54DF">
        <w:rPr>
          <w:rFonts w:eastAsia="RWXLTG+TimesNewRoman" w:cs="RWXLTG+TimesNewRoman"/>
        </w:rPr>
        <w:t>místních podnikatelů</w:t>
      </w:r>
      <w:r w:rsidR="002F50E3">
        <w:rPr>
          <w:rFonts w:eastAsia="RWXLTG+TimesNewRoman" w:cs="RWXLTG+TimesNewRoman"/>
        </w:rPr>
        <w:t xml:space="preserve"> (např. truhlářství)</w:t>
      </w:r>
      <w:r>
        <w:rPr>
          <w:rFonts w:eastAsia="RWXLTG+TimesNewRoman" w:cs="RWXLTG+TimesNewRoman"/>
        </w:rPr>
        <w:t>.</w:t>
      </w:r>
    </w:p>
    <w:p w14:paraId="1E8DAA31" w14:textId="792D3429" w:rsidR="0019599B" w:rsidRDefault="00373CBE" w:rsidP="00373CBE">
      <w:pPr>
        <w:spacing w:after="160" w:line="259" w:lineRule="auto"/>
        <w:jc w:val="both"/>
      </w:pPr>
      <w:r>
        <w:t>Na území obce jsou k dispozici i</w:t>
      </w:r>
      <w:r w:rsidR="005D54DF">
        <w:t xml:space="preserve"> </w:t>
      </w:r>
      <w:r w:rsidR="005D54DF" w:rsidRPr="005D54DF">
        <w:rPr>
          <w:b/>
          <w:bCs/>
        </w:rPr>
        <w:t>určité</w:t>
      </w:r>
      <w:r>
        <w:t xml:space="preserve"> </w:t>
      </w:r>
      <w:r w:rsidRPr="00BE1814">
        <w:rPr>
          <w:b/>
          <w:bCs/>
        </w:rPr>
        <w:t>ubytovací kapacit</w:t>
      </w:r>
      <w:r>
        <w:rPr>
          <w:b/>
          <w:bCs/>
        </w:rPr>
        <w:t>y</w:t>
      </w:r>
      <w:r>
        <w:t xml:space="preserve"> a </w:t>
      </w:r>
      <w:r w:rsidRPr="00FE389E">
        <w:rPr>
          <w:b/>
          <w:bCs/>
        </w:rPr>
        <w:t>stravovací zařízení</w:t>
      </w:r>
      <w:r>
        <w:t xml:space="preserve"> (podrobněji viz kapitola 2.1.3.3 Cestovní ruch).</w:t>
      </w:r>
    </w:p>
    <w:p w14:paraId="23C70A2A" w14:textId="77777777" w:rsidR="00D83851" w:rsidRDefault="00D83851" w:rsidP="00373CBE">
      <w:pPr>
        <w:spacing w:after="160" w:line="259" w:lineRule="auto"/>
        <w:jc w:val="both"/>
      </w:pPr>
    </w:p>
    <w:p w14:paraId="53A765C9" w14:textId="77777777" w:rsidR="008147E6" w:rsidRDefault="008147E6" w:rsidP="00814D5A">
      <w:pPr>
        <w:pStyle w:val="Nadpis4"/>
      </w:pPr>
      <w:bookmarkStart w:id="158" w:name="_Toc413418365"/>
      <w:bookmarkStart w:id="159" w:name="_Toc440566344"/>
      <w:bookmarkStart w:id="160" w:name="_Toc441227496"/>
      <w:bookmarkStart w:id="161" w:name="_Toc32580116"/>
      <w:bookmarkStart w:id="162" w:name="_Toc120652141"/>
      <w:r>
        <w:t>2.1.3.2 Trh práce</w:t>
      </w:r>
      <w:bookmarkEnd w:id="158"/>
      <w:bookmarkEnd w:id="159"/>
      <w:bookmarkEnd w:id="160"/>
      <w:bookmarkEnd w:id="161"/>
      <w:bookmarkEnd w:id="162"/>
      <w:r>
        <w:t xml:space="preserve"> </w:t>
      </w:r>
    </w:p>
    <w:p w14:paraId="57F89F4B" w14:textId="345A66F1" w:rsidR="008147E6" w:rsidRPr="00046E6C" w:rsidRDefault="008147E6" w:rsidP="008147E6">
      <w:pPr>
        <w:spacing w:after="160" w:line="259" w:lineRule="auto"/>
        <w:jc w:val="both"/>
        <w:rPr>
          <w:bCs/>
          <w:u w:val="single"/>
        </w:rPr>
      </w:pPr>
      <w:r w:rsidRPr="00046E6C">
        <w:rPr>
          <w:bCs/>
          <w:u w:val="single"/>
        </w:rPr>
        <w:t>Ekonomická aktivita obyvatelstva</w:t>
      </w:r>
    </w:p>
    <w:p w14:paraId="0B2BF61C" w14:textId="6AC275A7" w:rsidR="002A1ADF" w:rsidRDefault="002A1ADF" w:rsidP="002A1ADF">
      <w:pPr>
        <w:spacing w:after="160" w:line="259" w:lineRule="auto"/>
        <w:jc w:val="both"/>
      </w:pPr>
      <w:r>
        <w:t xml:space="preserve">Z informací </w:t>
      </w:r>
      <w:r w:rsidRPr="00681030">
        <w:t xml:space="preserve">ze sčítání lidu, domů a bytů z roku 2011 vyplynulo, že k tomuto roku bylo </w:t>
      </w:r>
      <w:r>
        <w:t xml:space="preserve">v obci </w:t>
      </w:r>
      <w:r w:rsidR="004C691D">
        <w:t>Staré Buky</w:t>
      </w:r>
      <w:r w:rsidR="00974F36">
        <w:t xml:space="preserve"> </w:t>
      </w:r>
      <w:r>
        <w:t xml:space="preserve">celkem </w:t>
      </w:r>
      <w:r w:rsidR="00645959">
        <w:t>22</w:t>
      </w:r>
      <w:r w:rsidR="004C691D">
        <w:t>4</w:t>
      </w:r>
      <w:r>
        <w:t xml:space="preserve"> </w:t>
      </w:r>
      <w:r w:rsidRPr="00681030">
        <w:t xml:space="preserve">ekonomicky aktivních obyvatel (EAO), což představovalo </w:t>
      </w:r>
      <w:r w:rsidR="00645959">
        <w:t>4</w:t>
      </w:r>
      <w:r w:rsidR="004C691D">
        <w:t>5</w:t>
      </w:r>
      <w:r w:rsidR="00974F36">
        <w:t>,</w:t>
      </w:r>
      <w:r w:rsidR="00645959">
        <w:t>6</w:t>
      </w:r>
      <w:r w:rsidRPr="00681030">
        <w:t xml:space="preserve"> % obyvatelstva. Z EAO bylo </w:t>
      </w:r>
      <w:r w:rsidR="00974F36">
        <w:t>1</w:t>
      </w:r>
      <w:r w:rsidR="004C691D">
        <w:t>31</w:t>
      </w:r>
      <w:r w:rsidRPr="00681030">
        <w:t xml:space="preserve"> mužů a </w:t>
      </w:r>
      <w:r w:rsidR="004C691D">
        <w:t>93</w:t>
      </w:r>
      <w:r w:rsidRPr="00681030">
        <w:t xml:space="preserve"> žen. U </w:t>
      </w:r>
      <w:r w:rsidR="004C691D">
        <w:t>32</w:t>
      </w:r>
      <w:r w:rsidRPr="00681030">
        <w:t xml:space="preserve"> osob se nepodařilo ekonomickou aktivitu zjistit</w:t>
      </w:r>
      <w:r>
        <w:t xml:space="preserve"> </w:t>
      </w:r>
      <w:r w:rsidRPr="00681030">
        <w:t xml:space="preserve">(u </w:t>
      </w:r>
      <w:r w:rsidR="00645959">
        <w:t>1</w:t>
      </w:r>
      <w:r w:rsidR="004C691D">
        <w:t>9</w:t>
      </w:r>
      <w:r w:rsidRPr="00681030">
        <w:t xml:space="preserve"> mužů </w:t>
      </w:r>
      <w:r>
        <w:t xml:space="preserve">a </w:t>
      </w:r>
      <w:r w:rsidR="004C691D">
        <w:t>13</w:t>
      </w:r>
      <w:r>
        <w:t xml:space="preserve"> </w:t>
      </w:r>
      <w:r w:rsidRPr="00681030">
        <w:t>žen). Zbývající část obyvatel je ekonomicky neaktivní, kam se řadí např. nepracující lidé v důchodovém věku, žáci, studenti apod.</w:t>
      </w:r>
    </w:p>
    <w:p w14:paraId="308D3962" w14:textId="06EF6564" w:rsidR="002A1ADF" w:rsidRDefault="002A1ADF" w:rsidP="002A1ADF">
      <w:pPr>
        <w:spacing w:after="160" w:line="259" w:lineRule="auto"/>
        <w:jc w:val="both"/>
      </w:pPr>
      <w:r>
        <w:t>Počet EAO se od roku 2001 (</w:t>
      </w:r>
      <w:r w:rsidR="004C691D">
        <w:t>192</w:t>
      </w:r>
      <w:r>
        <w:t xml:space="preserve"> osob) </w:t>
      </w:r>
      <w:r w:rsidRPr="000E2D05">
        <w:t>do roku 2011</w:t>
      </w:r>
      <w:r>
        <w:t xml:space="preserve"> (</w:t>
      </w:r>
      <w:r w:rsidR="00C52527">
        <w:t>22</w:t>
      </w:r>
      <w:r w:rsidR="004C691D">
        <w:t>4</w:t>
      </w:r>
      <w:r>
        <w:t xml:space="preserve"> osob)</w:t>
      </w:r>
      <w:r w:rsidRPr="000E2D05">
        <w:t xml:space="preserve"> </w:t>
      </w:r>
      <w:r w:rsidR="00645959">
        <w:t>zvýšil</w:t>
      </w:r>
      <w:r w:rsidRPr="000E2D05">
        <w:t xml:space="preserve"> o </w:t>
      </w:r>
      <w:r w:rsidR="004C691D">
        <w:t>32</w:t>
      </w:r>
      <w:r>
        <w:t xml:space="preserve"> osob</w:t>
      </w:r>
      <w:r w:rsidRPr="000E2D05">
        <w:t>, což představ</w:t>
      </w:r>
      <w:r w:rsidR="00B00B67">
        <w:t>ovalo</w:t>
      </w:r>
      <w:r w:rsidRPr="000E2D05">
        <w:t xml:space="preserve"> </w:t>
      </w:r>
      <w:r w:rsidR="00645959">
        <w:t>nárůst</w:t>
      </w:r>
      <w:r>
        <w:t xml:space="preserve"> </w:t>
      </w:r>
      <w:r w:rsidR="00645959">
        <w:t xml:space="preserve">přibližně o </w:t>
      </w:r>
      <w:r w:rsidR="002629FF">
        <w:t>17</w:t>
      </w:r>
      <w:r w:rsidR="00645959">
        <w:t xml:space="preserve"> %</w:t>
      </w:r>
      <w:r w:rsidRPr="000E2D05">
        <w:t>.</w:t>
      </w:r>
      <w:r w:rsidR="00B00B67" w:rsidRPr="00B00B67">
        <w:t xml:space="preserve"> </w:t>
      </w:r>
      <w:r w:rsidR="00B00B67">
        <w:t xml:space="preserve">Hlavní příčinou </w:t>
      </w:r>
      <w:r w:rsidR="00C52527">
        <w:t>mohl</w:t>
      </w:r>
      <w:r w:rsidR="00B00B67">
        <w:t xml:space="preserve"> být celkový nárůst počtu obyvatel jak díky kladnému přirozenému přírůstku, tak díky</w:t>
      </w:r>
      <w:r w:rsidR="00B00B67" w:rsidRPr="00B00B67">
        <w:t xml:space="preserve"> </w:t>
      </w:r>
      <w:r w:rsidR="00B00B67">
        <w:t>kladnému migračnímu saldu, kdy bezpochyby řada přistěhovalých osob byla ekonomicky aktivní</w:t>
      </w:r>
      <w:r>
        <w:t>. Informace týkající se ekonomické aktivity obyvatelstva v</w:t>
      </w:r>
      <w:r w:rsidR="00EB5128">
        <w:t xml:space="preserve"> obci </w:t>
      </w:r>
      <w:r w:rsidR="002629FF">
        <w:t>Staré Buky</w:t>
      </w:r>
      <w:r>
        <w:t xml:space="preserve"> demonstruje následující tabulka </w:t>
      </w:r>
      <w:r w:rsidR="002629FF">
        <w:t>9</w:t>
      </w:r>
      <w:r>
        <w:t>.</w:t>
      </w:r>
    </w:p>
    <w:p w14:paraId="34DF3AB2" w14:textId="17FFE72B" w:rsidR="002A1ADF" w:rsidRDefault="002A1ADF" w:rsidP="002A1ADF">
      <w:pPr>
        <w:spacing w:after="160" w:line="259" w:lineRule="auto"/>
        <w:jc w:val="both"/>
      </w:pPr>
    </w:p>
    <w:p w14:paraId="72DB8D30" w14:textId="21835B6C" w:rsidR="002A1ADF" w:rsidRPr="00A71FA1" w:rsidRDefault="002A1ADF" w:rsidP="002A1ADF">
      <w:pPr>
        <w:pStyle w:val="TABULKA0"/>
      </w:pPr>
      <w:bookmarkStart w:id="163" w:name="_Toc441221912"/>
      <w:bookmarkStart w:id="164" w:name="_Toc465022147"/>
      <w:bookmarkStart w:id="165" w:name="_Toc480751586"/>
      <w:bookmarkStart w:id="166" w:name="_Toc120651931"/>
      <w:r>
        <w:t xml:space="preserve">Tabulka </w:t>
      </w:r>
      <w:r w:rsidR="00CF2A0E">
        <w:t>9</w:t>
      </w:r>
      <w:r w:rsidRPr="00A71FA1">
        <w:t xml:space="preserve">: </w:t>
      </w:r>
      <w:bookmarkEnd w:id="163"/>
      <w:bookmarkEnd w:id="164"/>
      <w:bookmarkEnd w:id="165"/>
      <w:r>
        <w:t xml:space="preserve">Ekonomická aktivita obyvatelstva v obci </w:t>
      </w:r>
      <w:r w:rsidR="00CF2A0E">
        <w:t>Staré Buky</w:t>
      </w:r>
      <w:r>
        <w:t xml:space="preserve"> v letech 2001 a 2011 (v %)</w:t>
      </w:r>
      <w:bookmarkEnd w:id="166"/>
    </w:p>
    <w:tbl>
      <w:tblPr>
        <w:tblW w:w="0" w:type="auto"/>
        <w:jc w:val="center"/>
        <w:tblCellMar>
          <w:left w:w="70" w:type="dxa"/>
          <w:right w:w="70" w:type="dxa"/>
        </w:tblCellMar>
        <w:tblLook w:val="04A0" w:firstRow="1" w:lastRow="0" w:firstColumn="1" w:lastColumn="0" w:noHBand="0" w:noVBand="1"/>
      </w:tblPr>
      <w:tblGrid>
        <w:gridCol w:w="717"/>
        <w:gridCol w:w="717"/>
        <w:gridCol w:w="2679"/>
        <w:gridCol w:w="960"/>
        <w:gridCol w:w="1017"/>
      </w:tblGrid>
      <w:tr w:rsidR="002A1ADF" w:rsidRPr="00B70A54" w14:paraId="621E1D9D" w14:textId="77777777" w:rsidTr="00CF2A0E">
        <w:trPr>
          <w:trHeight w:val="38"/>
          <w:jc w:val="center"/>
        </w:trPr>
        <w:tc>
          <w:tcPr>
            <w:tcW w:w="0" w:type="auto"/>
            <w:gridSpan w:val="3"/>
            <w:tcBorders>
              <w:top w:val="single" w:sz="12" w:space="0" w:color="auto"/>
              <w:left w:val="single" w:sz="12" w:space="0" w:color="auto"/>
              <w:bottom w:val="single" w:sz="12" w:space="0" w:color="auto"/>
              <w:right w:val="single" w:sz="4" w:space="0" w:color="auto"/>
            </w:tcBorders>
            <w:shd w:val="clear" w:color="auto" w:fill="FFC000"/>
            <w:noWrap/>
            <w:vAlign w:val="center"/>
          </w:tcPr>
          <w:p w14:paraId="0AFE380E" w14:textId="4B19A9D7" w:rsidR="002A1ADF" w:rsidRPr="00B70A54" w:rsidRDefault="002A1ADF" w:rsidP="002A1ADF">
            <w:pPr>
              <w:jc w:val="center"/>
              <w:rPr>
                <w:rFonts w:ascii="Calibri" w:eastAsia="Times New Roman" w:hAnsi="Calibri" w:cs="Calibri"/>
                <w:b/>
                <w:bCs/>
                <w:color w:val="000000"/>
                <w:lang w:eastAsia="cs-CZ"/>
              </w:rPr>
            </w:pPr>
            <w:r w:rsidRPr="00E77108">
              <w:rPr>
                <w:rFonts w:ascii="Calibri" w:eastAsia="Times New Roman" w:hAnsi="Calibri" w:cs="Calibri"/>
                <w:b/>
                <w:bCs/>
                <w:color w:val="000000"/>
                <w:lang w:eastAsia="cs-CZ"/>
              </w:rPr>
              <w:t>Ekonomická aktivita</w:t>
            </w:r>
          </w:p>
        </w:tc>
        <w:tc>
          <w:tcPr>
            <w:tcW w:w="0" w:type="auto"/>
            <w:tcBorders>
              <w:top w:val="single" w:sz="12" w:space="0" w:color="auto"/>
              <w:left w:val="nil"/>
              <w:bottom w:val="single" w:sz="12" w:space="0" w:color="auto"/>
              <w:right w:val="single" w:sz="4" w:space="0" w:color="auto"/>
            </w:tcBorders>
            <w:shd w:val="clear" w:color="auto" w:fill="FFC000"/>
            <w:noWrap/>
            <w:vAlign w:val="center"/>
          </w:tcPr>
          <w:p w14:paraId="55B91713" w14:textId="15630710" w:rsidR="002A1ADF" w:rsidRPr="00B70A54" w:rsidRDefault="002A1ADF" w:rsidP="002A1ADF">
            <w:pPr>
              <w:jc w:val="center"/>
              <w:rPr>
                <w:rFonts w:ascii="Calibri" w:eastAsia="Times New Roman" w:hAnsi="Calibri" w:cs="Calibri"/>
                <w:lang w:eastAsia="cs-CZ"/>
              </w:rPr>
            </w:pPr>
            <w:r w:rsidRPr="00E77108">
              <w:rPr>
                <w:rFonts w:ascii="Calibri" w:eastAsia="Times New Roman" w:hAnsi="Calibri" w:cs="Calibri"/>
                <w:b/>
                <w:bCs/>
                <w:color w:val="000000"/>
                <w:lang w:eastAsia="cs-CZ"/>
              </w:rPr>
              <w:t>2001</w:t>
            </w:r>
          </w:p>
        </w:tc>
        <w:tc>
          <w:tcPr>
            <w:tcW w:w="1017" w:type="dxa"/>
            <w:tcBorders>
              <w:top w:val="single" w:sz="12" w:space="0" w:color="auto"/>
              <w:left w:val="nil"/>
              <w:bottom w:val="single" w:sz="12" w:space="0" w:color="auto"/>
              <w:right w:val="single" w:sz="12" w:space="0" w:color="auto"/>
            </w:tcBorders>
            <w:shd w:val="clear" w:color="auto" w:fill="FFC000"/>
            <w:noWrap/>
            <w:vAlign w:val="center"/>
          </w:tcPr>
          <w:p w14:paraId="38B71144" w14:textId="58AD64CB" w:rsidR="002A1ADF" w:rsidRPr="00B70A54" w:rsidRDefault="002A1ADF" w:rsidP="002A1ADF">
            <w:pPr>
              <w:jc w:val="center"/>
              <w:rPr>
                <w:rFonts w:ascii="Calibri" w:eastAsia="Times New Roman" w:hAnsi="Calibri" w:cs="Calibri"/>
                <w:lang w:eastAsia="cs-CZ"/>
              </w:rPr>
            </w:pPr>
            <w:r w:rsidRPr="00E77108">
              <w:rPr>
                <w:rFonts w:ascii="Calibri" w:eastAsia="Times New Roman" w:hAnsi="Calibri" w:cs="Calibri"/>
                <w:b/>
                <w:bCs/>
                <w:color w:val="000000"/>
                <w:lang w:eastAsia="cs-CZ"/>
              </w:rPr>
              <w:t>2011</w:t>
            </w:r>
          </w:p>
        </w:tc>
      </w:tr>
      <w:tr w:rsidR="002A1ADF" w:rsidRPr="00B70A54" w14:paraId="251D2AF9" w14:textId="77777777" w:rsidTr="005B54D9">
        <w:trPr>
          <w:trHeight w:val="58"/>
          <w:jc w:val="center"/>
        </w:trPr>
        <w:tc>
          <w:tcPr>
            <w:tcW w:w="0" w:type="auto"/>
            <w:gridSpan w:val="3"/>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02FEE35C" w14:textId="77777777" w:rsidR="002A1ADF" w:rsidRPr="00B70A54" w:rsidRDefault="002A1ADF" w:rsidP="000A2FCE">
            <w:pPr>
              <w:rPr>
                <w:rFonts w:ascii="Calibri" w:eastAsia="Times New Roman" w:hAnsi="Calibri" w:cs="Calibri"/>
                <w:b/>
                <w:bCs/>
                <w:color w:val="000000"/>
                <w:lang w:eastAsia="cs-CZ"/>
              </w:rPr>
            </w:pPr>
            <w:r w:rsidRPr="00B70A54">
              <w:rPr>
                <w:rFonts w:ascii="Calibri" w:eastAsia="Times New Roman" w:hAnsi="Calibri" w:cs="Calibri"/>
                <w:b/>
                <w:bCs/>
                <w:color w:val="000000"/>
                <w:lang w:eastAsia="cs-CZ"/>
              </w:rPr>
              <w:t>Obyvatelstvo</w:t>
            </w:r>
            <w:r>
              <w:rPr>
                <w:rFonts w:ascii="Calibri" w:eastAsia="Times New Roman" w:hAnsi="Calibri" w:cs="Calibri"/>
                <w:b/>
                <w:bCs/>
                <w:color w:val="000000"/>
                <w:lang w:eastAsia="cs-CZ"/>
              </w:rPr>
              <w:t xml:space="preserve"> celkem</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0764F3C0" w14:textId="77777777" w:rsidR="002A1ADF" w:rsidRPr="00B70A54" w:rsidRDefault="002A1ADF" w:rsidP="000A2FCE">
            <w:pPr>
              <w:jc w:val="right"/>
              <w:rPr>
                <w:rFonts w:ascii="Calibri" w:eastAsia="Times New Roman" w:hAnsi="Calibri" w:cs="Calibri"/>
                <w:lang w:eastAsia="cs-CZ"/>
              </w:rPr>
            </w:pPr>
            <w:r w:rsidRPr="00B70A54">
              <w:rPr>
                <w:rFonts w:ascii="Calibri" w:eastAsia="Times New Roman" w:hAnsi="Calibri" w:cs="Calibri"/>
                <w:lang w:eastAsia="cs-CZ"/>
              </w:rPr>
              <w:t>100,00</w:t>
            </w:r>
            <w:r>
              <w:rPr>
                <w:rFonts w:ascii="Calibri" w:eastAsia="Times New Roman" w:hAnsi="Calibri" w:cs="Calibri"/>
                <w:lang w:eastAsia="cs-CZ"/>
              </w:rPr>
              <w:t xml:space="preserve"> </w:t>
            </w:r>
            <w:r w:rsidRPr="00B70A54">
              <w:rPr>
                <w:rFonts w:ascii="Calibri" w:eastAsia="Times New Roman" w:hAnsi="Calibri" w:cs="Calibri"/>
                <w:lang w:eastAsia="cs-CZ"/>
              </w:rPr>
              <w:t>%</w:t>
            </w:r>
          </w:p>
        </w:tc>
        <w:tc>
          <w:tcPr>
            <w:tcW w:w="1017" w:type="dxa"/>
            <w:tcBorders>
              <w:top w:val="single" w:sz="12" w:space="0" w:color="auto"/>
              <w:left w:val="nil"/>
              <w:bottom w:val="single" w:sz="4" w:space="0" w:color="auto"/>
              <w:right w:val="single" w:sz="12" w:space="0" w:color="auto"/>
            </w:tcBorders>
            <w:shd w:val="clear" w:color="auto" w:fill="auto"/>
            <w:noWrap/>
            <w:vAlign w:val="center"/>
            <w:hideMark/>
          </w:tcPr>
          <w:p w14:paraId="46E7D07D" w14:textId="77777777" w:rsidR="002A1ADF" w:rsidRPr="00B70A54" w:rsidRDefault="002A1ADF" w:rsidP="000A2FCE">
            <w:pPr>
              <w:jc w:val="right"/>
              <w:rPr>
                <w:rFonts w:ascii="Calibri" w:eastAsia="Times New Roman" w:hAnsi="Calibri" w:cs="Calibri"/>
                <w:lang w:eastAsia="cs-CZ"/>
              </w:rPr>
            </w:pPr>
            <w:r w:rsidRPr="00B70A54">
              <w:rPr>
                <w:rFonts w:ascii="Calibri" w:eastAsia="Times New Roman" w:hAnsi="Calibri" w:cs="Calibri"/>
                <w:lang w:eastAsia="cs-CZ"/>
              </w:rPr>
              <w:t>100,00</w:t>
            </w:r>
            <w:r>
              <w:rPr>
                <w:rFonts w:ascii="Calibri" w:eastAsia="Times New Roman" w:hAnsi="Calibri" w:cs="Calibri"/>
                <w:lang w:eastAsia="cs-CZ"/>
              </w:rPr>
              <w:t xml:space="preserve"> </w:t>
            </w:r>
            <w:r w:rsidRPr="00B70A54">
              <w:rPr>
                <w:rFonts w:ascii="Calibri" w:eastAsia="Times New Roman" w:hAnsi="Calibri" w:cs="Calibri"/>
                <w:lang w:eastAsia="cs-CZ"/>
              </w:rPr>
              <w:t>%</w:t>
            </w:r>
          </w:p>
        </w:tc>
      </w:tr>
      <w:tr w:rsidR="00645959" w:rsidRPr="00B70A54" w14:paraId="7431348B" w14:textId="77777777" w:rsidTr="005B54D9">
        <w:trPr>
          <w:trHeight w:val="58"/>
          <w:jc w:val="center"/>
        </w:trPr>
        <w:tc>
          <w:tcPr>
            <w:tcW w:w="0" w:type="auto"/>
            <w:gridSpan w:val="3"/>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6B0663FA" w14:textId="77777777" w:rsidR="00645959" w:rsidRPr="00B70A54" w:rsidRDefault="00645959" w:rsidP="00645959">
            <w:pPr>
              <w:rPr>
                <w:rFonts w:ascii="Calibri" w:eastAsia="Times New Roman" w:hAnsi="Calibri" w:cs="Calibri"/>
                <w:b/>
                <w:bCs/>
                <w:color w:val="000000"/>
                <w:lang w:eastAsia="cs-CZ"/>
              </w:rPr>
            </w:pPr>
            <w:r w:rsidRPr="00B70A54">
              <w:rPr>
                <w:rFonts w:ascii="Calibri" w:eastAsia="Times New Roman" w:hAnsi="Calibri" w:cs="Calibri"/>
                <w:b/>
                <w:bCs/>
                <w:color w:val="000000"/>
                <w:lang w:eastAsia="cs-CZ"/>
              </w:rPr>
              <w:t>Ekonomicky aktivní celkem</w:t>
            </w:r>
          </w:p>
        </w:tc>
        <w:tc>
          <w:tcPr>
            <w:tcW w:w="0" w:type="auto"/>
            <w:tcBorders>
              <w:top w:val="nil"/>
              <w:left w:val="nil"/>
              <w:bottom w:val="single" w:sz="4" w:space="0" w:color="auto"/>
              <w:right w:val="single" w:sz="4" w:space="0" w:color="auto"/>
            </w:tcBorders>
            <w:shd w:val="clear" w:color="auto" w:fill="auto"/>
            <w:noWrap/>
            <w:vAlign w:val="center"/>
            <w:hideMark/>
          </w:tcPr>
          <w:p w14:paraId="6F365FA2" w14:textId="2B6B7E00" w:rsidR="00645959" w:rsidRPr="00B70A54" w:rsidRDefault="00645959" w:rsidP="00645959">
            <w:pPr>
              <w:jc w:val="right"/>
              <w:rPr>
                <w:rFonts w:ascii="Calibri" w:eastAsia="Times New Roman" w:hAnsi="Calibri" w:cs="Calibri"/>
                <w:b/>
                <w:bCs/>
                <w:lang w:eastAsia="cs-CZ"/>
              </w:rPr>
            </w:pPr>
            <w:r>
              <w:rPr>
                <w:rFonts w:ascii="Calibri" w:hAnsi="Calibri" w:cs="Calibri"/>
                <w:b/>
                <w:bCs/>
                <w:color w:val="000000"/>
              </w:rPr>
              <w:t>5</w:t>
            </w:r>
            <w:r w:rsidR="00CF2A0E">
              <w:rPr>
                <w:rFonts w:ascii="Calibri" w:hAnsi="Calibri" w:cs="Calibri"/>
                <w:b/>
                <w:bCs/>
                <w:color w:val="000000"/>
              </w:rPr>
              <w:t>0</w:t>
            </w:r>
            <w:r>
              <w:rPr>
                <w:rFonts w:ascii="Calibri" w:hAnsi="Calibri" w:cs="Calibri"/>
                <w:b/>
                <w:bCs/>
                <w:color w:val="000000"/>
              </w:rPr>
              <w:t>,</w:t>
            </w:r>
            <w:r w:rsidR="00CF2A0E">
              <w:rPr>
                <w:rFonts w:ascii="Calibri" w:hAnsi="Calibri" w:cs="Calibri"/>
                <w:b/>
                <w:bCs/>
                <w:color w:val="000000"/>
              </w:rPr>
              <w:t>1</w:t>
            </w:r>
            <w:r>
              <w:rPr>
                <w:rFonts w:ascii="Calibri" w:hAnsi="Calibri" w:cs="Calibri"/>
                <w:b/>
                <w:bCs/>
                <w:color w:val="000000"/>
              </w:rPr>
              <w:t xml:space="preserve"> %</w:t>
            </w:r>
          </w:p>
        </w:tc>
        <w:tc>
          <w:tcPr>
            <w:tcW w:w="1017" w:type="dxa"/>
            <w:tcBorders>
              <w:top w:val="nil"/>
              <w:left w:val="nil"/>
              <w:bottom w:val="single" w:sz="4" w:space="0" w:color="auto"/>
              <w:right w:val="single" w:sz="12" w:space="0" w:color="auto"/>
            </w:tcBorders>
            <w:shd w:val="clear" w:color="auto" w:fill="auto"/>
            <w:noWrap/>
            <w:vAlign w:val="center"/>
            <w:hideMark/>
          </w:tcPr>
          <w:p w14:paraId="13FFC6C3" w14:textId="3DBDD08D" w:rsidR="00645959" w:rsidRPr="00B70A54" w:rsidRDefault="00645959" w:rsidP="00645959">
            <w:pPr>
              <w:jc w:val="right"/>
              <w:rPr>
                <w:rFonts w:ascii="Calibri" w:eastAsia="Times New Roman" w:hAnsi="Calibri" w:cs="Calibri"/>
                <w:b/>
                <w:bCs/>
                <w:lang w:eastAsia="cs-CZ"/>
              </w:rPr>
            </w:pPr>
            <w:r>
              <w:rPr>
                <w:rFonts w:ascii="Calibri" w:hAnsi="Calibri" w:cs="Calibri"/>
                <w:b/>
                <w:bCs/>
                <w:color w:val="000000"/>
              </w:rPr>
              <w:t>4</w:t>
            </w:r>
            <w:r w:rsidR="00CF2A0E">
              <w:rPr>
                <w:rFonts w:ascii="Calibri" w:hAnsi="Calibri" w:cs="Calibri"/>
                <w:b/>
                <w:bCs/>
                <w:color w:val="000000"/>
              </w:rPr>
              <w:t>5</w:t>
            </w:r>
            <w:r>
              <w:rPr>
                <w:rFonts w:ascii="Calibri" w:hAnsi="Calibri" w:cs="Calibri"/>
                <w:b/>
                <w:bCs/>
                <w:color w:val="000000"/>
              </w:rPr>
              <w:t>,6 %</w:t>
            </w:r>
          </w:p>
        </w:tc>
      </w:tr>
      <w:tr w:rsidR="00645959" w:rsidRPr="00B70A54" w14:paraId="66FBAC6A" w14:textId="77777777" w:rsidTr="005B54D9">
        <w:trPr>
          <w:trHeight w:val="58"/>
          <w:jc w:val="center"/>
        </w:trPr>
        <w:tc>
          <w:tcPr>
            <w:tcW w:w="0" w:type="auto"/>
            <w:vMerge w:val="restart"/>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14:paraId="1EB9BED8" w14:textId="77777777" w:rsidR="00645959" w:rsidRPr="00477824" w:rsidRDefault="00645959" w:rsidP="00645959">
            <w:pPr>
              <w:jc w:val="center"/>
              <w:rPr>
                <w:rFonts w:ascii="Calibri" w:eastAsia="Times New Roman" w:hAnsi="Calibri" w:cs="Calibri"/>
                <w:color w:val="000000"/>
                <w:lang w:eastAsia="cs-CZ"/>
              </w:rPr>
            </w:pPr>
            <w:r w:rsidRPr="00477824">
              <w:rPr>
                <w:rFonts w:ascii="Calibri" w:eastAsia="Times New Roman" w:hAnsi="Calibri" w:cs="Calibri"/>
                <w:color w:val="000000"/>
                <w:lang w:eastAsia="cs-CZ"/>
              </w:rPr>
              <w:t>v tom</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DB322B" w14:textId="77777777" w:rsidR="00645959" w:rsidRPr="00477824" w:rsidRDefault="00645959" w:rsidP="00645959">
            <w:pPr>
              <w:rPr>
                <w:rFonts w:ascii="Calibri" w:eastAsia="Times New Roman" w:hAnsi="Calibri" w:cs="Calibri"/>
                <w:color w:val="000000"/>
                <w:lang w:eastAsia="cs-CZ"/>
              </w:rPr>
            </w:pPr>
            <w:r w:rsidRPr="00477824">
              <w:rPr>
                <w:rFonts w:ascii="Calibri" w:eastAsia="Times New Roman" w:hAnsi="Calibri" w:cs="Calibri"/>
                <w:color w:val="000000"/>
                <w:lang w:eastAsia="cs-CZ"/>
              </w:rPr>
              <w:t>Zaměstnaní</w:t>
            </w:r>
          </w:p>
        </w:tc>
        <w:tc>
          <w:tcPr>
            <w:tcW w:w="0" w:type="auto"/>
            <w:tcBorders>
              <w:top w:val="nil"/>
              <w:left w:val="nil"/>
              <w:bottom w:val="single" w:sz="4" w:space="0" w:color="auto"/>
              <w:right w:val="single" w:sz="4" w:space="0" w:color="auto"/>
            </w:tcBorders>
            <w:shd w:val="clear" w:color="auto" w:fill="auto"/>
            <w:noWrap/>
            <w:vAlign w:val="center"/>
            <w:hideMark/>
          </w:tcPr>
          <w:p w14:paraId="32208353" w14:textId="474408C9" w:rsidR="00645959" w:rsidRPr="00DD1CDC" w:rsidRDefault="00645959" w:rsidP="00645959">
            <w:pPr>
              <w:jc w:val="right"/>
              <w:rPr>
                <w:rFonts w:ascii="Calibri" w:eastAsia="Times New Roman" w:hAnsi="Calibri" w:cs="Calibri"/>
                <w:lang w:eastAsia="cs-CZ"/>
              </w:rPr>
            </w:pPr>
            <w:r>
              <w:rPr>
                <w:rFonts w:ascii="Calibri" w:hAnsi="Calibri" w:cs="Calibri"/>
                <w:color w:val="000000"/>
              </w:rPr>
              <w:t>48,</w:t>
            </w:r>
            <w:r w:rsidR="00CF2A0E">
              <w:rPr>
                <w:rFonts w:ascii="Calibri" w:hAnsi="Calibri" w:cs="Calibri"/>
                <w:color w:val="000000"/>
              </w:rPr>
              <w:t>6</w:t>
            </w:r>
            <w:r>
              <w:rPr>
                <w:rFonts w:ascii="Calibri" w:hAnsi="Calibri" w:cs="Calibri"/>
                <w:color w:val="000000"/>
              </w:rPr>
              <w:t xml:space="preserve"> %</w:t>
            </w:r>
          </w:p>
        </w:tc>
        <w:tc>
          <w:tcPr>
            <w:tcW w:w="1017" w:type="dxa"/>
            <w:tcBorders>
              <w:top w:val="nil"/>
              <w:left w:val="nil"/>
              <w:bottom w:val="single" w:sz="4" w:space="0" w:color="auto"/>
              <w:right w:val="single" w:sz="12" w:space="0" w:color="auto"/>
            </w:tcBorders>
            <w:shd w:val="clear" w:color="auto" w:fill="auto"/>
            <w:noWrap/>
            <w:vAlign w:val="center"/>
            <w:hideMark/>
          </w:tcPr>
          <w:p w14:paraId="245AC99E" w14:textId="01647616" w:rsidR="00645959" w:rsidRPr="00DD1CDC" w:rsidRDefault="00645959" w:rsidP="00645959">
            <w:pPr>
              <w:jc w:val="right"/>
              <w:rPr>
                <w:rFonts w:ascii="Calibri" w:eastAsia="Times New Roman" w:hAnsi="Calibri" w:cs="Calibri"/>
                <w:lang w:eastAsia="cs-CZ"/>
              </w:rPr>
            </w:pPr>
            <w:r>
              <w:rPr>
                <w:rFonts w:ascii="Calibri" w:hAnsi="Calibri" w:cs="Calibri"/>
                <w:color w:val="000000"/>
              </w:rPr>
              <w:t>4</w:t>
            </w:r>
            <w:r w:rsidR="00CF2A0E">
              <w:rPr>
                <w:rFonts w:ascii="Calibri" w:hAnsi="Calibri" w:cs="Calibri"/>
                <w:color w:val="000000"/>
              </w:rPr>
              <w:t>2</w:t>
            </w:r>
            <w:r>
              <w:rPr>
                <w:rFonts w:ascii="Calibri" w:hAnsi="Calibri" w:cs="Calibri"/>
                <w:color w:val="000000"/>
              </w:rPr>
              <w:t>,</w:t>
            </w:r>
            <w:r w:rsidR="00CF2A0E">
              <w:rPr>
                <w:rFonts w:ascii="Calibri" w:hAnsi="Calibri" w:cs="Calibri"/>
                <w:color w:val="000000"/>
              </w:rPr>
              <w:t>6</w:t>
            </w:r>
            <w:r>
              <w:rPr>
                <w:rFonts w:ascii="Calibri" w:hAnsi="Calibri" w:cs="Calibri"/>
                <w:color w:val="000000"/>
              </w:rPr>
              <w:t xml:space="preserve"> %</w:t>
            </w:r>
          </w:p>
        </w:tc>
      </w:tr>
      <w:tr w:rsidR="00645959" w:rsidRPr="00B70A54" w14:paraId="15E43644" w14:textId="77777777" w:rsidTr="005B54D9">
        <w:trPr>
          <w:trHeight w:val="58"/>
          <w:jc w:val="center"/>
        </w:trPr>
        <w:tc>
          <w:tcPr>
            <w:tcW w:w="0" w:type="auto"/>
            <w:vMerge/>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6012514C" w14:textId="77777777" w:rsidR="00645959" w:rsidRPr="00477824" w:rsidRDefault="00645959" w:rsidP="00645959">
            <w:pPr>
              <w:rPr>
                <w:rFonts w:ascii="Calibri" w:eastAsia="Times New Roman" w:hAnsi="Calibri" w:cs="Calibri"/>
                <w:color w:val="000000"/>
                <w:lang w:eastAsia="cs-CZ"/>
              </w:rPr>
            </w:pP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C5B4F0" w14:textId="77777777" w:rsidR="00645959" w:rsidRPr="00477824" w:rsidRDefault="00645959" w:rsidP="00645959">
            <w:pPr>
              <w:jc w:val="center"/>
              <w:rPr>
                <w:rFonts w:ascii="Calibri" w:eastAsia="Times New Roman" w:hAnsi="Calibri" w:cs="Calibri"/>
                <w:color w:val="000000"/>
                <w:lang w:eastAsia="cs-CZ"/>
              </w:rPr>
            </w:pPr>
            <w:r w:rsidRPr="00477824">
              <w:rPr>
                <w:rFonts w:ascii="Calibri" w:eastAsia="Times New Roman" w:hAnsi="Calibri" w:cs="Calibri"/>
                <w:color w:val="000000"/>
                <w:lang w:eastAsia="cs-CZ"/>
              </w:rPr>
              <w:t>z toho</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0BB3D57" w14:textId="77777777" w:rsidR="00645959" w:rsidRPr="00477824" w:rsidRDefault="00645959" w:rsidP="00645959">
            <w:pPr>
              <w:rPr>
                <w:rFonts w:ascii="Calibri" w:eastAsia="Times New Roman" w:hAnsi="Calibri" w:cs="Calibri"/>
                <w:color w:val="000000"/>
                <w:lang w:eastAsia="cs-CZ"/>
              </w:rPr>
            </w:pPr>
            <w:r w:rsidRPr="00477824">
              <w:rPr>
                <w:rFonts w:ascii="Calibri" w:eastAsia="Times New Roman" w:hAnsi="Calibri" w:cs="Calibri"/>
                <w:color w:val="000000"/>
                <w:lang w:eastAsia="cs-CZ"/>
              </w:rPr>
              <w:t>Pracující důchodci</w:t>
            </w:r>
          </w:p>
        </w:tc>
        <w:tc>
          <w:tcPr>
            <w:tcW w:w="0" w:type="auto"/>
            <w:tcBorders>
              <w:top w:val="nil"/>
              <w:left w:val="nil"/>
              <w:bottom w:val="single" w:sz="4" w:space="0" w:color="auto"/>
              <w:right w:val="single" w:sz="4" w:space="0" w:color="auto"/>
            </w:tcBorders>
            <w:shd w:val="clear" w:color="auto" w:fill="auto"/>
            <w:noWrap/>
            <w:vAlign w:val="center"/>
            <w:hideMark/>
          </w:tcPr>
          <w:p w14:paraId="5A2D30DC" w14:textId="4FE38E89" w:rsidR="00645959" w:rsidRPr="00DD1CDC" w:rsidRDefault="00CF2A0E" w:rsidP="00645959">
            <w:pPr>
              <w:jc w:val="right"/>
              <w:rPr>
                <w:rFonts w:ascii="Calibri" w:eastAsia="Times New Roman" w:hAnsi="Calibri" w:cs="Calibri"/>
                <w:lang w:eastAsia="cs-CZ"/>
              </w:rPr>
            </w:pPr>
            <w:r>
              <w:rPr>
                <w:rFonts w:ascii="Calibri" w:hAnsi="Calibri" w:cs="Calibri"/>
                <w:color w:val="000000"/>
              </w:rPr>
              <w:t>1</w:t>
            </w:r>
            <w:r w:rsidR="00645959">
              <w:rPr>
                <w:rFonts w:ascii="Calibri" w:hAnsi="Calibri" w:cs="Calibri"/>
                <w:color w:val="000000"/>
              </w:rPr>
              <w:t>,</w:t>
            </w:r>
            <w:r>
              <w:rPr>
                <w:rFonts w:ascii="Calibri" w:hAnsi="Calibri" w:cs="Calibri"/>
                <w:color w:val="000000"/>
              </w:rPr>
              <w:t>8</w:t>
            </w:r>
            <w:r w:rsidR="00645959">
              <w:rPr>
                <w:rFonts w:ascii="Calibri" w:hAnsi="Calibri" w:cs="Calibri"/>
                <w:color w:val="000000"/>
              </w:rPr>
              <w:t xml:space="preserve"> %</w:t>
            </w:r>
          </w:p>
        </w:tc>
        <w:tc>
          <w:tcPr>
            <w:tcW w:w="1017" w:type="dxa"/>
            <w:tcBorders>
              <w:top w:val="nil"/>
              <w:left w:val="nil"/>
              <w:bottom w:val="single" w:sz="4" w:space="0" w:color="auto"/>
              <w:right w:val="single" w:sz="12" w:space="0" w:color="auto"/>
            </w:tcBorders>
            <w:shd w:val="clear" w:color="auto" w:fill="auto"/>
            <w:noWrap/>
            <w:vAlign w:val="center"/>
            <w:hideMark/>
          </w:tcPr>
          <w:p w14:paraId="12B84450" w14:textId="7F6DEEED" w:rsidR="00645959" w:rsidRPr="00DD1CDC" w:rsidRDefault="00CF2A0E" w:rsidP="00645959">
            <w:pPr>
              <w:jc w:val="right"/>
              <w:rPr>
                <w:rFonts w:ascii="Calibri" w:eastAsia="Times New Roman" w:hAnsi="Calibri" w:cs="Calibri"/>
                <w:lang w:eastAsia="cs-CZ"/>
              </w:rPr>
            </w:pPr>
            <w:r>
              <w:rPr>
                <w:rFonts w:ascii="Calibri" w:hAnsi="Calibri" w:cs="Calibri"/>
                <w:color w:val="000000"/>
              </w:rPr>
              <w:t>2</w:t>
            </w:r>
            <w:r w:rsidR="00645959">
              <w:rPr>
                <w:rFonts w:ascii="Calibri" w:hAnsi="Calibri" w:cs="Calibri"/>
                <w:color w:val="000000"/>
              </w:rPr>
              <w:t>,</w:t>
            </w:r>
            <w:r>
              <w:rPr>
                <w:rFonts w:ascii="Calibri" w:hAnsi="Calibri" w:cs="Calibri"/>
                <w:color w:val="000000"/>
              </w:rPr>
              <w:t>9</w:t>
            </w:r>
            <w:r w:rsidR="00645959">
              <w:rPr>
                <w:rFonts w:ascii="Calibri" w:hAnsi="Calibri" w:cs="Calibri"/>
                <w:color w:val="000000"/>
              </w:rPr>
              <w:t xml:space="preserve"> %</w:t>
            </w:r>
          </w:p>
        </w:tc>
      </w:tr>
      <w:tr w:rsidR="00645959" w:rsidRPr="00B70A54" w14:paraId="1395386D" w14:textId="77777777" w:rsidTr="005B54D9">
        <w:trPr>
          <w:trHeight w:val="58"/>
          <w:jc w:val="center"/>
        </w:trPr>
        <w:tc>
          <w:tcPr>
            <w:tcW w:w="0" w:type="auto"/>
            <w:vMerge/>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6F02834D" w14:textId="77777777" w:rsidR="00645959" w:rsidRPr="00477824" w:rsidRDefault="00645959" w:rsidP="00645959">
            <w:pPr>
              <w:rPr>
                <w:rFonts w:ascii="Calibri" w:eastAsia="Times New Roman" w:hAnsi="Calibri" w:cs="Calibri"/>
                <w:color w:val="000000"/>
                <w:lang w:eastAsia="cs-CZ"/>
              </w:rPr>
            </w:pPr>
          </w:p>
        </w:tc>
        <w:tc>
          <w:tcPr>
            <w:tcW w:w="0" w:type="auto"/>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740E71" w14:textId="77777777" w:rsidR="00645959" w:rsidRPr="00477824" w:rsidRDefault="00645959" w:rsidP="00645959">
            <w:pPr>
              <w:rPr>
                <w:rFonts w:ascii="Calibri" w:eastAsia="Times New Roman" w:hAnsi="Calibri" w:cs="Calibri"/>
                <w:color w:val="000000"/>
                <w:lang w:eastAsia="cs-CZ"/>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55AED6D" w14:textId="77777777" w:rsidR="00645959" w:rsidRPr="00477824" w:rsidRDefault="00645959" w:rsidP="00645959">
            <w:pPr>
              <w:rPr>
                <w:rFonts w:ascii="Calibri" w:eastAsia="Times New Roman" w:hAnsi="Calibri" w:cs="Calibri"/>
                <w:color w:val="000000"/>
                <w:lang w:eastAsia="cs-CZ"/>
              </w:rPr>
            </w:pPr>
            <w:r w:rsidRPr="00477824">
              <w:rPr>
                <w:rFonts w:ascii="Calibri" w:eastAsia="Times New Roman" w:hAnsi="Calibri" w:cs="Calibri"/>
                <w:color w:val="000000"/>
                <w:lang w:eastAsia="cs-CZ"/>
              </w:rPr>
              <w:t>Ženy na mat</w:t>
            </w:r>
            <w:r>
              <w:rPr>
                <w:rFonts w:ascii="Calibri" w:eastAsia="Times New Roman" w:hAnsi="Calibri" w:cs="Calibri"/>
                <w:color w:val="000000"/>
                <w:lang w:eastAsia="cs-CZ"/>
              </w:rPr>
              <w:t>eřské</w:t>
            </w:r>
            <w:r w:rsidRPr="00477824">
              <w:rPr>
                <w:rFonts w:ascii="Calibri" w:eastAsia="Times New Roman" w:hAnsi="Calibri" w:cs="Calibri"/>
                <w:color w:val="000000"/>
                <w:lang w:eastAsia="cs-CZ"/>
              </w:rPr>
              <w:t xml:space="preserve"> dov</w:t>
            </w:r>
            <w:r>
              <w:rPr>
                <w:rFonts w:ascii="Calibri" w:eastAsia="Times New Roman" w:hAnsi="Calibri" w:cs="Calibri"/>
                <w:color w:val="000000"/>
                <w:lang w:eastAsia="cs-CZ"/>
              </w:rPr>
              <w:t>olené</w:t>
            </w:r>
          </w:p>
        </w:tc>
        <w:tc>
          <w:tcPr>
            <w:tcW w:w="0" w:type="auto"/>
            <w:tcBorders>
              <w:top w:val="nil"/>
              <w:left w:val="nil"/>
              <w:bottom w:val="single" w:sz="4" w:space="0" w:color="auto"/>
              <w:right w:val="single" w:sz="4" w:space="0" w:color="auto"/>
            </w:tcBorders>
            <w:shd w:val="clear" w:color="auto" w:fill="auto"/>
            <w:noWrap/>
            <w:vAlign w:val="center"/>
            <w:hideMark/>
          </w:tcPr>
          <w:p w14:paraId="1C53496A" w14:textId="1481807D" w:rsidR="00645959" w:rsidRPr="00DD1CDC" w:rsidRDefault="00645959" w:rsidP="00645959">
            <w:pPr>
              <w:jc w:val="right"/>
              <w:rPr>
                <w:rFonts w:ascii="Calibri" w:eastAsia="Times New Roman" w:hAnsi="Calibri" w:cs="Calibri"/>
                <w:lang w:eastAsia="cs-CZ"/>
              </w:rPr>
            </w:pPr>
            <w:r>
              <w:rPr>
                <w:rFonts w:ascii="Calibri" w:hAnsi="Calibri" w:cs="Calibri"/>
                <w:color w:val="000000"/>
              </w:rPr>
              <w:t>0,</w:t>
            </w:r>
            <w:r w:rsidR="00CF2A0E">
              <w:rPr>
                <w:rFonts w:ascii="Calibri" w:hAnsi="Calibri" w:cs="Calibri"/>
                <w:color w:val="000000"/>
              </w:rPr>
              <w:t>0</w:t>
            </w:r>
            <w:r>
              <w:rPr>
                <w:rFonts w:ascii="Calibri" w:hAnsi="Calibri" w:cs="Calibri"/>
                <w:color w:val="000000"/>
              </w:rPr>
              <w:t xml:space="preserve"> %</w:t>
            </w:r>
          </w:p>
        </w:tc>
        <w:tc>
          <w:tcPr>
            <w:tcW w:w="1017" w:type="dxa"/>
            <w:tcBorders>
              <w:top w:val="nil"/>
              <w:left w:val="nil"/>
              <w:bottom w:val="single" w:sz="4" w:space="0" w:color="auto"/>
              <w:right w:val="single" w:sz="12" w:space="0" w:color="auto"/>
            </w:tcBorders>
            <w:shd w:val="clear" w:color="auto" w:fill="auto"/>
            <w:noWrap/>
            <w:vAlign w:val="center"/>
            <w:hideMark/>
          </w:tcPr>
          <w:p w14:paraId="423420AE" w14:textId="778E3B3B" w:rsidR="00645959" w:rsidRPr="00DD1CDC" w:rsidRDefault="00645959" w:rsidP="00645959">
            <w:pPr>
              <w:jc w:val="right"/>
              <w:rPr>
                <w:rFonts w:ascii="Calibri" w:eastAsia="Times New Roman" w:hAnsi="Calibri" w:cs="Calibri"/>
                <w:lang w:eastAsia="cs-CZ"/>
              </w:rPr>
            </w:pPr>
            <w:r>
              <w:rPr>
                <w:rFonts w:ascii="Calibri" w:hAnsi="Calibri" w:cs="Calibri"/>
                <w:color w:val="000000"/>
              </w:rPr>
              <w:t>0,</w:t>
            </w:r>
            <w:r w:rsidR="00CF2A0E">
              <w:rPr>
                <w:rFonts w:ascii="Calibri" w:hAnsi="Calibri" w:cs="Calibri"/>
                <w:color w:val="000000"/>
              </w:rPr>
              <w:t>8</w:t>
            </w:r>
            <w:r>
              <w:rPr>
                <w:rFonts w:ascii="Calibri" w:hAnsi="Calibri" w:cs="Calibri"/>
                <w:color w:val="000000"/>
              </w:rPr>
              <w:t xml:space="preserve"> %</w:t>
            </w:r>
          </w:p>
        </w:tc>
      </w:tr>
      <w:tr w:rsidR="00645959" w:rsidRPr="00B70A54" w14:paraId="28C4958C" w14:textId="77777777" w:rsidTr="005B54D9">
        <w:trPr>
          <w:trHeight w:val="58"/>
          <w:jc w:val="center"/>
        </w:trPr>
        <w:tc>
          <w:tcPr>
            <w:tcW w:w="0" w:type="auto"/>
            <w:vMerge/>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5EA271EE" w14:textId="77777777" w:rsidR="00645959" w:rsidRPr="00477824" w:rsidRDefault="00645959" w:rsidP="00645959">
            <w:pPr>
              <w:rPr>
                <w:rFonts w:ascii="Calibri" w:eastAsia="Times New Roman" w:hAnsi="Calibri" w:cs="Calibri"/>
                <w:color w:val="000000"/>
                <w:lang w:eastAsia="cs-CZ"/>
              </w:rPr>
            </w:pP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F9AA7B" w14:textId="77777777" w:rsidR="00645959" w:rsidRPr="00477824" w:rsidRDefault="00645959" w:rsidP="00645959">
            <w:pPr>
              <w:rPr>
                <w:rFonts w:ascii="Calibri" w:eastAsia="Times New Roman" w:hAnsi="Calibri" w:cs="Calibri"/>
                <w:color w:val="000000"/>
                <w:lang w:eastAsia="cs-CZ"/>
              </w:rPr>
            </w:pPr>
            <w:r w:rsidRPr="00477824">
              <w:rPr>
                <w:rFonts w:ascii="Calibri" w:eastAsia="Times New Roman" w:hAnsi="Calibri" w:cs="Calibri"/>
                <w:color w:val="000000"/>
                <w:lang w:eastAsia="cs-CZ"/>
              </w:rPr>
              <w:t>Nezaměstnaní</w:t>
            </w:r>
          </w:p>
        </w:tc>
        <w:tc>
          <w:tcPr>
            <w:tcW w:w="0" w:type="auto"/>
            <w:tcBorders>
              <w:top w:val="nil"/>
              <w:left w:val="nil"/>
              <w:bottom w:val="single" w:sz="4" w:space="0" w:color="auto"/>
              <w:right w:val="single" w:sz="4" w:space="0" w:color="auto"/>
            </w:tcBorders>
            <w:shd w:val="clear" w:color="auto" w:fill="auto"/>
            <w:noWrap/>
            <w:vAlign w:val="center"/>
            <w:hideMark/>
          </w:tcPr>
          <w:p w14:paraId="3D0DDD31" w14:textId="0E741247" w:rsidR="00645959" w:rsidRPr="00DD1CDC" w:rsidRDefault="00CF2A0E" w:rsidP="00645959">
            <w:pPr>
              <w:jc w:val="right"/>
              <w:rPr>
                <w:rFonts w:ascii="Calibri" w:eastAsia="Times New Roman" w:hAnsi="Calibri" w:cs="Calibri"/>
                <w:lang w:eastAsia="cs-CZ"/>
              </w:rPr>
            </w:pPr>
            <w:r>
              <w:rPr>
                <w:rFonts w:ascii="Calibri" w:hAnsi="Calibri" w:cs="Calibri"/>
                <w:color w:val="000000"/>
              </w:rPr>
              <w:t>1</w:t>
            </w:r>
            <w:r w:rsidR="00645959">
              <w:rPr>
                <w:rFonts w:ascii="Calibri" w:hAnsi="Calibri" w:cs="Calibri"/>
                <w:color w:val="000000"/>
              </w:rPr>
              <w:t>,</w:t>
            </w:r>
            <w:r>
              <w:rPr>
                <w:rFonts w:ascii="Calibri" w:hAnsi="Calibri" w:cs="Calibri"/>
                <w:color w:val="000000"/>
              </w:rPr>
              <w:t>6</w:t>
            </w:r>
            <w:r w:rsidR="00645959">
              <w:rPr>
                <w:rFonts w:ascii="Calibri" w:hAnsi="Calibri" w:cs="Calibri"/>
                <w:color w:val="000000"/>
              </w:rPr>
              <w:t xml:space="preserve"> %</w:t>
            </w:r>
          </w:p>
        </w:tc>
        <w:tc>
          <w:tcPr>
            <w:tcW w:w="1017" w:type="dxa"/>
            <w:tcBorders>
              <w:top w:val="nil"/>
              <w:left w:val="nil"/>
              <w:bottom w:val="single" w:sz="4" w:space="0" w:color="auto"/>
              <w:right w:val="single" w:sz="12" w:space="0" w:color="auto"/>
            </w:tcBorders>
            <w:shd w:val="clear" w:color="auto" w:fill="auto"/>
            <w:noWrap/>
            <w:vAlign w:val="center"/>
            <w:hideMark/>
          </w:tcPr>
          <w:p w14:paraId="57EB7698" w14:textId="162E01E6" w:rsidR="00645959" w:rsidRPr="00DD1CDC" w:rsidRDefault="00645959" w:rsidP="00645959">
            <w:pPr>
              <w:jc w:val="right"/>
              <w:rPr>
                <w:rFonts w:ascii="Calibri" w:eastAsia="Times New Roman" w:hAnsi="Calibri" w:cs="Calibri"/>
                <w:lang w:eastAsia="cs-CZ"/>
              </w:rPr>
            </w:pPr>
            <w:r>
              <w:rPr>
                <w:rFonts w:ascii="Calibri" w:hAnsi="Calibri" w:cs="Calibri"/>
                <w:color w:val="000000"/>
              </w:rPr>
              <w:t>3,</w:t>
            </w:r>
            <w:r w:rsidR="00CF2A0E">
              <w:rPr>
                <w:rFonts w:ascii="Calibri" w:hAnsi="Calibri" w:cs="Calibri"/>
                <w:color w:val="000000"/>
              </w:rPr>
              <w:t>1</w:t>
            </w:r>
            <w:r>
              <w:rPr>
                <w:rFonts w:ascii="Calibri" w:hAnsi="Calibri" w:cs="Calibri"/>
                <w:color w:val="000000"/>
              </w:rPr>
              <w:t xml:space="preserve"> %</w:t>
            </w:r>
          </w:p>
        </w:tc>
      </w:tr>
      <w:tr w:rsidR="00645959" w:rsidRPr="00B70A54" w14:paraId="026C3662" w14:textId="77777777" w:rsidTr="005B54D9">
        <w:trPr>
          <w:trHeight w:val="58"/>
          <w:jc w:val="center"/>
        </w:trPr>
        <w:tc>
          <w:tcPr>
            <w:tcW w:w="0" w:type="auto"/>
            <w:gridSpan w:val="3"/>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18A9D5EE" w14:textId="77777777" w:rsidR="00645959" w:rsidRPr="00B70A54" w:rsidRDefault="00645959" w:rsidP="00645959">
            <w:pPr>
              <w:rPr>
                <w:rFonts w:ascii="Calibri" w:eastAsia="Times New Roman" w:hAnsi="Calibri" w:cs="Calibri"/>
                <w:b/>
                <w:bCs/>
                <w:color w:val="000000"/>
                <w:lang w:eastAsia="cs-CZ"/>
              </w:rPr>
            </w:pPr>
            <w:r w:rsidRPr="00B70A54">
              <w:rPr>
                <w:rFonts w:ascii="Calibri" w:eastAsia="Times New Roman" w:hAnsi="Calibri" w:cs="Calibri"/>
                <w:b/>
                <w:bCs/>
                <w:color w:val="000000"/>
                <w:lang w:eastAsia="cs-CZ"/>
              </w:rPr>
              <w:t>Ekonomicky neaktivní celkem</w:t>
            </w:r>
          </w:p>
        </w:tc>
        <w:tc>
          <w:tcPr>
            <w:tcW w:w="0" w:type="auto"/>
            <w:tcBorders>
              <w:top w:val="nil"/>
              <w:left w:val="nil"/>
              <w:bottom w:val="single" w:sz="4" w:space="0" w:color="auto"/>
              <w:right w:val="single" w:sz="4" w:space="0" w:color="auto"/>
            </w:tcBorders>
            <w:shd w:val="clear" w:color="auto" w:fill="auto"/>
            <w:noWrap/>
            <w:vAlign w:val="center"/>
            <w:hideMark/>
          </w:tcPr>
          <w:p w14:paraId="4680DC89" w14:textId="3B20A57D" w:rsidR="00645959" w:rsidRPr="00B70A54" w:rsidRDefault="00645959" w:rsidP="00645959">
            <w:pPr>
              <w:jc w:val="right"/>
              <w:rPr>
                <w:rFonts w:ascii="Calibri" w:eastAsia="Times New Roman" w:hAnsi="Calibri" w:cs="Calibri"/>
                <w:b/>
                <w:bCs/>
                <w:lang w:eastAsia="cs-CZ"/>
              </w:rPr>
            </w:pPr>
            <w:r>
              <w:rPr>
                <w:rFonts w:ascii="Calibri" w:hAnsi="Calibri" w:cs="Calibri"/>
                <w:b/>
                <w:bCs/>
                <w:color w:val="000000"/>
              </w:rPr>
              <w:t>4</w:t>
            </w:r>
            <w:r w:rsidR="00CF2A0E">
              <w:rPr>
                <w:rFonts w:ascii="Calibri" w:hAnsi="Calibri" w:cs="Calibri"/>
                <w:b/>
                <w:bCs/>
                <w:color w:val="000000"/>
              </w:rPr>
              <w:t>9</w:t>
            </w:r>
            <w:r>
              <w:rPr>
                <w:rFonts w:ascii="Calibri" w:hAnsi="Calibri" w:cs="Calibri"/>
                <w:b/>
                <w:bCs/>
                <w:color w:val="000000"/>
              </w:rPr>
              <w:t>,</w:t>
            </w:r>
            <w:r w:rsidR="00CF2A0E">
              <w:rPr>
                <w:rFonts w:ascii="Calibri" w:hAnsi="Calibri" w:cs="Calibri"/>
                <w:b/>
                <w:bCs/>
                <w:color w:val="000000"/>
              </w:rPr>
              <w:t>1</w:t>
            </w:r>
            <w:r>
              <w:rPr>
                <w:rFonts w:ascii="Calibri" w:hAnsi="Calibri" w:cs="Calibri"/>
                <w:b/>
                <w:bCs/>
                <w:color w:val="000000"/>
              </w:rPr>
              <w:t xml:space="preserve"> %</w:t>
            </w:r>
          </w:p>
        </w:tc>
        <w:tc>
          <w:tcPr>
            <w:tcW w:w="1017" w:type="dxa"/>
            <w:tcBorders>
              <w:top w:val="nil"/>
              <w:left w:val="nil"/>
              <w:bottom w:val="single" w:sz="4" w:space="0" w:color="auto"/>
              <w:right w:val="single" w:sz="12" w:space="0" w:color="auto"/>
            </w:tcBorders>
            <w:shd w:val="clear" w:color="auto" w:fill="auto"/>
            <w:noWrap/>
            <w:vAlign w:val="center"/>
            <w:hideMark/>
          </w:tcPr>
          <w:p w14:paraId="58993BC6" w14:textId="1A9C9606" w:rsidR="00645959" w:rsidRPr="00B70A54" w:rsidRDefault="00645959" w:rsidP="00645959">
            <w:pPr>
              <w:jc w:val="right"/>
              <w:rPr>
                <w:rFonts w:ascii="Calibri" w:eastAsia="Times New Roman" w:hAnsi="Calibri" w:cs="Calibri"/>
                <w:b/>
                <w:bCs/>
                <w:lang w:eastAsia="cs-CZ"/>
              </w:rPr>
            </w:pPr>
            <w:r>
              <w:rPr>
                <w:rFonts w:ascii="Calibri" w:hAnsi="Calibri" w:cs="Calibri"/>
                <w:b/>
                <w:bCs/>
                <w:color w:val="000000"/>
              </w:rPr>
              <w:t>47,</w:t>
            </w:r>
            <w:r w:rsidR="00CF2A0E">
              <w:rPr>
                <w:rFonts w:ascii="Calibri" w:hAnsi="Calibri" w:cs="Calibri"/>
                <w:b/>
                <w:bCs/>
                <w:color w:val="000000"/>
              </w:rPr>
              <w:t>9</w:t>
            </w:r>
            <w:r>
              <w:rPr>
                <w:rFonts w:ascii="Calibri" w:hAnsi="Calibri" w:cs="Calibri"/>
                <w:b/>
                <w:bCs/>
                <w:color w:val="000000"/>
              </w:rPr>
              <w:t xml:space="preserve"> %</w:t>
            </w:r>
          </w:p>
        </w:tc>
      </w:tr>
      <w:tr w:rsidR="00645959" w:rsidRPr="00B70A54" w14:paraId="6AB2011C" w14:textId="77777777" w:rsidTr="005B54D9">
        <w:trPr>
          <w:trHeight w:val="58"/>
          <w:jc w:val="center"/>
        </w:trPr>
        <w:tc>
          <w:tcPr>
            <w:tcW w:w="0" w:type="auto"/>
            <w:vMerge w:val="restart"/>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14:paraId="0C6F0F64" w14:textId="77777777" w:rsidR="00645959" w:rsidRPr="00477824" w:rsidRDefault="00645959" w:rsidP="00645959">
            <w:pPr>
              <w:jc w:val="center"/>
              <w:rPr>
                <w:rFonts w:ascii="Calibri" w:eastAsia="Times New Roman" w:hAnsi="Calibri" w:cs="Calibri"/>
                <w:color w:val="000000"/>
                <w:lang w:eastAsia="cs-CZ"/>
              </w:rPr>
            </w:pPr>
            <w:r w:rsidRPr="00477824">
              <w:rPr>
                <w:rFonts w:ascii="Calibri" w:eastAsia="Times New Roman" w:hAnsi="Calibri" w:cs="Calibri"/>
                <w:color w:val="000000"/>
                <w:lang w:eastAsia="cs-CZ"/>
              </w:rPr>
              <w:t>z toho</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BAE353E" w14:textId="77777777" w:rsidR="00645959" w:rsidRPr="00477824" w:rsidRDefault="00645959" w:rsidP="00645959">
            <w:pPr>
              <w:rPr>
                <w:rFonts w:ascii="Calibri" w:eastAsia="Times New Roman" w:hAnsi="Calibri" w:cs="Calibri"/>
                <w:color w:val="000000"/>
                <w:lang w:eastAsia="cs-CZ"/>
              </w:rPr>
            </w:pPr>
            <w:r w:rsidRPr="00477824">
              <w:rPr>
                <w:rFonts w:ascii="Calibri" w:eastAsia="Times New Roman" w:hAnsi="Calibri" w:cs="Calibri"/>
                <w:color w:val="000000"/>
                <w:lang w:eastAsia="cs-CZ"/>
              </w:rPr>
              <w:t>Nepracující důchodci</w:t>
            </w:r>
          </w:p>
        </w:tc>
        <w:tc>
          <w:tcPr>
            <w:tcW w:w="0" w:type="auto"/>
            <w:tcBorders>
              <w:top w:val="nil"/>
              <w:left w:val="nil"/>
              <w:bottom w:val="single" w:sz="4" w:space="0" w:color="auto"/>
              <w:right w:val="single" w:sz="4" w:space="0" w:color="auto"/>
            </w:tcBorders>
            <w:shd w:val="clear" w:color="auto" w:fill="auto"/>
            <w:noWrap/>
            <w:vAlign w:val="center"/>
            <w:hideMark/>
          </w:tcPr>
          <w:p w14:paraId="053D41B1" w14:textId="4B1F16C2" w:rsidR="00645959" w:rsidRPr="00DD1CDC" w:rsidRDefault="00645959" w:rsidP="00645959">
            <w:pPr>
              <w:jc w:val="right"/>
              <w:rPr>
                <w:rFonts w:ascii="Calibri" w:eastAsia="Times New Roman" w:hAnsi="Calibri" w:cs="Calibri"/>
                <w:lang w:eastAsia="cs-CZ"/>
              </w:rPr>
            </w:pPr>
            <w:r>
              <w:rPr>
                <w:rFonts w:ascii="Calibri" w:hAnsi="Calibri" w:cs="Calibri"/>
                <w:color w:val="000000"/>
              </w:rPr>
              <w:t>2</w:t>
            </w:r>
            <w:r w:rsidR="00CF2A0E">
              <w:rPr>
                <w:rFonts w:ascii="Calibri" w:hAnsi="Calibri" w:cs="Calibri"/>
                <w:color w:val="000000"/>
              </w:rPr>
              <w:t>7</w:t>
            </w:r>
            <w:r>
              <w:rPr>
                <w:rFonts w:ascii="Calibri" w:hAnsi="Calibri" w:cs="Calibri"/>
                <w:color w:val="000000"/>
              </w:rPr>
              <w:t>,</w:t>
            </w:r>
            <w:r w:rsidR="00CF2A0E">
              <w:rPr>
                <w:rFonts w:ascii="Calibri" w:hAnsi="Calibri" w:cs="Calibri"/>
                <w:color w:val="000000"/>
              </w:rPr>
              <w:t>2</w:t>
            </w:r>
            <w:r>
              <w:rPr>
                <w:rFonts w:ascii="Calibri" w:hAnsi="Calibri" w:cs="Calibri"/>
                <w:color w:val="000000"/>
              </w:rPr>
              <w:t xml:space="preserve"> %</w:t>
            </w:r>
          </w:p>
        </w:tc>
        <w:tc>
          <w:tcPr>
            <w:tcW w:w="1017" w:type="dxa"/>
            <w:tcBorders>
              <w:top w:val="nil"/>
              <w:left w:val="nil"/>
              <w:bottom w:val="single" w:sz="4" w:space="0" w:color="auto"/>
              <w:right w:val="single" w:sz="12" w:space="0" w:color="auto"/>
            </w:tcBorders>
            <w:shd w:val="clear" w:color="auto" w:fill="auto"/>
            <w:noWrap/>
            <w:vAlign w:val="center"/>
            <w:hideMark/>
          </w:tcPr>
          <w:p w14:paraId="1A0DD40B" w14:textId="61820071" w:rsidR="00645959" w:rsidRPr="00DD1CDC" w:rsidRDefault="00645959" w:rsidP="00645959">
            <w:pPr>
              <w:jc w:val="right"/>
              <w:rPr>
                <w:rFonts w:ascii="Calibri" w:eastAsia="Times New Roman" w:hAnsi="Calibri" w:cs="Calibri"/>
                <w:lang w:eastAsia="cs-CZ"/>
              </w:rPr>
            </w:pPr>
            <w:r>
              <w:rPr>
                <w:rFonts w:ascii="Calibri" w:hAnsi="Calibri" w:cs="Calibri"/>
                <w:color w:val="000000"/>
              </w:rPr>
              <w:t>2</w:t>
            </w:r>
            <w:r w:rsidR="00CF2A0E">
              <w:rPr>
                <w:rFonts w:ascii="Calibri" w:hAnsi="Calibri" w:cs="Calibri"/>
                <w:color w:val="000000"/>
              </w:rPr>
              <w:t>4</w:t>
            </w:r>
            <w:r>
              <w:rPr>
                <w:rFonts w:ascii="Calibri" w:hAnsi="Calibri" w:cs="Calibri"/>
                <w:color w:val="000000"/>
              </w:rPr>
              <w:t>,</w:t>
            </w:r>
            <w:r w:rsidR="00CF2A0E">
              <w:rPr>
                <w:rFonts w:ascii="Calibri" w:hAnsi="Calibri" w:cs="Calibri"/>
                <w:color w:val="000000"/>
              </w:rPr>
              <w:t>4</w:t>
            </w:r>
            <w:r>
              <w:rPr>
                <w:rFonts w:ascii="Calibri" w:hAnsi="Calibri" w:cs="Calibri"/>
                <w:color w:val="000000"/>
              </w:rPr>
              <w:t xml:space="preserve"> %</w:t>
            </w:r>
          </w:p>
        </w:tc>
      </w:tr>
      <w:tr w:rsidR="00645959" w:rsidRPr="00B70A54" w14:paraId="45969045" w14:textId="77777777" w:rsidTr="005B54D9">
        <w:trPr>
          <w:trHeight w:val="58"/>
          <w:jc w:val="center"/>
        </w:trPr>
        <w:tc>
          <w:tcPr>
            <w:tcW w:w="0" w:type="auto"/>
            <w:vMerge/>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49E17616" w14:textId="77777777" w:rsidR="00645959" w:rsidRPr="00477824" w:rsidRDefault="00645959" w:rsidP="00645959">
            <w:pPr>
              <w:rPr>
                <w:rFonts w:ascii="Calibri" w:eastAsia="Times New Roman" w:hAnsi="Calibri" w:cs="Calibri"/>
                <w:color w:val="000000"/>
                <w:lang w:eastAsia="cs-CZ"/>
              </w:rPr>
            </w:pP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97C0328" w14:textId="77777777" w:rsidR="00645959" w:rsidRPr="00477824" w:rsidRDefault="00645959" w:rsidP="00645959">
            <w:pPr>
              <w:rPr>
                <w:rFonts w:ascii="Calibri" w:eastAsia="Times New Roman" w:hAnsi="Calibri" w:cs="Calibri"/>
                <w:color w:val="000000"/>
                <w:lang w:eastAsia="cs-CZ"/>
              </w:rPr>
            </w:pPr>
            <w:r w:rsidRPr="00477824">
              <w:rPr>
                <w:rFonts w:ascii="Calibri" w:eastAsia="Times New Roman" w:hAnsi="Calibri" w:cs="Calibri"/>
                <w:color w:val="000000"/>
                <w:lang w:eastAsia="cs-CZ"/>
              </w:rPr>
              <w:t>Žáci, studenti, učni</w:t>
            </w:r>
          </w:p>
        </w:tc>
        <w:tc>
          <w:tcPr>
            <w:tcW w:w="0" w:type="auto"/>
            <w:tcBorders>
              <w:top w:val="nil"/>
              <w:left w:val="nil"/>
              <w:bottom w:val="single" w:sz="4" w:space="0" w:color="auto"/>
              <w:right w:val="single" w:sz="4" w:space="0" w:color="auto"/>
            </w:tcBorders>
            <w:shd w:val="clear" w:color="auto" w:fill="auto"/>
            <w:noWrap/>
            <w:vAlign w:val="center"/>
            <w:hideMark/>
          </w:tcPr>
          <w:p w14:paraId="5591F537" w14:textId="0AD9B8E9" w:rsidR="00645959" w:rsidRPr="00DD1CDC" w:rsidRDefault="00645959" w:rsidP="00645959">
            <w:pPr>
              <w:jc w:val="right"/>
              <w:rPr>
                <w:rFonts w:ascii="Calibri" w:eastAsia="Times New Roman" w:hAnsi="Calibri" w:cs="Calibri"/>
                <w:lang w:eastAsia="cs-CZ"/>
              </w:rPr>
            </w:pPr>
            <w:r>
              <w:rPr>
                <w:rFonts w:ascii="Calibri" w:hAnsi="Calibri" w:cs="Calibri"/>
                <w:color w:val="000000"/>
              </w:rPr>
              <w:t>1</w:t>
            </w:r>
            <w:r w:rsidR="00CF2A0E">
              <w:rPr>
                <w:rFonts w:ascii="Calibri" w:hAnsi="Calibri" w:cs="Calibri"/>
                <w:color w:val="000000"/>
              </w:rPr>
              <w:t>4</w:t>
            </w:r>
            <w:r>
              <w:rPr>
                <w:rFonts w:ascii="Calibri" w:hAnsi="Calibri" w:cs="Calibri"/>
                <w:color w:val="000000"/>
              </w:rPr>
              <w:t>,9 %</w:t>
            </w:r>
          </w:p>
        </w:tc>
        <w:tc>
          <w:tcPr>
            <w:tcW w:w="1017" w:type="dxa"/>
            <w:tcBorders>
              <w:top w:val="nil"/>
              <w:left w:val="nil"/>
              <w:bottom w:val="single" w:sz="4" w:space="0" w:color="auto"/>
              <w:right w:val="single" w:sz="12" w:space="0" w:color="auto"/>
            </w:tcBorders>
            <w:shd w:val="clear" w:color="auto" w:fill="auto"/>
            <w:noWrap/>
            <w:vAlign w:val="center"/>
            <w:hideMark/>
          </w:tcPr>
          <w:p w14:paraId="5B791718" w14:textId="763AC113" w:rsidR="00645959" w:rsidRPr="00DD1CDC" w:rsidRDefault="00CF2A0E" w:rsidP="00645959">
            <w:pPr>
              <w:jc w:val="right"/>
              <w:rPr>
                <w:rFonts w:ascii="Calibri" w:eastAsia="Times New Roman" w:hAnsi="Calibri" w:cs="Calibri"/>
                <w:lang w:eastAsia="cs-CZ"/>
              </w:rPr>
            </w:pPr>
            <w:r>
              <w:rPr>
                <w:rFonts w:ascii="Calibri" w:hAnsi="Calibri" w:cs="Calibri"/>
                <w:color w:val="000000"/>
              </w:rPr>
              <w:t>8</w:t>
            </w:r>
            <w:r w:rsidR="00645959">
              <w:rPr>
                <w:rFonts w:ascii="Calibri" w:hAnsi="Calibri" w:cs="Calibri"/>
                <w:color w:val="000000"/>
              </w:rPr>
              <w:t>,</w:t>
            </w:r>
            <w:r>
              <w:rPr>
                <w:rFonts w:ascii="Calibri" w:hAnsi="Calibri" w:cs="Calibri"/>
                <w:color w:val="000000"/>
              </w:rPr>
              <w:t>8</w:t>
            </w:r>
            <w:r w:rsidR="00645959">
              <w:rPr>
                <w:rFonts w:ascii="Calibri" w:hAnsi="Calibri" w:cs="Calibri"/>
                <w:color w:val="000000"/>
              </w:rPr>
              <w:t xml:space="preserve"> %</w:t>
            </w:r>
          </w:p>
        </w:tc>
      </w:tr>
      <w:tr w:rsidR="00645959" w:rsidRPr="00B70A54" w14:paraId="061F7B68" w14:textId="77777777" w:rsidTr="00806525">
        <w:trPr>
          <w:trHeight w:val="58"/>
          <w:jc w:val="center"/>
        </w:trPr>
        <w:tc>
          <w:tcPr>
            <w:tcW w:w="0" w:type="auto"/>
            <w:gridSpan w:val="3"/>
            <w:tcBorders>
              <w:top w:val="nil"/>
              <w:left w:val="single" w:sz="12" w:space="0" w:color="auto"/>
              <w:bottom w:val="single" w:sz="18" w:space="0" w:color="auto"/>
              <w:right w:val="single" w:sz="4" w:space="0" w:color="auto"/>
            </w:tcBorders>
            <w:shd w:val="clear" w:color="auto" w:fill="D9D9D9" w:themeFill="background1" w:themeFillShade="D9"/>
            <w:noWrap/>
            <w:vAlign w:val="center"/>
            <w:hideMark/>
          </w:tcPr>
          <w:p w14:paraId="3C29930A" w14:textId="77777777" w:rsidR="00645959" w:rsidRPr="00B70A54" w:rsidRDefault="00645959" w:rsidP="00645959">
            <w:pPr>
              <w:rPr>
                <w:rFonts w:ascii="Calibri" w:eastAsia="Times New Roman" w:hAnsi="Calibri" w:cs="Calibri"/>
                <w:b/>
                <w:bCs/>
                <w:color w:val="000000"/>
                <w:lang w:eastAsia="cs-CZ"/>
              </w:rPr>
            </w:pPr>
            <w:r w:rsidRPr="00B70A54">
              <w:rPr>
                <w:rFonts w:ascii="Calibri" w:eastAsia="Times New Roman" w:hAnsi="Calibri" w:cs="Calibri"/>
                <w:b/>
                <w:bCs/>
                <w:color w:val="000000"/>
                <w:lang w:eastAsia="cs-CZ"/>
              </w:rPr>
              <w:t>Osoby s nezjištěnou ekonomickou aktivitou</w:t>
            </w:r>
          </w:p>
        </w:tc>
        <w:tc>
          <w:tcPr>
            <w:tcW w:w="0" w:type="auto"/>
            <w:tcBorders>
              <w:top w:val="nil"/>
              <w:left w:val="nil"/>
              <w:bottom w:val="single" w:sz="18" w:space="0" w:color="auto"/>
              <w:right w:val="single" w:sz="4" w:space="0" w:color="auto"/>
            </w:tcBorders>
            <w:shd w:val="clear" w:color="auto" w:fill="auto"/>
            <w:noWrap/>
            <w:vAlign w:val="center"/>
            <w:hideMark/>
          </w:tcPr>
          <w:p w14:paraId="21FAB6A9" w14:textId="196FCB57" w:rsidR="00645959" w:rsidRPr="00B70A54" w:rsidRDefault="00645959" w:rsidP="00645959">
            <w:pPr>
              <w:jc w:val="right"/>
              <w:rPr>
                <w:rFonts w:ascii="Calibri" w:eastAsia="Times New Roman" w:hAnsi="Calibri" w:cs="Calibri"/>
                <w:b/>
                <w:bCs/>
                <w:lang w:eastAsia="cs-CZ"/>
              </w:rPr>
            </w:pPr>
            <w:r>
              <w:rPr>
                <w:rFonts w:ascii="Calibri" w:hAnsi="Calibri" w:cs="Calibri"/>
                <w:b/>
                <w:bCs/>
                <w:color w:val="000000"/>
              </w:rPr>
              <w:t>0,</w:t>
            </w:r>
            <w:r w:rsidR="00CF2A0E">
              <w:rPr>
                <w:rFonts w:ascii="Calibri" w:hAnsi="Calibri" w:cs="Calibri"/>
                <w:b/>
                <w:bCs/>
                <w:color w:val="000000"/>
              </w:rPr>
              <w:t>8</w:t>
            </w:r>
            <w:r>
              <w:rPr>
                <w:rFonts w:ascii="Calibri" w:hAnsi="Calibri" w:cs="Calibri"/>
                <w:b/>
                <w:bCs/>
                <w:color w:val="000000"/>
              </w:rPr>
              <w:t xml:space="preserve"> %</w:t>
            </w:r>
          </w:p>
        </w:tc>
        <w:tc>
          <w:tcPr>
            <w:tcW w:w="1017" w:type="dxa"/>
            <w:tcBorders>
              <w:top w:val="nil"/>
              <w:left w:val="nil"/>
              <w:bottom w:val="single" w:sz="18" w:space="0" w:color="auto"/>
              <w:right w:val="single" w:sz="12" w:space="0" w:color="auto"/>
            </w:tcBorders>
            <w:shd w:val="clear" w:color="auto" w:fill="auto"/>
            <w:noWrap/>
            <w:vAlign w:val="center"/>
            <w:hideMark/>
          </w:tcPr>
          <w:p w14:paraId="2A3E2492" w14:textId="766551C5" w:rsidR="00645959" w:rsidRPr="00B70A54" w:rsidRDefault="00CF2A0E" w:rsidP="00645959">
            <w:pPr>
              <w:jc w:val="right"/>
              <w:rPr>
                <w:rFonts w:ascii="Calibri" w:eastAsia="Times New Roman" w:hAnsi="Calibri" w:cs="Calibri"/>
                <w:b/>
                <w:bCs/>
                <w:lang w:eastAsia="cs-CZ"/>
              </w:rPr>
            </w:pPr>
            <w:r>
              <w:rPr>
                <w:rFonts w:ascii="Calibri" w:hAnsi="Calibri" w:cs="Calibri"/>
                <w:b/>
                <w:bCs/>
                <w:color w:val="000000"/>
              </w:rPr>
              <w:t>6</w:t>
            </w:r>
            <w:r w:rsidR="00645959">
              <w:rPr>
                <w:rFonts w:ascii="Calibri" w:hAnsi="Calibri" w:cs="Calibri"/>
                <w:b/>
                <w:bCs/>
                <w:color w:val="000000"/>
              </w:rPr>
              <w:t>,</w:t>
            </w:r>
            <w:r>
              <w:rPr>
                <w:rFonts w:ascii="Calibri" w:hAnsi="Calibri" w:cs="Calibri"/>
                <w:b/>
                <w:bCs/>
                <w:color w:val="000000"/>
              </w:rPr>
              <w:t>5</w:t>
            </w:r>
            <w:r w:rsidR="00645959">
              <w:rPr>
                <w:rFonts w:ascii="Calibri" w:hAnsi="Calibri" w:cs="Calibri"/>
                <w:b/>
                <w:bCs/>
                <w:color w:val="000000"/>
              </w:rPr>
              <w:t xml:space="preserve"> %</w:t>
            </w:r>
          </w:p>
        </w:tc>
      </w:tr>
    </w:tbl>
    <w:p w14:paraId="00CDEB26" w14:textId="77777777" w:rsidR="002A1ADF" w:rsidRDefault="002A1ADF" w:rsidP="002A1ADF">
      <w:pPr>
        <w:autoSpaceDE w:val="0"/>
        <w:autoSpaceDN w:val="0"/>
        <w:adjustRightInd w:val="0"/>
        <w:jc w:val="both"/>
      </w:pPr>
      <w:r>
        <w:rPr>
          <w:b/>
          <w:sz w:val="20"/>
          <w:szCs w:val="20"/>
        </w:rPr>
        <w:t>Zdroje</w:t>
      </w:r>
      <w:r w:rsidRPr="0074351D">
        <w:rPr>
          <w:b/>
          <w:sz w:val="20"/>
          <w:szCs w:val="20"/>
        </w:rPr>
        <w:t>:</w:t>
      </w:r>
      <w:r w:rsidRPr="0074351D">
        <w:rPr>
          <w:sz w:val="20"/>
          <w:szCs w:val="20"/>
        </w:rPr>
        <w:t xml:space="preserve"> </w:t>
      </w:r>
      <w:r w:rsidRPr="0074351D">
        <w:rPr>
          <w:rFonts w:eastAsia="RWXLTG+TimesNewRoman" w:cs="RWXLTG+TimesNewRoman"/>
          <w:color w:val="000000"/>
          <w:sz w:val="20"/>
          <w:szCs w:val="20"/>
        </w:rPr>
        <w:t xml:space="preserve">Sčítání lidu, domů a bytů </w:t>
      </w:r>
      <w:r w:rsidRPr="002808C1">
        <w:rPr>
          <w:rFonts w:eastAsia="RWXLTG+TimesNewRoman" w:cs="RWXLTG+TimesNewRoman"/>
          <w:color w:val="000000"/>
          <w:sz w:val="20"/>
          <w:szCs w:val="20"/>
        </w:rPr>
        <w:t xml:space="preserve">2001, </w:t>
      </w:r>
      <w:hyperlink r:id="rId64" w:history="1">
        <w:r w:rsidRPr="00A10AB8">
          <w:rPr>
            <w:rStyle w:val="Hypertextovodkaz"/>
            <w:rFonts w:eastAsia="RWXLTG+TimesNewRoman" w:cs="RWXLTG+TimesNewRoman"/>
            <w:sz w:val="20"/>
            <w:szCs w:val="20"/>
          </w:rPr>
          <w:t>https://www.czso.cz/staticke/sldb/sldb2001.nsf/index</w:t>
        </w:r>
      </w:hyperlink>
      <w:r>
        <w:rPr>
          <w:rFonts w:eastAsia="RWXLTG+TimesNewRoman" w:cs="RWXLTG+TimesNewRoman"/>
          <w:color w:val="000000"/>
          <w:sz w:val="20"/>
          <w:szCs w:val="20"/>
        </w:rPr>
        <w:t xml:space="preserve"> </w:t>
      </w:r>
    </w:p>
    <w:p w14:paraId="76C2C447" w14:textId="77777777" w:rsidR="002A1ADF" w:rsidRDefault="002A1ADF" w:rsidP="002A1ADF">
      <w:pPr>
        <w:spacing w:after="160"/>
        <w:jc w:val="both"/>
      </w:pPr>
      <w:r>
        <w:rPr>
          <w:rFonts w:eastAsia="RWXLTG+TimesNewRoman" w:cs="RWXLTG+TimesNewRoman"/>
          <w:color w:val="000000"/>
          <w:sz w:val="20"/>
          <w:szCs w:val="20"/>
        </w:rPr>
        <w:t xml:space="preserve">              Sčítání lidu, domů a bytů </w:t>
      </w:r>
      <w:r w:rsidRPr="002808C1">
        <w:rPr>
          <w:rFonts w:eastAsia="RWXLTG+TimesNewRoman" w:cs="RWXLTG+TimesNewRoman"/>
          <w:color w:val="000000"/>
          <w:sz w:val="20"/>
          <w:szCs w:val="20"/>
        </w:rPr>
        <w:t>2011</w:t>
      </w:r>
      <w:r>
        <w:rPr>
          <w:rFonts w:eastAsia="RWXLTG+TimesNewRoman" w:cs="RWXLTG+TimesNewRoman"/>
          <w:color w:val="000000"/>
          <w:sz w:val="20"/>
          <w:szCs w:val="20"/>
        </w:rPr>
        <w:t xml:space="preserve">, </w:t>
      </w:r>
      <w:hyperlink r:id="rId65" w:history="1">
        <w:r w:rsidRPr="00740CD5">
          <w:rPr>
            <w:rStyle w:val="Hypertextovodkaz"/>
            <w:sz w:val="20"/>
            <w:szCs w:val="20"/>
          </w:rPr>
          <w:t>https://www.czso.cz/csu/czso/scitani-lidu-domu-a-bytu</w:t>
        </w:r>
      </w:hyperlink>
      <w:r>
        <w:t xml:space="preserve"> </w:t>
      </w:r>
    </w:p>
    <w:p w14:paraId="3F3B4E2A" w14:textId="77777777" w:rsidR="0012305B" w:rsidRPr="0012305B" w:rsidRDefault="0012305B" w:rsidP="00D3788A">
      <w:pPr>
        <w:spacing w:after="160" w:line="259" w:lineRule="auto"/>
        <w:jc w:val="both"/>
      </w:pPr>
    </w:p>
    <w:p w14:paraId="7E0862E6" w14:textId="77777777" w:rsidR="00C52527" w:rsidRPr="00C41A58" w:rsidRDefault="00C52527" w:rsidP="00C52527">
      <w:pPr>
        <w:spacing w:after="160" w:line="259" w:lineRule="auto"/>
        <w:jc w:val="both"/>
        <w:rPr>
          <w:u w:val="single"/>
        </w:rPr>
      </w:pPr>
      <w:r>
        <w:rPr>
          <w:u w:val="single"/>
        </w:rPr>
        <w:lastRenderedPageBreak/>
        <w:t>Podíl nezaměstnaných osob</w:t>
      </w:r>
    </w:p>
    <w:p w14:paraId="22C703F9" w14:textId="1A1ECBD8" w:rsidR="00C52527" w:rsidRDefault="00C52527" w:rsidP="00C52527">
      <w:pPr>
        <w:spacing w:after="160" w:line="259" w:lineRule="auto"/>
        <w:jc w:val="both"/>
        <w:rPr>
          <w:rFonts w:eastAsia="RWXLTG+TimesNewRoman" w:cs="RWXLTG+TimesNewRoman"/>
        </w:rPr>
      </w:pPr>
      <w:r w:rsidRPr="008E4ADD">
        <w:rPr>
          <w:rFonts w:cs="DWMIWO+TimesNewRoman,Bold"/>
          <w:bCs/>
        </w:rPr>
        <w:t>Podíl nezaměstnaných osob</w:t>
      </w:r>
      <w:r>
        <w:rPr>
          <w:rFonts w:cs="DWMIWO+TimesNewRoman,Bold"/>
          <w:bCs/>
        </w:rPr>
        <w:t xml:space="preserve"> v</w:t>
      </w:r>
      <w:r w:rsidRPr="008E4ADD">
        <w:rPr>
          <w:rFonts w:cs="DWMIWO+TimesNewRoman,Bold"/>
          <w:bCs/>
        </w:rPr>
        <w:t>yjadřuje podíl dosažitelných uchazečů o zaměstnání ve věku 15 – 64 let ze všech obyvatel ve stejném věku</w:t>
      </w:r>
      <w:r w:rsidRPr="008A1BFA">
        <w:rPr>
          <w:rStyle w:val="Znakapoznpodarou"/>
          <w:rFonts w:eastAsia="RWXLTG+TimesNewRoman" w:cs="RWXLTG+TimesNewRoman"/>
        </w:rPr>
        <w:footnoteReference w:id="26"/>
      </w:r>
      <w:r w:rsidRPr="008A1BFA">
        <w:rPr>
          <w:rFonts w:eastAsia="RWXLTG+TimesNewRoman" w:cs="RWXLTG+TimesNewRoman"/>
        </w:rPr>
        <w:t>. Tento ukazatel de facto vyja</w:t>
      </w:r>
      <w:r>
        <w:rPr>
          <w:rFonts w:eastAsia="RWXLTG+TimesNewRoman" w:cs="RWXLTG+TimesNewRoman"/>
        </w:rPr>
        <w:t xml:space="preserve">dřuje nabídku pracovní síly v obci </w:t>
      </w:r>
      <w:r w:rsidR="004A5703">
        <w:rPr>
          <w:rFonts w:eastAsia="RWXLTG+TimesNewRoman" w:cs="RWXLTG+TimesNewRoman"/>
        </w:rPr>
        <w:t>Staré Buky</w:t>
      </w:r>
      <w:r>
        <w:rPr>
          <w:rFonts w:eastAsia="RWXLTG+TimesNewRoman" w:cs="RWXLTG+TimesNewRoman"/>
        </w:rPr>
        <w:t>, ale i v jejím</w:t>
      </w:r>
      <w:r w:rsidRPr="008A1BFA">
        <w:rPr>
          <w:rFonts w:eastAsia="RWXLTG+TimesNewRoman" w:cs="RWXLTG+TimesNewRoman"/>
        </w:rPr>
        <w:t xml:space="preserve"> okolí. </w:t>
      </w:r>
      <w:r>
        <w:rPr>
          <w:rFonts w:eastAsia="RWXLTG+TimesNewRoman" w:cs="RWXLTG+TimesNewRoman"/>
        </w:rPr>
        <w:t xml:space="preserve">Výše podílu nezaměstnaných osob </w:t>
      </w:r>
      <w:r w:rsidRPr="008A1BFA">
        <w:rPr>
          <w:rFonts w:eastAsia="RWXLTG+TimesNewRoman" w:cs="RWXLTG+TimesNewRoman"/>
        </w:rPr>
        <w:t xml:space="preserve">závisí na aktuální situaci </w:t>
      </w:r>
      <w:r>
        <w:rPr>
          <w:rFonts w:eastAsia="RWXLTG+TimesNewRoman" w:cs="RWXLTG+TimesNewRoman"/>
        </w:rPr>
        <w:t>a dění na trhu práce jak v obci</w:t>
      </w:r>
      <w:r w:rsidRPr="008A1BFA">
        <w:rPr>
          <w:rFonts w:eastAsia="RWXLTG+TimesNewRoman" w:cs="RWXLTG+TimesNewRoman"/>
        </w:rPr>
        <w:t xml:space="preserve">, tak v celém regionu. </w:t>
      </w:r>
      <w:r>
        <w:rPr>
          <w:rFonts w:eastAsia="RWXLTG+TimesNewRoman" w:cs="RWXLTG+TimesNewRoman"/>
        </w:rPr>
        <w:t xml:space="preserve">Vývoj podílu nezaměstnaných osob v obci </w:t>
      </w:r>
      <w:r w:rsidR="004A5703">
        <w:rPr>
          <w:rFonts w:eastAsia="RWXLTG+TimesNewRoman" w:cs="RWXLTG+TimesNewRoman"/>
        </w:rPr>
        <w:t>Staré Buky</w:t>
      </w:r>
      <w:r>
        <w:rPr>
          <w:rFonts w:eastAsia="RWXLTG+TimesNewRoman" w:cs="RWXLTG+TimesNewRoman"/>
        </w:rPr>
        <w:t xml:space="preserve"> zachycuje graf </w:t>
      </w:r>
      <w:r w:rsidR="004A5703">
        <w:rPr>
          <w:rFonts w:eastAsia="RWXLTG+TimesNewRoman" w:cs="RWXLTG+TimesNewRoman"/>
        </w:rPr>
        <w:t>8</w:t>
      </w:r>
      <w:r w:rsidRPr="008A1BFA">
        <w:rPr>
          <w:rFonts w:eastAsia="RWXLTG+TimesNewRoman" w:cs="RWXLTG+TimesNewRoman"/>
        </w:rPr>
        <w:t xml:space="preserve">. </w:t>
      </w:r>
      <w:r>
        <w:t>Sledováno bylo období od roku 2014 do roku 2021</w:t>
      </w:r>
      <w:r w:rsidRPr="008A1BFA">
        <w:t xml:space="preserve">. Sledována </w:t>
      </w:r>
      <w:r>
        <w:t xml:space="preserve">byla hodnota </w:t>
      </w:r>
      <w:r>
        <w:rPr>
          <w:rFonts w:eastAsia="RWXLTG+TimesNewRoman" w:cs="RWXLTG+TimesNewRoman"/>
        </w:rPr>
        <w:t>podílu nezaměstnaných osob</w:t>
      </w:r>
      <w:r w:rsidRPr="008A1BFA">
        <w:t xml:space="preserve"> v daném roce a také hodnota v měsíci</w:t>
      </w:r>
      <w:r>
        <w:t xml:space="preserve"> </w:t>
      </w:r>
      <w:r w:rsidRPr="008A1BFA">
        <w:t>červen</w:t>
      </w:r>
      <w:r>
        <w:t xml:space="preserve">ec a prosinec </w:t>
      </w:r>
      <w:r w:rsidRPr="008A1BFA">
        <w:t xml:space="preserve">k příslušnému roku. </w:t>
      </w:r>
      <w:r w:rsidRPr="008A1BFA">
        <w:rPr>
          <w:rFonts w:eastAsia="RWXLTG+TimesNewRoman" w:cs="RWXLTG+TimesNewRoman"/>
        </w:rPr>
        <w:t>Předpoklad je takový, že v zimním období nebude ukazatel tolik ovlivněn sezonními pracemi.</w:t>
      </w:r>
    </w:p>
    <w:p w14:paraId="00DEAF13" w14:textId="50B3A904" w:rsidR="00A2539E" w:rsidRDefault="00A2539E" w:rsidP="00C52527">
      <w:pPr>
        <w:spacing w:after="160" w:line="259" w:lineRule="auto"/>
        <w:jc w:val="both"/>
        <w:rPr>
          <w:rFonts w:eastAsia="RWXLTG+TimesNewRoman" w:cs="RWXLTG+TimesNewRoman"/>
        </w:rPr>
      </w:pPr>
    </w:p>
    <w:p w14:paraId="63627C2E" w14:textId="4C81345C" w:rsidR="00C52527" w:rsidRPr="00C80C85" w:rsidRDefault="00C52527" w:rsidP="00C52527">
      <w:pPr>
        <w:pStyle w:val="GRAF0"/>
      </w:pPr>
      <w:bookmarkStart w:id="168" w:name="_Toc388039155"/>
      <w:bookmarkStart w:id="169" w:name="_Toc445288438"/>
      <w:bookmarkStart w:id="170" w:name="_Toc480751824"/>
      <w:bookmarkStart w:id="171" w:name="_Toc507022155"/>
      <w:bookmarkStart w:id="172" w:name="_Toc32577910"/>
      <w:bookmarkStart w:id="173" w:name="_Toc104472753"/>
      <w:bookmarkStart w:id="174" w:name="_Toc120651987"/>
      <w:r>
        <w:t xml:space="preserve">Graf </w:t>
      </w:r>
      <w:r w:rsidR="004A5703">
        <w:t>8</w:t>
      </w:r>
      <w:r w:rsidRPr="00C80C85">
        <w:t xml:space="preserve">: </w:t>
      </w:r>
      <w:r w:rsidRPr="0052662F">
        <w:t xml:space="preserve">Podíl nezaměstnaných osob v % </w:t>
      </w:r>
      <w:r>
        <w:t xml:space="preserve">v obci </w:t>
      </w:r>
      <w:r w:rsidR="004A5703">
        <w:t>Staré Buky</w:t>
      </w:r>
      <w:r>
        <w:t xml:space="preserve"> v období 2014</w:t>
      </w:r>
      <w:r w:rsidRPr="00C80C85">
        <w:t>-20</w:t>
      </w:r>
      <w:bookmarkEnd w:id="168"/>
      <w:bookmarkEnd w:id="169"/>
      <w:bookmarkEnd w:id="170"/>
      <w:bookmarkEnd w:id="171"/>
      <w:bookmarkEnd w:id="172"/>
      <w:r>
        <w:t>21</w:t>
      </w:r>
      <w:bookmarkEnd w:id="173"/>
      <w:bookmarkEnd w:id="174"/>
    </w:p>
    <w:p w14:paraId="5442E8F8" w14:textId="0A8A079A" w:rsidR="00C52527" w:rsidRDefault="00544635" w:rsidP="00C52527">
      <w:pPr>
        <w:spacing w:line="360" w:lineRule="auto"/>
        <w:jc w:val="center"/>
      </w:pPr>
      <w:r>
        <w:rPr>
          <w:noProof/>
        </w:rPr>
        <w:drawing>
          <wp:inline distT="0" distB="0" distL="0" distR="0" wp14:anchorId="6C525A49" wp14:editId="2E5E9D54">
            <wp:extent cx="5021580" cy="2348865"/>
            <wp:effectExtent l="0" t="0" r="7620" b="13335"/>
            <wp:docPr id="9" name="Graf 9">
              <a:extLst xmlns:a="http://schemas.openxmlformats.org/drawingml/2006/main">
                <a:ext uri="{FF2B5EF4-FFF2-40B4-BE49-F238E27FC236}">
                  <a16:creationId xmlns:a16="http://schemas.microsoft.com/office/drawing/2014/main" id="{FCD98B5E-DE9E-43D4-B065-1D4D5571C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5F06064" w14:textId="303127B3" w:rsidR="00C52527" w:rsidRDefault="00C52527" w:rsidP="00C52527">
      <w:pPr>
        <w:jc w:val="both"/>
        <w:rPr>
          <w:rFonts w:eastAsia="RWXLTG+TimesNewRoman" w:cs="RWXLTG+TimesNewRoman"/>
          <w:b/>
          <w:sz w:val="20"/>
          <w:szCs w:val="20"/>
        </w:rPr>
      </w:pPr>
      <w:r>
        <w:rPr>
          <w:rFonts w:eastAsia="RWXLTG+TimesNewRoman" w:cs="RWXLTG+TimesNewRoman"/>
          <w:b/>
          <w:sz w:val="20"/>
          <w:szCs w:val="20"/>
        </w:rPr>
        <w:t xml:space="preserve">Poznámky: </w:t>
      </w:r>
      <w:r>
        <w:rPr>
          <w:rFonts w:eastAsia="RWXLTG+TimesNewRoman" w:cs="RWXLTG+TimesNewRoman"/>
          <w:sz w:val="20"/>
          <w:szCs w:val="20"/>
        </w:rPr>
        <w:t xml:space="preserve">Průměrná hodnota v roce 2014 byla vypočítána jako průměr za měsíce březen až prosinec, neboť </w:t>
      </w:r>
      <w:r>
        <w:rPr>
          <w:rFonts w:eastAsia="RWXLTG+TimesNewRoman" w:cs="RWXLTG+TimesNewRoman"/>
          <w:sz w:val="20"/>
          <w:szCs w:val="20"/>
        </w:rPr>
        <w:br/>
        <w:t>za leden a únor tohoto roku nejsou statistiky k dispozici.</w:t>
      </w:r>
    </w:p>
    <w:p w14:paraId="11AE9E31" w14:textId="77777777" w:rsidR="00C52527" w:rsidRDefault="00C52527" w:rsidP="00C52527">
      <w:pPr>
        <w:spacing w:after="160"/>
        <w:jc w:val="both"/>
      </w:pPr>
      <w:r w:rsidRPr="006F0AFC">
        <w:rPr>
          <w:rFonts w:eastAsia="RWXLTG+TimesNewRoman" w:cs="RWXLTG+TimesNewRoman"/>
          <w:b/>
          <w:sz w:val="20"/>
          <w:szCs w:val="20"/>
        </w:rPr>
        <w:t>Zdroj:</w:t>
      </w:r>
      <w:r w:rsidRPr="00AE5788">
        <w:rPr>
          <w:rFonts w:eastAsia="RWXLTG+TimesNewRoman" w:cs="RWXLTG+TimesNewRoman"/>
          <w:sz w:val="20"/>
          <w:szCs w:val="20"/>
        </w:rPr>
        <w:t xml:space="preserve"> </w:t>
      </w:r>
      <w:r>
        <w:rPr>
          <w:rFonts w:eastAsia="RWXLTG+TimesNewRoman" w:cs="RWXLTG+TimesNewRoman"/>
          <w:sz w:val="20"/>
          <w:szCs w:val="20"/>
        </w:rPr>
        <w:t>Internetové stránky</w:t>
      </w:r>
      <w:r w:rsidRPr="00106C73">
        <w:rPr>
          <w:rFonts w:eastAsia="RWXLTG+TimesNewRoman" w:cs="RWXLTG+TimesNewRoman"/>
          <w:sz w:val="20"/>
          <w:szCs w:val="20"/>
        </w:rPr>
        <w:t xml:space="preserve"> Ministerstva práce a sociálních věcí </w:t>
      </w:r>
      <w:hyperlink r:id="rId67" w:history="1">
        <w:r w:rsidRPr="006341E4">
          <w:rPr>
            <w:rStyle w:val="Hypertextovodkaz"/>
            <w:rFonts w:eastAsia="RWXLTG+TimesNewRoman" w:cs="RWXLTG+TimesNewRoman"/>
            <w:sz w:val="20"/>
            <w:szCs w:val="20"/>
          </w:rPr>
          <w:t>https://www.mpsv.cz/</w:t>
        </w:r>
      </w:hyperlink>
      <w:r>
        <w:rPr>
          <w:rFonts w:eastAsia="RWXLTG+TimesNewRoman" w:cs="RWXLTG+TimesNewRoman"/>
          <w:sz w:val="20"/>
          <w:szCs w:val="20"/>
        </w:rPr>
        <w:t xml:space="preserve"> </w:t>
      </w:r>
    </w:p>
    <w:p w14:paraId="72F78AAD" w14:textId="77777777" w:rsidR="00C52527" w:rsidRDefault="00C52527" w:rsidP="00C52527">
      <w:pPr>
        <w:spacing w:after="160" w:line="259" w:lineRule="auto"/>
        <w:jc w:val="both"/>
      </w:pPr>
    </w:p>
    <w:p w14:paraId="1D8FF6A0" w14:textId="661359BD" w:rsidR="00C52527" w:rsidRPr="00187F40" w:rsidRDefault="00C52527" w:rsidP="00C52527">
      <w:pPr>
        <w:spacing w:after="160" w:line="259" w:lineRule="auto"/>
        <w:jc w:val="both"/>
        <w:rPr>
          <w:rFonts w:eastAsia="RWXLTG+TimesNewRoman" w:cs="RWXLTG+TimesNewRoman"/>
        </w:rPr>
      </w:pPr>
      <w:r>
        <w:t xml:space="preserve">Z grafu </w:t>
      </w:r>
      <w:r w:rsidR="00B9218E">
        <w:t>8</w:t>
      </w:r>
      <w:r>
        <w:t xml:space="preserve"> vyplývá, že podíl nezaměstnaných osob měl v obci až do roku 201</w:t>
      </w:r>
      <w:r w:rsidR="00B9218E">
        <w:t>8</w:t>
      </w:r>
      <w:r>
        <w:t xml:space="preserve"> klesající tendenci</w:t>
      </w:r>
      <w:r w:rsidR="00B9218E">
        <w:t xml:space="preserve"> </w:t>
      </w:r>
      <w:r w:rsidR="00985D6B">
        <w:t xml:space="preserve">– </w:t>
      </w:r>
      <w:r>
        <w:t xml:space="preserve">z hodnoty </w:t>
      </w:r>
      <w:r w:rsidR="00B9218E">
        <w:t>7</w:t>
      </w:r>
      <w:r>
        <w:t>,</w:t>
      </w:r>
      <w:r w:rsidR="00B9218E">
        <w:t>1</w:t>
      </w:r>
      <w:r>
        <w:t xml:space="preserve"> % v roce 2014 až na hodnotu 1,</w:t>
      </w:r>
      <w:r w:rsidR="00B9218E">
        <w:t>9</w:t>
      </w:r>
      <w:r>
        <w:t xml:space="preserve"> % v roce 201</w:t>
      </w:r>
      <w:r w:rsidR="00B9218E">
        <w:t>8.</w:t>
      </w:r>
      <w:r>
        <w:t xml:space="preserve"> Tento pokles v čase byl způsoben především fází ekonomického cyklu v rámci celé České republiky v uvedeném období, kdy docházelo k hospodářskému růstu. V posledních sledovaných letech podíl nezaměstnaných </w:t>
      </w:r>
      <w:r w:rsidR="00B9218E">
        <w:t xml:space="preserve">nepatrně </w:t>
      </w:r>
      <w:r>
        <w:t>stoup</w:t>
      </w:r>
      <w:r w:rsidR="00B9218E">
        <w:t>l</w:t>
      </w:r>
      <w:r>
        <w:t>, což je bezpochyby způsobeno v důsledku pandemie koronaviru a hospodářským poklesem v posledních letech.</w:t>
      </w:r>
    </w:p>
    <w:p w14:paraId="36F521A1" w14:textId="0600380C" w:rsidR="00C52527" w:rsidRDefault="00C52527" w:rsidP="00C52527">
      <w:pPr>
        <w:spacing w:after="160" w:line="259" w:lineRule="auto"/>
        <w:jc w:val="both"/>
      </w:pPr>
      <w:r>
        <w:t xml:space="preserve">Porovnáním podílu nezaměstnaných osob v měsících červenec a prosinec lze vidět, že výše podílu nezaměstnaných osob </w:t>
      </w:r>
      <w:r w:rsidR="00B9218E">
        <w:t xml:space="preserve">byla ve čtyřech sledovaných letech </w:t>
      </w:r>
      <w:r>
        <w:t>vyšší</w:t>
      </w:r>
      <w:r w:rsidR="00B9218E">
        <w:t xml:space="preserve"> v červenci než</w:t>
      </w:r>
      <w:r>
        <w:t xml:space="preserve"> v</w:t>
      </w:r>
      <w:r w:rsidR="00B9218E">
        <w:t> </w:t>
      </w:r>
      <w:r>
        <w:t>prosinci</w:t>
      </w:r>
      <w:r w:rsidR="00B9218E">
        <w:t xml:space="preserve"> a ve čtyřech sledovaných letech vyšší v prosinci</w:t>
      </w:r>
      <w:r>
        <w:t xml:space="preserve"> než v červenci. Z toho vyplývá, že vliv sezonních prací v letním období se </w:t>
      </w:r>
      <w:r w:rsidR="00B9218E">
        <w:t>ne</w:t>
      </w:r>
      <w:r>
        <w:t>potvrdil.</w:t>
      </w:r>
    </w:p>
    <w:p w14:paraId="7517FE98" w14:textId="07B6DE34" w:rsidR="00C52527" w:rsidRPr="004566C0" w:rsidRDefault="00C52527" w:rsidP="00C52527">
      <w:pPr>
        <w:spacing w:after="160" w:line="259" w:lineRule="auto"/>
        <w:jc w:val="both"/>
        <w:rPr>
          <w:rFonts w:eastAsia="RWXLTG+TimesNewRoman" w:cs="RWXLTG+TimesNewRoman"/>
        </w:rPr>
      </w:pPr>
      <w:bookmarkStart w:id="175" w:name="_Hlk76048172"/>
      <w:r w:rsidRPr="004566C0">
        <w:rPr>
          <w:rFonts w:eastAsia="RWXLTG+TimesNewRoman" w:cs="RWXLTG+TimesNewRoman"/>
        </w:rPr>
        <w:t xml:space="preserve">Při porovnání hodnot podílu nezaměstnaných osob za územní jednotky obec </w:t>
      </w:r>
      <w:r w:rsidR="0067139E">
        <w:rPr>
          <w:rFonts w:eastAsia="RWXLTG+TimesNewRoman" w:cs="RWXLTG+TimesNewRoman"/>
        </w:rPr>
        <w:t>Staré Buky</w:t>
      </w:r>
      <w:r w:rsidRPr="004566C0">
        <w:rPr>
          <w:rFonts w:eastAsia="RWXLTG+TimesNewRoman" w:cs="RWXLTG+TimesNewRoman"/>
        </w:rPr>
        <w:t xml:space="preserve">, okres </w:t>
      </w:r>
      <w:r w:rsidR="0067139E">
        <w:rPr>
          <w:rFonts w:eastAsia="RWXLTG+TimesNewRoman" w:cs="RWXLTG+TimesNewRoman"/>
        </w:rPr>
        <w:t>Trutnov</w:t>
      </w:r>
      <w:r w:rsidRPr="004566C0">
        <w:rPr>
          <w:rFonts w:eastAsia="RWXLTG+TimesNewRoman" w:cs="RWXLTG+TimesNewRoman"/>
        </w:rPr>
        <w:t xml:space="preserve"> a Královéhradecký kraj (graf </w:t>
      </w:r>
      <w:r w:rsidR="008C6D36">
        <w:rPr>
          <w:rFonts w:eastAsia="RWXLTG+TimesNewRoman" w:cs="RWXLTG+TimesNewRoman"/>
        </w:rPr>
        <w:t>9</w:t>
      </w:r>
      <w:r w:rsidRPr="004566C0">
        <w:rPr>
          <w:rFonts w:eastAsia="RWXLTG+TimesNewRoman" w:cs="RWXLTG+TimesNewRoman"/>
        </w:rPr>
        <w:t xml:space="preserve">) lze vidět, že podíl nezaměstnaných osob v obci </w:t>
      </w:r>
      <w:r w:rsidR="0067139E">
        <w:rPr>
          <w:rFonts w:eastAsia="RWXLTG+TimesNewRoman" w:cs="RWXLTG+TimesNewRoman"/>
        </w:rPr>
        <w:t>Staré Buky</w:t>
      </w:r>
      <w:r w:rsidRPr="004566C0">
        <w:rPr>
          <w:rFonts w:eastAsia="RWXLTG+TimesNewRoman" w:cs="RWXLTG+TimesNewRoman"/>
        </w:rPr>
        <w:t xml:space="preserve"> byl </w:t>
      </w:r>
      <w:r w:rsidR="00985D6B">
        <w:rPr>
          <w:rFonts w:eastAsia="RWXLTG+TimesNewRoman" w:cs="RWXLTG+TimesNewRoman"/>
        </w:rPr>
        <w:t>v</w:t>
      </w:r>
      <w:r w:rsidR="00045256">
        <w:rPr>
          <w:rFonts w:eastAsia="RWXLTG+TimesNewRoman" w:cs="RWXLTG+TimesNewRoman"/>
        </w:rPr>
        <w:t>e všech sledovaných</w:t>
      </w:r>
      <w:r w:rsidR="00985D6B">
        <w:rPr>
          <w:rFonts w:eastAsia="RWXLTG+TimesNewRoman" w:cs="RWXLTG+TimesNewRoman"/>
        </w:rPr>
        <w:t xml:space="preserve"> letech </w:t>
      </w:r>
      <w:r w:rsidR="00045256">
        <w:rPr>
          <w:rFonts w:eastAsia="RWXLTG+TimesNewRoman" w:cs="RWXLTG+TimesNewRoman"/>
        </w:rPr>
        <w:t xml:space="preserve">(vyjma roku </w:t>
      </w:r>
      <w:r w:rsidR="00985D6B">
        <w:rPr>
          <w:rFonts w:eastAsia="RWXLTG+TimesNewRoman" w:cs="RWXLTG+TimesNewRoman"/>
        </w:rPr>
        <w:t>2014 a 2019</w:t>
      </w:r>
      <w:r w:rsidR="00045256">
        <w:rPr>
          <w:rFonts w:eastAsia="RWXLTG+TimesNewRoman" w:cs="RWXLTG+TimesNewRoman"/>
        </w:rPr>
        <w:t>)</w:t>
      </w:r>
      <w:r w:rsidR="00985D6B">
        <w:rPr>
          <w:rFonts w:eastAsia="RWXLTG+TimesNewRoman" w:cs="RWXLTG+TimesNewRoman"/>
        </w:rPr>
        <w:t xml:space="preserve"> nižší než v rámci Královéhradeckého kraje jako </w:t>
      </w:r>
      <w:r w:rsidR="00985D6B">
        <w:rPr>
          <w:rFonts w:eastAsia="RWXLTG+TimesNewRoman" w:cs="RWXLTG+TimesNewRoman"/>
        </w:rPr>
        <w:lastRenderedPageBreak/>
        <w:t>celku.</w:t>
      </w:r>
      <w:r w:rsidRPr="004566C0">
        <w:rPr>
          <w:rFonts w:eastAsia="RWXLTG+TimesNewRoman" w:cs="RWXLTG+TimesNewRoman"/>
        </w:rPr>
        <w:t xml:space="preserve"> </w:t>
      </w:r>
      <w:r w:rsidR="00985D6B">
        <w:rPr>
          <w:rFonts w:eastAsia="RWXLTG+TimesNewRoman" w:cs="RWXLTG+TimesNewRoman"/>
        </w:rPr>
        <w:t>O</w:t>
      </w:r>
      <w:r w:rsidRPr="004566C0">
        <w:rPr>
          <w:rFonts w:eastAsia="RWXLTG+TimesNewRoman" w:cs="RWXLTG+TimesNewRoman"/>
        </w:rPr>
        <w:t xml:space="preserve">kres </w:t>
      </w:r>
      <w:r w:rsidR="00045256">
        <w:rPr>
          <w:rFonts w:eastAsia="RWXLTG+TimesNewRoman" w:cs="RWXLTG+TimesNewRoman"/>
        </w:rPr>
        <w:t>Trutnov</w:t>
      </w:r>
      <w:r w:rsidRPr="004566C0">
        <w:rPr>
          <w:rFonts w:eastAsia="RWXLTG+TimesNewRoman" w:cs="RWXLTG+TimesNewRoman"/>
        </w:rPr>
        <w:t xml:space="preserve"> jako celek vykazoval ve </w:t>
      </w:r>
      <w:r w:rsidR="00045256">
        <w:rPr>
          <w:rFonts w:eastAsia="RWXLTG+TimesNewRoman" w:cs="RWXLTG+TimesNewRoman"/>
        </w:rPr>
        <w:t>všech</w:t>
      </w:r>
      <w:r w:rsidRPr="004566C0">
        <w:rPr>
          <w:rFonts w:eastAsia="RWXLTG+TimesNewRoman" w:cs="RWXLTG+TimesNewRoman"/>
        </w:rPr>
        <w:t xml:space="preserve"> sledovaných let</w:t>
      </w:r>
      <w:r w:rsidR="00045256">
        <w:rPr>
          <w:rFonts w:eastAsia="RWXLTG+TimesNewRoman" w:cs="RWXLTG+TimesNewRoman"/>
        </w:rPr>
        <w:t>ech</w:t>
      </w:r>
      <w:r w:rsidRPr="004566C0">
        <w:rPr>
          <w:rFonts w:eastAsia="RWXLTG+TimesNewRoman" w:cs="RWXLTG+TimesNewRoman"/>
        </w:rPr>
        <w:t xml:space="preserve"> </w:t>
      </w:r>
      <w:r w:rsidR="00985D6B">
        <w:rPr>
          <w:rFonts w:eastAsia="RWXLTG+TimesNewRoman" w:cs="RWXLTG+TimesNewRoman"/>
        </w:rPr>
        <w:t>(</w:t>
      </w:r>
      <w:r w:rsidRPr="004566C0">
        <w:rPr>
          <w:rFonts w:eastAsia="RWXLTG+TimesNewRoman" w:cs="RWXLTG+TimesNewRoman"/>
        </w:rPr>
        <w:t xml:space="preserve">vyjma roku </w:t>
      </w:r>
      <w:r w:rsidR="00045256">
        <w:rPr>
          <w:rFonts w:eastAsia="RWXLTG+TimesNewRoman" w:cs="RWXLTG+TimesNewRoman"/>
        </w:rPr>
        <w:t>2019</w:t>
      </w:r>
      <w:r w:rsidR="00985D6B">
        <w:rPr>
          <w:rFonts w:eastAsia="RWXLTG+TimesNewRoman" w:cs="RWXLTG+TimesNewRoman"/>
        </w:rPr>
        <w:t>)</w:t>
      </w:r>
      <w:r w:rsidRPr="004566C0">
        <w:rPr>
          <w:rFonts w:eastAsia="RWXLTG+TimesNewRoman" w:cs="RWXLTG+TimesNewRoman"/>
        </w:rPr>
        <w:t xml:space="preserve"> vyšší hodnoty podílu nezaměstnaných osob než obec </w:t>
      </w:r>
      <w:r w:rsidR="00045256">
        <w:rPr>
          <w:rFonts w:eastAsia="RWXLTG+TimesNewRoman" w:cs="RWXLTG+TimesNewRoman"/>
        </w:rPr>
        <w:t>Staré Buky</w:t>
      </w:r>
      <w:r w:rsidRPr="004566C0">
        <w:rPr>
          <w:rFonts w:eastAsia="RWXLTG+TimesNewRoman" w:cs="RWXLTG+TimesNewRoman"/>
        </w:rPr>
        <w:t>, což značí pozitivní výsledek obce v rámci okresu.</w:t>
      </w:r>
    </w:p>
    <w:p w14:paraId="348EF6A5" w14:textId="076CDB26" w:rsidR="00985D6B" w:rsidRDefault="00985D6B" w:rsidP="00C52527">
      <w:pPr>
        <w:spacing w:after="160" w:line="259" w:lineRule="auto"/>
        <w:jc w:val="both"/>
        <w:rPr>
          <w:rFonts w:eastAsia="RWXLTG+TimesNewRoman" w:cs="RWXLTG+TimesNewRoman"/>
        </w:rPr>
      </w:pPr>
    </w:p>
    <w:p w14:paraId="6B98E14B" w14:textId="0FE2525D" w:rsidR="00C52527" w:rsidRPr="004566C0" w:rsidRDefault="00C52527" w:rsidP="00C52527">
      <w:pPr>
        <w:pStyle w:val="GRAF0"/>
      </w:pPr>
      <w:bookmarkStart w:id="176" w:name="_Toc445288439"/>
      <w:bookmarkStart w:id="177" w:name="_Toc480751825"/>
      <w:bookmarkStart w:id="178" w:name="_Toc507022156"/>
      <w:bookmarkStart w:id="179" w:name="_Toc32577911"/>
      <w:bookmarkStart w:id="180" w:name="_Toc104472754"/>
      <w:bookmarkStart w:id="181" w:name="_Toc120651988"/>
      <w:r w:rsidRPr="004566C0">
        <w:t xml:space="preserve">Graf </w:t>
      </w:r>
      <w:r w:rsidR="008C6D36">
        <w:t>9</w:t>
      </w:r>
      <w:r w:rsidRPr="004566C0">
        <w:t xml:space="preserve">: Porovnání </w:t>
      </w:r>
      <w:r>
        <w:t>podílu nezaměstnaných osob</w:t>
      </w:r>
      <w:r w:rsidRPr="004566C0">
        <w:t xml:space="preserve"> za územní jednotky obec </w:t>
      </w:r>
      <w:r w:rsidR="0067139E">
        <w:t>Staré Buky,</w:t>
      </w:r>
      <w:r w:rsidRPr="004566C0">
        <w:t xml:space="preserve"> okres </w:t>
      </w:r>
      <w:r w:rsidR="0067139E">
        <w:t>Trutnov</w:t>
      </w:r>
      <w:r w:rsidRPr="004566C0">
        <w:t xml:space="preserve"> a Královéhradecký kraj v období 2014-20</w:t>
      </w:r>
      <w:bookmarkEnd w:id="176"/>
      <w:bookmarkEnd w:id="177"/>
      <w:bookmarkEnd w:id="178"/>
      <w:bookmarkEnd w:id="179"/>
      <w:r>
        <w:t>21</w:t>
      </w:r>
      <w:bookmarkEnd w:id="180"/>
      <w:bookmarkEnd w:id="181"/>
    </w:p>
    <w:p w14:paraId="6307F3C7" w14:textId="50908525" w:rsidR="00C52527" w:rsidRPr="004566C0" w:rsidRDefault="0067139E" w:rsidP="00C52527">
      <w:pPr>
        <w:spacing w:line="360" w:lineRule="auto"/>
        <w:jc w:val="center"/>
      </w:pPr>
      <w:r>
        <w:rPr>
          <w:noProof/>
        </w:rPr>
        <w:drawing>
          <wp:inline distT="0" distB="0" distL="0" distR="0" wp14:anchorId="5350BAC6" wp14:editId="1662016A">
            <wp:extent cx="5250180" cy="1836420"/>
            <wp:effectExtent l="0" t="0" r="0" b="0"/>
            <wp:docPr id="19" name="Graf 19">
              <a:extLst xmlns:a="http://schemas.openxmlformats.org/drawingml/2006/main">
                <a:ext uri="{FF2B5EF4-FFF2-40B4-BE49-F238E27FC236}">
                  <a16:creationId xmlns:a16="http://schemas.microsoft.com/office/drawing/2014/main" id="{9C0CD2E4-8900-4106-B7D0-7FF0083D3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3200B1C" w14:textId="77777777" w:rsidR="00C52527" w:rsidRPr="008B5DFA" w:rsidRDefault="00C52527" w:rsidP="00C52527">
      <w:pPr>
        <w:spacing w:after="160"/>
        <w:jc w:val="both"/>
        <w:rPr>
          <w:rStyle w:val="Hypertextovodkaz"/>
          <w:rFonts w:eastAsia="RWXLTG+TimesNewRoman" w:cs="RWXLTG+TimesNewRoman"/>
          <w:sz w:val="20"/>
          <w:szCs w:val="20"/>
          <w:highlight w:val="yellow"/>
        </w:rPr>
      </w:pPr>
      <w:r w:rsidRPr="004566C0">
        <w:rPr>
          <w:rFonts w:eastAsia="RWXLTG+TimesNewRoman" w:cs="RWXLTG+TimesNewRoman"/>
          <w:b/>
          <w:sz w:val="20"/>
          <w:szCs w:val="20"/>
        </w:rPr>
        <w:t>Zdroj:</w:t>
      </w:r>
      <w:r w:rsidRPr="004566C0">
        <w:rPr>
          <w:rFonts w:eastAsia="RWXLTG+TimesNewRoman" w:cs="RWXLTG+TimesNewRoman"/>
          <w:sz w:val="20"/>
          <w:szCs w:val="20"/>
        </w:rPr>
        <w:t xml:space="preserve"> </w:t>
      </w:r>
      <w:r>
        <w:rPr>
          <w:rFonts w:eastAsia="RWXLTG+TimesNewRoman" w:cs="RWXLTG+TimesNewRoman"/>
          <w:sz w:val="20"/>
          <w:szCs w:val="20"/>
        </w:rPr>
        <w:t>Internetové stránky</w:t>
      </w:r>
      <w:r w:rsidRPr="00106C73">
        <w:rPr>
          <w:rFonts w:eastAsia="RWXLTG+TimesNewRoman" w:cs="RWXLTG+TimesNewRoman"/>
          <w:sz w:val="20"/>
          <w:szCs w:val="20"/>
        </w:rPr>
        <w:t xml:space="preserve"> Ministerstva práce a sociálních věcí </w:t>
      </w:r>
      <w:hyperlink r:id="rId69" w:history="1">
        <w:r w:rsidRPr="006341E4">
          <w:rPr>
            <w:rStyle w:val="Hypertextovodkaz"/>
            <w:rFonts w:eastAsia="RWXLTG+TimesNewRoman" w:cs="RWXLTG+TimesNewRoman"/>
            <w:sz w:val="20"/>
            <w:szCs w:val="20"/>
          </w:rPr>
          <w:t>https://www.mpsv.cz/</w:t>
        </w:r>
      </w:hyperlink>
      <w:r w:rsidRPr="008B5DFA">
        <w:rPr>
          <w:rFonts w:eastAsia="RWXLTG+TimesNewRoman" w:cs="RWXLTG+TimesNewRoman"/>
          <w:sz w:val="20"/>
          <w:szCs w:val="20"/>
          <w:highlight w:val="yellow"/>
        </w:rPr>
        <w:t xml:space="preserve"> </w:t>
      </w:r>
    </w:p>
    <w:p w14:paraId="3F5707A4" w14:textId="77777777" w:rsidR="00C52527" w:rsidRDefault="00C52527" w:rsidP="00C52527">
      <w:pPr>
        <w:spacing w:after="160" w:line="259" w:lineRule="auto"/>
        <w:jc w:val="both"/>
        <w:rPr>
          <w:rFonts w:eastAsia="RWXLTG+TimesNewRoman" w:cs="RWXLTG+TimesNewRoman"/>
          <w:highlight w:val="yellow"/>
        </w:rPr>
      </w:pPr>
    </w:p>
    <w:p w14:paraId="5CE4EB98" w14:textId="4618190D" w:rsidR="00D3788A" w:rsidRDefault="00C52527" w:rsidP="00C52527">
      <w:pPr>
        <w:spacing w:after="160" w:line="259" w:lineRule="auto"/>
        <w:jc w:val="both"/>
        <w:rPr>
          <w:rFonts w:eastAsia="RWXLTG+TimesNewRoman" w:cs="RWXLTG+TimesNewRoman"/>
        </w:rPr>
      </w:pPr>
      <w:r w:rsidRPr="004566C0">
        <w:rPr>
          <w:rFonts w:eastAsia="RWXLTG+TimesNewRoman" w:cs="RWXLTG+TimesNewRoman"/>
        </w:rPr>
        <w:t xml:space="preserve">V roce 2020 došlo k vypuknutí celosvětové pandemie nemoci Covid-19. I z grafu </w:t>
      </w:r>
      <w:r w:rsidR="00A11271">
        <w:rPr>
          <w:rFonts w:eastAsia="RWXLTG+TimesNewRoman" w:cs="RWXLTG+TimesNewRoman"/>
        </w:rPr>
        <w:t>9</w:t>
      </w:r>
      <w:r w:rsidRPr="004566C0">
        <w:rPr>
          <w:rFonts w:eastAsia="RWXLTG+TimesNewRoman" w:cs="RWXLTG+TimesNewRoman"/>
        </w:rPr>
        <w:t xml:space="preserve"> je patrné, že se díky této pandemii podíl nezaměstnaných osob v posledních letech zvýšil.</w:t>
      </w:r>
      <w:bookmarkEnd w:id="175"/>
    </w:p>
    <w:p w14:paraId="0CAD810F" w14:textId="77777777" w:rsidR="00985D6B" w:rsidRPr="009E79CB" w:rsidRDefault="00985D6B" w:rsidP="00C52527">
      <w:pPr>
        <w:spacing w:after="160" w:line="259" w:lineRule="auto"/>
        <w:jc w:val="both"/>
      </w:pPr>
    </w:p>
    <w:p w14:paraId="552F1483" w14:textId="77777777" w:rsidR="00D3788A" w:rsidRPr="009B6103" w:rsidRDefault="00D3788A" w:rsidP="00D3788A">
      <w:pPr>
        <w:spacing w:after="160" w:line="259" w:lineRule="auto"/>
        <w:jc w:val="both"/>
        <w:rPr>
          <w:u w:val="single"/>
        </w:rPr>
      </w:pPr>
      <w:r w:rsidRPr="009B6103">
        <w:rPr>
          <w:u w:val="single"/>
        </w:rPr>
        <w:t>Vyjížďka do zaměstnání</w:t>
      </w:r>
    </w:p>
    <w:p w14:paraId="30C845BA" w14:textId="39253280" w:rsidR="00FB03F3" w:rsidRDefault="00FB03F3" w:rsidP="00FB03F3">
      <w:pPr>
        <w:spacing w:after="160" w:line="259" w:lineRule="auto"/>
        <w:jc w:val="both"/>
        <w:rPr>
          <w:rFonts w:eastAsia="RWXLTG+TimesNewRoman" w:cs="RWXLTG+TimesNewRoman"/>
        </w:rPr>
      </w:pPr>
      <w:r w:rsidRPr="00085EF7">
        <w:rPr>
          <w:rFonts w:cs="DWMIWO+TimesNewRoman,Bold"/>
          <w:bCs/>
        </w:rPr>
        <w:t>Vyjížďka do zaměstnání</w:t>
      </w:r>
      <w:r w:rsidRPr="00085EF7">
        <w:rPr>
          <w:rFonts w:cs="DWMIWO+TimesNewRoman,Bold"/>
          <w:b/>
          <w:bCs/>
        </w:rPr>
        <w:t xml:space="preserve"> </w:t>
      </w:r>
      <w:r w:rsidRPr="00085EF7">
        <w:rPr>
          <w:rFonts w:eastAsia="RWXLTG+TimesNewRoman" w:cs="RWXLTG+TimesNewRoman"/>
        </w:rPr>
        <w:t>představuje procento EAO, kteří vyjíždějí za prací z</w:t>
      </w:r>
      <w:r>
        <w:rPr>
          <w:rFonts w:eastAsia="RWXLTG+TimesNewRoman" w:cs="RWXLTG+TimesNewRoman"/>
        </w:rPr>
        <w:t> </w:t>
      </w:r>
      <w:r w:rsidRPr="00085EF7">
        <w:rPr>
          <w:rFonts w:eastAsia="RWXLTG+TimesNewRoman" w:cs="RWXLTG+TimesNewRoman"/>
        </w:rPr>
        <w:t>dané</w:t>
      </w:r>
      <w:r>
        <w:rPr>
          <w:rFonts w:eastAsia="RWXLTG+TimesNewRoman" w:cs="RWXLTG+TimesNewRoman"/>
        </w:rPr>
        <w:t xml:space="preserve"> </w:t>
      </w:r>
      <w:r w:rsidRPr="00085EF7">
        <w:rPr>
          <w:rFonts w:eastAsia="RWXLTG+TimesNewRoman" w:cs="RWXLTG+TimesNewRoman"/>
        </w:rPr>
        <w:t>obce.</w:t>
      </w:r>
      <w:r>
        <w:rPr>
          <w:rFonts w:eastAsia="RWXLTG+TimesNewRoman" w:cs="RWXLTG+TimesNewRoman"/>
        </w:rPr>
        <w:t xml:space="preserve"> Tabulka </w:t>
      </w:r>
      <w:r w:rsidR="00245283">
        <w:rPr>
          <w:rFonts w:eastAsia="RWXLTG+TimesNewRoman" w:cs="RWXLTG+TimesNewRoman"/>
        </w:rPr>
        <w:t>10</w:t>
      </w:r>
      <w:r>
        <w:rPr>
          <w:rFonts w:eastAsia="RWXLTG+TimesNewRoman" w:cs="RWXLTG+TimesNewRoman"/>
        </w:rPr>
        <w:t xml:space="preserve"> obsahuje informace týkající se vyjížďky do zaměstnání z obce </w:t>
      </w:r>
      <w:r w:rsidR="00245283">
        <w:rPr>
          <w:rFonts w:eastAsia="RWXLTG+TimesNewRoman" w:cs="RWXLTG+TimesNewRoman"/>
        </w:rPr>
        <w:t>Staré Buky</w:t>
      </w:r>
      <w:r>
        <w:rPr>
          <w:rFonts w:eastAsia="RWXLTG+TimesNewRoman" w:cs="RWXLTG+TimesNewRoman"/>
        </w:rPr>
        <w:t>.</w:t>
      </w:r>
    </w:p>
    <w:p w14:paraId="0E27ACE4" w14:textId="77777777" w:rsidR="00FB03F3" w:rsidRDefault="00FB03F3" w:rsidP="00FB03F3">
      <w:pPr>
        <w:spacing w:after="160" w:line="259" w:lineRule="auto"/>
        <w:ind w:firstLine="284"/>
        <w:jc w:val="both"/>
        <w:rPr>
          <w:rFonts w:eastAsia="RWXLTG+TimesNewRoman" w:cs="RWXLTG+TimesNewRoman"/>
        </w:rPr>
      </w:pPr>
    </w:p>
    <w:p w14:paraId="232062C6" w14:textId="678103F8" w:rsidR="00FB03F3" w:rsidRPr="00570286" w:rsidRDefault="00FB03F3" w:rsidP="00FB03F3">
      <w:pPr>
        <w:pStyle w:val="TABULKA0"/>
      </w:pPr>
      <w:bookmarkStart w:id="182" w:name="_Toc441221913"/>
      <w:bookmarkStart w:id="183" w:name="_Toc465022148"/>
      <w:bookmarkStart w:id="184" w:name="_Toc480751587"/>
      <w:bookmarkStart w:id="185" w:name="_Toc120651932"/>
      <w:r>
        <w:t xml:space="preserve">Tabulka </w:t>
      </w:r>
      <w:r w:rsidR="00245283">
        <w:t>10</w:t>
      </w:r>
      <w:r>
        <w:t xml:space="preserve">: Vyjížďka do zaměstnání v obci </w:t>
      </w:r>
      <w:r w:rsidR="00245283">
        <w:t>Staré Buky</w:t>
      </w:r>
      <w:r w:rsidRPr="00570286">
        <w:t xml:space="preserve"> v letech 2001 a 2011</w:t>
      </w:r>
      <w:bookmarkEnd w:id="182"/>
      <w:bookmarkEnd w:id="183"/>
      <w:bookmarkEnd w:id="184"/>
      <w:bookmarkEnd w:id="185"/>
    </w:p>
    <w:tbl>
      <w:tblPr>
        <w:tblW w:w="4454"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5658"/>
        <w:gridCol w:w="1274"/>
        <w:gridCol w:w="1274"/>
      </w:tblGrid>
      <w:tr w:rsidR="00FB03F3" w:rsidRPr="00570286" w14:paraId="7FD27B12" w14:textId="77777777" w:rsidTr="00245283">
        <w:trPr>
          <w:trHeight w:val="118"/>
          <w:jc w:val="center"/>
        </w:trPr>
        <w:tc>
          <w:tcPr>
            <w:tcW w:w="3448" w:type="pct"/>
            <w:tcBorders>
              <w:top w:val="single" w:sz="18" w:space="0" w:color="auto"/>
            </w:tcBorders>
            <w:shd w:val="clear" w:color="auto" w:fill="FFC000"/>
            <w:noWrap/>
            <w:vAlign w:val="center"/>
            <w:hideMark/>
          </w:tcPr>
          <w:p w14:paraId="2C7A0565" w14:textId="77777777" w:rsidR="00FB03F3" w:rsidRPr="00C54421" w:rsidRDefault="00FB03F3" w:rsidP="000A2FCE">
            <w:pPr>
              <w:jc w:val="center"/>
              <w:rPr>
                <w:rFonts w:ascii="Calibri" w:eastAsia="Times New Roman" w:hAnsi="Calibri" w:cs="Times New Roman"/>
                <w:b/>
                <w:color w:val="000000"/>
                <w:lang w:eastAsia="cs-CZ"/>
              </w:rPr>
            </w:pPr>
            <w:r w:rsidRPr="00570286">
              <w:rPr>
                <w:rFonts w:ascii="Calibri" w:eastAsia="Times New Roman" w:hAnsi="Calibri" w:cs="Times New Roman"/>
                <w:b/>
                <w:color w:val="000000"/>
                <w:lang w:eastAsia="cs-CZ"/>
              </w:rPr>
              <w:t>Rok</w:t>
            </w:r>
          </w:p>
        </w:tc>
        <w:tc>
          <w:tcPr>
            <w:tcW w:w="776" w:type="pct"/>
            <w:tcBorders>
              <w:top w:val="single" w:sz="18" w:space="0" w:color="auto"/>
              <w:right w:val="single" w:sz="12" w:space="0" w:color="auto"/>
            </w:tcBorders>
            <w:shd w:val="clear" w:color="auto" w:fill="FFC000"/>
            <w:noWrap/>
            <w:vAlign w:val="center"/>
            <w:hideMark/>
          </w:tcPr>
          <w:p w14:paraId="602DC7C2" w14:textId="77777777" w:rsidR="00FB03F3" w:rsidRPr="00570286" w:rsidRDefault="00FB03F3" w:rsidP="000A2FCE">
            <w:pPr>
              <w:jc w:val="center"/>
              <w:rPr>
                <w:rFonts w:ascii="Calibri" w:eastAsia="Times New Roman" w:hAnsi="Calibri" w:cs="Times New Roman"/>
                <w:b/>
                <w:color w:val="000000"/>
                <w:lang w:eastAsia="cs-CZ"/>
              </w:rPr>
            </w:pPr>
            <w:r>
              <w:rPr>
                <w:rFonts w:ascii="Calibri" w:eastAsia="Times New Roman" w:hAnsi="Calibri" w:cs="Times New Roman"/>
                <w:b/>
                <w:color w:val="000000"/>
                <w:lang w:eastAsia="cs-CZ"/>
              </w:rPr>
              <w:t>2001</w:t>
            </w:r>
          </w:p>
        </w:tc>
        <w:tc>
          <w:tcPr>
            <w:tcW w:w="776" w:type="pct"/>
            <w:tcBorders>
              <w:top w:val="single" w:sz="18" w:space="0" w:color="auto"/>
              <w:right w:val="single" w:sz="18" w:space="0" w:color="auto"/>
            </w:tcBorders>
            <w:shd w:val="clear" w:color="auto" w:fill="FFC000"/>
            <w:vAlign w:val="center"/>
          </w:tcPr>
          <w:p w14:paraId="57555609" w14:textId="77777777" w:rsidR="00FB03F3" w:rsidRPr="00570286" w:rsidRDefault="00FB03F3" w:rsidP="000A2FCE">
            <w:pPr>
              <w:jc w:val="center"/>
              <w:rPr>
                <w:rFonts w:ascii="Calibri" w:eastAsia="Times New Roman" w:hAnsi="Calibri" w:cs="Times New Roman"/>
                <w:b/>
                <w:color w:val="000000"/>
                <w:lang w:eastAsia="cs-CZ"/>
              </w:rPr>
            </w:pPr>
            <w:r>
              <w:rPr>
                <w:rFonts w:ascii="Calibri" w:eastAsia="Times New Roman" w:hAnsi="Calibri" w:cs="Times New Roman"/>
                <w:b/>
                <w:color w:val="000000"/>
                <w:lang w:eastAsia="cs-CZ"/>
              </w:rPr>
              <w:t>2011</w:t>
            </w:r>
          </w:p>
        </w:tc>
      </w:tr>
      <w:tr w:rsidR="00FB03F3" w:rsidRPr="00570286" w14:paraId="57FB3886" w14:textId="77777777" w:rsidTr="000A2FCE">
        <w:trPr>
          <w:trHeight w:val="38"/>
          <w:jc w:val="center"/>
        </w:trPr>
        <w:tc>
          <w:tcPr>
            <w:tcW w:w="3448" w:type="pct"/>
            <w:tcBorders>
              <w:top w:val="single" w:sz="12" w:space="0" w:color="auto"/>
            </w:tcBorders>
            <w:shd w:val="clear" w:color="auto" w:fill="D9D9D9" w:themeFill="background1" w:themeFillShade="D9"/>
            <w:noWrap/>
            <w:vAlign w:val="center"/>
          </w:tcPr>
          <w:p w14:paraId="48C85FA5" w14:textId="77777777" w:rsidR="00FB03F3" w:rsidRPr="00657699" w:rsidRDefault="00FB03F3" w:rsidP="000A2FCE">
            <w:pPr>
              <w:rPr>
                <w:rFonts w:ascii="Calibri" w:eastAsia="Times New Roman" w:hAnsi="Calibri" w:cs="Times New Roman"/>
                <w:bCs/>
                <w:color w:val="000000"/>
                <w:lang w:eastAsia="cs-CZ"/>
              </w:rPr>
            </w:pPr>
            <w:r w:rsidRPr="00657699">
              <w:rPr>
                <w:rFonts w:ascii="Calibri" w:eastAsia="Times New Roman" w:hAnsi="Calibri" w:cs="Times New Roman"/>
                <w:bCs/>
                <w:color w:val="000000"/>
                <w:lang w:eastAsia="cs-CZ"/>
              </w:rPr>
              <w:t>Počet EAO celkem</w:t>
            </w:r>
          </w:p>
        </w:tc>
        <w:tc>
          <w:tcPr>
            <w:tcW w:w="776" w:type="pct"/>
            <w:tcBorders>
              <w:top w:val="single" w:sz="12" w:space="0" w:color="auto"/>
              <w:bottom w:val="single" w:sz="12" w:space="0" w:color="auto"/>
            </w:tcBorders>
            <w:shd w:val="clear" w:color="auto" w:fill="auto"/>
            <w:noWrap/>
            <w:vAlign w:val="center"/>
          </w:tcPr>
          <w:p w14:paraId="4A0A0B64" w14:textId="7C276EF2" w:rsidR="00FB03F3" w:rsidRPr="00570286" w:rsidRDefault="00245283" w:rsidP="000A2FCE">
            <w:pPr>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192</w:t>
            </w:r>
          </w:p>
        </w:tc>
        <w:tc>
          <w:tcPr>
            <w:tcW w:w="776" w:type="pct"/>
            <w:tcBorders>
              <w:top w:val="single" w:sz="12" w:space="0" w:color="auto"/>
              <w:right w:val="single" w:sz="18" w:space="0" w:color="auto"/>
            </w:tcBorders>
            <w:shd w:val="clear" w:color="auto" w:fill="auto"/>
            <w:vAlign w:val="center"/>
          </w:tcPr>
          <w:p w14:paraId="7E63DBFB" w14:textId="1D8A149E" w:rsidR="00FB03F3" w:rsidRPr="00570286" w:rsidRDefault="00245283" w:rsidP="000A2FCE">
            <w:pPr>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224</w:t>
            </w:r>
          </w:p>
        </w:tc>
      </w:tr>
      <w:tr w:rsidR="00FB03F3" w:rsidRPr="00570286" w14:paraId="3E33FA81" w14:textId="77777777" w:rsidTr="000A2FCE">
        <w:trPr>
          <w:trHeight w:val="38"/>
          <w:jc w:val="center"/>
        </w:trPr>
        <w:tc>
          <w:tcPr>
            <w:tcW w:w="3448" w:type="pct"/>
            <w:tcBorders>
              <w:top w:val="single" w:sz="12" w:space="0" w:color="auto"/>
            </w:tcBorders>
            <w:shd w:val="clear" w:color="auto" w:fill="D9D9D9" w:themeFill="background1" w:themeFillShade="D9"/>
            <w:noWrap/>
            <w:vAlign w:val="center"/>
          </w:tcPr>
          <w:p w14:paraId="5BB44EC2" w14:textId="77777777" w:rsidR="00FB03F3" w:rsidRPr="00657699" w:rsidRDefault="00FB03F3" w:rsidP="000A2FCE">
            <w:pPr>
              <w:rPr>
                <w:rFonts w:ascii="Calibri" w:eastAsia="Times New Roman" w:hAnsi="Calibri" w:cs="Times New Roman"/>
                <w:bCs/>
                <w:color w:val="000000"/>
                <w:lang w:eastAsia="cs-CZ"/>
              </w:rPr>
            </w:pPr>
            <w:r w:rsidRPr="00657699">
              <w:rPr>
                <w:rFonts w:ascii="Calibri" w:eastAsia="Times New Roman" w:hAnsi="Calibri" w:cs="Times New Roman"/>
                <w:bCs/>
                <w:color w:val="000000"/>
                <w:lang w:eastAsia="cs-CZ"/>
              </w:rPr>
              <w:t>Počet EAO vyjíždějících do zaměstnání mimo území obce</w:t>
            </w:r>
          </w:p>
        </w:tc>
        <w:tc>
          <w:tcPr>
            <w:tcW w:w="776" w:type="pct"/>
            <w:tcBorders>
              <w:top w:val="single" w:sz="12" w:space="0" w:color="auto"/>
              <w:bottom w:val="single" w:sz="8" w:space="0" w:color="auto"/>
            </w:tcBorders>
            <w:shd w:val="clear" w:color="auto" w:fill="auto"/>
            <w:noWrap/>
            <w:vAlign w:val="center"/>
          </w:tcPr>
          <w:p w14:paraId="2F3E5FC4" w14:textId="528533FE" w:rsidR="00FB03F3" w:rsidRPr="00570286" w:rsidRDefault="00245283" w:rsidP="000A2FCE">
            <w:pPr>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137</w:t>
            </w:r>
          </w:p>
        </w:tc>
        <w:tc>
          <w:tcPr>
            <w:tcW w:w="776" w:type="pct"/>
            <w:tcBorders>
              <w:top w:val="single" w:sz="12" w:space="0" w:color="auto"/>
              <w:bottom w:val="single" w:sz="8" w:space="0" w:color="auto"/>
              <w:right w:val="single" w:sz="18" w:space="0" w:color="auto"/>
            </w:tcBorders>
            <w:shd w:val="clear" w:color="auto" w:fill="auto"/>
            <w:vAlign w:val="center"/>
          </w:tcPr>
          <w:p w14:paraId="06EC9C47" w14:textId="395D6E53" w:rsidR="00FB03F3" w:rsidRPr="00570286" w:rsidRDefault="00245283" w:rsidP="000A2FCE">
            <w:pPr>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97</w:t>
            </w:r>
          </w:p>
        </w:tc>
      </w:tr>
      <w:tr w:rsidR="00FB03F3" w:rsidRPr="00570286" w14:paraId="7661A9D7" w14:textId="77777777" w:rsidTr="00245283">
        <w:trPr>
          <w:trHeight w:val="38"/>
          <w:jc w:val="center"/>
        </w:trPr>
        <w:tc>
          <w:tcPr>
            <w:tcW w:w="5000" w:type="pct"/>
            <w:gridSpan w:val="3"/>
            <w:tcBorders>
              <w:top w:val="single" w:sz="12" w:space="0" w:color="auto"/>
              <w:right w:val="single" w:sz="18" w:space="0" w:color="auto"/>
            </w:tcBorders>
            <w:shd w:val="clear" w:color="auto" w:fill="FFC000"/>
            <w:noWrap/>
            <w:vAlign w:val="center"/>
          </w:tcPr>
          <w:p w14:paraId="6B1DEEDE" w14:textId="77777777" w:rsidR="00FB03F3" w:rsidRDefault="00FB03F3" w:rsidP="000A2FCE">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z toho</w:t>
            </w:r>
          </w:p>
        </w:tc>
      </w:tr>
      <w:tr w:rsidR="00FB03F3" w:rsidRPr="00570286" w14:paraId="5E3301CD" w14:textId="77777777" w:rsidTr="000A2FCE">
        <w:trPr>
          <w:trHeight w:val="38"/>
          <w:jc w:val="center"/>
        </w:trPr>
        <w:tc>
          <w:tcPr>
            <w:tcW w:w="3448" w:type="pct"/>
            <w:tcBorders>
              <w:top w:val="single" w:sz="12" w:space="0" w:color="auto"/>
            </w:tcBorders>
            <w:shd w:val="clear" w:color="auto" w:fill="D9D9D9" w:themeFill="background1" w:themeFillShade="D9"/>
            <w:noWrap/>
            <w:vAlign w:val="center"/>
            <w:hideMark/>
          </w:tcPr>
          <w:p w14:paraId="1BBD8C3A" w14:textId="77777777" w:rsidR="00FB03F3" w:rsidRPr="00657699" w:rsidRDefault="00FB03F3" w:rsidP="000A2FCE">
            <w:pPr>
              <w:rPr>
                <w:rFonts w:ascii="Calibri" w:eastAsia="Times New Roman" w:hAnsi="Calibri" w:cs="Times New Roman"/>
                <w:bCs/>
                <w:color w:val="000000"/>
                <w:lang w:eastAsia="cs-CZ"/>
              </w:rPr>
            </w:pPr>
            <w:r w:rsidRPr="00657699">
              <w:rPr>
                <w:rFonts w:ascii="Calibri" w:eastAsia="Times New Roman" w:hAnsi="Calibri" w:cs="Times New Roman"/>
                <w:bCs/>
                <w:color w:val="000000"/>
                <w:lang w:eastAsia="cs-CZ"/>
              </w:rPr>
              <w:t>Vyjíždějící EAO v rámci okresu</w:t>
            </w:r>
          </w:p>
        </w:tc>
        <w:tc>
          <w:tcPr>
            <w:tcW w:w="776" w:type="pct"/>
            <w:tcBorders>
              <w:top w:val="single" w:sz="12" w:space="0" w:color="auto"/>
              <w:bottom w:val="single" w:sz="8" w:space="0" w:color="auto"/>
            </w:tcBorders>
            <w:shd w:val="clear" w:color="auto" w:fill="auto"/>
            <w:noWrap/>
            <w:vAlign w:val="center"/>
          </w:tcPr>
          <w:p w14:paraId="51B94EEE" w14:textId="0F8D0233" w:rsidR="00FB03F3" w:rsidRPr="00570286" w:rsidRDefault="00245283" w:rsidP="000A2FCE">
            <w:pPr>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128</w:t>
            </w:r>
          </w:p>
        </w:tc>
        <w:tc>
          <w:tcPr>
            <w:tcW w:w="776" w:type="pct"/>
            <w:tcBorders>
              <w:top w:val="single" w:sz="12" w:space="0" w:color="auto"/>
              <w:bottom w:val="single" w:sz="8" w:space="0" w:color="auto"/>
              <w:right w:val="single" w:sz="18" w:space="0" w:color="auto"/>
            </w:tcBorders>
            <w:shd w:val="clear" w:color="auto" w:fill="auto"/>
            <w:vAlign w:val="center"/>
          </w:tcPr>
          <w:p w14:paraId="4D15F3B3" w14:textId="2B72888B" w:rsidR="00FB03F3" w:rsidRPr="00570286" w:rsidRDefault="00245283" w:rsidP="000A2FCE">
            <w:pPr>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87</w:t>
            </w:r>
          </w:p>
        </w:tc>
      </w:tr>
      <w:tr w:rsidR="00FB03F3" w:rsidRPr="00570286" w14:paraId="13A83394" w14:textId="77777777" w:rsidTr="000A2FCE">
        <w:trPr>
          <w:trHeight w:val="112"/>
          <w:jc w:val="center"/>
        </w:trPr>
        <w:tc>
          <w:tcPr>
            <w:tcW w:w="3448" w:type="pct"/>
            <w:shd w:val="clear" w:color="auto" w:fill="D9D9D9" w:themeFill="background1" w:themeFillShade="D9"/>
            <w:noWrap/>
            <w:vAlign w:val="center"/>
            <w:hideMark/>
          </w:tcPr>
          <w:p w14:paraId="65D90544" w14:textId="77777777" w:rsidR="00FB03F3" w:rsidRPr="00657699" w:rsidRDefault="00FB03F3" w:rsidP="000A2FCE">
            <w:pPr>
              <w:rPr>
                <w:rFonts w:ascii="Calibri" w:eastAsia="Times New Roman" w:hAnsi="Calibri" w:cs="Times New Roman"/>
                <w:bCs/>
                <w:color w:val="000000"/>
                <w:lang w:eastAsia="cs-CZ"/>
              </w:rPr>
            </w:pPr>
            <w:r w:rsidRPr="00657699">
              <w:rPr>
                <w:rFonts w:ascii="Calibri" w:eastAsia="Times New Roman" w:hAnsi="Calibri" w:cs="Times New Roman"/>
                <w:bCs/>
                <w:color w:val="000000"/>
                <w:lang w:eastAsia="cs-CZ"/>
              </w:rPr>
              <w:t>Vyjíždějící EAO</w:t>
            </w:r>
            <w:r>
              <w:rPr>
                <w:rFonts w:ascii="Calibri" w:eastAsia="Times New Roman" w:hAnsi="Calibri" w:cs="Times New Roman"/>
                <w:bCs/>
                <w:color w:val="000000"/>
                <w:lang w:eastAsia="cs-CZ"/>
              </w:rPr>
              <w:t xml:space="preserve"> </w:t>
            </w:r>
            <w:r w:rsidRPr="00657699">
              <w:rPr>
                <w:rFonts w:ascii="Calibri" w:eastAsia="Times New Roman" w:hAnsi="Calibri" w:cs="Times New Roman"/>
                <w:bCs/>
                <w:color w:val="000000"/>
                <w:lang w:eastAsia="cs-CZ"/>
              </w:rPr>
              <w:t>do zaměstnání mimo území obce (v %)</w:t>
            </w:r>
          </w:p>
        </w:tc>
        <w:tc>
          <w:tcPr>
            <w:tcW w:w="776" w:type="pct"/>
            <w:tcBorders>
              <w:top w:val="single" w:sz="8" w:space="0" w:color="auto"/>
              <w:bottom w:val="single" w:sz="8" w:space="0" w:color="auto"/>
            </w:tcBorders>
            <w:shd w:val="clear" w:color="auto" w:fill="auto"/>
            <w:noWrap/>
            <w:vAlign w:val="center"/>
          </w:tcPr>
          <w:p w14:paraId="51ABDBD7" w14:textId="1696346A" w:rsidR="00FB03F3" w:rsidRPr="00570286" w:rsidRDefault="00742CC8" w:rsidP="000A2FCE">
            <w:pPr>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7</w:t>
            </w:r>
            <w:r w:rsidR="00245283">
              <w:rPr>
                <w:rFonts w:ascii="Calibri" w:eastAsia="Times New Roman" w:hAnsi="Calibri" w:cs="Times New Roman"/>
                <w:color w:val="000000"/>
                <w:lang w:eastAsia="cs-CZ"/>
              </w:rPr>
              <w:t>1</w:t>
            </w:r>
          </w:p>
        </w:tc>
        <w:tc>
          <w:tcPr>
            <w:tcW w:w="776" w:type="pct"/>
            <w:tcBorders>
              <w:top w:val="single" w:sz="8" w:space="0" w:color="auto"/>
              <w:bottom w:val="single" w:sz="8" w:space="0" w:color="auto"/>
              <w:right w:val="single" w:sz="18" w:space="0" w:color="auto"/>
            </w:tcBorders>
            <w:shd w:val="clear" w:color="auto" w:fill="auto"/>
            <w:vAlign w:val="center"/>
          </w:tcPr>
          <w:p w14:paraId="491DB4A7" w14:textId="69E64056" w:rsidR="00FB03F3" w:rsidRPr="00570286" w:rsidRDefault="00245283" w:rsidP="000A2FCE">
            <w:pPr>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43</w:t>
            </w:r>
          </w:p>
        </w:tc>
      </w:tr>
      <w:tr w:rsidR="00FB03F3" w:rsidRPr="00570286" w14:paraId="07866971" w14:textId="77777777" w:rsidTr="000A2FCE">
        <w:trPr>
          <w:trHeight w:val="48"/>
          <w:jc w:val="center"/>
        </w:trPr>
        <w:tc>
          <w:tcPr>
            <w:tcW w:w="3448" w:type="pct"/>
            <w:tcBorders>
              <w:bottom w:val="single" w:sz="18" w:space="0" w:color="auto"/>
            </w:tcBorders>
            <w:shd w:val="clear" w:color="auto" w:fill="D9D9D9" w:themeFill="background1" w:themeFillShade="D9"/>
            <w:noWrap/>
            <w:vAlign w:val="center"/>
          </w:tcPr>
          <w:p w14:paraId="36CF5E20" w14:textId="77777777" w:rsidR="00FB03F3" w:rsidRPr="00657699" w:rsidRDefault="00FB03F3" w:rsidP="000A2FCE">
            <w:pPr>
              <w:rPr>
                <w:rFonts w:ascii="Calibri" w:eastAsia="Times New Roman" w:hAnsi="Calibri" w:cs="Times New Roman"/>
                <w:bCs/>
                <w:color w:val="000000"/>
                <w:lang w:eastAsia="cs-CZ"/>
              </w:rPr>
            </w:pPr>
            <w:r w:rsidRPr="00657699">
              <w:rPr>
                <w:rFonts w:ascii="Calibri" w:eastAsia="Times New Roman" w:hAnsi="Calibri" w:cs="Times New Roman"/>
                <w:bCs/>
                <w:color w:val="000000"/>
                <w:lang w:eastAsia="cs-CZ"/>
              </w:rPr>
              <w:t>Vyjíždějící EAO v rámci okresu (v %)</w:t>
            </w:r>
          </w:p>
        </w:tc>
        <w:tc>
          <w:tcPr>
            <w:tcW w:w="776" w:type="pct"/>
            <w:tcBorders>
              <w:top w:val="single" w:sz="8" w:space="0" w:color="auto"/>
              <w:bottom w:val="single" w:sz="18" w:space="0" w:color="auto"/>
            </w:tcBorders>
            <w:shd w:val="clear" w:color="auto" w:fill="auto"/>
            <w:noWrap/>
            <w:vAlign w:val="center"/>
          </w:tcPr>
          <w:p w14:paraId="4C5AD5A7" w14:textId="366B9961" w:rsidR="00FB03F3" w:rsidRPr="00570286" w:rsidRDefault="00245283" w:rsidP="000A2FCE">
            <w:pPr>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93</w:t>
            </w:r>
          </w:p>
        </w:tc>
        <w:tc>
          <w:tcPr>
            <w:tcW w:w="776" w:type="pct"/>
            <w:tcBorders>
              <w:top w:val="single" w:sz="8" w:space="0" w:color="auto"/>
              <w:bottom w:val="single" w:sz="18" w:space="0" w:color="auto"/>
              <w:right w:val="single" w:sz="18" w:space="0" w:color="auto"/>
            </w:tcBorders>
            <w:shd w:val="clear" w:color="auto" w:fill="auto"/>
            <w:vAlign w:val="center"/>
          </w:tcPr>
          <w:p w14:paraId="53C35450" w14:textId="79320984" w:rsidR="00FB03F3" w:rsidRPr="00570286" w:rsidRDefault="00245283" w:rsidP="000A2FCE">
            <w:pPr>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90</w:t>
            </w:r>
          </w:p>
        </w:tc>
      </w:tr>
    </w:tbl>
    <w:p w14:paraId="4A87C880" w14:textId="77777777" w:rsidR="00FB03F3" w:rsidRDefault="00FB03F3" w:rsidP="00FB03F3">
      <w:pPr>
        <w:contextualSpacing/>
        <w:jc w:val="both"/>
        <w:rPr>
          <w:sz w:val="20"/>
          <w:szCs w:val="20"/>
        </w:rPr>
      </w:pPr>
      <w:r w:rsidRPr="006A5976">
        <w:rPr>
          <w:b/>
          <w:sz w:val="20"/>
          <w:szCs w:val="20"/>
        </w:rPr>
        <w:t>Zdroj</w:t>
      </w:r>
      <w:r>
        <w:rPr>
          <w:b/>
          <w:sz w:val="20"/>
          <w:szCs w:val="20"/>
        </w:rPr>
        <w:t>e</w:t>
      </w:r>
      <w:r w:rsidRPr="006A5976">
        <w:rPr>
          <w:b/>
          <w:sz w:val="20"/>
          <w:szCs w:val="20"/>
        </w:rPr>
        <w:t>:</w:t>
      </w:r>
      <w:r w:rsidRPr="006A5976">
        <w:rPr>
          <w:sz w:val="20"/>
          <w:szCs w:val="20"/>
        </w:rPr>
        <w:t xml:space="preserve"> </w:t>
      </w:r>
      <w:r w:rsidRPr="0074351D">
        <w:rPr>
          <w:rFonts w:eastAsia="RWXLTG+TimesNewRoman" w:cs="RWXLTG+TimesNewRoman"/>
          <w:color w:val="000000"/>
          <w:sz w:val="20"/>
          <w:szCs w:val="20"/>
        </w:rPr>
        <w:t xml:space="preserve">Sčítání lidu, domů a bytů </w:t>
      </w:r>
      <w:r w:rsidRPr="002808C1">
        <w:rPr>
          <w:rFonts w:eastAsia="RWXLTG+TimesNewRoman" w:cs="RWXLTG+TimesNewRoman"/>
          <w:color w:val="000000"/>
          <w:sz w:val="20"/>
          <w:szCs w:val="20"/>
        </w:rPr>
        <w:t xml:space="preserve">2001, </w:t>
      </w:r>
      <w:hyperlink r:id="rId70" w:history="1">
        <w:r w:rsidRPr="00307535">
          <w:rPr>
            <w:rStyle w:val="Hypertextovodkaz"/>
            <w:sz w:val="20"/>
            <w:szCs w:val="20"/>
          </w:rPr>
          <w:t>https://www.czso.cz/staticke/sldb/sldb2001.nsf/index</w:t>
        </w:r>
      </w:hyperlink>
    </w:p>
    <w:p w14:paraId="5623B608" w14:textId="77777777" w:rsidR="00FB03F3" w:rsidRPr="00EB7FB6" w:rsidRDefault="00FB03F3" w:rsidP="00FB03F3">
      <w:pPr>
        <w:contextualSpacing/>
        <w:jc w:val="both"/>
      </w:pPr>
      <w:r>
        <w:rPr>
          <w:rFonts w:eastAsia="RWXLTG+TimesNewRoman" w:cs="RWXLTG+TimesNewRoman"/>
          <w:color w:val="000000"/>
          <w:sz w:val="20"/>
          <w:szCs w:val="20"/>
        </w:rPr>
        <w:t xml:space="preserve">              Sčítání lidu, domů a bytů </w:t>
      </w:r>
      <w:r w:rsidRPr="002808C1">
        <w:rPr>
          <w:rFonts w:eastAsia="RWXLTG+TimesNewRoman" w:cs="RWXLTG+TimesNewRoman"/>
          <w:color w:val="000000"/>
          <w:sz w:val="20"/>
          <w:szCs w:val="20"/>
        </w:rPr>
        <w:t xml:space="preserve">2011, </w:t>
      </w:r>
      <w:hyperlink r:id="rId71" w:history="1">
        <w:r w:rsidRPr="00740CD5">
          <w:rPr>
            <w:rStyle w:val="Hypertextovodkaz"/>
            <w:sz w:val="20"/>
            <w:szCs w:val="20"/>
          </w:rPr>
          <w:t>https://www.czso.cz/csu/czso/scitani-lidu-domu-a-bytu</w:t>
        </w:r>
      </w:hyperlink>
    </w:p>
    <w:p w14:paraId="330B4173" w14:textId="77777777" w:rsidR="00FB03F3" w:rsidRDefault="00FB03F3" w:rsidP="00FB03F3">
      <w:pPr>
        <w:spacing w:after="160" w:line="259" w:lineRule="auto"/>
        <w:jc w:val="both"/>
      </w:pPr>
    </w:p>
    <w:p w14:paraId="51DAABDF" w14:textId="2EDA38DF" w:rsidR="00FB03F3" w:rsidRDefault="00FB03F3" w:rsidP="00FB03F3">
      <w:pPr>
        <w:spacing w:after="160" w:line="259" w:lineRule="auto"/>
        <w:jc w:val="both"/>
      </w:pPr>
      <w:r>
        <w:t xml:space="preserve">Z tabulky </w:t>
      </w:r>
      <w:r w:rsidR="00245283">
        <w:t>10</w:t>
      </w:r>
      <w:r>
        <w:t xml:space="preserve"> vyplývá, že </w:t>
      </w:r>
      <w:r w:rsidRPr="00FF5424">
        <w:rPr>
          <w:b/>
        </w:rPr>
        <w:t xml:space="preserve">mezi lety 2001 a 2011 výrazně klesl podíl EAO, kteří vyjíždějí za prací mimo území </w:t>
      </w:r>
      <w:r>
        <w:rPr>
          <w:b/>
        </w:rPr>
        <w:t>obce</w:t>
      </w:r>
      <w:r>
        <w:t xml:space="preserve">. </w:t>
      </w:r>
    </w:p>
    <w:p w14:paraId="17B3A9B5" w14:textId="0C0EF5D0" w:rsidR="008147E6" w:rsidRDefault="00FB03F3" w:rsidP="00FB03F3">
      <w:pPr>
        <w:spacing w:after="160" w:line="259" w:lineRule="auto"/>
        <w:jc w:val="both"/>
      </w:pPr>
      <w:r w:rsidRPr="00FF5424">
        <w:rPr>
          <w:b/>
        </w:rPr>
        <w:t>Mezi lety 2001 a 2011</w:t>
      </w:r>
      <w:r>
        <w:t xml:space="preserve"> </w:t>
      </w:r>
      <w:r w:rsidR="00E54EE2">
        <w:t>zůstal</w:t>
      </w:r>
      <w:r>
        <w:t xml:space="preserve"> podíl EAO vyjíždějících do zaměstnání v rámci okresu</w:t>
      </w:r>
      <w:r w:rsidR="00E54EE2">
        <w:t xml:space="preserve"> velmi podobný</w:t>
      </w:r>
      <w:r>
        <w:t xml:space="preserve">. </w:t>
      </w:r>
      <w:r w:rsidR="00742CC8">
        <w:t>Přesto téměř 90 % EAO</w:t>
      </w:r>
      <w:r>
        <w:t xml:space="preserve">, kteří vyjíždějí do zaměstnání mimo území obce, byla zaměstnána v území okresu </w:t>
      </w:r>
      <w:r w:rsidR="00245283">
        <w:t>Trutnov</w:t>
      </w:r>
      <w:r>
        <w:t>.</w:t>
      </w:r>
    </w:p>
    <w:p w14:paraId="3A01721B" w14:textId="77777777" w:rsidR="008147E6" w:rsidRDefault="008147E6" w:rsidP="001D2273">
      <w:pPr>
        <w:pStyle w:val="Nadpis4"/>
      </w:pPr>
      <w:bookmarkStart w:id="186" w:name="_Toc413418366"/>
      <w:bookmarkStart w:id="187" w:name="_Toc440566345"/>
      <w:bookmarkStart w:id="188" w:name="_Toc32580117"/>
      <w:bookmarkStart w:id="189" w:name="_Toc120652142"/>
      <w:r>
        <w:lastRenderedPageBreak/>
        <w:t>2.1.3.3 Cestovní ruch</w:t>
      </w:r>
      <w:bookmarkEnd w:id="186"/>
      <w:bookmarkEnd w:id="187"/>
      <w:bookmarkEnd w:id="188"/>
      <w:bookmarkEnd w:id="189"/>
    </w:p>
    <w:p w14:paraId="67577FD9" w14:textId="300BE0FB" w:rsidR="00464EA8" w:rsidRDefault="00464EA8" w:rsidP="00F75310">
      <w:pPr>
        <w:spacing w:after="160" w:line="259" w:lineRule="auto"/>
        <w:jc w:val="both"/>
      </w:pPr>
      <w:r w:rsidRPr="00844C0B">
        <w:rPr>
          <w:u w:val="single"/>
        </w:rPr>
        <w:t>Atraktivity cestovního ruchu</w:t>
      </w:r>
    </w:p>
    <w:p w14:paraId="4BFCB152" w14:textId="17BD2A36" w:rsidR="004A3C4C" w:rsidRDefault="004A3C4C" w:rsidP="004A3C4C">
      <w:pPr>
        <w:spacing w:after="160" w:line="259" w:lineRule="auto"/>
        <w:jc w:val="both"/>
      </w:pPr>
      <w:r>
        <w:t xml:space="preserve">Obec Staré Buky disponuje </w:t>
      </w:r>
      <w:r w:rsidRPr="00A17FF3">
        <w:rPr>
          <w:b/>
        </w:rPr>
        <w:t>atraktivním přírodním prostředím</w:t>
      </w:r>
      <w:r>
        <w:rPr>
          <w:b/>
        </w:rPr>
        <w:t xml:space="preserve"> </w:t>
      </w:r>
      <w:r w:rsidRPr="00CC4E76">
        <w:t xml:space="preserve">jak na území </w:t>
      </w:r>
      <w:r>
        <w:t>obce samotné,</w:t>
      </w:r>
      <w:r w:rsidRPr="00CC4E76">
        <w:t xml:space="preserve"> tak v </w:t>
      </w:r>
      <w:r>
        <w:t>jejím</w:t>
      </w:r>
      <w:r w:rsidRPr="00CC4E76">
        <w:t xml:space="preserve"> blízkém okolí, které může být cílem řady pěších turistů či cyklistů</w:t>
      </w:r>
      <w:r w:rsidRPr="00632510">
        <w:t xml:space="preserve"> </w:t>
      </w:r>
      <w:r>
        <w:t>a v zimním období i běžkařů.</w:t>
      </w:r>
    </w:p>
    <w:p w14:paraId="0545FF40" w14:textId="06650AB4" w:rsidR="006976B0" w:rsidRDefault="004A3C4C" w:rsidP="004A3C4C">
      <w:pPr>
        <w:spacing w:after="160" w:line="259" w:lineRule="auto"/>
        <w:jc w:val="both"/>
      </w:pPr>
      <w:r>
        <w:t xml:space="preserve">Na území obce lze obdivovat </w:t>
      </w:r>
      <w:r>
        <w:rPr>
          <w:b/>
        </w:rPr>
        <w:t>některé</w:t>
      </w:r>
      <w:r w:rsidRPr="00A17FF3">
        <w:rPr>
          <w:b/>
        </w:rPr>
        <w:t xml:space="preserve"> kulturn</w:t>
      </w:r>
      <w:r>
        <w:rPr>
          <w:b/>
        </w:rPr>
        <w:t xml:space="preserve">ě-historické </w:t>
      </w:r>
      <w:r w:rsidRPr="00A17FF3">
        <w:rPr>
          <w:b/>
        </w:rPr>
        <w:t>zajímavost</w:t>
      </w:r>
      <w:r>
        <w:rPr>
          <w:b/>
        </w:rPr>
        <w:t>i</w:t>
      </w:r>
      <w:r>
        <w:t xml:space="preserve"> (</w:t>
      </w:r>
      <w:r w:rsidRPr="004A3C4C">
        <w:t xml:space="preserve">např. </w:t>
      </w:r>
      <w:r>
        <w:t>k</w:t>
      </w:r>
      <w:r w:rsidRPr="004A3C4C">
        <w:t>ostel sv. Anny</w:t>
      </w:r>
      <w:r>
        <w:t>, p</w:t>
      </w:r>
      <w:r w:rsidRPr="004A3C4C">
        <w:t xml:space="preserve">omník obětem </w:t>
      </w:r>
      <w:r w:rsidR="00E64872">
        <w:t>2</w:t>
      </w:r>
      <w:r w:rsidRPr="004A3C4C">
        <w:t>. světové války</w:t>
      </w:r>
      <w:r>
        <w:t>, sochu sv. Jana Nepomuckého).</w:t>
      </w:r>
    </w:p>
    <w:p w14:paraId="1A97FC8D" w14:textId="01894351" w:rsidR="00582A3F" w:rsidRDefault="008E6200" w:rsidP="00582A3F">
      <w:pPr>
        <w:spacing w:after="160" w:line="259" w:lineRule="auto"/>
        <w:jc w:val="both"/>
        <w:rPr>
          <w:b/>
          <w:bCs/>
        </w:rPr>
      </w:pPr>
      <w:r>
        <w:t>Dále nelze opomenout ani různé kulturně-společenské akce, které jsou v obci pořádány (viz kap. 2.1.2.3 Život v</w:t>
      </w:r>
      <w:r w:rsidR="006976B0">
        <w:t> </w:t>
      </w:r>
      <w:r>
        <w:t>obci</w:t>
      </w:r>
      <w:r w:rsidR="006976B0">
        <w:t xml:space="preserve"> – </w:t>
      </w:r>
      <w:r w:rsidR="006976B0" w:rsidRPr="006976B0">
        <w:t>Akce a události pořádané v obci</w:t>
      </w:r>
      <w:r>
        <w:t>).</w:t>
      </w:r>
    </w:p>
    <w:p w14:paraId="0E63C98C" w14:textId="77777777" w:rsidR="00464EA8" w:rsidRDefault="00464EA8" w:rsidP="00F75310">
      <w:pPr>
        <w:spacing w:line="360" w:lineRule="auto"/>
        <w:jc w:val="both"/>
        <w:rPr>
          <w:u w:val="single"/>
        </w:rPr>
      </w:pPr>
    </w:p>
    <w:p w14:paraId="4A1CE13D" w14:textId="3FBE9B97" w:rsidR="00F75310" w:rsidRPr="001411AC" w:rsidRDefault="00F75310" w:rsidP="00F75310">
      <w:pPr>
        <w:spacing w:line="360" w:lineRule="auto"/>
        <w:jc w:val="both"/>
        <w:rPr>
          <w:u w:val="single"/>
        </w:rPr>
      </w:pPr>
      <w:r w:rsidRPr="001411AC">
        <w:rPr>
          <w:u w:val="single"/>
        </w:rPr>
        <w:t>Turistická infrastruktura</w:t>
      </w:r>
    </w:p>
    <w:p w14:paraId="50F9C99C" w14:textId="689B4C12" w:rsidR="00F75310" w:rsidRDefault="00F75310" w:rsidP="00F75310">
      <w:pPr>
        <w:spacing w:after="160" w:line="259" w:lineRule="auto"/>
        <w:jc w:val="both"/>
      </w:pPr>
      <w:r>
        <w:t xml:space="preserve">Aby se cestovní ruch mohl dostatečně rozvíjet, je potřeba mít zajištěnu adekvátní infrastrukturu související s cestovním ruchem. Jedná se především o ubytovací a stravovací kapacity. Přehled ubytovacích kapacit </w:t>
      </w:r>
      <w:r w:rsidR="008E6200">
        <w:t xml:space="preserve">na </w:t>
      </w:r>
      <w:r>
        <w:t xml:space="preserve">území obce </w:t>
      </w:r>
      <w:r w:rsidR="003A6676">
        <w:t>Staré Buky</w:t>
      </w:r>
      <w:r w:rsidRPr="00073E04">
        <w:t xml:space="preserve"> shrnuj</w:t>
      </w:r>
      <w:r w:rsidR="00226FDC">
        <w:t>e</w:t>
      </w:r>
      <w:r>
        <w:t xml:space="preserve"> </w:t>
      </w:r>
      <w:r w:rsidRPr="00073E04">
        <w:t>tabulk</w:t>
      </w:r>
      <w:r w:rsidR="00226FDC">
        <w:t xml:space="preserve">a </w:t>
      </w:r>
      <w:r w:rsidR="003A6676">
        <w:t>11</w:t>
      </w:r>
      <w:r w:rsidR="006F00AC">
        <w:t>.</w:t>
      </w:r>
    </w:p>
    <w:p w14:paraId="19B84775" w14:textId="77777777" w:rsidR="00F75310" w:rsidRDefault="00F75310" w:rsidP="00F75310">
      <w:pPr>
        <w:spacing w:after="160" w:line="259" w:lineRule="auto"/>
        <w:jc w:val="both"/>
      </w:pPr>
    </w:p>
    <w:p w14:paraId="4D9A088D" w14:textId="64CFBCF2" w:rsidR="00F75310" w:rsidRPr="006F00AC" w:rsidRDefault="00F75310" w:rsidP="006F00AC">
      <w:pPr>
        <w:pStyle w:val="TABULKA0"/>
      </w:pPr>
      <w:bookmarkStart w:id="190" w:name="_Toc441221915"/>
      <w:bookmarkStart w:id="191" w:name="_Toc32577788"/>
      <w:bookmarkStart w:id="192" w:name="_Toc120651933"/>
      <w:r w:rsidRPr="006F00AC">
        <w:t xml:space="preserve">Tabulka </w:t>
      </w:r>
      <w:r w:rsidR="00DA1623">
        <w:t>11</w:t>
      </w:r>
      <w:r w:rsidRPr="006F00AC">
        <w:t xml:space="preserve">: Ubytovací kapacity v obci </w:t>
      </w:r>
      <w:bookmarkEnd w:id="190"/>
      <w:r w:rsidR="003A6676">
        <w:t>Staré Buky</w:t>
      </w:r>
      <w:r w:rsidRPr="006F00AC">
        <w:t xml:space="preserve"> (</w:t>
      </w:r>
      <w:r w:rsidR="003A6676">
        <w:t>ke květnu 2022</w:t>
      </w:r>
      <w:r w:rsidRPr="006F00AC">
        <w:t>)</w:t>
      </w:r>
      <w:bookmarkEnd w:id="191"/>
      <w:bookmarkEnd w:id="192"/>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1631"/>
        <w:gridCol w:w="2550"/>
        <w:gridCol w:w="851"/>
        <w:gridCol w:w="4180"/>
      </w:tblGrid>
      <w:tr w:rsidR="00374E4D" w:rsidRPr="00C90BCF" w14:paraId="3C123C69" w14:textId="77777777" w:rsidTr="00DA1623">
        <w:trPr>
          <w:trHeight w:val="331"/>
          <w:jc w:val="center"/>
        </w:trPr>
        <w:tc>
          <w:tcPr>
            <w:tcW w:w="885" w:type="pct"/>
            <w:tcBorders>
              <w:top w:val="single" w:sz="18" w:space="0" w:color="auto"/>
              <w:bottom w:val="single" w:sz="12" w:space="0" w:color="auto"/>
            </w:tcBorders>
            <w:shd w:val="clear" w:color="auto" w:fill="FFC000"/>
            <w:noWrap/>
            <w:vAlign w:val="center"/>
            <w:hideMark/>
          </w:tcPr>
          <w:p w14:paraId="2946FA24" w14:textId="77777777" w:rsidR="00F75310" w:rsidRPr="00DA1623" w:rsidRDefault="00F75310" w:rsidP="003354DE">
            <w:pPr>
              <w:jc w:val="center"/>
              <w:rPr>
                <w:rFonts w:ascii="Calibri" w:eastAsia="Times New Roman" w:hAnsi="Calibri" w:cs="Times New Roman"/>
                <w:b/>
                <w:color w:val="000000"/>
                <w:sz w:val="18"/>
                <w:szCs w:val="18"/>
                <w:lang w:eastAsia="cs-CZ"/>
              </w:rPr>
            </w:pPr>
            <w:r w:rsidRPr="00DA1623">
              <w:rPr>
                <w:rFonts w:ascii="Calibri" w:eastAsia="Times New Roman" w:hAnsi="Calibri" w:cs="Times New Roman"/>
                <w:b/>
                <w:color w:val="000000"/>
                <w:sz w:val="18"/>
                <w:szCs w:val="18"/>
                <w:lang w:eastAsia="cs-CZ"/>
              </w:rPr>
              <w:t>Název ubytovacího zařízení</w:t>
            </w:r>
          </w:p>
        </w:tc>
        <w:tc>
          <w:tcPr>
            <w:tcW w:w="1384" w:type="pct"/>
            <w:tcBorders>
              <w:top w:val="single" w:sz="18" w:space="0" w:color="auto"/>
              <w:bottom w:val="single" w:sz="12" w:space="0" w:color="auto"/>
            </w:tcBorders>
            <w:shd w:val="clear" w:color="auto" w:fill="FFC000"/>
            <w:noWrap/>
            <w:vAlign w:val="center"/>
            <w:hideMark/>
          </w:tcPr>
          <w:p w14:paraId="22F706A7" w14:textId="77777777" w:rsidR="00F75310" w:rsidRPr="00DA1623" w:rsidRDefault="00F75310" w:rsidP="003354DE">
            <w:pPr>
              <w:jc w:val="center"/>
              <w:rPr>
                <w:rFonts w:ascii="Calibri" w:eastAsia="Times New Roman" w:hAnsi="Calibri" w:cs="Times New Roman"/>
                <w:b/>
                <w:color w:val="000000"/>
                <w:sz w:val="18"/>
                <w:szCs w:val="18"/>
                <w:lang w:eastAsia="cs-CZ"/>
              </w:rPr>
            </w:pPr>
            <w:r w:rsidRPr="00DA1623">
              <w:rPr>
                <w:rFonts w:ascii="Calibri" w:eastAsia="Times New Roman" w:hAnsi="Calibri" w:cs="Times New Roman"/>
                <w:b/>
                <w:color w:val="000000"/>
                <w:sz w:val="18"/>
                <w:szCs w:val="18"/>
                <w:lang w:eastAsia="cs-CZ"/>
              </w:rPr>
              <w:t>Adresa</w:t>
            </w:r>
          </w:p>
        </w:tc>
        <w:tc>
          <w:tcPr>
            <w:tcW w:w="462" w:type="pct"/>
            <w:tcBorders>
              <w:top w:val="single" w:sz="18" w:space="0" w:color="auto"/>
              <w:bottom w:val="single" w:sz="12" w:space="0" w:color="auto"/>
            </w:tcBorders>
            <w:shd w:val="clear" w:color="auto" w:fill="FFC000"/>
            <w:noWrap/>
            <w:vAlign w:val="center"/>
            <w:hideMark/>
          </w:tcPr>
          <w:p w14:paraId="79C70AC2" w14:textId="77777777" w:rsidR="00F75310" w:rsidRPr="00DA1623" w:rsidRDefault="00F75310" w:rsidP="003354DE">
            <w:pPr>
              <w:jc w:val="center"/>
              <w:rPr>
                <w:rFonts w:ascii="Calibri" w:eastAsia="Times New Roman" w:hAnsi="Calibri" w:cs="Times New Roman"/>
                <w:b/>
                <w:color w:val="000000"/>
                <w:sz w:val="18"/>
                <w:szCs w:val="18"/>
                <w:lang w:eastAsia="cs-CZ"/>
              </w:rPr>
            </w:pPr>
            <w:r w:rsidRPr="00DA1623">
              <w:rPr>
                <w:rFonts w:ascii="Calibri" w:eastAsia="Times New Roman" w:hAnsi="Calibri" w:cs="Times New Roman"/>
                <w:b/>
                <w:color w:val="000000"/>
                <w:sz w:val="18"/>
                <w:szCs w:val="18"/>
                <w:lang w:eastAsia="cs-CZ"/>
              </w:rPr>
              <w:t>Kapacita</w:t>
            </w:r>
          </w:p>
        </w:tc>
        <w:tc>
          <w:tcPr>
            <w:tcW w:w="2269" w:type="pct"/>
            <w:tcBorders>
              <w:top w:val="single" w:sz="18" w:space="0" w:color="auto"/>
              <w:bottom w:val="single" w:sz="12" w:space="0" w:color="auto"/>
            </w:tcBorders>
            <w:shd w:val="clear" w:color="auto" w:fill="FFC000"/>
            <w:noWrap/>
            <w:vAlign w:val="center"/>
            <w:hideMark/>
          </w:tcPr>
          <w:p w14:paraId="63F4A95D" w14:textId="77777777" w:rsidR="00F75310" w:rsidRPr="00DA1623" w:rsidRDefault="00F75310" w:rsidP="003354DE">
            <w:pPr>
              <w:jc w:val="center"/>
              <w:rPr>
                <w:rFonts w:ascii="Calibri" w:eastAsia="Times New Roman" w:hAnsi="Calibri" w:cs="Times New Roman"/>
                <w:b/>
                <w:color w:val="000000"/>
                <w:sz w:val="18"/>
                <w:szCs w:val="18"/>
                <w:lang w:eastAsia="cs-CZ"/>
              </w:rPr>
            </w:pPr>
            <w:r w:rsidRPr="00DA1623">
              <w:rPr>
                <w:rFonts w:ascii="Calibri" w:eastAsia="Times New Roman" w:hAnsi="Calibri" w:cs="Times New Roman"/>
                <w:b/>
                <w:color w:val="000000"/>
                <w:sz w:val="18"/>
                <w:szCs w:val="18"/>
                <w:lang w:eastAsia="cs-CZ"/>
              </w:rPr>
              <w:t>Internetové stránky</w:t>
            </w:r>
          </w:p>
        </w:tc>
      </w:tr>
      <w:tr w:rsidR="00DA1623" w:rsidRPr="00C90BCF" w14:paraId="4836ADB8" w14:textId="77777777" w:rsidTr="00DA1623">
        <w:trPr>
          <w:trHeight w:val="300"/>
          <w:jc w:val="center"/>
        </w:trPr>
        <w:tc>
          <w:tcPr>
            <w:tcW w:w="885" w:type="pct"/>
            <w:tcBorders>
              <w:top w:val="single" w:sz="12" w:space="0" w:color="auto"/>
              <w:bottom w:val="single" w:sz="6" w:space="0" w:color="auto"/>
            </w:tcBorders>
            <w:shd w:val="clear" w:color="auto" w:fill="D9D9D9" w:themeFill="background1" w:themeFillShade="D9"/>
            <w:noWrap/>
            <w:vAlign w:val="center"/>
          </w:tcPr>
          <w:p w14:paraId="253641DA" w14:textId="491AE232" w:rsidR="00DA1623" w:rsidRPr="00DA1623" w:rsidRDefault="00DA1623" w:rsidP="00DA1623">
            <w:pPr>
              <w:jc w:val="center"/>
              <w:rPr>
                <w:rFonts w:eastAsia="Times New Roman" w:cstheme="minorHAnsi"/>
                <w:color w:val="000000"/>
                <w:sz w:val="18"/>
                <w:szCs w:val="18"/>
                <w:lang w:eastAsia="cs-CZ"/>
              </w:rPr>
            </w:pPr>
            <w:bookmarkStart w:id="193" w:name="_Hlk120643626"/>
            <w:r w:rsidRPr="00DA1623">
              <w:rPr>
                <w:rFonts w:cstheme="minorHAnsi"/>
                <w:color w:val="000000"/>
                <w:sz w:val="18"/>
                <w:szCs w:val="18"/>
              </w:rPr>
              <w:t>Apartmán Staré Buky</w:t>
            </w:r>
            <w:bookmarkEnd w:id="193"/>
          </w:p>
        </w:tc>
        <w:tc>
          <w:tcPr>
            <w:tcW w:w="1384" w:type="pct"/>
            <w:tcBorders>
              <w:top w:val="single" w:sz="12" w:space="0" w:color="auto"/>
              <w:bottom w:val="single" w:sz="6" w:space="0" w:color="auto"/>
            </w:tcBorders>
            <w:shd w:val="clear" w:color="auto" w:fill="auto"/>
            <w:noWrap/>
            <w:vAlign w:val="center"/>
          </w:tcPr>
          <w:p w14:paraId="2D891047" w14:textId="109079B7"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Prostřední Staré Buky č. p. 56 541 01 Staré Buky</w:t>
            </w:r>
          </w:p>
        </w:tc>
        <w:tc>
          <w:tcPr>
            <w:tcW w:w="462" w:type="pct"/>
            <w:tcBorders>
              <w:top w:val="single" w:sz="12" w:space="0" w:color="auto"/>
              <w:bottom w:val="single" w:sz="6" w:space="0" w:color="auto"/>
            </w:tcBorders>
            <w:shd w:val="clear" w:color="auto" w:fill="auto"/>
            <w:noWrap/>
            <w:vAlign w:val="center"/>
          </w:tcPr>
          <w:p w14:paraId="7E424397" w14:textId="519C1760"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6</w:t>
            </w:r>
          </w:p>
        </w:tc>
        <w:bookmarkStart w:id="194" w:name="_Hlk120643634"/>
        <w:tc>
          <w:tcPr>
            <w:tcW w:w="2269" w:type="pct"/>
            <w:tcBorders>
              <w:top w:val="single" w:sz="12" w:space="0" w:color="auto"/>
              <w:bottom w:val="single" w:sz="6" w:space="0" w:color="auto"/>
            </w:tcBorders>
            <w:shd w:val="clear" w:color="auto" w:fill="auto"/>
            <w:noWrap/>
            <w:vAlign w:val="center"/>
          </w:tcPr>
          <w:p w14:paraId="4F27E2DA" w14:textId="6C398CB2" w:rsidR="00DA1623" w:rsidRPr="00DA1623" w:rsidRDefault="00000000" w:rsidP="00DA1623">
            <w:pPr>
              <w:jc w:val="center"/>
              <w:rPr>
                <w:rStyle w:val="Hypertextovodkaz"/>
                <w:rFonts w:eastAsia="Times New Roman" w:cstheme="minorHAnsi"/>
                <w:sz w:val="18"/>
                <w:szCs w:val="18"/>
                <w:lang w:eastAsia="cs-CZ"/>
              </w:rPr>
            </w:pPr>
            <w:r>
              <w:fldChar w:fldCharType="begin"/>
            </w:r>
            <w:r>
              <w:instrText>HYPERLINK "https://www.e-chalupy.cz/krkonose/ubytovani-prostredni-stare-buky-apartman-4766.php"</w:instrText>
            </w:r>
            <w:r>
              <w:fldChar w:fldCharType="separate"/>
            </w:r>
            <w:r w:rsidR="00DA1623" w:rsidRPr="00DA1623">
              <w:rPr>
                <w:rStyle w:val="Hypertextovodkaz"/>
                <w:rFonts w:cstheme="minorHAnsi"/>
                <w:sz w:val="18"/>
                <w:szCs w:val="18"/>
              </w:rPr>
              <w:t>https://www.e-chalupy.cz/krkonose/ubytovani-prostredni-stare-buky-apartman-4766.php</w:t>
            </w:r>
            <w:r>
              <w:rPr>
                <w:rStyle w:val="Hypertextovodkaz"/>
                <w:rFonts w:cstheme="minorHAnsi"/>
                <w:sz w:val="18"/>
                <w:szCs w:val="18"/>
              </w:rPr>
              <w:fldChar w:fldCharType="end"/>
            </w:r>
            <w:bookmarkEnd w:id="194"/>
          </w:p>
        </w:tc>
      </w:tr>
      <w:tr w:rsidR="00DA1623" w:rsidRPr="00C90BCF" w14:paraId="79519650" w14:textId="77777777" w:rsidTr="00DA1623">
        <w:trPr>
          <w:trHeight w:val="300"/>
          <w:jc w:val="center"/>
        </w:trPr>
        <w:tc>
          <w:tcPr>
            <w:tcW w:w="885" w:type="pct"/>
            <w:tcBorders>
              <w:top w:val="single" w:sz="6" w:space="0" w:color="auto"/>
              <w:bottom w:val="single" w:sz="6" w:space="0" w:color="auto"/>
            </w:tcBorders>
            <w:shd w:val="clear" w:color="auto" w:fill="D9D9D9" w:themeFill="background1" w:themeFillShade="D9"/>
            <w:noWrap/>
            <w:vAlign w:val="center"/>
          </w:tcPr>
          <w:p w14:paraId="1EEB1AF1" w14:textId="76D78C29" w:rsidR="00DA1623" w:rsidRPr="00DA1623" w:rsidRDefault="00DA1623" w:rsidP="00DA1623">
            <w:pPr>
              <w:jc w:val="center"/>
              <w:rPr>
                <w:rFonts w:eastAsia="Times New Roman" w:cstheme="minorHAnsi"/>
                <w:color w:val="000000"/>
                <w:sz w:val="18"/>
                <w:szCs w:val="18"/>
                <w:lang w:eastAsia="cs-CZ"/>
              </w:rPr>
            </w:pPr>
            <w:bookmarkStart w:id="195" w:name="_Hlk120643647"/>
            <w:r w:rsidRPr="00DA1623">
              <w:rPr>
                <w:rFonts w:cstheme="minorHAnsi"/>
                <w:color w:val="000000"/>
                <w:sz w:val="18"/>
                <w:szCs w:val="18"/>
              </w:rPr>
              <w:t>Dobrá Chaloupka</w:t>
            </w:r>
            <w:bookmarkEnd w:id="195"/>
          </w:p>
        </w:tc>
        <w:tc>
          <w:tcPr>
            <w:tcW w:w="1384" w:type="pct"/>
            <w:tcBorders>
              <w:top w:val="single" w:sz="6" w:space="0" w:color="auto"/>
              <w:bottom w:val="single" w:sz="6" w:space="0" w:color="auto"/>
            </w:tcBorders>
            <w:shd w:val="clear" w:color="auto" w:fill="auto"/>
            <w:noWrap/>
            <w:vAlign w:val="center"/>
          </w:tcPr>
          <w:p w14:paraId="3C75560F" w14:textId="702FCF8E"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Horní Staré Buky č. p. 197</w:t>
            </w:r>
            <w:r>
              <w:rPr>
                <w:rFonts w:cstheme="minorHAnsi"/>
                <w:color w:val="000000"/>
                <w:sz w:val="18"/>
                <w:szCs w:val="18"/>
              </w:rPr>
              <w:br/>
            </w:r>
            <w:r w:rsidRPr="00DA1623">
              <w:rPr>
                <w:rFonts w:cstheme="minorHAnsi"/>
                <w:color w:val="000000"/>
                <w:sz w:val="18"/>
                <w:szCs w:val="18"/>
              </w:rPr>
              <w:t>541 01 Staré Buky</w:t>
            </w:r>
          </w:p>
        </w:tc>
        <w:tc>
          <w:tcPr>
            <w:tcW w:w="462" w:type="pct"/>
            <w:tcBorders>
              <w:top w:val="single" w:sz="6" w:space="0" w:color="auto"/>
              <w:bottom w:val="single" w:sz="6" w:space="0" w:color="auto"/>
            </w:tcBorders>
            <w:shd w:val="clear" w:color="auto" w:fill="auto"/>
            <w:noWrap/>
            <w:vAlign w:val="center"/>
          </w:tcPr>
          <w:p w14:paraId="7C73545D" w14:textId="2CD9FC51"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6</w:t>
            </w:r>
          </w:p>
        </w:tc>
        <w:bookmarkStart w:id="196" w:name="_Hlk120643655"/>
        <w:tc>
          <w:tcPr>
            <w:tcW w:w="2269" w:type="pct"/>
            <w:tcBorders>
              <w:top w:val="single" w:sz="6" w:space="0" w:color="auto"/>
              <w:bottom w:val="single" w:sz="6" w:space="0" w:color="auto"/>
            </w:tcBorders>
            <w:shd w:val="clear" w:color="auto" w:fill="auto"/>
            <w:noWrap/>
            <w:vAlign w:val="center"/>
          </w:tcPr>
          <w:p w14:paraId="6F786899" w14:textId="41B16A9F" w:rsidR="00DA1623" w:rsidRPr="00DA1623" w:rsidRDefault="00000000" w:rsidP="00DA1623">
            <w:pPr>
              <w:jc w:val="center"/>
              <w:rPr>
                <w:rStyle w:val="Hypertextovodkaz"/>
                <w:rFonts w:eastAsia="Times New Roman" w:cstheme="minorHAnsi"/>
                <w:sz w:val="18"/>
                <w:szCs w:val="18"/>
                <w:lang w:eastAsia="cs-CZ"/>
              </w:rPr>
            </w:pPr>
            <w:r>
              <w:fldChar w:fldCharType="begin"/>
            </w:r>
            <w:r>
              <w:instrText>HYPERLINK "https://www.dobrachaloupka.cz/"</w:instrText>
            </w:r>
            <w:r>
              <w:fldChar w:fldCharType="separate"/>
            </w:r>
            <w:r w:rsidR="00DA1623" w:rsidRPr="00DA1623">
              <w:rPr>
                <w:rStyle w:val="Hypertextovodkaz"/>
                <w:rFonts w:cstheme="minorHAnsi"/>
                <w:sz w:val="18"/>
                <w:szCs w:val="18"/>
              </w:rPr>
              <w:t>https://www.dobrachaloupka.cz/</w:t>
            </w:r>
            <w:r>
              <w:rPr>
                <w:rStyle w:val="Hypertextovodkaz"/>
                <w:rFonts w:cstheme="minorHAnsi"/>
                <w:sz w:val="18"/>
                <w:szCs w:val="18"/>
              </w:rPr>
              <w:fldChar w:fldCharType="end"/>
            </w:r>
            <w:bookmarkEnd w:id="196"/>
          </w:p>
        </w:tc>
      </w:tr>
      <w:tr w:rsidR="00DA1623" w:rsidRPr="00C90BCF" w14:paraId="528B54ED" w14:textId="77777777" w:rsidTr="00DA1623">
        <w:trPr>
          <w:trHeight w:val="300"/>
          <w:jc w:val="center"/>
        </w:trPr>
        <w:tc>
          <w:tcPr>
            <w:tcW w:w="885" w:type="pct"/>
            <w:tcBorders>
              <w:top w:val="single" w:sz="6" w:space="0" w:color="auto"/>
              <w:bottom w:val="single" w:sz="6" w:space="0" w:color="auto"/>
            </w:tcBorders>
            <w:shd w:val="clear" w:color="auto" w:fill="D9D9D9" w:themeFill="background1" w:themeFillShade="D9"/>
            <w:noWrap/>
            <w:vAlign w:val="center"/>
          </w:tcPr>
          <w:p w14:paraId="390750F9" w14:textId="4E541C45" w:rsidR="00DA1623" w:rsidRPr="00DA1623" w:rsidRDefault="00DA1623" w:rsidP="00DA1623">
            <w:pPr>
              <w:jc w:val="center"/>
              <w:rPr>
                <w:rFonts w:eastAsia="Times New Roman" w:cstheme="minorHAnsi"/>
                <w:color w:val="000000"/>
                <w:sz w:val="18"/>
                <w:szCs w:val="18"/>
                <w:lang w:eastAsia="cs-CZ"/>
              </w:rPr>
            </w:pPr>
            <w:bookmarkStart w:id="197" w:name="_Hlk120643687"/>
            <w:r w:rsidRPr="00DA1623">
              <w:rPr>
                <w:rFonts w:cstheme="minorHAnsi"/>
                <w:color w:val="000000"/>
                <w:sz w:val="18"/>
                <w:szCs w:val="18"/>
              </w:rPr>
              <w:t>Domky Dolníky</w:t>
            </w:r>
            <w:bookmarkEnd w:id="197"/>
          </w:p>
        </w:tc>
        <w:tc>
          <w:tcPr>
            <w:tcW w:w="1384" w:type="pct"/>
            <w:tcBorders>
              <w:top w:val="single" w:sz="6" w:space="0" w:color="auto"/>
              <w:bottom w:val="single" w:sz="6" w:space="0" w:color="auto"/>
            </w:tcBorders>
            <w:shd w:val="clear" w:color="auto" w:fill="auto"/>
            <w:noWrap/>
            <w:vAlign w:val="center"/>
          </w:tcPr>
          <w:p w14:paraId="68BA30A1" w14:textId="0BCD59FD"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Prostřední Staré Buky č. p. 214, 215, 216, 541 01 Staré Buky</w:t>
            </w:r>
          </w:p>
        </w:tc>
        <w:tc>
          <w:tcPr>
            <w:tcW w:w="462" w:type="pct"/>
            <w:tcBorders>
              <w:top w:val="single" w:sz="6" w:space="0" w:color="auto"/>
              <w:bottom w:val="single" w:sz="6" w:space="0" w:color="auto"/>
            </w:tcBorders>
            <w:shd w:val="clear" w:color="auto" w:fill="auto"/>
            <w:noWrap/>
            <w:vAlign w:val="center"/>
          </w:tcPr>
          <w:p w14:paraId="49E877F7" w14:textId="6001E6FF"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24</w:t>
            </w:r>
          </w:p>
        </w:tc>
        <w:bookmarkStart w:id="198" w:name="_Hlk120643695"/>
        <w:tc>
          <w:tcPr>
            <w:tcW w:w="2269" w:type="pct"/>
            <w:tcBorders>
              <w:top w:val="single" w:sz="6" w:space="0" w:color="auto"/>
              <w:bottom w:val="single" w:sz="6" w:space="0" w:color="auto"/>
            </w:tcBorders>
            <w:shd w:val="clear" w:color="auto" w:fill="auto"/>
            <w:noWrap/>
            <w:vAlign w:val="center"/>
          </w:tcPr>
          <w:p w14:paraId="764F12A6" w14:textId="4407A54B" w:rsidR="00DA1623" w:rsidRPr="00DA1623" w:rsidRDefault="00000000" w:rsidP="00DA1623">
            <w:pPr>
              <w:jc w:val="center"/>
              <w:rPr>
                <w:rStyle w:val="Hypertextovodkaz"/>
                <w:rFonts w:eastAsia="Times New Roman" w:cstheme="minorHAnsi"/>
                <w:sz w:val="18"/>
                <w:szCs w:val="18"/>
                <w:lang w:eastAsia="cs-CZ"/>
              </w:rPr>
            </w:pPr>
            <w:r>
              <w:fldChar w:fldCharType="begin"/>
            </w:r>
            <w:r>
              <w:instrText>HYPERLINK "https://www.domkykrkonose.cz/"</w:instrText>
            </w:r>
            <w:r>
              <w:fldChar w:fldCharType="separate"/>
            </w:r>
            <w:r w:rsidR="00DA1623" w:rsidRPr="00DA1623">
              <w:rPr>
                <w:rStyle w:val="Hypertextovodkaz"/>
                <w:rFonts w:cstheme="minorHAnsi"/>
                <w:sz w:val="18"/>
                <w:szCs w:val="18"/>
              </w:rPr>
              <w:t>https://www.domkykrkonose.cz/</w:t>
            </w:r>
            <w:r>
              <w:rPr>
                <w:rStyle w:val="Hypertextovodkaz"/>
                <w:rFonts w:cstheme="minorHAnsi"/>
                <w:sz w:val="18"/>
                <w:szCs w:val="18"/>
              </w:rPr>
              <w:fldChar w:fldCharType="end"/>
            </w:r>
            <w:bookmarkEnd w:id="198"/>
          </w:p>
        </w:tc>
      </w:tr>
      <w:tr w:rsidR="00DA1623" w:rsidRPr="00C90BCF" w14:paraId="65278ADE" w14:textId="77777777" w:rsidTr="00DA1623">
        <w:trPr>
          <w:trHeight w:val="300"/>
          <w:jc w:val="center"/>
        </w:trPr>
        <w:tc>
          <w:tcPr>
            <w:tcW w:w="885" w:type="pct"/>
            <w:tcBorders>
              <w:top w:val="single" w:sz="6" w:space="0" w:color="auto"/>
              <w:bottom w:val="single" w:sz="6" w:space="0" w:color="auto"/>
            </w:tcBorders>
            <w:shd w:val="clear" w:color="auto" w:fill="D9D9D9" w:themeFill="background1" w:themeFillShade="D9"/>
            <w:noWrap/>
            <w:vAlign w:val="center"/>
          </w:tcPr>
          <w:p w14:paraId="09463EF5" w14:textId="745D1438" w:rsidR="00DA1623" w:rsidRPr="00DA1623" w:rsidRDefault="00DA1623" w:rsidP="00DA1623">
            <w:pPr>
              <w:jc w:val="center"/>
              <w:rPr>
                <w:rFonts w:eastAsia="Times New Roman" w:cstheme="minorHAnsi"/>
                <w:color w:val="000000"/>
                <w:sz w:val="18"/>
                <w:szCs w:val="18"/>
                <w:lang w:eastAsia="cs-CZ"/>
              </w:rPr>
            </w:pPr>
            <w:bookmarkStart w:id="199" w:name="_Hlk120643708"/>
            <w:r w:rsidRPr="00DA1623">
              <w:rPr>
                <w:rFonts w:cstheme="minorHAnsi"/>
                <w:color w:val="000000"/>
                <w:sz w:val="18"/>
                <w:szCs w:val="18"/>
              </w:rPr>
              <w:t>Chalupa Dolníky</w:t>
            </w:r>
            <w:bookmarkEnd w:id="199"/>
          </w:p>
        </w:tc>
        <w:tc>
          <w:tcPr>
            <w:tcW w:w="1384" w:type="pct"/>
            <w:tcBorders>
              <w:top w:val="single" w:sz="6" w:space="0" w:color="auto"/>
              <w:bottom w:val="single" w:sz="6" w:space="0" w:color="auto"/>
            </w:tcBorders>
            <w:shd w:val="clear" w:color="auto" w:fill="auto"/>
            <w:noWrap/>
            <w:vAlign w:val="center"/>
          </w:tcPr>
          <w:p w14:paraId="66E9F247" w14:textId="21B38CBD"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Horní Staré Buky č. p. 193</w:t>
            </w:r>
            <w:r>
              <w:rPr>
                <w:rFonts w:cstheme="minorHAnsi"/>
                <w:color w:val="000000"/>
                <w:sz w:val="18"/>
                <w:szCs w:val="18"/>
              </w:rPr>
              <w:br/>
            </w:r>
            <w:r w:rsidRPr="00DA1623">
              <w:rPr>
                <w:rFonts w:cstheme="minorHAnsi"/>
                <w:color w:val="000000"/>
                <w:sz w:val="18"/>
                <w:szCs w:val="18"/>
              </w:rPr>
              <w:t>541 01 Staré Buky</w:t>
            </w:r>
          </w:p>
        </w:tc>
        <w:tc>
          <w:tcPr>
            <w:tcW w:w="462" w:type="pct"/>
            <w:tcBorders>
              <w:top w:val="single" w:sz="6" w:space="0" w:color="auto"/>
              <w:bottom w:val="single" w:sz="6" w:space="0" w:color="auto"/>
            </w:tcBorders>
            <w:shd w:val="clear" w:color="auto" w:fill="auto"/>
            <w:noWrap/>
            <w:vAlign w:val="center"/>
          </w:tcPr>
          <w:p w14:paraId="38006D41" w14:textId="20D12670"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10</w:t>
            </w:r>
          </w:p>
        </w:tc>
        <w:bookmarkStart w:id="200" w:name="_Hlk120643715"/>
        <w:tc>
          <w:tcPr>
            <w:tcW w:w="2269" w:type="pct"/>
            <w:tcBorders>
              <w:top w:val="single" w:sz="6" w:space="0" w:color="auto"/>
              <w:bottom w:val="single" w:sz="6" w:space="0" w:color="auto"/>
            </w:tcBorders>
            <w:shd w:val="clear" w:color="auto" w:fill="auto"/>
            <w:noWrap/>
            <w:vAlign w:val="center"/>
          </w:tcPr>
          <w:p w14:paraId="036C19D4" w14:textId="12BC54E2" w:rsidR="00DA1623" w:rsidRPr="00DA1623" w:rsidRDefault="00000000" w:rsidP="00DA1623">
            <w:pPr>
              <w:jc w:val="center"/>
              <w:rPr>
                <w:rStyle w:val="Hypertextovodkaz"/>
                <w:rFonts w:eastAsia="Times New Roman" w:cstheme="minorHAnsi"/>
                <w:sz w:val="18"/>
                <w:szCs w:val="18"/>
                <w:lang w:eastAsia="cs-CZ"/>
              </w:rPr>
            </w:pPr>
            <w:r>
              <w:fldChar w:fldCharType="begin"/>
            </w:r>
            <w:r>
              <w:instrText>HYPERLINK "https://www.e-chalupy.cz/krkonose/ubytovani-stare-buky-chalupa-dolniky-pronajem-4989.php"</w:instrText>
            </w:r>
            <w:r>
              <w:fldChar w:fldCharType="separate"/>
            </w:r>
            <w:r w:rsidR="00DA1623" w:rsidRPr="00DA1623">
              <w:rPr>
                <w:rStyle w:val="Hypertextovodkaz"/>
                <w:rFonts w:cstheme="minorHAnsi"/>
                <w:sz w:val="18"/>
                <w:szCs w:val="18"/>
              </w:rPr>
              <w:t>https://www.e-chalupy.cz/krkonose/ubytovani-stare-buky-chalupa-dolniky-pronajem-4989.php</w:t>
            </w:r>
            <w:r>
              <w:rPr>
                <w:rStyle w:val="Hypertextovodkaz"/>
                <w:rFonts w:cstheme="minorHAnsi"/>
                <w:sz w:val="18"/>
                <w:szCs w:val="18"/>
              </w:rPr>
              <w:fldChar w:fldCharType="end"/>
            </w:r>
            <w:bookmarkEnd w:id="200"/>
          </w:p>
        </w:tc>
      </w:tr>
      <w:tr w:rsidR="00DA1623" w:rsidRPr="00C90BCF" w14:paraId="543558B0" w14:textId="77777777" w:rsidTr="00DA1623">
        <w:trPr>
          <w:trHeight w:val="300"/>
          <w:jc w:val="center"/>
        </w:trPr>
        <w:tc>
          <w:tcPr>
            <w:tcW w:w="885" w:type="pct"/>
            <w:tcBorders>
              <w:top w:val="single" w:sz="6" w:space="0" w:color="auto"/>
              <w:bottom w:val="single" w:sz="6" w:space="0" w:color="auto"/>
            </w:tcBorders>
            <w:shd w:val="clear" w:color="auto" w:fill="D9D9D9" w:themeFill="background1" w:themeFillShade="D9"/>
            <w:noWrap/>
            <w:vAlign w:val="center"/>
          </w:tcPr>
          <w:p w14:paraId="49D3E23B" w14:textId="5E110C6F" w:rsidR="00DA1623" w:rsidRPr="00DA1623" w:rsidRDefault="00DA1623" w:rsidP="00DA1623">
            <w:pPr>
              <w:jc w:val="center"/>
              <w:rPr>
                <w:rFonts w:eastAsia="Times New Roman" w:cstheme="minorHAnsi"/>
                <w:color w:val="000000"/>
                <w:sz w:val="18"/>
                <w:szCs w:val="18"/>
                <w:lang w:eastAsia="cs-CZ"/>
              </w:rPr>
            </w:pPr>
            <w:bookmarkStart w:id="201" w:name="_Hlk120643726"/>
            <w:r w:rsidRPr="00DA1623">
              <w:rPr>
                <w:rFonts w:cstheme="minorHAnsi"/>
                <w:color w:val="000000"/>
                <w:sz w:val="18"/>
                <w:szCs w:val="18"/>
              </w:rPr>
              <w:t>Chalupa Horní Staré Buky</w:t>
            </w:r>
            <w:bookmarkEnd w:id="201"/>
          </w:p>
        </w:tc>
        <w:tc>
          <w:tcPr>
            <w:tcW w:w="1384" w:type="pct"/>
            <w:tcBorders>
              <w:top w:val="single" w:sz="6" w:space="0" w:color="auto"/>
              <w:bottom w:val="single" w:sz="6" w:space="0" w:color="auto"/>
            </w:tcBorders>
            <w:shd w:val="clear" w:color="auto" w:fill="auto"/>
            <w:noWrap/>
            <w:vAlign w:val="center"/>
          </w:tcPr>
          <w:p w14:paraId="609ADEC1" w14:textId="2250875C"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Horní Staré Buky č. p. 145</w:t>
            </w:r>
            <w:r>
              <w:rPr>
                <w:rFonts w:cstheme="minorHAnsi"/>
                <w:color w:val="000000"/>
                <w:sz w:val="18"/>
                <w:szCs w:val="18"/>
              </w:rPr>
              <w:br/>
            </w:r>
            <w:r w:rsidRPr="00DA1623">
              <w:rPr>
                <w:rFonts w:cstheme="minorHAnsi"/>
                <w:color w:val="000000"/>
                <w:sz w:val="18"/>
                <w:szCs w:val="18"/>
              </w:rPr>
              <w:t>541 01 Staré Buky</w:t>
            </w:r>
          </w:p>
        </w:tc>
        <w:tc>
          <w:tcPr>
            <w:tcW w:w="462" w:type="pct"/>
            <w:tcBorders>
              <w:top w:val="single" w:sz="6" w:space="0" w:color="auto"/>
              <w:bottom w:val="single" w:sz="6" w:space="0" w:color="auto"/>
            </w:tcBorders>
            <w:shd w:val="clear" w:color="auto" w:fill="auto"/>
            <w:noWrap/>
            <w:vAlign w:val="center"/>
          </w:tcPr>
          <w:p w14:paraId="30606C7A" w14:textId="3E0A4B6B"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12</w:t>
            </w:r>
          </w:p>
        </w:tc>
        <w:bookmarkStart w:id="202" w:name="_Hlk120643733"/>
        <w:tc>
          <w:tcPr>
            <w:tcW w:w="2269" w:type="pct"/>
            <w:tcBorders>
              <w:top w:val="single" w:sz="6" w:space="0" w:color="auto"/>
              <w:bottom w:val="single" w:sz="6" w:space="0" w:color="auto"/>
            </w:tcBorders>
            <w:shd w:val="clear" w:color="auto" w:fill="auto"/>
            <w:noWrap/>
            <w:vAlign w:val="center"/>
          </w:tcPr>
          <w:p w14:paraId="7E2E6067" w14:textId="2BFC0EC1" w:rsidR="00DA1623" w:rsidRPr="00DA1623" w:rsidRDefault="00000000" w:rsidP="00DA1623">
            <w:pPr>
              <w:jc w:val="center"/>
              <w:rPr>
                <w:rStyle w:val="Hypertextovodkaz"/>
                <w:rFonts w:eastAsia="Times New Roman" w:cstheme="minorHAnsi"/>
                <w:sz w:val="18"/>
                <w:szCs w:val="18"/>
                <w:lang w:eastAsia="cs-CZ"/>
              </w:rPr>
            </w:pPr>
            <w:r>
              <w:fldChar w:fldCharType="begin"/>
            </w:r>
            <w:r>
              <w:instrText>HYPERLINK "https://www.e-chalupy.cz/krkonose/ubytovani-horni-stare-buky-chalupa-pronajmuti-5194.php"</w:instrText>
            </w:r>
            <w:r>
              <w:fldChar w:fldCharType="separate"/>
            </w:r>
            <w:r w:rsidR="00DA1623" w:rsidRPr="00DA1623">
              <w:rPr>
                <w:rStyle w:val="Hypertextovodkaz"/>
                <w:rFonts w:cstheme="minorHAnsi"/>
                <w:sz w:val="18"/>
                <w:szCs w:val="18"/>
              </w:rPr>
              <w:t>https://www.e-chalupy.cz/krkonose/ubytovani-horni-stare-buky-chalupa-pronajmuti-5194.php</w:t>
            </w:r>
            <w:r>
              <w:rPr>
                <w:rStyle w:val="Hypertextovodkaz"/>
                <w:rFonts w:cstheme="minorHAnsi"/>
                <w:sz w:val="18"/>
                <w:szCs w:val="18"/>
              </w:rPr>
              <w:fldChar w:fldCharType="end"/>
            </w:r>
            <w:bookmarkEnd w:id="202"/>
          </w:p>
        </w:tc>
      </w:tr>
      <w:tr w:rsidR="00DA1623" w:rsidRPr="00C90BCF" w14:paraId="0D6A28C9" w14:textId="77777777" w:rsidTr="00DA1623">
        <w:trPr>
          <w:trHeight w:val="300"/>
          <w:jc w:val="center"/>
        </w:trPr>
        <w:tc>
          <w:tcPr>
            <w:tcW w:w="885" w:type="pct"/>
            <w:tcBorders>
              <w:top w:val="single" w:sz="6" w:space="0" w:color="auto"/>
              <w:bottom w:val="single" w:sz="6" w:space="0" w:color="auto"/>
            </w:tcBorders>
            <w:shd w:val="clear" w:color="auto" w:fill="D9D9D9" w:themeFill="background1" w:themeFillShade="D9"/>
            <w:noWrap/>
            <w:vAlign w:val="center"/>
          </w:tcPr>
          <w:p w14:paraId="7518275E" w14:textId="7AD2A6F5" w:rsidR="00DA1623" w:rsidRPr="00DA1623" w:rsidRDefault="00DA1623" w:rsidP="00DA1623">
            <w:pPr>
              <w:jc w:val="center"/>
              <w:rPr>
                <w:rFonts w:eastAsia="Times New Roman" w:cstheme="minorHAnsi"/>
                <w:color w:val="000000"/>
                <w:sz w:val="18"/>
                <w:szCs w:val="18"/>
                <w:lang w:eastAsia="cs-CZ"/>
              </w:rPr>
            </w:pPr>
            <w:bookmarkStart w:id="203" w:name="_Hlk120643750"/>
            <w:r w:rsidRPr="00DA1623">
              <w:rPr>
                <w:rFonts w:cstheme="minorHAnsi"/>
                <w:color w:val="000000"/>
                <w:sz w:val="18"/>
                <w:szCs w:val="18"/>
              </w:rPr>
              <w:t xml:space="preserve">Chalupa </w:t>
            </w:r>
            <w:r w:rsidR="00EC79A3">
              <w:rPr>
                <w:rFonts w:cstheme="minorHAnsi"/>
                <w:color w:val="000000"/>
                <w:sz w:val="18"/>
                <w:szCs w:val="18"/>
              </w:rPr>
              <w:br/>
            </w:r>
            <w:r w:rsidRPr="00DA1623">
              <w:rPr>
                <w:rFonts w:cstheme="minorHAnsi"/>
                <w:color w:val="000000"/>
                <w:sz w:val="18"/>
                <w:szCs w:val="18"/>
              </w:rPr>
              <w:t xml:space="preserve">Pod </w:t>
            </w:r>
            <w:r w:rsidR="008D7796">
              <w:rPr>
                <w:rFonts w:cstheme="minorHAnsi"/>
                <w:color w:val="000000"/>
                <w:sz w:val="18"/>
                <w:szCs w:val="18"/>
              </w:rPr>
              <w:t>M</w:t>
            </w:r>
            <w:r w:rsidRPr="00DA1623">
              <w:rPr>
                <w:rFonts w:cstheme="minorHAnsi"/>
                <w:color w:val="000000"/>
                <w:sz w:val="18"/>
                <w:szCs w:val="18"/>
              </w:rPr>
              <w:t>odříny</w:t>
            </w:r>
            <w:bookmarkEnd w:id="203"/>
          </w:p>
        </w:tc>
        <w:tc>
          <w:tcPr>
            <w:tcW w:w="1384" w:type="pct"/>
            <w:tcBorders>
              <w:top w:val="single" w:sz="6" w:space="0" w:color="auto"/>
              <w:bottom w:val="single" w:sz="6" w:space="0" w:color="auto"/>
            </w:tcBorders>
            <w:shd w:val="clear" w:color="auto" w:fill="auto"/>
            <w:noWrap/>
            <w:vAlign w:val="center"/>
          </w:tcPr>
          <w:p w14:paraId="3AAB3A29" w14:textId="684EB916"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Horní Staré Buky č. p. 206</w:t>
            </w:r>
            <w:r>
              <w:rPr>
                <w:rFonts w:cstheme="minorHAnsi"/>
                <w:color w:val="000000"/>
                <w:sz w:val="18"/>
                <w:szCs w:val="18"/>
              </w:rPr>
              <w:br/>
            </w:r>
            <w:r w:rsidRPr="00DA1623">
              <w:rPr>
                <w:rFonts w:cstheme="minorHAnsi"/>
                <w:color w:val="000000"/>
                <w:sz w:val="18"/>
                <w:szCs w:val="18"/>
              </w:rPr>
              <w:t>541 01 Staré Buky</w:t>
            </w:r>
          </w:p>
        </w:tc>
        <w:tc>
          <w:tcPr>
            <w:tcW w:w="462" w:type="pct"/>
            <w:tcBorders>
              <w:top w:val="single" w:sz="6" w:space="0" w:color="auto"/>
              <w:bottom w:val="single" w:sz="6" w:space="0" w:color="auto"/>
            </w:tcBorders>
            <w:shd w:val="clear" w:color="auto" w:fill="auto"/>
            <w:noWrap/>
            <w:vAlign w:val="center"/>
          </w:tcPr>
          <w:p w14:paraId="55E2F7DB" w14:textId="3B06D0DB"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7</w:t>
            </w:r>
          </w:p>
        </w:tc>
        <w:bookmarkStart w:id="204" w:name="_Hlk120643760"/>
        <w:tc>
          <w:tcPr>
            <w:tcW w:w="2269" w:type="pct"/>
            <w:tcBorders>
              <w:top w:val="single" w:sz="6" w:space="0" w:color="auto"/>
              <w:bottom w:val="single" w:sz="6" w:space="0" w:color="auto"/>
            </w:tcBorders>
            <w:shd w:val="clear" w:color="auto" w:fill="auto"/>
            <w:noWrap/>
            <w:vAlign w:val="center"/>
          </w:tcPr>
          <w:p w14:paraId="7F4B78E7" w14:textId="0F8735EE" w:rsidR="00DA1623" w:rsidRPr="00DA1623" w:rsidRDefault="00000000" w:rsidP="00DA1623">
            <w:pPr>
              <w:jc w:val="center"/>
              <w:rPr>
                <w:rStyle w:val="Hypertextovodkaz"/>
                <w:rFonts w:eastAsia="Times New Roman" w:cstheme="minorHAnsi"/>
                <w:sz w:val="18"/>
                <w:szCs w:val="18"/>
                <w:lang w:eastAsia="cs-CZ"/>
              </w:rPr>
            </w:pPr>
            <w:r>
              <w:fldChar w:fldCharType="begin"/>
            </w:r>
            <w:r>
              <w:instrText>HYPERLINK "https://www.e-chalupy.cz/vychodni_cechy/ubytovani-stare-buky-chalupa-pod-modriny-9934.php"</w:instrText>
            </w:r>
            <w:r>
              <w:fldChar w:fldCharType="separate"/>
            </w:r>
            <w:r w:rsidR="00DA1623" w:rsidRPr="00DA1623">
              <w:rPr>
                <w:rStyle w:val="Hypertextovodkaz"/>
                <w:rFonts w:cstheme="minorHAnsi"/>
                <w:sz w:val="18"/>
                <w:szCs w:val="18"/>
              </w:rPr>
              <w:t>https://www.e-chalupy.cz/vychodni_cechy/ubytovani-stare-buky-chalupa-pod-modriny-9934.php</w:t>
            </w:r>
            <w:r>
              <w:rPr>
                <w:rStyle w:val="Hypertextovodkaz"/>
                <w:rFonts w:cstheme="minorHAnsi"/>
                <w:sz w:val="18"/>
                <w:szCs w:val="18"/>
              </w:rPr>
              <w:fldChar w:fldCharType="end"/>
            </w:r>
            <w:bookmarkEnd w:id="204"/>
          </w:p>
        </w:tc>
      </w:tr>
      <w:tr w:rsidR="00DA1623" w:rsidRPr="00C90BCF" w14:paraId="200725BB" w14:textId="77777777" w:rsidTr="00DA1623">
        <w:trPr>
          <w:trHeight w:val="300"/>
          <w:jc w:val="center"/>
        </w:trPr>
        <w:tc>
          <w:tcPr>
            <w:tcW w:w="885" w:type="pct"/>
            <w:tcBorders>
              <w:top w:val="single" w:sz="6" w:space="0" w:color="auto"/>
              <w:bottom w:val="single" w:sz="6" w:space="0" w:color="auto"/>
            </w:tcBorders>
            <w:shd w:val="clear" w:color="auto" w:fill="D9D9D9" w:themeFill="background1" w:themeFillShade="D9"/>
            <w:noWrap/>
            <w:vAlign w:val="center"/>
          </w:tcPr>
          <w:p w14:paraId="3CAB6C07" w14:textId="512CB32B" w:rsidR="00DA1623" w:rsidRPr="00DA1623" w:rsidRDefault="00DA1623" w:rsidP="00DA1623">
            <w:pPr>
              <w:jc w:val="center"/>
              <w:rPr>
                <w:rFonts w:eastAsia="Times New Roman" w:cstheme="minorHAnsi"/>
                <w:color w:val="000000"/>
                <w:sz w:val="18"/>
                <w:szCs w:val="18"/>
                <w:lang w:eastAsia="cs-CZ"/>
              </w:rPr>
            </w:pPr>
            <w:bookmarkStart w:id="205" w:name="_Hlk120643788"/>
            <w:r w:rsidRPr="00DA1623">
              <w:rPr>
                <w:rFonts w:cstheme="minorHAnsi"/>
                <w:color w:val="000000"/>
                <w:sz w:val="18"/>
                <w:szCs w:val="18"/>
              </w:rPr>
              <w:t>Chalupa Staré Buky</w:t>
            </w:r>
            <w:bookmarkEnd w:id="205"/>
          </w:p>
        </w:tc>
        <w:tc>
          <w:tcPr>
            <w:tcW w:w="1384" w:type="pct"/>
            <w:tcBorders>
              <w:top w:val="single" w:sz="6" w:space="0" w:color="auto"/>
              <w:bottom w:val="single" w:sz="6" w:space="0" w:color="auto"/>
            </w:tcBorders>
            <w:shd w:val="clear" w:color="auto" w:fill="auto"/>
            <w:noWrap/>
            <w:vAlign w:val="center"/>
          </w:tcPr>
          <w:p w14:paraId="175C2D8D" w14:textId="62341EA3"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Horní Staré Buky č. p. 126</w:t>
            </w:r>
            <w:r>
              <w:rPr>
                <w:rFonts w:cstheme="minorHAnsi"/>
                <w:color w:val="000000"/>
                <w:sz w:val="18"/>
                <w:szCs w:val="18"/>
              </w:rPr>
              <w:br/>
            </w:r>
            <w:r w:rsidRPr="00DA1623">
              <w:rPr>
                <w:rFonts w:cstheme="minorHAnsi"/>
                <w:color w:val="000000"/>
                <w:sz w:val="18"/>
                <w:szCs w:val="18"/>
              </w:rPr>
              <w:t>541 01 Staré Buky</w:t>
            </w:r>
          </w:p>
        </w:tc>
        <w:tc>
          <w:tcPr>
            <w:tcW w:w="462" w:type="pct"/>
            <w:tcBorders>
              <w:top w:val="single" w:sz="6" w:space="0" w:color="auto"/>
              <w:bottom w:val="single" w:sz="6" w:space="0" w:color="auto"/>
            </w:tcBorders>
            <w:shd w:val="clear" w:color="auto" w:fill="auto"/>
            <w:noWrap/>
            <w:vAlign w:val="center"/>
          </w:tcPr>
          <w:p w14:paraId="464C2801" w14:textId="168835CB"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16</w:t>
            </w:r>
          </w:p>
        </w:tc>
        <w:bookmarkStart w:id="206" w:name="_Hlk120643795"/>
        <w:tc>
          <w:tcPr>
            <w:tcW w:w="2269" w:type="pct"/>
            <w:tcBorders>
              <w:top w:val="single" w:sz="6" w:space="0" w:color="auto"/>
              <w:bottom w:val="single" w:sz="6" w:space="0" w:color="auto"/>
            </w:tcBorders>
            <w:shd w:val="clear" w:color="auto" w:fill="auto"/>
            <w:noWrap/>
            <w:vAlign w:val="center"/>
          </w:tcPr>
          <w:p w14:paraId="72A78786" w14:textId="02846D0A" w:rsidR="00DA1623" w:rsidRPr="00DA1623" w:rsidRDefault="00000000" w:rsidP="00DA1623">
            <w:pPr>
              <w:jc w:val="center"/>
              <w:rPr>
                <w:rStyle w:val="Hypertextovodkaz"/>
                <w:rFonts w:eastAsia="Times New Roman" w:cstheme="minorHAnsi"/>
                <w:sz w:val="18"/>
                <w:szCs w:val="18"/>
                <w:lang w:eastAsia="cs-CZ"/>
              </w:rPr>
            </w:pPr>
            <w:r>
              <w:fldChar w:fldCharType="begin"/>
            </w:r>
            <w:r>
              <w:instrText>HYPERLINK "https://www.e-chalupy.cz/vychodni_cechy/chalupa-k-pronajmu-stare-buky-ubytovani-11186.php"</w:instrText>
            </w:r>
            <w:r>
              <w:fldChar w:fldCharType="separate"/>
            </w:r>
            <w:r w:rsidR="00DA1623" w:rsidRPr="00DA1623">
              <w:rPr>
                <w:rStyle w:val="Hypertextovodkaz"/>
                <w:rFonts w:cstheme="minorHAnsi"/>
                <w:sz w:val="18"/>
                <w:szCs w:val="18"/>
              </w:rPr>
              <w:t>https://www.e-chalupy.cz/vychodni_cechy/chalupa-k-pronajmu-stare-buky-ubytovani-11186.php</w:t>
            </w:r>
            <w:r>
              <w:rPr>
                <w:rStyle w:val="Hypertextovodkaz"/>
                <w:rFonts w:cstheme="minorHAnsi"/>
                <w:sz w:val="18"/>
                <w:szCs w:val="18"/>
              </w:rPr>
              <w:fldChar w:fldCharType="end"/>
            </w:r>
            <w:bookmarkEnd w:id="206"/>
          </w:p>
        </w:tc>
      </w:tr>
      <w:tr w:rsidR="00DA1623" w:rsidRPr="00C90BCF" w14:paraId="62C3AB4D" w14:textId="77777777" w:rsidTr="00DA1623">
        <w:trPr>
          <w:trHeight w:val="300"/>
          <w:jc w:val="center"/>
        </w:trPr>
        <w:tc>
          <w:tcPr>
            <w:tcW w:w="885" w:type="pct"/>
            <w:tcBorders>
              <w:top w:val="single" w:sz="6" w:space="0" w:color="auto"/>
              <w:bottom w:val="single" w:sz="6" w:space="0" w:color="auto"/>
            </w:tcBorders>
            <w:shd w:val="clear" w:color="auto" w:fill="D9D9D9" w:themeFill="background1" w:themeFillShade="D9"/>
            <w:noWrap/>
            <w:vAlign w:val="center"/>
          </w:tcPr>
          <w:p w14:paraId="4D3F28C3" w14:textId="2D57C644" w:rsidR="00DA1623" w:rsidRPr="00DA1623" w:rsidRDefault="00DA1623" w:rsidP="00DA1623">
            <w:pPr>
              <w:jc w:val="center"/>
              <w:rPr>
                <w:rFonts w:eastAsia="Times New Roman" w:cstheme="minorHAnsi"/>
                <w:color w:val="000000"/>
                <w:sz w:val="18"/>
                <w:szCs w:val="18"/>
                <w:lang w:eastAsia="cs-CZ"/>
              </w:rPr>
            </w:pPr>
            <w:bookmarkStart w:id="207" w:name="_Hlk120643806"/>
            <w:r w:rsidRPr="00DA1623">
              <w:rPr>
                <w:rFonts w:cstheme="minorHAnsi"/>
                <w:color w:val="000000"/>
                <w:sz w:val="18"/>
                <w:szCs w:val="18"/>
              </w:rPr>
              <w:t>Chata Staré Buky</w:t>
            </w:r>
            <w:bookmarkEnd w:id="207"/>
          </w:p>
        </w:tc>
        <w:tc>
          <w:tcPr>
            <w:tcW w:w="1384" w:type="pct"/>
            <w:tcBorders>
              <w:top w:val="single" w:sz="6" w:space="0" w:color="auto"/>
              <w:bottom w:val="single" w:sz="6" w:space="0" w:color="auto"/>
            </w:tcBorders>
            <w:shd w:val="clear" w:color="auto" w:fill="auto"/>
            <w:noWrap/>
            <w:vAlign w:val="center"/>
          </w:tcPr>
          <w:p w14:paraId="0B0B92AA" w14:textId="048841F6"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Prostřední Staré Buky č. e. 110 541 01 Staré Buky</w:t>
            </w:r>
          </w:p>
        </w:tc>
        <w:tc>
          <w:tcPr>
            <w:tcW w:w="462" w:type="pct"/>
            <w:tcBorders>
              <w:top w:val="single" w:sz="6" w:space="0" w:color="auto"/>
              <w:bottom w:val="single" w:sz="6" w:space="0" w:color="auto"/>
            </w:tcBorders>
            <w:shd w:val="clear" w:color="auto" w:fill="auto"/>
            <w:noWrap/>
            <w:vAlign w:val="center"/>
          </w:tcPr>
          <w:p w14:paraId="560644B8" w14:textId="7CE44E63"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7</w:t>
            </w:r>
          </w:p>
        </w:tc>
        <w:bookmarkStart w:id="208" w:name="_Hlk120643813"/>
        <w:tc>
          <w:tcPr>
            <w:tcW w:w="2269" w:type="pct"/>
            <w:tcBorders>
              <w:top w:val="single" w:sz="6" w:space="0" w:color="auto"/>
              <w:bottom w:val="single" w:sz="6" w:space="0" w:color="auto"/>
            </w:tcBorders>
            <w:shd w:val="clear" w:color="auto" w:fill="auto"/>
            <w:noWrap/>
            <w:vAlign w:val="center"/>
          </w:tcPr>
          <w:p w14:paraId="49873331" w14:textId="5DA020A0" w:rsidR="00DA1623" w:rsidRPr="00DA1623" w:rsidRDefault="00000000" w:rsidP="00DA1623">
            <w:pPr>
              <w:jc w:val="center"/>
              <w:rPr>
                <w:rStyle w:val="Hypertextovodkaz"/>
                <w:rFonts w:eastAsia="Times New Roman" w:cstheme="minorHAnsi"/>
                <w:sz w:val="18"/>
                <w:szCs w:val="18"/>
                <w:lang w:eastAsia="cs-CZ"/>
              </w:rPr>
            </w:pPr>
            <w:r>
              <w:fldChar w:fldCharType="begin"/>
            </w:r>
            <w:r>
              <w:instrText>HYPERLINK "https://www.e-chalupy.cz/krkonose/chata-stare-buky-ubytovani-pronajem-5913.php"</w:instrText>
            </w:r>
            <w:r>
              <w:fldChar w:fldCharType="separate"/>
            </w:r>
            <w:r w:rsidR="00DA1623" w:rsidRPr="00DA1623">
              <w:rPr>
                <w:rStyle w:val="Hypertextovodkaz"/>
                <w:rFonts w:cstheme="minorHAnsi"/>
                <w:sz w:val="18"/>
                <w:szCs w:val="18"/>
              </w:rPr>
              <w:t>https://www.e-chalupy.cz/krkonose/chata-stare-buky-ubytovani-pronajem-5913.php</w:t>
            </w:r>
            <w:r>
              <w:rPr>
                <w:rStyle w:val="Hypertextovodkaz"/>
                <w:rFonts w:cstheme="minorHAnsi"/>
                <w:sz w:val="18"/>
                <w:szCs w:val="18"/>
              </w:rPr>
              <w:fldChar w:fldCharType="end"/>
            </w:r>
            <w:bookmarkEnd w:id="208"/>
          </w:p>
        </w:tc>
      </w:tr>
      <w:tr w:rsidR="00DA1623" w:rsidRPr="00C90BCF" w14:paraId="1C88B022" w14:textId="77777777" w:rsidTr="00DA1623">
        <w:trPr>
          <w:trHeight w:val="300"/>
          <w:jc w:val="center"/>
        </w:trPr>
        <w:tc>
          <w:tcPr>
            <w:tcW w:w="885" w:type="pct"/>
            <w:tcBorders>
              <w:top w:val="single" w:sz="6" w:space="0" w:color="auto"/>
              <w:bottom w:val="single" w:sz="6" w:space="0" w:color="auto"/>
            </w:tcBorders>
            <w:shd w:val="clear" w:color="auto" w:fill="D9D9D9" w:themeFill="background1" w:themeFillShade="D9"/>
            <w:noWrap/>
            <w:vAlign w:val="center"/>
          </w:tcPr>
          <w:p w14:paraId="5483CF7C" w14:textId="63109348" w:rsidR="00DA1623" w:rsidRPr="00DA1623" w:rsidRDefault="00DA1623" w:rsidP="00DA1623">
            <w:pPr>
              <w:jc w:val="center"/>
              <w:rPr>
                <w:rFonts w:eastAsia="Times New Roman" w:cstheme="minorHAnsi"/>
                <w:color w:val="000000"/>
                <w:sz w:val="18"/>
                <w:szCs w:val="18"/>
                <w:lang w:eastAsia="cs-CZ"/>
              </w:rPr>
            </w:pPr>
            <w:bookmarkStart w:id="209" w:name="_Hlk120643828"/>
            <w:r w:rsidRPr="00DA1623">
              <w:rPr>
                <w:rFonts w:cstheme="minorHAnsi"/>
                <w:color w:val="000000"/>
                <w:sz w:val="18"/>
                <w:szCs w:val="18"/>
              </w:rPr>
              <w:t>Chata Trojka</w:t>
            </w:r>
            <w:bookmarkEnd w:id="209"/>
          </w:p>
        </w:tc>
        <w:tc>
          <w:tcPr>
            <w:tcW w:w="1384" w:type="pct"/>
            <w:tcBorders>
              <w:top w:val="single" w:sz="6" w:space="0" w:color="auto"/>
              <w:bottom w:val="single" w:sz="6" w:space="0" w:color="auto"/>
            </w:tcBorders>
            <w:shd w:val="clear" w:color="auto" w:fill="auto"/>
            <w:noWrap/>
            <w:vAlign w:val="center"/>
          </w:tcPr>
          <w:p w14:paraId="5FBBB4C4" w14:textId="32BE7572"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Prostřední Staré Buky č. e. 3</w:t>
            </w:r>
            <w:r>
              <w:rPr>
                <w:rFonts w:cstheme="minorHAnsi"/>
                <w:color w:val="000000"/>
                <w:sz w:val="18"/>
                <w:szCs w:val="18"/>
              </w:rPr>
              <w:br/>
            </w:r>
            <w:r w:rsidRPr="00DA1623">
              <w:rPr>
                <w:rFonts w:cstheme="minorHAnsi"/>
                <w:color w:val="000000"/>
                <w:sz w:val="18"/>
                <w:szCs w:val="18"/>
              </w:rPr>
              <w:t>541 01 Staré Buky</w:t>
            </w:r>
          </w:p>
        </w:tc>
        <w:tc>
          <w:tcPr>
            <w:tcW w:w="462" w:type="pct"/>
            <w:tcBorders>
              <w:top w:val="single" w:sz="6" w:space="0" w:color="auto"/>
              <w:bottom w:val="single" w:sz="6" w:space="0" w:color="auto"/>
            </w:tcBorders>
            <w:shd w:val="clear" w:color="auto" w:fill="auto"/>
            <w:noWrap/>
            <w:vAlign w:val="center"/>
          </w:tcPr>
          <w:p w14:paraId="3F12B28C" w14:textId="2A9EDB1B"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6</w:t>
            </w:r>
          </w:p>
        </w:tc>
        <w:bookmarkStart w:id="210" w:name="_Hlk120643835"/>
        <w:tc>
          <w:tcPr>
            <w:tcW w:w="2269" w:type="pct"/>
            <w:tcBorders>
              <w:top w:val="single" w:sz="6" w:space="0" w:color="auto"/>
              <w:bottom w:val="single" w:sz="6" w:space="0" w:color="auto"/>
            </w:tcBorders>
            <w:shd w:val="clear" w:color="auto" w:fill="auto"/>
            <w:noWrap/>
            <w:vAlign w:val="center"/>
          </w:tcPr>
          <w:p w14:paraId="4B587B8D" w14:textId="2B486C2F" w:rsidR="00DA1623" w:rsidRPr="00DA1623" w:rsidRDefault="00000000" w:rsidP="00DA1623">
            <w:pPr>
              <w:jc w:val="center"/>
              <w:rPr>
                <w:rStyle w:val="Hypertextovodkaz"/>
                <w:rFonts w:eastAsia="Times New Roman" w:cstheme="minorHAnsi"/>
                <w:sz w:val="18"/>
                <w:szCs w:val="18"/>
                <w:lang w:eastAsia="cs-CZ"/>
              </w:rPr>
            </w:pPr>
            <w:r>
              <w:fldChar w:fldCharType="begin"/>
            </w:r>
            <w:r>
              <w:instrText>HYPERLINK "https://www.e-chalupy.cz/vychodni_cechy/ubytovani-prostredni-stare-buky-chata-trojka-0331.php"</w:instrText>
            </w:r>
            <w:r>
              <w:fldChar w:fldCharType="separate"/>
            </w:r>
            <w:r w:rsidR="00DA1623" w:rsidRPr="00DA1623">
              <w:rPr>
                <w:rStyle w:val="Hypertextovodkaz"/>
                <w:rFonts w:cstheme="minorHAnsi"/>
                <w:sz w:val="18"/>
                <w:szCs w:val="18"/>
              </w:rPr>
              <w:t>https://www.e-chalupy.cz/vychodni_cechy/ubytovani-prostredni-stare-buky-chata-trojka-0331.php</w:t>
            </w:r>
            <w:r>
              <w:rPr>
                <w:rStyle w:val="Hypertextovodkaz"/>
                <w:rFonts w:cstheme="minorHAnsi"/>
                <w:sz w:val="18"/>
                <w:szCs w:val="18"/>
              </w:rPr>
              <w:fldChar w:fldCharType="end"/>
            </w:r>
            <w:bookmarkEnd w:id="210"/>
          </w:p>
        </w:tc>
      </w:tr>
      <w:tr w:rsidR="00DA1623" w:rsidRPr="00C90BCF" w14:paraId="3400513D" w14:textId="77777777" w:rsidTr="00DA1623">
        <w:trPr>
          <w:trHeight w:val="300"/>
          <w:jc w:val="center"/>
        </w:trPr>
        <w:tc>
          <w:tcPr>
            <w:tcW w:w="885" w:type="pct"/>
            <w:tcBorders>
              <w:top w:val="single" w:sz="6" w:space="0" w:color="auto"/>
              <w:bottom w:val="single" w:sz="6" w:space="0" w:color="auto"/>
            </w:tcBorders>
            <w:shd w:val="clear" w:color="auto" w:fill="D9D9D9" w:themeFill="background1" w:themeFillShade="D9"/>
            <w:noWrap/>
            <w:vAlign w:val="center"/>
          </w:tcPr>
          <w:p w14:paraId="42D9CF02" w14:textId="146B0498" w:rsidR="00DA1623" w:rsidRPr="00DA1623" w:rsidRDefault="00DA1623" w:rsidP="00DA1623">
            <w:pPr>
              <w:jc w:val="center"/>
              <w:rPr>
                <w:rFonts w:eastAsia="Times New Roman" w:cstheme="minorHAnsi"/>
                <w:color w:val="000000"/>
                <w:sz w:val="18"/>
                <w:szCs w:val="18"/>
                <w:lang w:eastAsia="cs-CZ"/>
              </w:rPr>
            </w:pPr>
            <w:bookmarkStart w:id="211" w:name="_Hlk120643848"/>
            <w:r w:rsidRPr="00DA1623">
              <w:rPr>
                <w:rFonts w:cstheme="minorHAnsi"/>
                <w:color w:val="000000"/>
                <w:sz w:val="18"/>
                <w:szCs w:val="18"/>
              </w:rPr>
              <w:t>Mobilheim Horní Staré Buky</w:t>
            </w:r>
            <w:bookmarkEnd w:id="211"/>
          </w:p>
        </w:tc>
        <w:tc>
          <w:tcPr>
            <w:tcW w:w="1384" w:type="pct"/>
            <w:tcBorders>
              <w:top w:val="single" w:sz="6" w:space="0" w:color="auto"/>
              <w:bottom w:val="single" w:sz="6" w:space="0" w:color="auto"/>
            </w:tcBorders>
            <w:shd w:val="clear" w:color="auto" w:fill="auto"/>
            <w:noWrap/>
            <w:vAlign w:val="center"/>
          </w:tcPr>
          <w:p w14:paraId="70F371B6" w14:textId="77777777" w:rsidR="00DA1623" w:rsidRDefault="00DA1623" w:rsidP="00DA1623">
            <w:pPr>
              <w:jc w:val="center"/>
              <w:rPr>
                <w:rFonts w:cstheme="minorHAnsi"/>
                <w:color w:val="000000"/>
                <w:sz w:val="18"/>
                <w:szCs w:val="18"/>
              </w:rPr>
            </w:pPr>
            <w:r>
              <w:rPr>
                <w:rFonts w:cstheme="minorHAnsi"/>
                <w:color w:val="000000"/>
                <w:sz w:val="18"/>
                <w:szCs w:val="18"/>
              </w:rPr>
              <w:t>Zeměpisné souřadnice:</w:t>
            </w:r>
          </w:p>
          <w:p w14:paraId="4B8E8B10" w14:textId="77777777" w:rsidR="00DA1623" w:rsidRDefault="00DA1623" w:rsidP="00DA1623">
            <w:pPr>
              <w:jc w:val="center"/>
              <w:rPr>
                <w:rFonts w:cstheme="minorHAnsi"/>
                <w:color w:val="000000"/>
                <w:sz w:val="18"/>
                <w:szCs w:val="18"/>
              </w:rPr>
            </w:pPr>
            <w:r w:rsidRPr="00DA1623">
              <w:rPr>
                <w:rFonts w:cstheme="minorHAnsi"/>
                <w:color w:val="000000"/>
                <w:sz w:val="18"/>
                <w:szCs w:val="18"/>
              </w:rPr>
              <w:t>50.52267</w:t>
            </w:r>
            <w:r>
              <w:rPr>
                <w:rFonts w:cstheme="minorHAnsi"/>
                <w:color w:val="000000"/>
                <w:sz w:val="18"/>
                <w:szCs w:val="18"/>
              </w:rPr>
              <w:t xml:space="preserve"> severní šířky</w:t>
            </w:r>
          </w:p>
          <w:p w14:paraId="38E76495" w14:textId="02608302"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15.87609</w:t>
            </w:r>
            <w:r>
              <w:rPr>
                <w:rFonts w:cstheme="minorHAnsi"/>
                <w:color w:val="000000"/>
                <w:sz w:val="18"/>
                <w:szCs w:val="18"/>
              </w:rPr>
              <w:t xml:space="preserve"> východní délky</w:t>
            </w:r>
          </w:p>
        </w:tc>
        <w:tc>
          <w:tcPr>
            <w:tcW w:w="462" w:type="pct"/>
            <w:tcBorders>
              <w:top w:val="single" w:sz="6" w:space="0" w:color="auto"/>
              <w:bottom w:val="single" w:sz="6" w:space="0" w:color="auto"/>
            </w:tcBorders>
            <w:shd w:val="clear" w:color="auto" w:fill="auto"/>
            <w:noWrap/>
            <w:vAlign w:val="center"/>
          </w:tcPr>
          <w:p w14:paraId="200A6E57" w14:textId="41DBCBEE"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6</w:t>
            </w:r>
          </w:p>
        </w:tc>
        <w:bookmarkStart w:id="212" w:name="_Hlk120643855"/>
        <w:tc>
          <w:tcPr>
            <w:tcW w:w="2269" w:type="pct"/>
            <w:tcBorders>
              <w:top w:val="single" w:sz="6" w:space="0" w:color="auto"/>
              <w:bottom w:val="single" w:sz="6" w:space="0" w:color="auto"/>
            </w:tcBorders>
            <w:shd w:val="clear" w:color="auto" w:fill="auto"/>
            <w:noWrap/>
            <w:vAlign w:val="center"/>
          </w:tcPr>
          <w:p w14:paraId="4B37BAA6" w14:textId="282B4387" w:rsidR="00DA1623" w:rsidRPr="00DA1623" w:rsidRDefault="00000000" w:rsidP="00DA1623">
            <w:pPr>
              <w:jc w:val="center"/>
              <w:rPr>
                <w:rStyle w:val="Hypertextovodkaz"/>
                <w:rFonts w:eastAsia="Times New Roman" w:cstheme="minorHAnsi"/>
                <w:sz w:val="18"/>
                <w:szCs w:val="18"/>
                <w:lang w:eastAsia="cs-CZ"/>
              </w:rPr>
            </w:pPr>
            <w:r>
              <w:fldChar w:fldCharType="begin"/>
            </w:r>
            <w:r>
              <w:instrText>HYPERLINK "https://www.e-chalupy.cz/vychodni_cechy/ubytovani-horni-stare-buky-chata-mobilheim-pronajem-3461.php"</w:instrText>
            </w:r>
            <w:r>
              <w:fldChar w:fldCharType="separate"/>
            </w:r>
            <w:r w:rsidR="00DA1623" w:rsidRPr="00DA1623">
              <w:rPr>
                <w:rStyle w:val="Hypertextovodkaz"/>
                <w:rFonts w:cstheme="minorHAnsi"/>
                <w:sz w:val="18"/>
                <w:szCs w:val="18"/>
              </w:rPr>
              <w:t>https://www.e-chalupy.cz/vychodni_cechy/ubytovani-horni-stare-buky-chata-mobilheim-pronajem-3461.php</w:t>
            </w:r>
            <w:r>
              <w:rPr>
                <w:rStyle w:val="Hypertextovodkaz"/>
                <w:rFonts w:cstheme="minorHAnsi"/>
                <w:sz w:val="18"/>
                <w:szCs w:val="18"/>
              </w:rPr>
              <w:fldChar w:fldCharType="end"/>
            </w:r>
            <w:bookmarkEnd w:id="212"/>
          </w:p>
        </w:tc>
      </w:tr>
      <w:tr w:rsidR="00DA1623" w:rsidRPr="00C90BCF" w14:paraId="2E99EEC1" w14:textId="77777777" w:rsidTr="00DA1623">
        <w:trPr>
          <w:trHeight w:val="300"/>
          <w:jc w:val="center"/>
        </w:trPr>
        <w:tc>
          <w:tcPr>
            <w:tcW w:w="885" w:type="pct"/>
            <w:tcBorders>
              <w:top w:val="single" w:sz="6" w:space="0" w:color="auto"/>
              <w:bottom w:val="single" w:sz="6" w:space="0" w:color="auto"/>
            </w:tcBorders>
            <w:shd w:val="clear" w:color="auto" w:fill="D9D9D9" w:themeFill="background1" w:themeFillShade="D9"/>
            <w:noWrap/>
            <w:vAlign w:val="center"/>
          </w:tcPr>
          <w:p w14:paraId="1D9828CA" w14:textId="1ECA5242" w:rsidR="00DA1623" w:rsidRPr="00DA1623" w:rsidRDefault="00DA1623" w:rsidP="00DA1623">
            <w:pPr>
              <w:jc w:val="center"/>
              <w:rPr>
                <w:rFonts w:eastAsia="Times New Roman" w:cstheme="minorHAnsi"/>
                <w:color w:val="000000"/>
                <w:sz w:val="18"/>
                <w:szCs w:val="18"/>
                <w:lang w:eastAsia="cs-CZ"/>
              </w:rPr>
            </w:pPr>
            <w:bookmarkStart w:id="213" w:name="_Hlk120643867"/>
            <w:r w:rsidRPr="00DA1623">
              <w:rPr>
                <w:rFonts w:cstheme="minorHAnsi"/>
                <w:color w:val="000000"/>
                <w:sz w:val="18"/>
                <w:szCs w:val="18"/>
              </w:rPr>
              <w:t>Pohádková roubenka</w:t>
            </w:r>
            <w:bookmarkEnd w:id="213"/>
          </w:p>
        </w:tc>
        <w:tc>
          <w:tcPr>
            <w:tcW w:w="1384" w:type="pct"/>
            <w:tcBorders>
              <w:top w:val="single" w:sz="6" w:space="0" w:color="auto"/>
              <w:bottom w:val="single" w:sz="6" w:space="0" w:color="auto"/>
            </w:tcBorders>
            <w:shd w:val="clear" w:color="auto" w:fill="auto"/>
            <w:noWrap/>
            <w:vAlign w:val="center"/>
          </w:tcPr>
          <w:p w14:paraId="7161807B" w14:textId="331A8711"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Horní Staré Buky č. p. 133</w:t>
            </w:r>
            <w:r>
              <w:rPr>
                <w:rFonts w:cstheme="minorHAnsi"/>
                <w:color w:val="000000"/>
                <w:sz w:val="18"/>
                <w:szCs w:val="18"/>
              </w:rPr>
              <w:br/>
            </w:r>
            <w:r w:rsidRPr="00DA1623">
              <w:rPr>
                <w:rFonts w:cstheme="minorHAnsi"/>
                <w:color w:val="000000"/>
                <w:sz w:val="18"/>
                <w:szCs w:val="18"/>
              </w:rPr>
              <w:t>541 01 Staré Buky</w:t>
            </w:r>
          </w:p>
        </w:tc>
        <w:tc>
          <w:tcPr>
            <w:tcW w:w="462" w:type="pct"/>
            <w:tcBorders>
              <w:top w:val="single" w:sz="6" w:space="0" w:color="auto"/>
              <w:bottom w:val="single" w:sz="6" w:space="0" w:color="auto"/>
            </w:tcBorders>
            <w:shd w:val="clear" w:color="auto" w:fill="auto"/>
            <w:noWrap/>
            <w:vAlign w:val="center"/>
          </w:tcPr>
          <w:p w14:paraId="448AEA3E" w14:textId="09F5A4B7"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10</w:t>
            </w:r>
          </w:p>
        </w:tc>
        <w:bookmarkStart w:id="214" w:name="_Hlk120643886"/>
        <w:tc>
          <w:tcPr>
            <w:tcW w:w="2269" w:type="pct"/>
            <w:tcBorders>
              <w:top w:val="single" w:sz="6" w:space="0" w:color="auto"/>
              <w:bottom w:val="single" w:sz="6" w:space="0" w:color="auto"/>
            </w:tcBorders>
            <w:shd w:val="clear" w:color="auto" w:fill="auto"/>
            <w:noWrap/>
            <w:vAlign w:val="center"/>
          </w:tcPr>
          <w:p w14:paraId="2049143B" w14:textId="2FBCC1AB" w:rsidR="00DA1623" w:rsidRPr="00DA1623" w:rsidRDefault="00000000" w:rsidP="00DA1623">
            <w:pPr>
              <w:jc w:val="center"/>
              <w:rPr>
                <w:rStyle w:val="Hypertextovodkaz"/>
                <w:rFonts w:eastAsia="Times New Roman" w:cstheme="minorHAnsi"/>
                <w:sz w:val="18"/>
                <w:szCs w:val="18"/>
                <w:lang w:eastAsia="cs-CZ"/>
              </w:rPr>
            </w:pPr>
            <w:r>
              <w:fldChar w:fldCharType="begin"/>
            </w:r>
            <w:r>
              <w:instrText>HYPERLINK "https://www.e-chalupy.cz/krkonose/pohadkova-roubenka-horni-stare-buky-pronajem-14284.php"</w:instrText>
            </w:r>
            <w:r>
              <w:fldChar w:fldCharType="separate"/>
            </w:r>
            <w:r w:rsidR="00DA1623" w:rsidRPr="00DA1623">
              <w:rPr>
                <w:rStyle w:val="Hypertextovodkaz"/>
                <w:rFonts w:cstheme="minorHAnsi"/>
                <w:sz w:val="18"/>
                <w:szCs w:val="18"/>
              </w:rPr>
              <w:t>https://www.e-chalupy.cz/krkonose/pohadkova-roubenka-horni-stare-buky-pronajem-14284.php</w:t>
            </w:r>
            <w:r>
              <w:rPr>
                <w:rStyle w:val="Hypertextovodkaz"/>
                <w:rFonts w:cstheme="minorHAnsi"/>
                <w:sz w:val="18"/>
                <w:szCs w:val="18"/>
              </w:rPr>
              <w:fldChar w:fldCharType="end"/>
            </w:r>
            <w:bookmarkEnd w:id="214"/>
          </w:p>
        </w:tc>
      </w:tr>
      <w:tr w:rsidR="00DA1623" w:rsidRPr="00C90BCF" w14:paraId="72D991D1" w14:textId="77777777" w:rsidTr="00DA1623">
        <w:trPr>
          <w:trHeight w:val="300"/>
          <w:jc w:val="center"/>
        </w:trPr>
        <w:tc>
          <w:tcPr>
            <w:tcW w:w="885" w:type="pct"/>
            <w:tcBorders>
              <w:top w:val="single" w:sz="6" w:space="0" w:color="auto"/>
              <w:bottom w:val="single" w:sz="6" w:space="0" w:color="auto"/>
            </w:tcBorders>
            <w:shd w:val="clear" w:color="auto" w:fill="D9D9D9" w:themeFill="background1" w:themeFillShade="D9"/>
            <w:noWrap/>
            <w:vAlign w:val="center"/>
          </w:tcPr>
          <w:p w14:paraId="62693B5A" w14:textId="775E9802" w:rsidR="00DA1623" w:rsidRPr="00DA1623" w:rsidRDefault="00DA1623" w:rsidP="00DA1623">
            <w:pPr>
              <w:jc w:val="center"/>
              <w:rPr>
                <w:rFonts w:eastAsia="Times New Roman" w:cstheme="minorHAnsi"/>
                <w:color w:val="000000"/>
                <w:sz w:val="18"/>
                <w:szCs w:val="18"/>
                <w:lang w:eastAsia="cs-CZ"/>
              </w:rPr>
            </w:pPr>
            <w:bookmarkStart w:id="215" w:name="_Hlk120643873"/>
            <w:r w:rsidRPr="00DA1623">
              <w:rPr>
                <w:rFonts w:cstheme="minorHAnsi"/>
                <w:color w:val="000000"/>
                <w:sz w:val="18"/>
                <w:szCs w:val="18"/>
              </w:rPr>
              <w:t>Ubytování Hany 50</w:t>
            </w:r>
            <w:bookmarkEnd w:id="215"/>
          </w:p>
        </w:tc>
        <w:tc>
          <w:tcPr>
            <w:tcW w:w="1384" w:type="pct"/>
            <w:tcBorders>
              <w:top w:val="single" w:sz="6" w:space="0" w:color="auto"/>
              <w:bottom w:val="single" w:sz="6" w:space="0" w:color="auto"/>
            </w:tcBorders>
            <w:shd w:val="clear" w:color="auto" w:fill="auto"/>
            <w:noWrap/>
            <w:vAlign w:val="center"/>
          </w:tcPr>
          <w:p w14:paraId="7A16D258" w14:textId="63A52379"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Horní Staré Buky č. e. 50</w:t>
            </w:r>
            <w:r>
              <w:rPr>
                <w:rFonts w:cstheme="minorHAnsi"/>
                <w:color w:val="000000"/>
                <w:sz w:val="18"/>
                <w:szCs w:val="18"/>
              </w:rPr>
              <w:br/>
            </w:r>
            <w:r w:rsidRPr="00DA1623">
              <w:rPr>
                <w:rFonts w:cstheme="minorHAnsi"/>
                <w:color w:val="000000"/>
                <w:sz w:val="18"/>
                <w:szCs w:val="18"/>
              </w:rPr>
              <w:t>541 01 Staré Buky</w:t>
            </w:r>
          </w:p>
        </w:tc>
        <w:tc>
          <w:tcPr>
            <w:tcW w:w="462" w:type="pct"/>
            <w:tcBorders>
              <w:top w:val="single" w:sz="6" w:space="0" w:color="auto"/>
              <w:bottom w:val="single" w:sz="6" w:space="0" w:color="auto"/>
            </w:tcBorders>
            <w:shd w:val="clear" w:color="auto" w:fill="auto"/>
            <w:noWrap/>
            <w:vAlign w:val="center"/>
          </w:tcPr>
          <w:p w14:paraId="58907453" w14:textId="5BF07C7D"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10</w:t>
            </w:r>
          </w:p>
        </w:tc>
        <w:bookmarkStart w:id="216" w:name="_Hlk120643899"/>
        <w:tc>
          <w:tcPr>
            <w:tcW w:w="2269" w:type="pct"/>
            <w:tcBorders>
              <w:top w:val="single" w:sz="6" w:space="0" w:color="auto"/>
              <w:bottom w:val="single" w:sz="6" w:space="0" w:color="auto"/>
            </w:tcBorders>
            <w:shd w:val="clear" w:color="auto" w:fill="auto"/>
            <w:noWrap/>
            <w:vAlign w:val="center"/>
          </w:tcPr>
          <w:p w14:paraId="38CB85D2" w14:textId="33E4C13F" w:rsidR="00DA1623" w:rsidRPr="00DA1623" w:rsidRDefault="00000000" w:rsidP="00DA1623">
            <w:pPr>
              <w:jc w:val="center"/>
              <w:rPr>
                <w:rStyle w:val="Hypertextovodkaz"/>
                <w:rFonts w:eastAsia="Times New Roman" w:cstheme="minorHAnsi"/>
                <w:sz w:val="18"/>
                <w:szCs w:val="18"/>
                <w:lang w:eastAsia="cs-CZ"/>
              </w:rPr>
            </w:pPr>
            <w:r>
              <w:fldChar w:fldCharType="begin"/>
            </w:r>
            <w:r>
              <w:instrText>HYPERLINK "http://www.hany-tour.com/"</w:instrText>
            </w:r>
            <w:r>
              <w:fldChar w:fldCharType="separate"/>
            </w:r>
            <w:r w:rsidR="00DA1623" w:rsidRPr="00DA1623">
              <w:rPr>
                <w:rStyle w:val="Hypertextovodkaz"/>
                <w:rFonts w:cstheme="minorHAnsi"/>
                <w:sz w:val="18"/>
                <w:szCs w:val="18"/>
              </w:rPr>
              <w:t>http://www.hany-tour.com/</w:t>
            </w:r>
            <w:r>
              <w:rPr>
                <w:rStyle w:val="Hypertextovodkaz"/>
                <w:rFonts w:cstheme="minorHAnsi"/>
                <w:sz w:val="18"/>
                <w:szCs w:val="18"/>
              </w:rPr>
              <w:fldChar w:fldCharType="end"/>
            </w:r>
            <w:bookmarkEnd w:id="216"/>
          </w:p>
        </w:tc>
      </w:tr>
      <w:tr w:rsidR="00DA1623" w:rsidRPr="00C90BCF" w14:paraId="6EE7B33B" w14:textId="77777777" w:rsidTr="00DA1623">
        <w:trPr>
          <w:trHeight w:val="300"/>
          <w:jc w:val="center"/>
        </w:trPr>
        <w:tc>
          <w:tcPr>
            <w:tcW w:w="885" w:type="pct"/>
            <w:tcBorders>
              <w:top w:val="single" w:sz="6" w:space="0" w:color="auto"/>
              <w:bottom w:val="single" w:sz="18" w:space="0" w:color="auto"/>
            </w:tcBorders>
            <w:shd w:val="clear" w:color="auto" w:fill="D9D9D9" w:themeFill="background1" w:themeFillShade="D9"/>
            <w:noWrap/>
            <w:vAlign w:val="center"/>
          </w:tcPr>
          <w:p w14:paraId="249699AC" w14:textId="69D665B3" w:rsidR="00DA1623" w:rsidRPr="00DA1623" w:rsidRDefault="00DA1623" w:rsidP="00DA1623">
            <w:pPr>
              <w:jc w:val="center"/>
              <w:rPr>
                <w:rFonts w:eastAsia="Times New Roman" w:cstheme="minorHAnsi"/>
                <w:color w:val="000000"/>
                <w:sz w:val="18"/>
                <w:szCs w:val="18"/>
                <w:lang w:eastAsia="cs-CZ"/>
              </w:rPr>
            </w:pPr>
            <w:bookmarkStart w:id="217" w:name="_Hlk120643878"/>
            <w:r w:rsidRPr="00DA1623">
              <w:rPr>
                <w:rFonts w:cstheme="minorHAnsi"/>
                <w:color w:val="000000"/>
                <w:sz w:val="18"/>
                <w:szCs w:val="18"/>
              </w:rPr>
              <w:t>Ubytování Pavel Hošek</w:t>
            </w:r>
            <w:bookmarkEnd w:id="217"/>
          </w:p>
        </w:tc>
        <w:tc>
          <w:tcPr>
            <w:tcW w:w="1384" w:type="pct"/>
            <w:tcBorders>
              <w:top w:val="single" w:sz="6" w:space="0" w:color="auto"/>
              <w:bottom w:val="single" w:sz="18" w:space="0" w:color="auto"/>
            </w:tcBorders>
            <w:shd w:val="clear" w:color="auto" w:fill="auto"/>
            <w:noWrap/>
            <w:vAlign w:val="center"/>
          </w:tcPr>
          <w:p w14:paraId="40922570" w14:textId="51DC4659"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Dolní Staré Buky č. p. 9</w:t>
            </w:r>
            <w:r>
              <w:rPr>
                <w:rFonts w:cstheme="minorHAnsi"/>
                <w:color w:val="000000"/>
                <w:sz w:val="18"/>
                <w:szCs w:val="18"/>
              </w:rPr>
              <w:br/>
            </w:r>
            <w:r w:rsidRPr="00DA1623">
              <w:rPr>
                <w:rFonts w:cstheme="minorHAnsi"/>
                <w:color w:val="000000"/>
                <w:sz w:val="18"/>
                <w:szCs w:val="18"/>
              </w:rPr>
              <w:t>541 01 Staré Buky</w:t>
            </w:r>
          </w:p>
        </w:tc>
        <w:tc>
          <w:tcPr>
            <w:tcW w:w="462" w:type="pct"/>
            <w:tcBorders>
              <w:top w:val="single" w:sz="6" w:space="0" w:color="auto"/>
              <w:bottom w:val="single" w:sz="18" w:space="0" w:color="auto"/>
            </w:tcBorders>
            <w:shd w:val="clear" w:color="auto" w:fill="auto"/>
            <w:noWrap/>
            <w:vAlign w:val="center"/>
          </w:tcPr>
          <w:p w14:paraId="41B31E3E" w14:textId="1E1924DE" w:rsidR="00DA1623" w:rsidRPr="00DA1623" w:rsidRDefault="00DA1623" w:rsidP="00DA1623">
            <w:pPr>
              <w:jc w:val="center"/>
              <w:rPr>
                <w:rFonts w:eastAsia="Times New Roman" w:cstheme="minorHAnsi"/>
                <w:color w:val="000000"/>
                <w:sz w:val="18"/>
                <w:szCs w:val="18"/>
                <w:lang w:eastAsia="cs-CZ"/>
              </w:rPr>
            </w:pPr>
            <w:r w:rsidRPr="00DA1623">
              <w:rPr>
                <w:rFonts w:cstheme="minorHAnsi"/>
                <w:color w:val="000000"/>
                <w:sz w:val="18"/>
                <w:szCs w:val="18"/>
              </w:rPr>
              <w:t>10</w:t>
            </w:r>
          </w:p>
        </w:tc>
        <w:bookmarkStart w:id="218" w:name="_Hlk120643905"/>
        <w:tc>
          <w:tcPr>
            <w:tcW w:w="2269" w:type="pct"/>
            <w:tcBorders>
              <w:top w:val="single" w:sz="6" w:space="0" w:color="auto"/>
              <w:bottom w:val="single" w:sz="18" w:space="0" w:color="auto"/>
            </w:tcBorders>
            <w:shd w:val="clear" w:color="auto" w:fill="auto"/>
            <w:noWrap/>
            <w:vAlign w:val="center"/>
          </w:tcPr>
          <w:p w14:paraId="0F9C0139" w14:textId="45A81CC2" w:rsidR="00DA1623" w:rsidRPr="00DA1623" w:rsidRDefault="00000000" w:rsidP="00DA1623">
            <w:pPr>
              <w:jc w:val="center"/>
              <w:rPr>
                <w:rStyle w:val="Hypertextovodkaz"/>
                <w:rFonts w:eastAsia="Times New Roman" w:cstheme="minorHAnsi"/>
                <w:sz w:val="18"/>
                <w:szCs w:val="18"/>
                <w:lang w:eastAsia="cs-CZ"/>
              </w:rPr>
            </w:pPr>
            <w:r>
              <w:fldChar w:fldCharType="begin"/>
            </w:r>
            <w:r>
              <w:instrText>HYPERLINK "https://ubytovani-stare-buky.webnode.cz/"</w:instrText>
            </w:r>
            <w:r>
              <w:fldChar w:fldCharType="separate"/>
            </w:r>
            <w:r w:rsidR="00DA1623" w:rsidRPr="00DA1623">
              <w:rPr>
                <w:rStyle w:val="Hypertextovodkaz"/>
                <w:rFonts w:cstheme="minorHAnsi"/>
                <w:sz w:val="18"/>
                <w:szCs w:val="18"/>
              </w:rPr>
              <w:t>https://ubytovani-stare-buky.webnode.cz/</w:t>
            </w:r>
            <w:r>
              <w:rPr>
                <w:rStyle w:val="Hypertextovodkaz"/>
                <w:rFonts w:cstheme="minorHAnsi"/>
                <w:sz w:val="18"/>
                <w:szCs w:val="18"/>
              </w:rPr>
              <w:fldChar w:fldCharType="end"/>
            </w:r>
            <w:bookmarkEnd w:id="218"/>
          </w:p>
        </w:tc>
      </w:tr>
    </w:tbl>
    <w:p w14:paraId="1EC12283" w14:textId="5AD4B491" w:rsidR="00F75310" w:rsidRDefault="00F75310" w:rsidP="00F75310">
      <w:pPr>
        <w:spacing w:after="160"/>
        <w:contextualSpacing/>
        <w:jc w:val="both"/>
        <w:rPr>
          <w:sz w:val="20"/>
          <w:szCs w:val="20"/>
        </w:rPr>
      </w:pPr>
      <w:r w:rsidRPr="001644C4">
        <w:rPr>
          <w:b/>
          <w:sz w:val="20"/>
          <w:szCs w:val="20"/>
        </w:rPr>
        <w:t>Zdroj</w:t>
      </w:r>
      <w:r w:rsidR="00A54DC4">
        <w:rPr>
          <w:b/>
          <w:sz w:val="20"/>
          <w:szCs w:val="20"/>
        </w:rPr>
        <w:t>e</w:t>
      </w:r>
      <w:r w:rsidRPr="001644C4">
        <w:rPr>
          <w:b/>
          <w:sz w:val="20"/>
          <w:szCs w:val="20"/>
        </w:rPr>
        <w:t>:</w:t>
      </w:r>
      <w:r w:rsidRPr="001644C4">
        <w:rPr>
          <w:sz w:val="20"/>
          <w:szCs w:val="20"/>
        </w:rPr>
        <w:t xml:space="preserve"> </w:t>
      </w:r>
      <w:bookmarkStart w:id="219" w:name="_Hlk86868413"/>
      <w:r w:rsidRPr="001644C4">
        <w:rPr>
          <w:sz w:val="20"/>
          <w:szCs w:val="20"/>
        </w:rPr>
        <w:t xml:space="preserve">Internetové stránky </w:t>
      </w:r>
      <w:r w:rsidR="00DA1623">
        <w:rPr>
          <w:sz w:val="20"/>
          <w:szCs w:val="20"/>
        </w:rPr>
        <w:t>portálu e-chalupy.cz</w:t>
      </w:r>
      <w:bookmarkEnd w:id="219"/>
      <w:r w:rsidR="00DA1623">
        <w:rPr>
          <w:sz w:val="20"/>
          <w:szCs w:val="20"/>
        </w:rPr>
        <w:t xml:space="preserve"> </w:t>
      </w:r>
      <w:hyperlink r:id="rId72" w:history="1">
        <w:r w:rsidR="00DA1623" w:rsidRPr="00384AE2">
          <w:rPr>
            <w:rStyle w:val="Hypertextovodkaz"/>
            <w:sz w:val="20"/>
            <w:szCs w:val="20"/>
          </w:rPr>
          <w:t>https://www.e-chalupy.cz/</w:t>
        </w:r>
      </w:hyperlink>
      <w:r w:rsidR="00DA1623">
        <w:rPr>
          <w:sz w:val="20"/>
          <w:szCs w:val="20"/>
        </w:rPr>
        <w:t xml:space="preserve"> </w:t>
      </w:r>
    </w:p>
    <w:p w14:paraId="2D20101E" w14:textId="413C34F8" w:rsidR="00A54DC4" w:rsidRDefault="00A54DC4" w:rsidP="00F75310">
      <w:pPr>
        <w:spacing w:after="160"/>
        <w:contextualSpacing/>
        <w:jc w:val="both"/>
        <w:rPr>
          <w:rStyle w:val="Hypertextovodkaz"/>
          <w:sz w:val="20"/>
          <w:szCs w:val="20"/>
        </w:rPr>
      </w:pPr>
      <w:r>
        <w:rPr>
          <w:sz w:val="20"/>
          <w:szCs w:val="20"/>
        </w:rPr>
        <w:t xml:space="preserve">              </w:t>
      </w:r>
      <w:r w:rsidRPr="003A33C0">
        <w:rPr>
          <w:sz w:val="20"/>
          <w:szCs w:val="20"/>
        </w:rPr>
        <w:t xml:space="preserve">Internetový mapový server Mapy.cz </w:t>
      </w:r>
      <w:hyperlink r:id="rId73" w:history="1">
        <w:r w:rsidRPr="003A33C0">
          <w:rPr>
            <w:rStyle w:val="Hypertextovodkaz"/>
            <w:sz w:val="20"/>
            <w:szCs w:val="20"/>
          </w:rPr>
          <w:t>https://mapy.cz/</w:t>
        </w:r>
      </w:hyperlink>
    </w:p>
    <w:p w14:paraId="3DC8D640" w14:textId="573F6614" w:rsidR="00A54DC4" w:rsidRDefault="00A54DC4" w:rsidP="00F75310">
      <w:pPr>
        <w:spacing w:after="160"/>
        <w:contextualSpacing/>
        <w:jc w:val="both"/>
        <w:rPr>
          <w:sz w:val="20"/>
          <w:szCs w:val="20"/>
        </w:rPr>
      </w:pPr>
      <w:r>
        <w:rPr>
          <w:sz w:val="20"/>
          <w:szCs w:val="20"/>
        </w:rPr>
        <w:t xml:space="preserve">              </w:t>
      </w:r>
      <w:r w:rsidRPr="001644C4">
        <w:rPr>
          <w:sz w:val="20"/>
          <w:szCs w:val="20"/>
        </w:rPr>
        <w:t>Internetové stránky</w:t>
      </w:r>
      <w:r>
        <w:rPr>
          <w:sz w:val="20"/>
          <w:szCs w:val="20"/>
        </w:rPr>
        <w:t xml:space="preserve"> daných ubytovacích zařízení</w:t>
      </w:r>
    </w:p>
    <w:p w14:paraId="7255C697" w14:textId="648B64F9" w:rsidR="00F75310" w:rsidRDefault="00F75310" w:rsidP="00546C83">
      <w:pPr>
        <w:spacing w:after="160" w:line="259" w:lineRule="auto"/>
        <w:jc w:val="both"/>
      </w:pPr>
    </w:p>
    <w:p w14:paraId="0294DD88" w14:textId="1FE8ECC4" w:rsidR="002A3F09" w:rsidRPr="00FE356A" w:rsidRDefault="00FE356A" w:rsidP="00546C83">
      <w:pPr>
        <w:spacing w:after="160" w:line="259" w:lineRule="auto"/>
        <w:jc w:val="both"/>
      </w:pPr>
      <w:r w:rsidRPr="00FE356A">
        <w:lastRenderedPageBreak/>
        <w:t xml:space="preserve">Z tabulky </w:t>
      </w:r>
      <w:r w:rsidR="00EC79A3">
        <w:t>11</w:t>
      </w:r>
      <w:r>
        <w:t xml:space="preserve"> vyplývá, že na území obce je k dispozici </w:t>
      </w:r>
      <w:r w:rsidR="00EC79A3">
        <w:t>velké množství</w:t>
      </w:r>
      <w:r>
        <w:t xml:space="preserve"> ubytovací</w:t>
      </w:r>
      <w:r w:rsidR="00EC79A3">
        <w:t>ch</w:t>
      </w:r>
      <w:r>
        <w:t xml:space="preserve"> zařízení, konkrétně </w:t>
      </w:r>
      <w:r w:rsidR="00EC79A3">
        <w:t>13</w:t>
      </w:r>
      <w:r>
        <w:t xml:space="preserve">. </w:t>
      </w:r>
      <w:r w:rsidR="00EC79A3">
        <w:t xml:space="preserve">Vybavení jednotlivých ubytovacích zařízení se částečně liší </w:t>
      </w:r>
      <w:r w:rsidR="00AC61D2">
        <w:t>(viz odkazy na jednotlivá ubytování).</w:t>
      </w:r>
      <w:r w:rsidR="00C876F7">
        <w:t xml:space="preserve"> Celkem je na území obce Staré Buky pro návštěvníky k dispozici 130 lůžek.</w:t>
      </w:r>
    </w:p>
    <w:p w14:paraId="770550D8" w14:textId="74D67F63" w:rsidR="00705DD2" w:rsidRDefault="00734DAC" w:rsidP="00546C83">
      <w:pPr>
        <w:spacing w:after="160" w:line="259" w:lineRule="auto"/>
        <w:jc w:val="both"/>
      </w:pPr>
      <w:r>
        <w:t xml:space="preserve">Přehled stravovacích kapacit na území obce </w:t>
      </w:r>
      <w:r w:rsidR="00AC61D2">
        <w:t>Staré Buky</w:t>
      </w:r>
      <w:r w:rsidRPr="00073E04">
        <w:t xml:space="preserve"> shrnuj</w:t>
      </w:r>
      <w:r>
        <w:t xml:space="preserve">e </w:t>
      </w:r>
      <w:r w:rsidRPr="00073E04">
        <w:t>tabulk</w:t>
      </w:r>
      <w:r>
        <w:t>a 1</w:t>
      </w:r>
      <w:r w:rsidR="00AC61D2">
        <w:t>2</w:t>
      </w:r>
      <w:r>
        <w:t>.</w:t>
      </w:r>
      <w:r w:rsidR="008D7796">
        <w:t xml:space="preserve"> Z této tabulky vyplývá, že na území obce jsou k dispozici celkem dvě stravovací zařízení – hospoda U Smrku a rybářská bašta Severka</w:t>
      </w:r>
      <w:r w:rsidR="00C04F8A">
        <w:t xml:space="preserve"> (obrázek </w:t>
      </w:r>
      <w:r w:rsidR="00E7281E">
        <w:t>7</w:t>
      </w:r>
      <w:r w:rsidR="00C04F8A">
        <w:t>)</w:t>
      </w:r>
      <w:r w:rsidR="008D7796">
        <w:t>. Obě zařízení mají svůj facebookový profil.</w:t>
      </w:r>
    </w:p>
    <w:p w14:paraId="4C77C8DF" w14:textId="77777777" w:rsidR="003717FF" w:rsidRDefault="003717FF" w:rsidP="00546C83">
      <w:pPr>
        <w:spacing w:after="160" w:line="259" w:lineRule="auto"/>
        <w:jc w:val="both"/>
      </w:pPr>
    </w:p>
    <w:p w14:paraId="253C4E9A" w14:textId="47777913" w:rsidR="00F75310" w:rsidRPr="0075587F" w:rsidRDefault="00F75310" w:rsidP="0075587F">
      <w:pPr>
        <w:pStyle w:val="TABULKA0"/>
      </w:pPr>
      <w:bookmarkStart w:id="220" w:name="_Toc441221916"/>
      <w:bookmarkStart w:id="221" w:name="_Toc32577789"/>
      <w:bookmarkStart w:id="222" w:name="_Toc120651934"/>
      <w:r w:rsidRPr="0075587F">
        <w:t>Tabulka</w:t>
      </w:r>
      <w:r w:rsidR="00734DAC" w:rsidRPr="0075587F">
        <w:t xml:space="preserve"> 1</w:t>
      </w:r>
      <w:r w:rsidR="00D00881">
        <w:t>2</w:t>
      </w:r>
      <w:r w:rsidRPr="0075587F">
        <w:t xml:space="preserve">: </w:t>
      </w:r>
      <w:bookmarkEnd w:id="220"/>
      <w:bookmarkEnd w:id="221"/>
      <w:r w:rsidR="00FE356A">
        <w:rPr>
          <w:rFonts w:eastAsia="Times New Roman" w:cs="Times New Roman"/>
          <w:color w:val="000000"/>
          <w:lang w:eastAsia="cs-CZ"/>
        </w:rPr>
        <w:t>S</w:t>
      </w:r>
      <w:r w:rsidR="00FE356A" w:rsidRPr="00674D9A">
        <w:rPr>
          <w:rFonts w:eastAsia="Times New Roman" w:cs="Times New Roman"/>
          <w:color w:val="000000"/>
          <w:lang w:eastAsia="cs-CZ"/>
        </w:rPr>
        <w:t>travovací zařízení</w:t>
      </w:r>
      <w:r w:rsidR="00FE356A">
        <w:rPr>
          <w:rFonts w:eastAsia="Times New Roman" w:cs="Times New Roman"/>
          <w:color w:val="000000"/>
          <w:lang w:eastAsia="cs-CZ"/>
        </w:rPr>
        <w:t xml:space="preserve"> </w:t>
      </w:r>
      <w:r w:rsidR="00FE356A">
        <w:t xml:space="preserve">a </w:t>
      </w:r>
      <w:r w:rsidR="00FE356A" w:rsidRPr="0075587F">
        <w:t xml:space="preserve">zařízení </w:t>
      </w:r>
      <w:r w:rsidR="00FE356A" w:rsidRPr="00D4445D">
        <w:t xml:space="preserve">související se stravováním </w:t>
      </w:r>
      <w:r w:rsidR="00FE356A" w:rsidRPr="0075587F">
        <w:t xml:space="preserve">na území obce </w:t>
      </w:r>
      <w:r w:rsidR="00D00881">
        <w:t>Staré Buky</w:t>
      </w:r>
      <w:r w:rsidR="00FE356A">
        <w:t xml:space="preserve"> </w:t>
      </w:r>
      <w:r w:rsidR="00FE356A">
        <w:br/>
      </w:r>
      <w:r w:rsidR="00FE356A" w:rsidRPr="0075587F">
        <w:t>(</w:t>
      </w:r>
      <w:r w:rsidR="00D00881">
        <w:t>ke květnu 2022</w:t>
      </w:r>
      <w:r w:rsidR="00FE356A" w:rsidRPr="0075587F">
        <w:t>)</w:t>
      </w:r>
      <w:bookmarkEnd w:id="222"/>
    </w:p>
    <w:tbl>
      <w:tblPr>
        <w:tblW w:w="4595"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2755"/>
        <w:gridCol w:w="2452"/>
        <w:gridCol w:w="3259"/>
      </w:tblGrid>
      <w:tr w:rsidR="00360EA5" w:rsidRPr="00265D10" w14:paraId="46D0C1D1" w14:textId="77777777" w:rsidTr="00922E71">
        <w:trPr>
          <w:trHeight w:val="352"/>
          <w:jc w:val="center"/>
        </w:trPr>
        <w:tc>
          <w:tcPr>
            <w:tcW w:w="1627" w:type="pct"/>
            <w:tcBorders>
              <w:top w:val="single" w:sz="12" w:space="0" w:color="auto"/>
              <w:bottom w:val="single" w:sz="12" w:space="0" w:color="auto"/>
            </w:tcBorders>
            <w:shd w:val="clear" w:color="auto" w:fill="FFC000"/>
            <w:noWrap/>
            <w:vAlign w:val="center"/>
          </w:tcPr>
          <w:p w14:paraId="4A3F67ED" w14:textId="2891CC91" w:rsidR="00360EA5" w:rsidRPr="00AC2D90" w:rsidRDefault="00FE356A" w:rsidP="0075587F">
            <w:pPr>
              <w:jc w:val="center"/>
              <w:rPr>
                <w:rFonts w:eastAsia="Times New Roman" w:cs="Times New Roman"/>
                <w:b/>
                <w:color w:val="000000"/>
                <w:sz w:val="20"/>
                <w:szCs w:val="20"/>
                <w:lang w:eastAsia="cs-CZ"/>
              </w:rPr>
            </w:pPr>
            <w:r w:rsidRPr="00AC2D90">
              <w:rPr>
                <w:rFonts w:eastAsia="Times New Roman" w:cs="Times New Roman"/>
                <w:b/>
                <w:color w:val="000000"/>
                <w:sz w:val="20"/>
                <w:szCs w:val="20"/>
                <w:lang w:eastAsia="cs-CZ"/>
              </w:rPr>
              <w:t>Název stravovacího zařízení</w:t>
            </w:r>
            <w:r w:rsidRPr="00AC2D90">
              <w:rPr>
                <w:sz w:val="20"/>
                <w:szCs w:val="20"/>
              </w:rPr>
              <w:t xml:space="preserve"> </w:t>
            </w:r>
            <w:r w:rsidRPr="00AC2D90">
              <w:rPr>
                <w:b/>
                <w:bCs/>
                <w:sz w:val="20"/>
                <w:szCs w:val="20"/>
              </w:rPr>
              <w:t>či</w:t>
            </w:r>
            <w:r w:rsidRPr="00AC2D90">
              <w:rPr>
                <w:sz w:val="20"/>
                <w:szCs w:val="20"/>
              </w:rPr>
              <w:t xml:space="preserve"> </w:t>
            </w:r>
            <w:r w:rsidRPr="00AC2D90">
              <w:rPr>
                <w:rFonts w:eastAsia="Times New Roman" w:cs="Times New Roman"/>
                <w:b/>
                <w:color w:val="000000"/>
                <w:sz w:val="20"/>
                <w:szCs w:val="20"/>
                <w:lang w:eastAsia="cs-CZ"/>
              </w:rPr>
              <w:t xml:space="preserve">zařízení souvisejícího </w:t>
            </w:r>
            <w:r w:rsidR="00AC2D90">
              <w:rPr>
                <w:rFonts w:eastAsia="Times New Roman" w:cs="Times New Roman"/>
                <w:b/>
                <w:color w:val="000000"/>
                <w:sz w:val="20"/>
                <w:szCs w:val="20"/>
                <w:lang w:eastAsia="cs-CZ"/>
              </w:rPr>
              <w:br/>
            </w:r>
            <w:r w:rsidRPr="00AC2D90">
              <w:rPr>
                <w:rFonts w:eastAsia="Times New Roman" w:cs="Times New Roman"/>
                <w:b/>
                <w:color w:val="000000"/>
                <w:sz w:val="20"/>
                <w:szCs w:val="20"/>
                <w:lang w:eastAsia="cs-CZ"/>
              </w:rPr>
              <w:t>se stravováním</w:t>
            </w:r>
          </w:p>
        </w:tc>
        <w:tc>
          <w:tcPr>
            <w:tcW w:w="1448" w:type="pct"/>
            <w:tcBorders>
              <w:top w:val="single" w:sz="12" w:space="0" w:color="auto"/>
              <w:bottom w:val="single" w:sz="12" w:space="0" w:color="auto"/>
            </w:tcBorders>
            <w:shd w:val="clear" w:color="auto" w:fill="FFC000"/>
            <w:noWrap/>
            <w:vAlign w:val="center"/>
          </w:tcPr>
          <w:p w14:paraId="7D82B959" w14:textId="2E599974" w:rsidR="00360EA5" w:rsidRPr="00AC2D90" w:rsidRDefault="00360EA5" w:rsidP="0075587F">
            <w:pPr>
              <w:jc w:val="center"/>
              <w:rPr>
                <w:rFonts w:eastAsia="Times New Roman" w:cs="Times New Roman"/>
                <w:b/>
                <w:color w:val="000000"/>
                <w:sz w:val="20"/>
                <w:szCs w:val="20"/>
                <w:lang w:eastAsia="cs-CZ"/>
              </w:rPr>
            </w:pPr>
            <w:r w:rsidRPr="00AC2D90">
              <w:rPr>
                <w:rFonts w:eastAsia="Times New Roman" w:cs="Times New Roman"/>
                <w:b/>
                <w:color w:val="000000"/>
                <w:sz w:val="20"/>
                <w:szCs w:val="20"/>
                <w:lang w:eastAsia="cs-CZ"/>
              </w:rPr>
              <w:t>Adresa</w:t>
            </w:r>
          </w:p>
        </w:tc>
        <w:tc>
          <w:tcPr>
            <w:tcW w:w="1925" w:type="pct"/>
            <w:tcBorders>
              <w:top w:val="single" w:sz="12" w:space="0" w:color="auto"/>
              <w:bottom w:val="single" w:sz="12" w:space="0" w:color="auto"/>
            </w:tcBorders>
            <w:shd w:val="clear" w:color="auto" w:fill="FFC000"/>
            <w:noWrap/>
            <w:vAlign w:val="center"/>
          </w:tcPr>
          <w:p w14:paraId="268B3DDB" w14:textId="3026883B" w:rsidR="00360EA5" w:rsidRPr="00AC2D90" w:rsidRDefault="00360EA5" w:rsidP="0075587F">
            <w:pPr>
              <w:jc w:val="center"/>
              <w:rPr>
                <w:rFonts w:eastAsia="Times New Roman" w:cs="Times New Roman"/>
                <w:b/>
                <w:color w:val="000000"/>
                <w:sz w:val="20"/>
                <w:szCs w:val="20"/>
                <w:lang w:eastAsia="cs-CZ"/>
              </w:rPr>
            </w:pPr>
            <w:r w:rsidRPr="00AC2D90">
              <w:rPr>
                <w:rFonts w:eastAsia="Times New Roman" w:cs="Times New Roman"/>
                <w:b/>
                <w:color w:val="000000"/>
                <w:sz w:val="20"/>
                <w:szCs w:val="20"/>
                <w:lang w:eastAsia="cs-CZ"/>
              </w:rPr>
              <w:t>Internetové stránky</w:t>
            </w:r>
          </w:p>
        </w:tc>
      </w:tr>
      <w:tr w:rsidR="00922E71" w:rsidRPr="00265D10" w14:paraId="65F7CCDB" w14:textId="77777777" w:rsidTr="00922E71">
        <w:trPr>
          <w:trHeight w:val="411"/>
          <w:jc w:val="center"/>
        </w:trPr>
        <w:tc>
          <w:tcPr>
            <w:tcW w:w="1627" w:type="pct"/>
            <w:tcBorders>
              <w:top w:val="single" w:sz="12" w:space="0" w:color="auto"/>
              <w:bottom w:val="single" w:sz="6" w:space="0" w:color="auto"/>
            </w:tcBorders>
            <w:shd w:val="clear" w:color="auto" w:fill="D9D9D9" w:themeFill="background1" w:themeFillShade="D9"/>
            <w:noWrap/>
            <w:vAlign w:val="center"/>
          </w:tcPr>
          <w:p w14:paraId="36224B2C" w14:textId="62C90AA8" w:rsidR="00922E71" w:rsidRPr="00922E71" w:rsidRDefault="00922E71" w:rsidP="00922E71">
            <w:pPr>
              <w:jc w:val="center"/>
              <w:rPr>
                <w:rFonts w:eastAsia="Times New Roman" w:cs="Times New Roman"/>
                <w:bCs/>
                <w:color w:val="000000"/>
                <w:sz w:val="18"/>
                <w:szCs w:val="18"/>
                <w:lang w:eastAsia="cs-CZ"/>
              </w:rPr>
            </w:pPr>
            <w:bookmarkStart w:id="223" w:name="_Hlk120643971"/>
            <w:r w:rsidRPr="00922E71">
              <w:rPr>
                <w:rFonts w:ascii="Calibri" w:hAnsi="Calibri" w:cs="Calibri"/>
                <w:color w:val="000000"/>
                <w:sz w:val="18"/>
                <w:szCs w:val="18"/>
              </w:rPr>
              <w:t>Hospoda U Smrku</w:t>
            </w:r>
            <w:bookmarkEnd w:id="223"/>
          </w:p>
        </w:tc>
        <w:tc>
          <w:tcPr>
            <w:tcW w:w="1448" w:type="pct"/>
            <w:tcBorders>
              <w:top w:val="single" w:sz="12" w:space="0" w:color="auto"/>
              <w:bottom w:val="single" w:sz="6" w:space="0" w:color="auto"/>
            </w:tcBorders>
            <w:shd w:val="clear" w:color="auto" w:fill="auto"/>
            <w:noWrap/>
            <w:vAlign w:val="center"/>
          </w:tcPr>
          <w:p w14:paraId="5CAAAE59" w14:textId="69D6B80C" w:rsidR="00922E71" w:rsidRPr="00922E71" w:rsidRDefault="00922E71" w:rsidP="00922E71">
            <w:pPr>
              <w:jc w:val="center"/>
              <w:rPr>
                <w:rFonts w:eastAsia="Times New Roman" w:cs="Times New Roman"/>
                <w:bCs/>
                <w:color w:val="000000"/>
                <w:sz w:val="18"/>
                <w:szCs w:val="18"/>
                <w:lang w:eastAsia="cs-CZ"/>
              </w:rPr>
            </w:pPr>
            <w:r w:rsidRPr="00922E71">
              <w:rPr>
                <w:rFonts w:ascii="Calibri" w:hAnsi="Calibri" w:cs="Calibri"/>
                <w:color w:val="000000"/>
                <w:sz w:val="18"/>
                <w:szCs w:val="18"/>
              </w:rPr>
              <w:t>Prostřední Staré Buky č. p. 59</w:t>
            </w:r>
            <w:r>
              <w:rPr>
                <w:rFonts w:ascii="Calibri" w:hAnsi="Calibri" w:cs="Calibri"/>
                <w:color w:val="000000"/>
                <w:sz w:val="18"/>
                <w:szCs w:val="18"/>
              </w:rPr>
              <w:br/>
            </w:r>
            <w:r w:rsidRPr="00922E71">
              <w:rPr>
                <w:rFonts w:ascii="Calibri" w:hAnsi="Calibri" w:cs="Calibri"/>
                <w:color w:val="000000"/>
                <w:sz w:val="18"/>
                <w:szCs w:val="18"/>
              </w:rPr>
              <w:t>541 01 Staré Buky</w:t>
            </w:r>
          </w:p>
        </w:tc>
        <w:bookmarkStart w:id="224" w:name="_Hlk120643980"/>
        <w:tc>
          <w:tcPr>
            <w:tcW w:w="1925" w:type="pct"/>
            <w:tcBorders>
              <w:top w:val="single" w:sz="12" w:space="0" w:color="auto"/>
              <w:bottom w:val="single" w:sz="6" w:space="0" w:color="auto"/>
            </w:tcBorders>
            <w:shd w:val="clear" w:color="auto" w:fill="auto"/>
            <w:noWrap/>
            <w:vAlign w:val="center"/>
          </w:tcPr>
          <w:p w14:paraId="34BA3108" w14:textId="13927158" w:rsidR="00922E71" w:rsidRPr="00922E71" w:rsidRDefault="00000000" w:rsidP="00922E71">
            <w:pPr>
              <w:jc w:val="center"/>
              <w:rPr>
                <w:rFonts w:eastAsia="Times New Roman" w:cs="Times New Roman"/>
                <w:bCs/>
                <w:color w:val="000000"/>
                <w:sz w:val="18"/>
                <w:szCs w:val="18"/>
                <w:lang w:eastAsia="cs-CZ"/>
              </w:rPr>
            </w:pPr>
            <w:r>
              <w:fldChar w:fldCharType="begin"/>
            </w:r>
            <w:r>
              <w:instrText>HYPERLINK "https://www.facebook.com/hospoda59/"</w:instrText>
            </w:r>
            <w:r>
              <w:fldChar w:fldCharType="separate"/>
            </w:r>
            <w:r w:rsidR="00922E71" w:rsidRPr="00922E71">
              <w:rPr>
                <w:rStyle w:val="Hypertextovodkaz"/>
                <w:rFonts w:ascii="Calibri" w:hAnsi="Calibri" w:cs="Calibri"/>
                <w:sz w:val="18"/>
                <w:szCs w:val="18"/>
              </w:rPr>
              <w:t>https://www.facebook.com/hospoda59/</w:t>
            </w:r>
            <w:r>
              <w:rPr>
                <w:rStyle w:val="Hypertextovodkaz"/>
                <w:rFonts w:ascii="Calibri" w:hAnsi="Calibri" w:cs="Calibri"/>
                <w:sz w:val="18"/>
                <w:szCs w:val="18"/>
              </w:rPr>
              <w:fldChar w:fldCharType="end"/>
            </w:r>
            <w:bookmarkEnd w:id="224"/>
          </w:p>
        </w:tc>
      </w:tr>
      <w:tr w:rsidR="00922E71" w:rsidRPr="00265D10" w14:paraId="34BE8AB3" w14:textId="77777777" w:rsidTr="00922E71">
        <w:trPr>
          <w:trHeight w:val="411"/>
          <w:jc w:val="center"/>
        </w:trPr>
        <w:tc>
          <w:tcPr>
            <w:tcW w:w="1627" w:type="pct"/>
            <w:tcBorders>
              <w:top w:val="single" w:sz="6" w:space="0" w:color="auto"/>
              <w:bottom w:val="single" w:sz="12" w:space="0" w:color="auto"/>
            </w:tcBorders>
            <w:shd w:val="clear" w:color="auto" w:fill="D9D9D9" w:themeFill="background1" w:themeFillShade="D9"/>
            <w:noWrap/>
            <w:vAlign w:val="center"/>
          </w:tcPr>
          <w:p w14:paraId="23B123A1" w14:textId="7412FD8E" w:rsidR="00922E71" w:rsidRPr="00922E71" w:rsidRDefault="00922E71" w:rsidP="00922E71">
            <w:pPr>
              <w:jc w:val="center"/>
              <w:rPr>
                <w:rFonts w:eastAsia="Times New Roman" w:cs="Times New Roman"/>
                <w:bCs/>
                <w:color w:val="000000"/>
                <w:sz w:val="18"/>
                <w:szCs w:val="18"/>
                <w:lang w:eastAsia="cs-CZ"/>
              </w:rPr>
            </w:pPr>
            <w:bookmarkStart w:id="225" w:name="_Hlk120644000"/>
            <w:r w:rsidRPr="00922E71">
              <w:rPr>
                <w:rFonts w:ascii="Calibri" w:hAnsi="Calibri" w:cs="Calibri"/>
                <w:color w:val="000000"/>
                <w:sz w:val="18"/>
                <w:szCs w:val="18"/>
              </w:rPr>
              <w:t>Rybářská bašta Severka</w:t>
            </w:r>
            <w:bookmarkEnd w:id="225"/>
          </w:p>
        </w:tc>
        <w:tc>
          <w:tcPr>
            <w:tcW w:w="1448" w:type="pct"/>
            <w:tcBorders>
              <w:top w:val="single" w:sz="6" w:space="0" w:color="auto"/>
              <w:bottom w:val="single" w:sz="12" w:space="0" w:color="auto"/>
            </w:tcBorders>
            <w:shd w:val="clear" w:color="auto" w:fill="auto"/>
            <w:noWrap/>
            <w:vAlign w:val="center"/>
          </w:tcPr>
          <w:p w14:paraId="5DB0A723" w14:textId="218A4A04" w:rsidR="00922E71" w:rsidRPr="00922E71" w:rsidRDefault="00922E71" w:rsidP="00922E71">
            <w:pPr>
              <w:jc w:val="center"/>
              <w:rPr>
                <w:rFonts w:eastAsia="Times New Roman" w:cs="Times New Roman"/>
                <w:bCs/>
                <w:color w:val="000000"/>
                <w:sz w:val="18"/>
                <w:szCs w:val="18"/>
                <w:lang w:eastAsia="cs-CZ"/>
              </w:rPr>
            </w:pPr>
            <w:r w:rsidRPr="00922E71">
              <w:rPr>
                <w:rFonts w:ascii="Calibri" w:hAnsi="Calibri" w:cs="Calibri"/>
                <w:color w:val="000000"/>
                <w:sz w:val="18"/>
                <w:szCs w:val="18"/>
              </w:rPr>
              <w:t>Prostřední Staré Buky č. p. 152</w:t>
            </w:r>
            <w:r>
              <w:rPr>
                <w:rFonts w:ascii="Calibri" w:hAnsi="Calibri" w:cs="Calibri"/>
                <w:color w:val="000000"/>
                <w:sz w:val="18"/>
                <w:szCs w:val="18"/>
              </w:rPr>
              <w:br/>
            </w:r>
            <w:r w:rsidRPr="00922E71">
              <w:rPr>
                <w:rFonts w:ascii="Calibri" w:hAnsi="Calibri" w:cs="Calibri"/>
                <w:color w:val="000000"/>
                <w:sz w:val="18"/>
                <w:szCs w:val="18"/>
              </w:rPr>
              <w:t>541 01 Staré Buky</w:t>
            </w:r>
          </w:p>
        </w:tc>
        <w:bookmarkStart w:id="226" w:name="_Hlk120644009"/>
        <w:tc>
          <w:tcPr>
            <w:tcW w:w="1925" w:type="pct"/>
            <w:tcBorders>
              <w:top w:val="single" w:sz="6" w:space="0" w:color="auto"/>
              <w:bottom w:val="single" w:sz="12" w:space="0" w:color="auto"/>
            </w:tcBorders>
            <w:shd w:val="clear" w:color="auto" w:fill="auto"/>
            <w:noWrap/>
            <w:vAlign w:val="center"/>
          </w:tcPr>
          <w:p w14:paraId="5D08C6C6" w14:textId="7567E352" w:rsidR="00922E71" w:rsidRPr="00922E71" w:rsidRDefault="00000000" w:rsidP="00922E71">
            <w:pPr>
              <w:jc w:val="center"/>
              <w:rPr>
                <w:rFonts w:eastAsia="Times New Roman" w:cs="Times New Roman"/>
                <w:bCs/>
                <w:color w:val="000000"/>
                <w:sz w:val="18"/>
                <w:szCs w:val="18"/>
                <w:lang w:eastAsia="cs-CZ"/>
              </w:rPr>
            </w:pPr>
            <w:r>
              <w:fldChar w:fldCharType="begin"/>
            </w:r>
            <w:r>
              <w:instrText>HYPERLINK "https://www.facebook.com/Severka-Ryb%C3%A1%C5%99sk%C3%A1-Ba%C5%A1ta-2671642739544828/"</w:instrText>
            </w:r>
            <w:r>
              <w:fldChar w:fldCharType="separate"/>
            </w:r>
            <w:r w:rsidR="00922E71" w:rsidRPr="00922E71">
              <w:rPr>
                <w:rStyle w:val="Hypertextovodkaz"/>
                <w:rFonts w:ascii="Calibri" w:hAnsi="Calibri" w:cs="Calibri"/>
                <w:sz w:val="18"/>
                <w:szCs w:val="18"/>
              </w:rPr>
              <w:t>https://www.facebook.com/Severka-Ryb%C3%A1%C5%99sk%C3%A1-Ba%C5%A1ta-2671642739544828/</w:t>
            </w:r>
            <w:r>
              <w:rPr>
                <w:rStyle w:val="Hypertextovodkaz"/>
                <w:rFonts w:ascii="Calibri" w:hAnsi="Calibri" w:cs="Calibri"/>
                <w:sz w:val="18"/>
                <w:szCs w:val="18"/>
              </w:rPr>
              <w:fldChar w:fldCharType="end"/>
            </w:r>
            <w:bookmarkEnd w:id="226"/>
          </w:p>
        </w:tc>
      </w:tr>
    </w:tbl>
    <w:p w14:paraId="31898A65" w14:textId="0C1B1CF0" w:rsidR="00F75310" w:rsidRDefault="00F75310" w:rsidP="00F75310">
      <w:pPr>
        <w:spacing w:after="160"/>
        <w:contextualSpacing/>
        <w:jc w:val="both"/>
        <w:rPr>
          <w:sz w:val="20"/>
          <w:szCs w:val="20"/>
        </w:rPr>
      </w:pPr>
      <w:r w:rsidRPr="009B7742">
        <w:rPr>
          <w:b/>
          <w:sz w:val="20"/>
          <w:szCs w:val="20"/>
        </w:rPr>
        <w:t>Zdroj</w:t>
      </w:r>
      <w:r>
        <w:rPr>
          <w:b/>
          <w:sz w:val="20"/>
          <w:szCs w:val="20"/>
        </w:rPr>
        <w:t>e</w:t>
      </w:r>
      <w:r w:rsidRPr="009B7742">
        <w:rPr>
          <w:b/>
          <w:sz w:val="20"/>
          <w:szCs w:val="20"/>
        </w:rPr>
        <w:t>:</w:t>
      </w:r>
      <w:r w:rsidRPr="009B7742">
        <w:rPr>
          <w:sz w:val="20"/>
          <w:szCs w:val="20"/>
        </w:rPr>
        <w:t xml:space="preserve"> </w:t>
      </w:r>
      <w:r w:rsidR="00FE356A" w:rsidRPr="003A33C0">
        <w:rPr>
          <w:sz w:val="20"/>
          <w:szCs w:val="20"/>
        </w:rPr>
        <w:t xml:space="preserve">Internetový mapový server Mapy.cz </w:t>
      </w:r>
      <w:hyperlink r:id="rId74" w:history="1">
        <w:r w:rsidR="00FE356A" w:rsidRPr="003A33C0">
          <w:rPr>
            <w:rStyle w:val="Hypertextovodkaz"/>
            <w:sz w:val="20"/>
            <w:szCs w:val="20"/>
          </w:rPr>
          <w:t>https://mapy.cz/</w:t>
        </w:r>
      </w:hyperlink>
    </w:p>
    <w:p w14:paraId="048F17F1" w14:textId="77777777" w:rsidR="00F75310" w:rsidRDefault="00F75310" w:rsidP="00F75310">
      <w:pPr>
        <w:spacing w:after="160"/>
        <w:contextualSpacing/>
        <w:jc w:val="both"/>
        <w:rPr>
          <w:sz w:val="20"/>
          <w:szCs w:val="20"/>
        </w:rPr>
      </w:pPr>
      <w:r>
        <w:rPr>
          <w:sz w:val="20"/>
          <w:szCs w:val="20"/>
        </w:rPr>
        <w:t xml:space="preserve">              Vlastní průzkum</w:t>
      </w:r>
    </w:p>
    <w:p w14:paraId="42588D84" w14:textId="77777777" w:rsidR="00E169E9" w:rsidRDefault="00E169E9" w:rsidP="00F75310">
      <w:pPr>
        <w:spacing w:after="160" w:line="259" w:lineRule="auto"/>
        <w:jc w:val="both"/>
      </w:pPr>
    </w:p>
    <w:p w14:paraId="36E15B18" w14:textId="6C9155DA" w:rsidR="00C04F8A" w:rsidRDefault="00C04F8A" w:rsidP="00C04F8A">
      <w:pPr>
        <w:pStyle w:val="OBRZEK0"/>
      </w:pPr>
      <w:bookmarkStart w:id="227" w:name="_Toc104473128"/>
      <w:bookmarkStart w:id="228" w:name="_Toc120652026"/>
      <w:r>
        <w:t xml:space="preserve">Obrázek </w:t>
      </w:r>
      <w:r w:rsidR="00E7281E">
        <w:t>7</w:t>
      </w:r>
      <w:r>
        <w:t>: Rybářská bašta Severka</w:t>
      </w:r>
      <w:r w:rsidRPr="003D2736">
        <w:t xml:space="preserve"> </w:t>
      </w:r>
      <w:r>
        <w:t>– stav ke květnu 2022</w:t>
      </w:r>
      <w:bookmarkEnd w:id="227"/>
      <w:bookmarkEnd w:id="228"/>
    </w:p>
    <w:p w14:paraId="7E7088AC" w14:textId="6339883C" w:rsidR="00C04F8A" w:rsidRDefault="00C04F8A" w:rsidP="00C04F8A">
      <w:pPr>
        <w:spacing w:line="259" w:lineRule="auto"/>
        <w:jc w:val="center"/>
        <w:rPr>
          <w:rFonts w:eastAsia="RWXLTG+TimesNewRoman" w:cs="RWXLTG+TimesNewRoman"/>
          <w:bCs/>
        </w:rPr>
      </w:pPr>
      <w:r>
        <w:rPr>
          <w:rFonts w:eastAsia="RWXLTG+TimesNewRoman" w:cs="RWXLTG+TimesNewRoman"/>
          <w:bCs/>
          <w:noProof/>
        </w:rPr>
        <w:drawing>
          <wp:inline distT="0" distB="0" distL="0" distR="0" wp14:anchorId="312C3F90" wp14:editId="59E3CADA">
            <wp:extent cx="5760720" cy="264985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60720" cy="2649855"/>
                    </a:xfrm>
                    <a:prstGeom prst="rect">
                      <a:avLst/>
                    </a:prstGeom>
                  </pic:spPr>
                </pic:pic>
              </a:graphicData>
            </a:graphic>
          </wp:inline>
        </w:drawing>
      </w:r>
    </w:p>
    <w:p w14:paraId="55960A2D" w14:textId="3E383056" w:rsidR="00C04F8A" w:rsidRDefault="00C04F8A" w:rsidP="00C04F8A">
      <w:pPr>
        <w:spacing w:after="160" w:line="259" w:lineRule="auto"/>
        <w:jc w:val="both"/>
      </w:pPr>
      <w:r w:rsidRPr="004D2394">
        <w:rPr>
          <w:rFonts w:eastAsia="RWXLTG+TimesNewRoman" w:cs="RWXLTG+TimesNewRoman"/>
          <w:b/>
          <w:sz w:val="20"/>
          <w:szCs w:val="20"/>
        </w:rPr>
        <w:t>Zdroj:</w:t>
      </w:r>
      <w:r w:rsidRPr="004D2394">
        <w:rPr>
          <w:rFonts w:eastAsia="RWXLTG+TimesNewRoman" w:cs="RWXLTG+TimesNewRoman"/>
          <w:bCs/>
          <w:sz w:val="20"/>
          <w:szCs w:val="20"/>
        </w:rPr>
        <w:t xml:space="preserve"> vlastní průzkum</w:t>
      </w:r>
    </w:p>
    <w:p w14:paraId="4881CEA5" w14:textId="77777777" w:rsidR="00C04F8A" w:rsidRDefault="00C04F8A" w:rsidP="00F75310">
      <w:pPr>
        <w:spacing w:after="160" w:line="259" w:lineRule="auto"/>
        <w:jc w:val="both"/>
      </w:pPr>
    </w:p>
    <w:p w14:paraId="728661C5" w14:textId="78113DEE" w:rsidR="008147E6" w:rsidRDefault="00FE356A" w:rsidP="00F75310">
      <w:pPr>
        <w:spacing w:after="160" w:line="259" w:lineRule="auto"/>
        <w:jc w:val="both"/>
      </w:pPr>
      <w:r>
        <w:t xml:space="preserve">S turistickou infrastrukturou úzce souvisí i </w:t>
      </w:r>
      <w:r w:rsidRPr="00C30522">
        <w:t>informační centrum, které</w:t>
      </w:r>
      <w:r>
        <w:t xml:space="preserve"> v obci návštěvníkům k dispozici není. Nejbližší infocentrum se nachází v </w:t>
      </w:r>
      <w:r w:rsidR="00CC0451">
        <w:t>Trutnově</w:t>
      </w:r>
      <w:r>
        <w:t xml:space="preserve"> (</w:t>
      </w:r>
      <w:r w:rsidR="00CC0451" w:rsidRPr="00910179">
        <w:t>Krakonošovo nám</w:t>
      </w:r>
      <w:r w:rsidR="00CC0451">
        <w:t xml:space="preserve">ěstí </w:t>
      </w:r>
      <w:r>
        <w:t xml:space="preserve">č. p. </w:t>
      </w:r>
      <w:r w:rsidR="00CC0451">
        <w:t>72</w:t>
      </w:r>
      <w:r>
        <w:t>).</w:t>
      </w:r>
    </w:p>
    <w:p w14:paraId="2861BCA0" w14:textId="38B51402" w:rsidR="00AC2D90" w:rsidRDefault="00AC2D90" w:rsidP="00546BA5">
      <w:pPr>
        <w:spacing w:after="160" w:line="259" w:lineRule="auto"/>
        <w:jc w:val="both"/>
      </w:pPr>
      <w:r>
        <w:br w:type="page"/>
      </w:r>
    </w:p>
    <w:p w14:paraId="488E1BEB" w14:textId="77777777" w:rsidR="008147E6" w:rsidRDefault="008147E6" w:rsidP="00814D5A">
      <w:pPr>
        <w:pStyle w:val="Nadpis3"/>
      </w:pPr>
      <w:bookmarkStart w:id="229" w:name="_Toc413418367"/>
      <w:bookmarkStart w:id="230" w:name="_Toc440566346"/>
      <w:bookmarkStart w:id="231" w:name="_Toc441227497"/>
      <w:bookmarkStart w:id="232" w:name="_Toc32580118"/>
      <w:bookmarkStart w:id="233" w:name="_Toc120652143"/>
      <w:r>
        <w:lastRenderedPageBreak/>
        <w:t>2.1.4 Infrastruktura</w:t>
      </w:r>
      <w:bookmarkEnd w:id="229"/>
      <w:bookmarkEnd w:id="230"/>
      <w:bookmarkEnd w:id="231"/>
      <w:bookmarkEnd w:id="232"/>
      <w:bookmarkEnd w:id="233"/>
    </w:p>
    <w:p w14:paraId="0ED1DF64" w14:textId="77777777" w:rsidR="008147E6" w:rsidRDefault="008147E6" w:rsidP="00814D5A">
      <w:pPr>
        <w:pStyle w:val="Nadpis4"/>
      </w:pPr>
      <w:bookmarkStart w:id="234" w:name="_Toc413418368"/>
      <w:bookmarkStart w:id="235" w:name="_Toc440566347"/>
      <w:bookmarkStart w:id="236" w:name="_Toc441227498"/>
      <w:bookmarkStart w:id="237" w:name="_Toc32580119"/>
      <w:bookmarkStart w:id="238" w:name="_Toc120652144"/>
      <w:r>
        <w:t>2.1.4.1 Dopravní infrastruktura</w:t>
      </w:r>
      <w:bookmarkEnd w:id="234"/>
      <w:bookmarkEnd w:id="235"/>
      <w:bookmarkEnd w:id="236"/>
      <w:bookmarkEnd w:id="237"/>
      <w:bookmarkEnd w:id="238"/>
    </w:p>
    <w:p w14:paraId="2473AAB7" w14:textId="77777777" w:rsidR="008147E6" w:rsidRPr="00556F1D" w:rsidRDefault="008147E6" w:rsidP="005B3B38">
      <w:pPr>
        <w:spacing w:after="160" w:line="259" w:lineRule="auto"/>
        <w:jc w:val="both"/>
        <w:rPr>
          <w:u w:val="single"/>
        </w:rPr>
      </w:pPr>
      <w:r w:rsidRPr="00556F1D">
        <w:rPr>
          <w:u w:val="single"/>
        </w:rPr>
        <w:t>Silniční síť a její kvalita</w:t>
      </w:r>
    </w:p>
    <w:p w14:paraId="0724C850" w14:textId="3922404D" w:rsidR="00152B12" w:rsidRDefault="00152B12" w:rsidP="00152B12">
      <w:pPr>
        <w:spacing w:after="160" w:line="259" w:lineRule="auto"/>
        <w:jc w:val="both"/>
      </w:pPr>
      <w:bookmarkStart w:id="239" w:name="_Toc413418369"/>
      <w:bookmarkStart w:id="240" w:name="_Toc440566348"/>
      <w:bookmarkStart w:id="241" w:name="_Toc441227499"/>
      <w:r>
        <w:t xml:space="preserve">Přes území obce </w:t>
      </w:r>
      <w:r w:rsidR="00B86369">
        <w:t>Staré Buky</w:t>
      </w:r>
      <w:r>
        <w:t xml:space="preserve"> </w:t>
      </w:r>
      <w:r w:rsidRPr="005400F8">
        <w:rPr>
          <w:b/>
          <w:bCs/>
        </w:rPr>
        <w:t>prochází</w:t>
      </w:r>
      <w:r>
        <w:t xml:space="preserve"> </w:t>
      </w:r>
      <w:r w:rsidR="001C395C" w:rsidRPr="001C395C">
        <w:rPr>
          <w:b/>
          <w:bCs/>
        </w:rPr>
        <w:t>jedna</w:t>
      </w:r>
      <w:r w:rsidR="001C395C">
        <w:t xml:space="preserve"> </w:t>
      </w:r>
      <w:r w:rsidRPr="001A2E1E">
        <w:rPr>
          <w:b/>
        </w:rPr>
        <w:t>silnice I. třídy</w:t>
      </w:r>
      <w:r w:rsidR="001C395C">
        <w:rPr>
          <w:b/>
        </w:rPr>
        <w:t xml:space="preserve"> </w:t>
      </w:r>
      <w:r w:rsidR="001C395C" w:rsidRPr="001C395C">
        <w:rPr>
          <w:bCs/>
        </w:rPr>
        <w:t>–</w:t>
      </w:r>
      <w:r w:rsidR="001C395C">
        <w:rPr>
          <w:b/>
        </w:rPr>
        <w:t xml:space="preserve"> I/</w:t>
      </w:r>
      <w:r w:rsidR="00B86369">
        <w:rPr>
          <w:b/>
        </w:rPr>
        <w:t>16</w:t>
      </w:r>
      <w:r w:rsidR="00E53A3A">
        <w:rPr>
          <w:bCs/>
        </w:rPr>
        <w:t xml:space="preserve">, která </w:t>
      </w:r>
      <w:r w:rsidR="00E53A3A">
        <w:t>začíná na hranicích s Polskou republikou, vede přes Trutnov, Hostinné až do Jičína</w:t>
      </w:r>
      <w:r w:rsidR="00E53A3A">
        <w:rPr>
          <w:b/>
        </w:rPr>
        <w:t xml:space="preserve">. </w:t>
      </w:r>
      <w:r w:rsidR="00D5442C">
        <w:rPr>
          <w:bCs/>
        </w:rPr>
        <w:t>Vlastníkem této silnice je Česká republika</w:t>
      </w:r>
      <w:r w:rsidR="00D5442C" w:rsidRPr="00D5442C">
        <w:t xml:space="preserve"> </w:t>
      </w:r>
      <w:r w:rsidR="00D5442C">
        <w:t xml:space="preserve">a hospodařit s tímto majetkem je pověřeno </w:t>
      </w:r>
      <w:r w:rsidR="00D5442C">
        <w:rPr>
          <w:bCs/>
        </w:rPr>
        <w:t>Ředitelství silnic a dálnic České republiky.</w:t>
      </w:r>
      <w:r w:rsidR="00E53A3A">
        <w:rPr>
          <w:bCs/>
        </w:rPr>
        <w:t xml:space="preserve"> Z pohledu zastavěného území obce ovšem není tato silnice významná (vyjma dvou domů – Dolní Staré Buky č. p. 151 a 179), neboť prochází pouze severním cípem území obce v délce necelého jednoho kilometru.</w:t>
      </w:r>
    </w:p>
    <w:p w14:paraId="61F394FD" w14:textId="1518B696" w:rsidR="00152B12" w:rsidRDefault="000550C2" w:rsidP="00152B12">
      <w:pPr>
        <w:spacing w:after="160" w:line="259" w:lineRule="auto"/>
        <w:jc w:val="both"/>
      </w:pPr>
      <w:r>
        <w:t>Páteřní komunikací v obci je s</w:t>
      </w:r>
      <w:r w:rsidR="00152B12" w:rsidRPr="00F36030">
        <w:t>ilnice</w:t>
      </w:r>
      <w:r>
        <w:t xml:space="preserve"> III. třídy – </w:t>
      </w:r>
      <w:r w:rsidR="00A70210" w:rsidRPr="00F36030">
        <w:rPr>
          <w:b/>
        </w:rPr>
        <w:t>III/30</w:t>
      </w:r>
      <w:r>
        <w:rPr>
          <w:b/>
        </w:rPr>
        <w:t>018</w:t>
      </w:r>
      <w:r w:rsidR="00C415D7">
        <w:rPr>
          <w:bCs/>
        </w:rPr>
        <w:t xml:space="preserve">. </w:t>
      </w:r>
      <w:r w:rsidR="00680F13">
        <w:t xml:space="preserve">Silnice </w:t>
      </w:r>
      <w:r w:rsidR="00152B12">
        <w:t>začíná vyústěním ze silnice I/</w:t>
      </w:r>
      <w:r w:rsidR="00C415D7">
        <w:t>16</w:t>
      </w:r>
      <w:r w:rsidR="00680F13">
        <w:t xml:space="preserve">, prochází územím obce </w:t>
      </w:r>
      <w:r w:rsidR="00C415D7">
        <w:t>Staré Buky</w:t>
      </w:r>
      <w:r w:rsidR="00680F13">
        <w:t xml:space="preserve">, pokračuje přes </w:t>
      </w:r>
      <w:r w:rsidR="00C415D7">
        <w:t xml:space="preserve">Horní Žďár </w:t>
      </w:r>
      <w:r w:rsidR="00680F13">
        <w:t xml:space="preserve">(místní část obce </w:t>
      </w:r>
      <w:r w:rsidR="00C415D7">
        <w:t>Hajnice</w:t>
      </w:r>
      <w:r w:rsidR="00680F13">
        <w:t xml:space="preserve">) a </w:t>
      </w:r>
      <w:r w:rsidR="00C415D7">
        <w:t>následně zaúsťuje</w:t>
      </w:r>
      <w:r w:rsidR="00A70210">
        <w:t xml:space="preserve"> </w:t>
      </w:r>
      <w:r w:rsidR="00C415D7">
        <w:t>do silnice I/37</w:t>
      </w:r>
      <w:r w:rsidR="00A70210">
        <w:t xml:space="preserve">. Silnice </w:t>
      </w:r>
      <w:r w:rsidR="00680F13">
        <w:t>byla</w:t>
      </w:r>
      <w:r w:rsidR="00A70210">
        <w:t xml:space="preserve"> </w:t>
      </w:r>
      <w:r w:rsidR="00C415D7">
        <w:t>v nedávném období</w:t>
      </w:r>
      <w:r w:rsidR="00680F13">
        <w:t xml:space="preserve"> rekonstruována a je tak ve velmi</w:t>
      </w:r>
      <w:r w:rsidR="00A70210">
        <w:t> dobrém stavu</w:t>
      </w:r>
      <w:r w:rsidR="00152B12">
        <w:t>.</w:t>
      </w:r>
      <w:r w:rsidR="00D62D8E">
        <w:t xml:space="preserve"> </w:t>
      </w:r>
      <w:r w:rsidR="00152B12">
        <w:t>Vlastníkem silnic</w:t>
      </w:r>
      <w:r w:rsidR="00D62D8E">
        <w:t>e</w:t>
      </w:r>
      <w:r w:rsidR="00B83539">
        <w:t xml:space="preserve"> </w:t>
      </w:r>
      <w:r w:rsidR="00D62D8E" w:rsidRPr="00D62D8E">
        <w:t>III/30018</w:t>
      </w:r>
      <w:r w:rsidR="00D62D8E">
        <w:t xml:space="preserve"> </w:t>
      </w:r>
      <w:r w:rsidR="00152B12">
        <w:t>je Královéhradecký kraj a hospodařit s tímto majetkem je pověřena Správa silnic Královéhradeckého kraje (dále SS KHK).</w:t>
      </w:r>
    </w:p>
    <w:p w14:paraId="58A787E6" w14:textId="77777777" w:rsidR="00152B12" w:rsidRDefault="00152B12" w:rsidP="00152B12">
      <w:pPr>
        <w:spacing w:after="160" w:line="259" w:lineRule="auto"/>
        <w:jc w:val="both"/>
      </w:pPr>
      <w:r>
        <w:t>Obcí dále prochází řada</w:t>
      </w:r>
      <w:r w:rsidRPr="008E45AE">
        <w:t xml:space="preserve"> místní</w:t>
      </w:r>
      <w:r>
        <w:t>ch komunikací</w:t>
      </w:r>
      <w:r w:rsidRPr="008E45AE">
        <w:t xml:space="preserve">, které jsou ve správě </w:t>
      </w:r>
      <w:r>
        <w:t>obce</w:t>
      </w:r>
      <w:r w:rsidRPr="008E45AE">
        <w:t xml:space="preserve">. </w:t>
      </w:r>
      <w:r>
        <w:t>Kvalita těchto komunikací je různá.</w:t>
      </w:r>
      <w:r w:rsidRPr="008E45AE">
        <w:t xml:space="preserve"> </w:t>
      </w:r>
    </w:p>
    <w:p w14:paraId="2E15622A" w14:textId="6DFD2CC2" w:rsidR="00152B12" w:rsidRDefault="00152B12" w:rsidP="00152B12">
      <w:pPr>
        <w:spacing w:after="160" w:line="259" w:lineRule="auto"/>
        <w:jc w:val="both"/>
      </w:pPr>
      <w:r w:rsidRPr="00C53245">
        <w:rPr>
          <w:bCs/>
        </w:rPr>
        <w:t>Tabulka 13 zobrazuje informace o intenzitě dopravy</w:t>
      </w:r>
      <w:r w:rsidRPr="00C53245">
        <w:rPr>
          <w:rStyle w:val="Znakapoznpodarou"/>
          <w:bCs/>
        </w:rPr>
        <w:footnoteReference w:id="27"/>
      </w:r>
      <w:r w:rsidRPr="00C53245">
        <w:rPr>
          <w:bCs/>
        </w:rPr>
        <w:t xml:space="preserve"> na silnici I/</w:t>
      </w:r>
      <w:r w:rsidR="003A5A92" w:rsidRPr="00C53245">
        <w:rPr>
          <w:bCs/>
        </w:rPr>
        <w:t>16</w:t>
      </w:r>
      <w:r w:rsidR="00C53245" w:rsidRPr="00C53245">
        <w:rPr>
          <w:bCs/>
        </w:rPr>
        <w:t xml:space="preserve"> v úseku, který spadá do území obce a</w:t>
      </w:r>
      <w:r w:rsidRPr="00C53245">
        <w:rPr>
          <w:bCs/>
        </w:rPr>
        <w:t xml:space="preserve"> </w:t>
      </w:r>
      <w:r w:rsidR="00C53245" w:rsidRPr="00C53245">
        <w:rPr>
          <w:bCs/>
        </w:rPr>
        <w:t>u</w:t>
      </w:r>
      <w:r w:rsidRPr="00C53245">
        <w:rPr>
          <w:bCs/>
        </w:rPr>
        <w:t xml:space="preserve"> silnic</w:t>
      </w:r>
      <w:r w:rsidR="003A5A92" w:rsidRPr="00C53245">
        <w:rPr>
          <w:bCs/>
        </w:rPr>
        <w:t>e</w:t>
      </w:r>
      <w:r w:rsidR="00F31DFC" w:rsidRPr="00C53245">
        <w:rPr>
          <w:bCs/>
        </w:rPr>
        <w:t xml:space="preserve"> </w:t>
      </w:r>
      <w:r w:rsidR="003A5A92" w:rsidRPr="00C53245">
        <w:t>III/30018</w:t>
      </w:r>
      <w:r w:rsidRPr="00C53245">
        <w:rPr>
          <w:bCs/>
        </w:rPr>
        <w:t>.</w:t>
      </w:r>
    </w:p>
    <w:p w14:paraId="0563B669" w14:textId="77777777" w:rsidR="00152B12" w:rsidRDefault="00152B12" w:rsidP="00152B12">
      <w:pPr>
        <w:jc w:val="both"/>
      </w:pPr>
    </w:p>
    <w:p w14:paraId="5D5982C1" w14:textId="6EB95A4A" w:rsidR="00152B12" w:rsidRDefault="00152B12" w:rsidP="00152B12">
      <w:pPr>
        <w:pStyle w:val="TABULKA0"/>
      </w:pPr>
      <w:bookmarkStart w:id="242" w:name="_Toc421451939"/>
      <w:bookmarkStart w:id="243" w:name="_Toc465022152"/>
      <w:bookmarkStart w:id="244" w:name="_Toc480751591"/>
      <w:bookmarkStart w:id="245" w:name="_Toc120651935"/>
      <w:r>
        <w:t xml:space="preserve">Tabulka 13: </w:t>
      </w:r>
      <w:bookmarkEnd w:id="242"/>
      <w:bookmarkEnd w:id="243"/>
      <w:bookmarkEnd w:id="244"/>
      <w:r>
        <w:t>Intenzita dopravy na silnici I/</w:t>
      </w:r>
      <w:r w:rsidR="009D2236">
        <w:t>16</w:t>
      </w:r>
      <w:r w:rsidR="002965BC">
        <w:t xml:space="preserve"> a III/30018</w:t>
      </w:r>
      <w:r w:rsidR="009D2236">
        <w:t xml:space="preserve"> na úz</w:t>
      </w:r>
      <w:r>
        <w:t xml:space="preserve">emí obce </w:t>
      </w:r>
      <w:r w:rsidR="009D2236">
        <w:t>Staré Buky</w:t>
      </w:r>
      <w:bookmarkEnd w:id="245"/>
    </w:p>
    <w:tbl>
      <w:tblPr>
        <w:tblW w:w="4617"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928"/>
        <w:gridCol w:w="2315"/>
        <w:gridCol w:w="752"/>
        <w:gridCol w:w="1250"/>
        <w:gridCol w:w="1136"/>
        <w:gridCol w:w="1134"/>
        <w:gridCol w:w="991"/>
      </w:tblGrid>
      <w:tr w:rsidR="00152B12" w:rsidRPr="00AA3E8C" w14:paraId="6A1C7523" w14:textId="77777777" w:rsidTr="003575C9">
        <w:trPr>
          <w:trHeight w:val="320"/>
          <w:jc w:val="center"/>
        </w:trPr>
        <w:tc>
          <w:tcPr>
            <w:tcW w:w="928" w:type="dxa"/>
            <w:tcBorders>
              <w:top w:val="single" w:sz="18" w:space="0" w:color="auto"/>
              <w:bottom w:val="single" w:sz="12" w:space="0" w:color="auto"/>
            </w:tcBorders>
            <w:shd w:val="clear" w:color="auto" w:fill="FFC000"/>
            <w:noWrap/>
            <w:vAlign w:val="center"/>
            <w:hideMark/>
          </w:tcPr>
          <w:p w14:paraId="4DFA112F" w14:textId="77777777" w:rsidR="00152B12" w:rsidRPr="00AA3E8C" w:rsidRDefault="00152B12" w:rsidP="000A2FCE">
            <w:pPr>
              <w:jc w:val="center"/>
              <w:rPr>
                <w:rFonts w:eastAsia="Times New Roman" w:cs="Times New Roman"/>
                <w:b/>
                <w:color w:val="000000"/>
                <w:sz w:val="20"/>
                <w:szCs w:val="20"/>
                <w:lang w:eastAsia="cs-CZ"/>
              </w:rPr>
            </w:pPr>
            <w:r w:rsidRPr="00AA3E8C">
              <w:rPr>
                <w:rFonts w:eastAsia="Times New Roman" w:cs="Times New Roman"/>
                <w:b/>
                <w:color w:val="000000"/>
                <w:sz w:val="20"/>
                <w:szCs w:val="20"/>
                <w:lang w:eastAsia="cs-CZ"/>
              </w:rPr>
              <w:t>Číslo silnice</w:t>
            </w:r>
          </w:p>
        </w:tc>
        <w:tc>
          <w:tcPr>
            <w:tcW w:w="2315" w:type="dxa"/>
            <w:tcBorders>
              <w:top w:val="single" w:sz="18" w:space="0" w:color="auto"/>
              <w:bottom w:val="single" w:sz="12" w:space="0" w:color="auto"/>
            </w:tcBorders>
            <w:shd w:val="clear" w:color="auto" w:fill="FFC000"/>
            <w:noWrap/>
            <w:vAlign w:val="center"/>
            <w:hideMark/>
          </w:tcPr>
          <w:p w14:paraId="0D722792" w14:textId="77777777" w:rsidR="00152B12" w:rsidRPr="00AA3E8C" w:rsidRDefault="00152B12" w:rsidP="000A2FCE">
            <w:pPr>
              <w:jc w:val="center"/>
              <w:rPr>
                <w:rFonts w:eastAsia="Times New Roman" w:cs="Times New Roman"/>
                <w:color w:val="000000"/>
                <w:sz w:val="20"/>
                <w:szCs w:val="20"/>
                <w:lang w:eastAsia="cs-CZ"/>
              </w:rPr>
            </w:pPr>
            <w:r w:rsidRPr="00AA3E8C">
              <w:rPr>
                <w:rFonts w:eastAsia="Times New Roman" w:cs="Times New Roman"/>
                <w:b/>
                <w:color w:val="000000"/>
                <w:sz w:val="20"/>
                <w:szCs w:val="20"/>
                <w:lang w:eastAsia="cs-CZ"/>
              </w:rPr>
              <w:t>Měřený úsek</w:t>
            </w:r>
          </w:p>
        </w:tc>
        <w:tc>
          <w:tcPr>
            <w:tcW w:w="752" w:type="dxa"/>
            <w:tcBorders>
              <w:top w:val="single" w:sz="18" w:space="0" w:color="auto"/>
              <w:bottom w:val="single" w:sz="12" w:space="0" w:color="auto"/>
            </w:tcBorders>
            <w:shd w:val="clear" w:color="auto" w:fill="FFC000"/>
            <w:vAlign w:val="center"/>
          </w:tcPr>
          <w:p w14:paraId="6F64CA4D" w14:textId="77777777" w:rsidR="00152B12" w:rsidRPr="00AA3E8C" w:rsidRDefault="00152B12" w:rsidP="000A2FCE">
            <w:pPr>
              <w:jc w:val="center"/>
              <w:rPr>
                <w:rFonts w:eastAsia="Times New Roman" w:cs="Times New Roman"/>
                <w:b/>
                <w:color w:val="000000"/>
                <w:sz w:val="20"/>
                <w:szCs w:val="20"/>
                <w:lang w:eastAsia="cs-CZ"/>
              </w:rPr>
            </w:pPr>
            <w:r w:rsidRPr="00AA3E8C">
              <w:rPr>
                <w:rFonts w:eastAsia="Times New Roman" w:cs="Times New Roman"/>
                <w:b/>
                <w:color w:val="000000"/>
                <w:sz w:val="20"/>
                <w:szCs w:val="20"/>
                <w:lang w:eastAsia="cs-CZ"/>
              </w:rPr>
              <w:t>Rok měření</w:t>
            </w:r>
          </w:p>
        </w:tc>
        <w:tc>
          <w:tcPr>
            <w:tcW w:w="1250" w:type="dxa"/>
            <w:tcBorders>
              <w:top w:val="single" w:sz="18" w:space="0" w:color="auto"/>
              <w:bottom w:val="single" w:sz="12" w:space="0" w:color="auto"/>
            </w:tcBorders>
            <w:shd w:val="clear" w:color="auto" w:fill="FFC000"/>
            <w:noWrap/>
            <w:vAlign w:val="center"/>
            <w:hideMark/>
          </w:tcPr>
          <w:p w14:paraId="08B1EA01" w14:textId="77777777" w:rsidR="00152B12" w:rsidRPr="00AA3E8C" w:rsidRDefault="00152B12" w:rsidP="000A2FCE">
            <w:pPr>
              <w:jc w:val="center"/>
              <w:rPr>
                <w:rFonts w:eastAsia="Times New Roman" w:cs="Times New Roman"/>
                <w:b/>
                <w:color w:val="000000"/>
                <w:sz w:val="20"/>
                <w:szCs w:val="20"/>
                <w:lang w:eastAsia="cs-CZ"/>
              </w:rPr>
            </w:pPr>
            <w:r w:rsidRPr="00AA3E8C">
              <w:rPr>
                <w:rFonts w:eastAsia="Times New Roman" w:cs="Times New Roman"/>
                <w:b/>
                <w:color w:val="000000"/>
                <w:sz w:val="20"/>
                <w:szCs w:val="20"/>
                <w:lang w:eastAsia="cs-CZ"/>
              </w:rPr>
              <w:t>Všechna motorová vozidla celkem</w:t>
            </w:r>
          </w:p>
        </w:tc>
        <w:tc>
          <w:tcPr>
            <w:tcW w:w="1136" w:type="dxa"/>
            <w:tcBorders>
              <w:top w:val="single" w:sz="18" w:space="0" w:color="auto"/>
              <w:bottom w:val="single" w:sz="12" w:space="0" w:color="auto"/>
            </w:tcBorders>
            <w:shd w:val="clear" w:color="auto" w:fill="FFC000"/>
            <w:noWrap/>
            <w:vAlign w:val="center"/>
            <w:hideMark/>
          </w:tcPr>
          <w:p w14:paraId="2C6AEFEC" w14:textId="77777777" w:rsidR="00152B12" w:rsidRPr="00AA3E8C" w:rsidRDefault="00152B12" w:rsidP="000A2FCE">
            <w:pPr>
              <w:jc w:val="center"/>
              <w:rPr>
                <w:rFonts w:eastAsia="Times New Roman" w:cs="Times New Roman"/>
                <w:b/>
                <w:color w:val="000000"/>
                <w:sz w:val="20"/>
                <w:szCs w:val="20"/>
                <w:lang w:eastAsia="cs-CZ"/>
              </w:rPr>
            </w:pPr>
            <w:r w:rsidRPr="00AA3E8C">
              <w:rPr>
                <w:rFonts w:eastAsia="Times New Roman" w:cs="Times New Roman"/>
                <w:b/>
                <w:color w:val="000000"/>
                <w:sz w:val="20"/>
                <w:szCs w:val="20"/>
                <w:lang w:eastAsia="cs-CZ"/>
              </w:rPr>
              <w:t>Jednostopá motorová vozidla</w:t>
            </w:r>
          </w:p>
        </w:tc>
        <w:tc>
          <w:tcPr>
            <w:tcW w:w="1134" w:type="dxa"/>
            <w:tcBorders>
              <w:top w:val="single" w:sz="18" w:space="0" w:color="auto"/>
              <w:bottom w:val="single" w:sz="12" w:space="0" w:color="auto"/>
            </w:tcBorders>
            <w:shd w:val="clear" w:color="auto" w:fill="FFC000"/>
            <w:noWrap/>
            <w:vAlign w:val="center"/>
            <w:hideMark/>
          </w:tcPr>
          <w:p w14:paraId="1D82F61F" w14:textId="77777777" w:rsidR="00152B12" w:rsidRPr="00AA3E8C" w:rsidRDefault="00152B12" w:rsidP="000A2FCE">
            <w:pPr>
              <w:jc w:val="center"/>
              <w:rPr>
                <w:rFonts w:eastAsia="Times New Roman" w:cs="Times New Roman"/>
                <w:b/>
                <w:color w:val="000000"/>
                <w:sz w:val="20"/>
                <w:szCs w:val="20"/>
                <w:lang w:eastAsia="cs-CZ"/>
              </w:rPr>
            </w:pPr>
            <w:r w:rsidRPr="00AA3E8C">
              <w:rPr>
                <w:rFonts w:eastAsia="Times New Roman" w:cs="Times New Roman"/>
                <w:b/>
                <w:color w:val="000000"/>
                <w:sz w:val="20"/>
                <w:szCs w:val="20"/>
                <w:lang w:eastAsia="cs-CZ"/>
              </w:rPr>
              <w:t>Osobní a dodávková vozidla</w:t>
            </w:r>
          </w:p>
        </w:tc>
        <w:tc>
          <w:tcPr>
            <w:tcW w:w="991" w:type="dxa"/>
            <w:tcBorders>
              <w:top w:val="single" w:sz="18" w:space="0" w:color="auto"/>
              <w:bottom w:val="single" w:sz="12" w:space="0" w:color="auto"/>
            </w:tcBorders>
            <w:shd w:val="clear" w:color="auto" w:fill="FFC000"/>
            <w:noWrap/>
            <w:vAlign w:val="center"/>
            <w:hideMark/>
          </w:tcPr>
          <w:p w14:paraId="4428BE61" w14:textId="77777777" w:rsidR="00152B12" w:rsidRPr="00AA3E8C" w:rsidRDefault="00152B12" w:rsidP="000A2FCE">
            <w:pPr>
              <w:jc w:val="center"/>
              <w:rPr>
                <w:rFonts w:eastAsia="Times New Roman" w:cs="Times New Roman"/>
                <w:b/>
                <w:color w:val="000000"/>
                <w:sz w:val="20"/>
                <w:szCs w:val="20"/>
                <w:lang w:eastAsia="cs-CZ"/>
              </w:rPr>
            </w:pPr>
            <w:r w:rsidRPr="00AA3E8C">
              <w:rPr>
                <w:rFonts w:eastAsia="Times New Roman" w:cs="Times New Roman"/>
                <w:b/>
                <w:color w:val="000000"/>
                <w:sz w:val="20"/>
                <w:szCs w:val="20"/>
                <w:lang w:eastAsia="cs-CZ"/>
              </w:rPr>
              <w:t>Těžká motorová vozidla</w:t>
            </w:r>
          </w:p>
        </w:tc>
      </w:tr>
      <w:tr w:rsidR="0033090B" w:rsidRPr="00AA3E8C" w14:paraId="68F7FF31" w14:textId="77777777" w:rsidTr="00F608D6">
        <w:trPr>
          <w:trHeight w:val="38"/>
          <w:jc w:val="center"/>
        </w:trPr>
        <w:tc>
          <w:tcPr>
            <w:tcW w:w="928" w:type="dxa"/>
            <w:vMerge w:val="restart"/>
            <w:shd w:val="clear" w:color="auto" w:fill="D9D9D9" w:themeFill="background1" w:themeFillShade="D9"/>
            <w:noWrap/>
            <w:vAlign w:val="center"/>
          </w:tcPr>
          <w:p w14:paraId="60C6C11D" w14:textId="4F1A6B7C" w:rsidR="0033090B" w:rsidRPr="00C53245" w:rsidRDefault="0033090B" w:rsidP="000A2FCE">
            <w:pPr>
              <w:jc w:val="center"/>
              <w:rPr>
                <w:rFonts w:eastAsia="Times New Roman" w:cs="Times New Roman"/>
                <w:b/>
                <w:color w:val="000000"/>
                <w:sz w:val="20"/>
                <w:szCs w:val="20"/>
                <w:lang w:eastAsia="cs-CZ"/>
              </w:rPr>
            </w:pPr>
            <w:r w:rsidRPr="00C53245">
              <w:rPr>
                <w:rFonts w:eastAsia="Times New Roman" w:cs="Times New Roman"/>
                <w:b/>
                <w:color w:val="000000"/>
                <w:sz w:val="20"/>
                <w:szCs w:val="20"/>
                <w:lang w:eastAsia="cs-CZ"/>
              </w:rPr>
              <w:t>I/16</w:t>
            </w:r>
          </w:p>
        </w:tc>
        <w:tc>
          <w:tcPr>
            <w:tcW w:w="2315" w:type="dxa"/>
            <w:vMerge w:val="restart"/>
            <w:shd w:val="clear" w:color="auto" w:fill="auto"/>
            <w:noWrap/>
            <w:vAlign w:val="center"/>
          </w:tcPr>
          <w:p w14:paraId="43EB69F9" w14:textId="0BE0002A" w:rsidR="0033090B" w:rsidRPr="00C53245" w:rsidRDefault="0033090B" w:rsidP="000A2FCE">
            <w:pPr>
              <w:jc w:val="center"/>
              <w:rPr>
                <w:rFonts w:eastAsia="Times New Roman" w:cs="Times New Roman"/>
                <w:color w:val="000000"/>
                <w:sz w:val="20"/>
                <w:szCs w:val="20"/>
                <w:lang w:eastAsia="cs-CZ"/>
              </w:rPr>
            </w:pPr>
            <w:r w:rsidRPr="00C53245">
              <w:rPr>
                <w:rFonts w:eastAsia="Times New Roman" w:cs="Times New Roman"/>
                <w:color w:val="000000"/>
                <w:sz w:val="20"/>
                <w:szCs w:val="20"/>
                <w:lang w:eastAsia="cs-CZ"/>
              </w:rPr>
              <w:t>Zaústění silnice III/01412 –Trutnov-začátek zástavby</w:t>
            </w:r>
          </w:p>
        </w:tc>
        <w:tc>
          <w:tcPr>
            <w:tcW w:w="752" w:type="dxa"/>
            <w:tcBorders>
              <w:top w:val="single" w:sz="6" w:space="0" w:color="auto"/>
            </w:tcBorders>
            <w:shd w:val="clear" w:color="auto" w:fill="auto"/>
            <w:vAlign w:val="center"/>
          </w:tcPr>
          <w:p w14:paraId="394D59A3" w14:textId="46D0D063" w:rsidR="0033090B" w:rsidRPr="00AA3E8C" w:rsidRDefault="0033090B" w:rsidP="000A2FCE">
            <w:pPr>
              <w:jc w:val="center"/>
              <w:rPr>
                <w:rFonts w:eastAsia="Times New Roman" w:cs="Times New Roman"/>
                <w:color w:val="000000"/>
                <w:sz w:val="20"/>
                <w:szCs w:val="20"/>
                <w:lang w:eastAsia="cs-CZ"/>
              </w:rPr>
            </w:pPr>
            <w:r w:rsidRPr="00AA3E8C">
              <w:rPr>
                <w:rFonts w:eastAsia="Times New Roman" w:cs="Times New Roman"/>
                <w:color w:val="000000"/>
                <w:sz w:val="20"/>
                <w:szCs w:val="20"/>
                <w:lang w:eastAsia="cs-CZ"/>
              </w:rPr>
              <w:t>2016</w:t>
            </w:r>
          </w:p>
        </w:tc>
        <w:tc>
          <w:tcPr>
            <w:tcW w:w="1250" w:type="dxa"/>
            <w:shd w:val="clear" w:color="auto" w:fill="auto"/>
            <w:noWrap/>
            <w:vAlign w:val="center"/>
          </w:tcPr>
          <w:p w14:paraId="6774966F" w14:textId="7F276CDF" w:rsidR="0033090B" w:rsidRPr="00AA3E8C" w:rsidRDefault="0033090B" w:rsidP="000A2FCE">
            <w:pPr>
              <w:jc w:val="right"/>
              <w:rPr>
                <w:rFonts w:eastAsia="Times New Roman" w:cs="Times New Roman"/>
                <w:color w:val="000000"/>
                <w:sz w:val="20"/>
                <w:szCs w:val="20"/>
                <w:lang w:eastAsia="cs-CZ"/>
              </w:rPr>
            </w:pPr>
            <w:r>
              <w:rPr>
                <w:rFonts w:eastAsia="Times New Roman" w:cs="Times New Roman"/>
                <w:color w:val="000000"/>
                <w:sz w:val="20"/>
                <w:szCs w:val="20"/>
                <w:lang w:eastAsia="cs-CZ"/>
              </w:rPr>
              <w:t>4 453</w:t>
            </w:r>
          </w:p>
        </w:tc>
        <w:tc>
          <w:tcPr>
            <w:tcW w:w="1136" w:type="dxa"/>
            <w:shd w:val="clear" w:color="auto" w:fill="auto"/>
            <w:noWrap/>
            <w:vAlign w:val="center"/>
          </w:tcPr>
          <w:p w14:paraId="7EBC0074" w14:textId="2101C31F" w:rsidR="0033090B" w:rsidRPr="00AA3E8C" w:rsidRDefault="0033090B" w:rsidP="000A2FCE">
            <w:pPr>
              <w:jc w:val="right"/>
              <w:rPr>
                <w:rFonts w:eastAsia="Times New Roman" w:cs="Times New Roman"/>
                <w:color w:val="000000"/>
                <w:sz w:val="20"/>
                <w:szCs w:val="20"/>
                <w:lang w:eastAsia="cs-CZ"/>
              </w:rPr>
            </w:pPr>
            <w:r>
              <w:rPr>
                <w:rFonts w:eastAsia="Times New Roman" w:cs="Times New Roman"/>
                <w:color w:val="000000"/>
                <w:sz w:val="20"/>
                <w:szCs w:val="20"/>
                <w:lang w:eastAsia="cs-CZ"/>
              </w:rPr>
              <w:t>23</w:t>
            </w:r>
          </w:p>
        </w:tc>
        <w:tc>
          <w:tcPr>
            <w:tcW w:w="1134" w:type="dxa"/>
            <w:shd w:val="clear" w:color="auto" w:fill="auto"/>
            <w:noWrap/>
            <w:vAlign w:val="center"/>
          </w:tcPr>
          <w:p w14:paraId="0D6A6412" w14:textId="55172C88" w:rsidR="0033090B" w:rsidRPr="00AA3E8C" w:rsidRDefault="0033090B" w:rsidP="000A2FCE">
            <w:pPr>
              <w:jc w:val="right"/>
              <w:rPr>
                <w:rFonts w:eastAsia="Times New Roman" w:cs="Times New Roman"/>
                <w:color w:val="000000"/>
                <w:sz w:val="20"/>
                <w:szCs w:val="20"/>
                <w:lang w:eastAsia="cs-CZ"/>
              </w:rPr>
            </w:pPr>
            <w:r>
              <w:rPr>
                <w:rFonts w:eastAsia="Times New Roman" w:cs="Times New Roman"/>
                <w:color w:val="000000"/>
                <w:sz w:val="20"/>
                <w:szCs w:val="20"/>
                <w:lang w:eastAsia="cs-CZ"/>
              </w:rPr>
              <w:t>3 740</w:t>
            </w:r>
          </w:p>
        </w:tc>
        <w:tc>
          <w:tcPr>
            <w:tcW w:w="991" w:type="dxa"/>
            <w:shd w:val="clear" w:color="auto" w:fill="auto"/>
            <w:noWrap/>
            <w:vAlign w:val="center"/>
          </w:tcPr>
          <w:p w14:paraId="458DB8D1" w14:textId="504BB621" w:rsidR="0033090B" w:rsidRPr="00AA3E8C" w:rsidRDefault="0033090B" w:rsidP="000A2FCE">
            <w:pPr>
              <w:jc w:val="right"/>
              <w:rPr>
                <w:rFonts w:eastAsia="Times New Roman" w:cs="Times New Roman"/>
                <w:color w:val="000000"/>
                <w:sz w:val="20"/>
                <w:szCs w:val="20"/>
                <w:lang w:eastAsia="cs-CZ"/>
              </w:rPr>
            </w:pPr>
            <w:r>
              <w:rPr>
                <w:rFonts w:eastAsia="Times New Roman" w:cs="Times New Roman"/>
                <w:color w:val="000000"/>
                <w:sz w:val="20"/>
                <w:szCs w:val="20"/>
                <w:lang w:eastAsia="cs-CZ"/>
              </w:rPr>
              <w:t>690</w:t>
            </w:r>
          </w:p>
        </w:tc>
      </w:tr>
      <w:tr w:rsidR="003575C9" w:rsidRPr="00AA3E8C" w14:paraId="171D91BC" w14:textId="77777777" w:rsidTr="0025720C">
        <w:trPr>
          <w:trHeight w:val="190"/>
          <w:jc w:val="center"/>
        </w:trPr>
        <w:tc>
          <w:tcPr>
            <w:tcW w:w="928" w:type="dxa"/>
            <w:vMerge/>
            <w:shd w:val="clear" w:color="auto" w:fill="D9D9D9" w:themeFill="background1" w:themeFillShade="D9"/>
            <w:noWrap/>
            <w:vAlign w:val="center"/>
          </w:tcPr>
          <w:p w14:paraId="191DB154" w14:textId="77777777" w:rsidR="003575C9" w:rsidRPr="00C53245" w:rsidRDefault="003575C9" w:rsidP="000A2FCE">
            <w:pPr>
              <w:jc w:val="center"/>
              <w:rPr>
                <w:rFonts w:eastAsia="Times New Roman" w:cs="Times New Roman"/>
                <w:b/>
                <w:color w:val="000000"/>
                <w:sz w:val="20"/>
                <w:szCs w:val="20"/>
                <w:lang w:eastAsia="cs-CZ"/>
              </w:rPr>
            </w:pPr>
          </w:p>
        </w:tc>
        <w:tc>
          <w:tcPr>
            <w:tcW w:w="2315" w:type="dxa"/>
            <w:vMerge/>
            <w:shd w:val="clear" w:color="auto" w:fill="auto"/>
            <w:noWrap/>
            <w:vAlign w:val="center"/>
          </w:tcPr>
          <w:p w14:paraId="23289C3D" w14:textId="77777777" w:rsidR="003575C9" w:rsidRPr="00C53245" w:rsidRDefault="003575C9" w:rsidP="000A2FCE">
            <w:pPr>
              <w:jc w:val="center"/>
              <w:rPr>
                <w:rFonts w:eastAsia="Times New Roman" w:cs="Times New Roman"/>
                <w:color w:val="000000"/>
                <w:sz w:val="20"/>
                <w:szCs w:val="20"/>
                <w:lang w:eastAsia="cs-CZ"/>
              </w:rPr>
            </w:pPr>
          </w:p>
        </w:tc>
        <w:tc>
          <w:tcPr>
            <w:tcW w:w="752" w:type="dxa"/>
            <w:tcBorders>
              <w:top w:val="single" w:sz="6" w:space="0" w:color="auto"/>
              <w:bottom w:val="single" w:sz="6" w:space="0" w:color="auto"/>
            </w:tcBorders>
            <w:shd w:val="clear" w:color="auto" w:fill="auto"/>
            <w:vAlign w:val="center"/>
          </w:tcPr>
          <w:p w14:paraId="67FE96E4" w14:textId="70CE8A78" w:rsidR="003575C9" w:rsidRPr="00AA3E8C" w:rsidRDefault="003575C9" w:rsidP="000A2FCE">
            <w:pPr>
              <w:jc w:val="center"/>
              <w:rPr>
                <w:rFonts w:eastAsia="Times New Roman" w:cs="Times New Roman"/>
                <w:color w:val="000000"/>
                <w:sz w:val="20"/>
                <w:szCs w:val="20"/>
                <w:lang w:eastAsia="cs-CZ"/>
              </w:rPr>
            </w:pPr>
            <w:r>
              <w:rPr>
                <w:rFonts w:eastAsia="Times New Roman" w:cs="Times New Roman"/>
                <w:color w:val="000000"/>
                <w:sz w:val="20"/>
                <w:szCs w:val="20"/>
                <w:lang w:eastAsia="cs-CZ"/>
              </w:rPr>
              <w:t>2020</w:t>
            </w:r>
          </w:p>
        </w:tc>
        <w:tc>
          <w:tcPr>
            <w:tcW w:w="1250" w:type="dxa"/>
            <w:shd w:val="clear" w:color="auto" w:fill="auto"/>
            <w:noWrap/>
            <w:vAlign w:val="center"/>
          </w:tcPr>
          <w:p w14:paraId="2CEF94A7" w14:textId="2365F9E9" w:rsidR="003575C9" w:rsidRDefault="003575C9" w:rsidP="000A2FCE">
            <w:pPr>
              <w:jc w:val="right"/>
              <w:rPr>
                <w:rFonts w:eastAsia="Times New Roman" w:cs="Times New Roman"/>
                <w:color w:val="000000"/>
                <w:sz w:val="20"/>
                <w:szCs w:val="20"/>
                <w:lang w:eastAsia="cs-CZ"/>
              </w:rPr>
            </w:pPr>
            <w:r>
              <w:rPr>
                <w:rFonts w:eastAsia="Times New Roman" w:cs="Times New Roman"/>
                <w:color w:val="000000"/>
                <w:sz w:val="20"/>
                <w:szCs w:val="20"/>
                <w:lang w:eastAsia="cs-CZ"/>
              </w:rPr>
              <w:t>5 147</w:t>
            </w:r>
          </w:p>
        </w:tc>
        <w:tc>
          <w:tcPr>
            <w:tcW w:w="1136" w:type="dxa"/>
            <w:shd w:val="clear" w:color="auto" w:fill="auto"/>
            <w:noWrap/>
            <w:vAlign w:val="center"/>
          </w:tcPr>
          <w:p w14:paraId="7E268CC0" w14:textId="36F93038" w:rsidR="003575C9" w:rsidRDefault="003575C9" w:rsidP="000A2FCE">
            <w:pPr>
              <w:jc w:val="right"/>
              <w:rPr>
                <w:rFonts w:eastAsia="Times New Roman" w:cs="Times New Roman"/>
                <w:color w:val="000000"/>
                <w:sz w:val="20"/>
                <w:szCs w:val="20"/>
                <w:lang w:eastAsia="cs-CZ"/>
              </w:rPr>
            </w:pPr>
            <w:r>
              <w:rPr>
                <w:rFonts w:eastAsia="Times New Roman" w:cs="Times New Roman"/>
                <w:color w:val="000000"/>
                <w:sz w:val="20"/>
                <w:szCs w:val="20"/>
                <w:lang w:eastAsia="cs-CZ"/>
              </w:rPr>
              <w:t>70</w:t>
            </w:r>
          </w:p>
        </w:tc>
        <w:tc>
          <w:tcPr>
            <w:tcW w:w="1134" w:type="dxa"/>
            <w:shd w:val="clear" w:color="auto" w:fill="auto"/>
            <w:noWrap/>
            <w:vAlign w:val="center"/>
          </w:tcPr>
          <w:p w14:paraId="27F2A9E6" w14:textId="719BD901" w:rsidR="003575C9" w:rsidRDefault="003575C9" w:rsidP="000A2FCE">
            <w:pPr>
              <w:jc w:val="right"/>
              <w:rPr>
                <w:rFonts w:eastAsia="Times New Roman" w:cs="Times New Roman"/>
                <w:color w:val="000000"/>
                <w:sz w:val="20"/>
                <w:szCs w:val="20"/>
                <w:lang w:eastAsia="cs-CZ"/>
              </w:rPr>
            </w:pPr>
            <w:r>
              <w:rPr>
                <w:rFonts w:eastAsia="Times New Roman" w:cs="Times New Roman"/>
                <w:color w:val="000000"/>
                <w:sz w:val="20"/>
                <w:szCs w:val="20"/>
                <w:lang w:eastAsia="cs-CZ"/>
              </w:rPr>
              <w:t>4 383</w:t>
            </w:r>
          </w:p>
        </w:tc>
        <w:tc>
          <w:tcPr>
            <w:tcW w:w="991" w:type="dxa"/>
            <w:shd w:val="clear" w:color="auto" w:fill="auto"/>
            <w:noWrap/>
            <w:vAlign w:val="center"/>
          </w:tcPr>
          <w:p w14:paraId="236C91AE" w14:textId="3630E593" w:rsidR="003575C9" w:rsidRDefault="003575C9" w:rsidP="000A2FCE">
            <w:pPr>
              <w:jc w:val="right"/>
              <w:rPr>
                <w:rFonts w:eastAsia="Times New Roman" w:cs="Times New Roman"/>
                <w:color w:val="000000"/>
                <w:sz w:val="20"/>
                <w:szCs w:val="20"/>
                <w:lang w:eastAsia="cs-CZ"/>
              </w:rPr>
            </w:pPr>
            <w:r>
              <w:rPr>
                <w:rFonts w:eastAsia="Times New Roman" w:cs="Times New Roman"/>
                <w:color w:val="000000"/>
                <w:sz w:val="20"/>
                <w:szCs w:val="20"/>
                <w:lang w:eastAsia="cs-CZ"/>
              </w:rPr>
              <w:t>694</w:t>
            </w:r>
          </w:p>
        </w:tc>
      </w:tr>
      <w:tr w:rsidR="0033090B" w:rsidRPr="00AA3E8C" w14:paraId="41084D79" w14:textId="77777777" w:rsidTr="00F608D6">
        <w:trPr>
          <w:trHeight w:val="48"/>
          <w:jc w:val="center"/>
        </w:trPr>
        <w:tc>
          <w:tcPr>
            <w:tcW w:w="928" w:type="dxa"/>
            <w:vMerge w:val="restart"/>
            <w:shd w:val="clear" w:color="auto" w:fill="D9D9D9" w:themeFill="background1" w:themeFillShade="D9"/>
            <w:noWrap/>
            <w:vAlign w:val="center"/>
          </w:tcPr>
          <w:p w14:paraId="24B0A945" w14:textId="38F6AA91" w:rsidR="0033090B" w:rsidRPr="00C53245" w:rsidRDefault="0033090B" w:rsidP="00922252">
            <w:pPr>
              <w:jc w:val="center"/>
              <w:rPr>
                <w:rFonts w:eastAsia="Times New Roman" w:cs="Times New Roman"/>
                <w:b/>
                <w:color w:val="000000"/>
                <w:sz w:val="20"/>
                <w:szCs w:val="20"/>
                <w:lang w:eastAsia="cs-CZ"/>
              </w:rPr>
            </w:pPr>
            <w:r w:rsidRPr="00C53245">
              <w:rPr>
                <w:rFonts w:eastAsia="Times New Roman" w:cs="Times New Roman"/>
                <w:b/>
                <w:color w:val="000000"/>
                <w:sz w:val="20"/>
                <w:szCs w:val="20"/>
                <w:lang w:eastAsia="cs-CZ"/>
              </w:rPr>
              <w:t>III/30018</w:t>
            </w:r>
          </w:p>
        </w:tc>
        <w:tc>
          <w:tcPr>
            <w:tcW w:w="2315" w:type="dxa"/>
            <w:vMerge w:val="restart"/>
            <w:shd w:val="clear" w:color="auto" w:fill="auto"/>
            <w:noWrap/>
            <w:vAlign w:val="center"/>
          </w:tcPr>
          <w:p w14:paraId="285A8725" w14:textId="4457245C" w:rsidR="0033090B" w:rsidRPr="00C53245" w:rsidRDefault="0033090B" w:rsidP="00922252">
            <w:pPr>
              <w:jc w:val="center"/>
              <w:rPr>
                <w:rFonts w:eastAsia="Times New Roman" w:cs="Times New Roman"/>
                <w:color w:val="000000"/>
                <w:sz w:val="20"/>
                <w:szCs w:val="20"/>
                <w:lang w:eastAsia="cs-CZ"/>
              </w:rPr>
            </w:pPr>
            <w:r w:rsidRPr="00C53245">
              <w:rPr>
                <w:rFonts w:eastAsia="Times New Roman" w:cs="Times New Roman"/>
                <w:color w:val="000000"/>
                <w:sz w:val="20"/>
                <w:szCs w:val="20"/>
                <w:lang w:eastAsia="cs-CZ"/>
              </w:rPr>
              <w:t>Horní Žďár-konec zástavby – zaústění do silnice I/16</w:t>
            </w:r>
          </w:p>
        </w:tc>
        <w:tc>
          <w:tcPr>
            <w:tcW w:w="752" w:type="dxa"/>
            <w:tcBorders>
              <w:top w:val="single" w:sz="6" w:space="0" w:color="auto"/>
            </w:tcBorders>
            <w:shd w:val="clear" w:color="auto" w:fill="auto"/>
            <w:vAlign w:val="center"/>
          </w:tcPr>
          <w:p w14:paraId="33FF706E" w14:textId="03E96943" w:rsidR="0033090B" w:rsidRDefault="0033090B" w:rsidP="00922252">
            <w:pPr>
              <w:jc w:val="center"/>
              <w:rPr>
                <w:rFonts w:eastAsia="Times New Roman" w:cs="Times New Roman"/>
                <w:color w:val="000000"/>
                <w:sz w:val="20"/>
                <w:szCs w:val="20"/>
                <w:lang w:eastAsia="cs-CZ"/>
              </w:rPr>
            </w:pPr>
            <w:r w:rsidRPr="00AA3E8C">
              <w:rPr>
                <w:rFonts w:eastAsia="Times New Roman" w:cs="Times New Roman"/>
                <w:color w:val="000000"/>
                <w:sz w:val="20"/>
                <w:szCs w:val="20"/>
                <w:lang w:eastAsia="cs-CZ"/>
              </w:rPr>
              <w:t>2016</w:t>
            </w:r>
          </w:p>
        </w:tc>
        <w:tc>
          <w:tcPr>
            <w:tcW w:w="1250" w:type="dxa"/>
            <w:shd w:val="clear" w:color="auto" w:fill="auto"/>
            <w:noWrap/>
            <w:vAlign w:val="center"/>
          </w:tcPr>
          <w:p w14:paraId="69890B91" w14:textId="2854D01C" w:rsidR="0033090B" w:rsidRDefault="0033090B" w:rsidP="00922252">
            <w:pPr>
              <w:jc w:val="right"/>
              <w:rPr>
                <w:rFonts w:eastAsia="Times New Roman" w:cs="Times New Roman"/>
                <w:color w:val="000000"/>
                <w:sz w:val="20"/>
                <w:szCs w:val="20"/>
                <w:lang w:eastAsia="cs-CZ"/>
              </w:rPr>
            </w:pPr>
            <w:r>
              <w:rPr>
                <w:rFonts w:eastAsia="Times New Roman" w:cs="Times New Roman"/>
                <w:color w:val="000000"/>
                <w:sz w:val="20"/>
                <w:szCs w:val="20"/>
                <w:lang w:eastAsia="cs-CZ"/>
              </w:rPr>
              <w:t>469</w:t>
            </w:r>
          </w:p>
        </w:tc>
        <w:tc>
          <w:tcPr>
            <w:tcW w:w="1136" w:type="dxa"/>
            <w:shd w:val="clear" w:color="auto" w:fill="auto"/>
            <w:noWrap/>
            <w:vAlign w:val="center"/>
          </w:tcPr>
          <w:p w14:paraId="498DB130" w14:textId="0DD2F65A" w:rsidR="0033090B" w:rsidRDefault="0033090B" w:rsidP="00922252">
            <w:pPr>
              <w:jc w:val="right"/>
              <w:rPr>
                <w:rFonts w:eastAsia="Times New Roman" w:cs="Times New Roman"/>
                <w:color w:val="000000"/>
                <w:sz w:val="20"/>
                <w:szCs w:val="20"/>
                <w:lang w:eastAsia="cs-CZ"/>
              </w:rPr>
            </w:pPr>
            <w:r>
              <w:rPr>
                <w:rFonts w:eastAsia="Times New Roman" w:cs="Times New Roman"/>
                <w:color w:val="000000"/>
                <w:sz w:val="20"/>
                <w:szCs w:val="20"/>
                <w:lang w:eastAsia="cs-CZ"/>
              </w:rPr>
              <w:t>5</w:t>
            </w:r>
          </w:p>
        </w:tc>
        <w:tc>
          <w:tcPr>
            <w:tcW w:w="1134" w:type="dxa"/>
            <w:shd w:val="clear" w:color="auto" w:fill="auto"/>
            <w:noWrap/>
            <w:vAlign w:val="center"/>
          </w:tcPr>
          <w:p w14:paraId="5BD34D69" w14:textId="1F3145FF" w:rsidR="0033090B" w:rsidRDefault="0033090B" w:rsidP="00922252">
            <w:pPr>
              <w:jc w:val="right"/>
              <w:rPr>
                <w:rFonts w:eastAsia="Times New Roman" w:cs="Times New Roman"/>
                <w:color w:val="000000"/>
                <w:sz w:val="20"/>
                <w:szCs w:val="20"/>
                <w:lang w:eastAsia="cs-CZ"/>
              </w:rPr>
            </w:pPr>
            <w:r>
              <w:rPr>
                <w:rFonts w:eastAsia="Times New Roman" w:cs="Times New Roman"/>
                <w:color w:val="000000"/>
                <w:sz w:val="20"/>
                <w:szCs w:val="20"/>
                <w:lang w:eastAsia="cs-CZ"/>
              </w:rPr>
              <w:t>394</w:t>
            </w:r>
          </w:p>
        </w:tc>
        <w:tc>
          <w:tcPr>
            <w:tcW w:w="991" w:type="dxa"/>
            <w:shd w:val="clear" w:color="auto" w:fill="auto"/>
            <w:noWrap/>
            <w:vAlign w:val="center"/>
          </w:tcPr>
          <w:p w14:paraId="544DA037" w14:textId="4C52EE27" w:rsidR="0033090B" w:rsidRDefault="0033090B" w:rsidP="00922252">
            <w:pPr>
              <w:jc w:val="right"/>
              <w:rPr>
                <w:rFonts w:eastAsia="Times New Roman" w:cs="Times New Roman"/>
                <w:color w:val="000000"/>
                <w:sz w:val="20"/>
                <w:szCs w:val="20"/>
                <w:lang w:eastAsia="cs-CZ"/>
              </w:rPr>
            </w:pPr>
            <w:r>
              <w:rPr>
                <w:rFonts w:eastAsia="Times New Roman" w:cs="Times New Roman"/>
                <w:color w:val="000000"/>
                <w:sz w:val="20"/>
                <w:szCs w:val="20"/>
                <w:lang w:eastAsia="cs-CZ"/>
              </w:rPr>
              <w:t>70</w:t>
            </w:r>
          </w:p>
        </w:tc>
      </w:tr>
      <w:tr w:rsidR="00922252" w:rsidRPr="00AA3E8C" w14:paraId="071AA821" w14:textId="77777777" w:rsidTr="0025720C">
        <w:trPr>
          <w:trHeight w:val="190"/>
          <w:jc w:val="center"/>
        </w:trPr>
        <w:tc>
          <w:tcPr>
            <w:tcW w:w="928" w:type="dxa"/>
            <w:vMerge/>
            <w:shd w:val="clear" w:color="auto" w:fill="D9D9D9" w:themeFill="background1" w:themeFillShade="D9"/>
            <w:noWrap/>
            <w:vAlign w:val="center"/>
          </w:tcPr>
          <w:p w14:paraId="7C970CE8" w14:textId="77777777" w:rsidR="00922252" w:rsidRPr="00AA3E8C" w:rsidRDefault="00922252" w:rsidP="00922252">
            <w:pPr>
              <w:jc w:val="center"/>
              <w:rPr>
                <w:rFonts w:eastAsia="Times New Roman" w:cs="Times New Roman"/>
                <w:b/>
                <w:color w:val="000000"/>
                <w:sz w:val="20"/>
                <w:szCs w:val="20"/>
                <w:lang w:eastAsia="cs-CZ"/>
              </w:rPr>
            </w:pPr>
          </w:p>
        </w:tc>
        <w:tc>
          <w:tcPr>
            <w:tcW w:w="2315" w:type="dxa"/>
            <w:vMerge/>
            <w:tcBorders>
              <w:bottom w:val="single" w:sz="12" w:space="0" w:color="auto"/>
            </w:tcBorders>
            <w:shd w:val="clear" w:color="auto" w:fill="auto"/>
            <w:noWrap/>
            <w:vAlign w:val="center"/>
          </w:tcPr>
          <w:p w14:paraId="49D71924" w14:textId="77777777" w:rsidR="00922252" w:rsidRPr="00AA3E8C" w:rsidRDefault="00922252" w:rsidP="00922252">
            <w:pPr>
              <w:jc w:val="center"/>
              <w:rPr>
                <w:rFonts w:eastAsia="Times New Roman" w:cs="Times New Roman"/>
                <w:color w:val="000000"/>
                <w:sz w:val="20"/>
                <w:szCs w:val="20"/>
                <w:lang w:eastAsia="cs-CZ"/>
              </w:rPr>
            </w:pPr>
          </w:p>
        </w:tc>
        <w:tc>
          <w:tcPr>
            <w:tcW w:w="752" w:type="dxa"/>
            <w:tcBorders>
              <w:top w:val="single" w:sz="6" w:space="0" w:color="auto"/>
              <w:bottom w:val="single" w:sz="12" w:space="0" w:color="auto"/>
            </w:tcBorders>
            <w:shd w:val="clear" w:color="auto" w:fill="auto"/>
            <w:vAlign w:val="center"/>
          </w:tcPr>
          <w:p w14:paraId="5BEC5377" w14:textId="0DBDC490" w:rsidR="00922252" w:rsidRDefault="00922252" w:rsidP="00922252">
            <w:pPr>
              <w:jc w:val="center"/>
              <w:rPr>
                <w:rFonts w:eastAsia="Times New Roman" w:cs="Times New Roman"/>
                <w:color w:val="000000"/>
                <w:sz w:val="20"/>
                <w:szCs w:val="20"/>
                <w:lang w:eastAsia="cs-CZ"/>
              </w:rPr>
            </w:pPr>
            <w:r>
              <w:rPr>
                <w:rFonts w:eastAsia="Times New Roman" w:cs="Times New Roman"/>
                <w:color w:val="000000"/>
                <w:sz w:val="20"/>
                <w:szCs w:val="20"/>
                <w:lang w:eastAsia="cs-CZ"/>
              </w:rPr>
              <w:t>2020</w:t>
            </w:r>
          </w:p>
        </w:tc>
        <w:tc>
          <w:tcPr>
            <w:tcW w:w="1250" w:type="dxa"/>
            <w:tcBorders>
              <w:bottom w:val="single" w:sz="12" w:space="0" w:color="auto"/>
            </w:tcBorders>
            <w:shd w:val="clear" w:color="auto" w:fill="auto"/>
            <w:noWrap/>
            <w:vAlign w:val="center"/>
          </w:tcPr>
          <w:p w14:paraId="144AF0D2" w14:textId="31A88645" w:rsidR="00922252" w:rsidRDefault="00C00D0E" w:rsidP="00922252">
            <w:pPr>
              <w:jc w:val="right"/>
              <w:rPr>
                <w:rFonts w:eastAsia="Times New Roman" w:cs="Times New Roman"/>
                <w:color w:val="000000"/>
                <w:sz w:val="20"/>
                <w:szCs w:val="20"/>
                <w:lang w:eastAsia="cs-CZ"/>
              </w:rPr>
            </w:pPr>
            <w:r>
              <w:rPr>
                <w:rFonts w:eastAsia="Times New Roman" w:cs="Times New Roman"/>
                <w:color w:val="000000"/>
                <w:sz w:val="20"/>
                <w:szCs w:val="20"/>
                <w:lang w:eastAsia="cs-CZ"/>
              </w:rPr>
              <w:t>650</w:t>
            </w:r>
          </w:p>
        </w:tc>
        <w:tc>
          <w:tcPr>
            <w:tcW w:w="1136" w:type="dxa"/>
            <w:tcBorders>
              <w:bottom w:val="single" w:sz="12" w:space="0" w:color="auto"/>
            </w:tcBorders>
            <w:shd w:val="clear" w:color="auto" w:fill="auto"/>
            <w:noWrap/>
            <w:vAlign w:val="center"/>
          </w:tcPr>
          <w:p w14:paraId="1A05740B" w14:textId="5ACE782E" w:rsidR="00922252" w:rsidRDefault="00C00D0E" w:rsidP="00922252">
            <w:pPr>
              <w:jc w:val="right"/>
              <w:rPr>
                <w:rFonts w:eastAsia="Times New Roman" w:cs="Times New Roman"/>
                <w:color w:val="000000"/>
                <w:sz w:val="20"/>
                <w:szCs w:val="20"/>
                <w:lang w:eastAsia="cs-CZ"/>
              </w:rPr>
            </w:pPr>
            <w:r>
              <w:rPr>
                <w:rFonts w:eastAsia="Times New Roman" w:cs="Times New Roman"/>
                <w:color w:val="000000"/>
                <w:sz w:val="20"/>
                <w:szCs w:val="20"/>
                <w:lang w:eastAsia="cs-CZ"/>
              </w:rPr>
              <w:t>4</w:t>
            </w:r>
          </w:p>
        </w:tc>
        <w:tc>
          <w:tcPr>
            <w:tcW w:w="1134" w:type="dxa"/>
            <w:tcBorders>
              <w:bottom w:val="single" w:sz="12" w:space="0" w:color="auto"/>
            </w:tcBorders>
            <w:shd w:val="clear" w:color="auto" w:fill="auto"/>
            <w:noWrap/>
            <w:vAlign w:val="center"/>
          </w:tcPr>
          <w:p w14:paraId="5E4195F9" w14:textId="54567B14" w:rsidR="00922252" w:rsidRDefault="00C00D0E" w:rsidP="00922252">
            <w:pPr>
              <w:jc w:val="right"/>
              <w:rPr>
                <w:rFonts w:eastAsia="Times New Roman" w:cs="Times New Roman"/>
                <w:color w:val="000000"/>
                <w:sz w:val="20"/>
                <w:szCs w:val="20"/>
                <w:lang w:eastAsia="cs-CZ"/>
              </w:rPr>
            </w:pPr>
            <w:r>
              <w:rPr>
                <w:rFonts w:eastAsia="Times New Roman" w:cs="Times New Roman"/>
                <w:color w:val="000000"/>
                <w:sz w:val="20"/>
                <w:szCs w:val="20"/>
                <w:lang w:eastAsia="cs-CZ"/>
              </w:rPr>
              <w:t>548</w:t>
            </w:r>
          </w:p>
        </w:tc>
        <w:tc>
          <w:tcPr>
            <w:tcW w:w="991" w:type="dxa"/>
            <w:tcBorders>
              <w:bottom w:val="single" w:sz="12" w:space="0" w:color="auto"/>
            </w:tcBorders>
            <w:shd w:val="clear" w:color="auto" w:fill="auto"/>
            <w:noWrap/>
            <w:vAlign w:val="center"/>
          </w:tcPr>
          <w:p w14:paraId="15235258" w14:textId="20034261" w:rsidR="00922252" w:rsidRDefault="00C00D0E" w:rsidP="00922252">
            <w:pPr>
              <w:jc w:val="right"/>
              <w:rPr>
                <w:rFonts w:eastAsia="Times New Roman" w:cs="Times New Roman"/>
                <w:color w:val="000000"/>
                <w:sz w:val="20"/>
                <w:szCs w:val="20"/>
                <w:lang w:eastAsia="cs-CZ"/>
              </w:rPr>
            </w:pPr>
            <w:r>
              <w:rPr>
                <w:rFonts w:eastAsia="Times New Roman" w:cs="Times New Roman"/>
                <w:color w:val="000000"/>
                <w:sz w:val="20"/>
                <w:szCs w:val="20"/>
                <w:lang w:eastAsia="cs-CZ"/>
              </w:rPr>
              <w:t>98</w:t>
            </w:r>
          </w:p>
        </w:tc>
      </w:tr>
    </w:tbl>
    <w:p w14:paraId="5378465D" w14:textId="77777777" w:rsidR="00152B12" w:rsidRPr="00260E47" w:rsidRDefault="00152B12" w:rsidP="00152B12">
      <w:pPr>
        <w:contextualSpacing/>
        <w:jc w:val="both"/>
        <w:rPr>
          <w:rFonts w:eastAsia="Times New Roman" w:cs="Times New Roman"/>
          <w:color w:val="000000"/>
          <w:sz w:val="20"/>
          <w:szCs w:val="20"/>
          <w:lang w:eastAsia="cs-CZ"/>
        </w:rPr>
      </w:pPr>
      <w:r w:rsidRPr="00260E47">
        <w:rPr>
          <w:b/>
          <w:sz w:val="20"/>
          <w:szCs w:val="20"/>
        </w:rPr>
        <w:t>Vysvětlivky:</w:t>
      </w:r>
      <w:r w:rsidRPr="00260E47">
        <w:rPr>
          <w:sz w:val="20"/>
          <w:szCs w:val="20"/>
        </w:rPr>
        <w:t xml:space="preserve"> </w:t>
      </w:r>
      <w:r w:rsidRPr="00260E47">
        <w:rPr>
          <w:rFonts w:eastAsia="Times New Roman" w:cs="Times New Roman"/>
          <w:color w:val="000000"/>
          <w:sz w:val="20"/>
          <w:szCs w:val="20"/>
          <w:lang w:eastAsia="cs-CZ"/>
        </w:rPr>
        <w:t>J</w:t>
      </w:r>
      <w:r w:rsidRPr="00D74070">
        <w:rPr>
          <w:rFonts w:eastAsia="Times New Roman" w:cs="Times New Roman"/>
          <w:color w:val="000000"/>
          <w:sz w:val="20"/>
          <w:szCs w:val="20"/>
          <w:lang w:eastAsia="cs-CZ"/>
        </w:rPr>
        <w:t>ednostopá motorová vozidla</w:t>
      </w:r>
      <w:r w:rsidRPr="00260E47">
        <w:rPr>
          <w:rFonts w:eastAsia="Times New Roman" w:cs="Times New Roman"/>
          <w:color w:val="000000"/>
          <w:sz w:val="20"/>
          <w:szCs w:val="20"/>
          <w:lang w:eastAsia="cs-CZ"/>
        </w:rPr>
        <w:t xml:space="preserve"> = např. motocykly, mopedy, T</w:t>
      </w:r>
      <w:r w:rsidRPr="00D74070">
        <w:rPr>
          <w:rFonts w:eastAsia="Times New Roman" w:cs="Times New Roman"/>
          <w:color w:val="000000"/>
          <w:sz w:val="20"/>
          <w:szCs w:val="20"/>
          <w:lang w:eastAsia="cs-CZ"/>
        </w:rPr>
        <w:t>ěžká motorová vozidla</w:t>
      </w:r>
      <w:r w:rsidRPr="00260E47">
        <w:rPr>
          <w:rFonts w:eastAsia="Times New Roman" w:cs="Times New Roman"/>
          <w:color w:val="000000"/>
          <w:sz w:val="20"/>
          <w:szCs w:val="20"/>
          <w:lang w:eastAsia="cs-CZ"/>
        </w:rPr>
        <w:t xml:space="preserve"> = vozidla nad 3,5 tuny</w:t>
      </w:r>
    </w:p>
    <w:p w14:paraId="130FD5FD" w14:textId="7A6BB36C" w:rsidR="00152B12" w:rsidRDefault="00152B12" w:rsidP="00E57506">
      <w:pPr>
        <w:contextualSpacing/>
        <w:rPr>
          <w:rFonts w:eastAsia="Times New Roman" w:cs="Times New Roman"/>
          <w:color w:val="000000"/>
          <w:sz w:val="20"/>
          <w:szCs w:val="20"/>
          <w:lang w:eastAsia="cs-CZ"/>
        </w:rPr>
      </w:pPr>
      <w:r w:rsidRPr="00260E47">
        <w:rPr>
          <w:rFonts w:eastAsia="Times New Roman" w:cs="Times New Roman"/>
          <w:b/>
          <w:color w:val="000000"/>
          <w:sz w:val="20"/>
          <w:szCs w:val="20"/>
          <w:lang w:eastAsia="cs-CZ"/>
        </w:rPr>
        <w:t>Zdroj</w:t>
      </w:r>
      <w:r w:rsidRPr="007256C3">
        <w:rPr>
          <w:rFonts w:eastAsia="Times New Roman" w:cs="Times New Roman"/>
          <w:color w:val="000000"/>
          <w:sz w:val="20"/>
          <w:szCs w:val="20"/>
          <w:lang w:eastAsia="cs-CZ"/>
        </w:rPr>
        <w:t>:</w:t>
      </w:r>
      <w:r w:rsidR="00E57506">
        <w:rPr>
          <w:rFonts w:eastAsia="Times New Roman" w:cs="Times New Roman"/>
          <w:color w:val="000000"/>
          <w:sz w:val="20"/>
          <w:szCs w:val="20"/>
          <w:lang w:eastAsia="cs-CZ"/>
        </w:rPr>
        <w:t xml:space="preserve"> </w:t>
      </w:r>
      <w:bookmarkStart w:id="246" w:name="_Hlk120644123"/>
      <w:r w:rsidR="00321AE1" w:rsidRPr="004409C5">
        <w:rPr>
          <w:rFonts w:eastAsia="Times New Roman" w:cs="Times New Roman"/>
          <w:color w:val="000000"/>
          <w:sz w:val="20"/>
          <w:szCs w:val="20"/>
          <w:lang w:eastAsia="cs-CZ"/>
        </w:rPr>
        <w:t xml:space="preserve">Celostátní sčítání dopravy </w:t>
      </w:r>
      <w:hyperlink r:id="rId76" w:history="1">
        <w:r w:rsidR="00321AE1" w:rsidRPr="00B52C05">
          <w:rPr>
            <w:rStyle w:val="Hypertextovodkaz"/>
            <w:rFonts w:eastAsia="Times New Roman" w:cs="Times New Roman"/>
            <w:sz w:val="20"/>
            <w:szCs w:val="20"/>
            <w:lang w:eastAsia="cs-CZ"/>
          </w:rPr>
          <w:t>https://www.rsd.cz/cs/silnice-a-dalnice/scitani-dopravy</w:t>
        </w:r>
      </w:hyperlink>
      <w:bookmarkEnd w:id="246"/>
      <w:r w:rsidR="00321AE1">
        <w:rPr>
          <w:rFonts w:eastAsia="Times New Roman" w:cs="Times New Roman"/>
          <w:color w:val="000000"/>
          <w:sz w:val="20"/>
          <w:szCs w:val="20"/>
          <w:lang w:eastAsia="cs-CZ"/>
        </w:rPr>
        <w:t xml:space="preserve"> </w:t>
      </w:r>
    </w:p>
    <w:p w14:paraId="61910DF8" w14:textId="77777777" w:rsidR="00152B12" w:rsidRDefault="00152B12" w:rsidP="00152B12">
      <w:pPr>
        <w:spacing w:after="160" w:line="259" w:lineRule="auto"/>
        <w:jc w:val="both"/>
      </w:pPr>
    </w:p>
    <w:p w14:paraId="27480B70" w14:textId="77777777" w:rsidR="002F2950" w:rsidRPr="00907983" w:rsidRDefault="004D6868" w:rsidP="004D6868">
      <w:pPr>
        <w:spacing w:after="160" w:line="259" w:lineRule="auto"/>
        <w:jc w:val="both"/>
      </w:pPr>
      <w:r w:rsidRPr="00907983">
        <w:t>Z této tabulky vyplývá, že celková intenzita dopravy na měřeném úseku silnice I/</w:t>
      </w:r>
      <w:r w:rsidR="002F2950" w:rsidRPr="00907983">
        <w:t>16</w:t>
      </w:r>
      <w:r w:rsidRPr="00907983">
        <w:t xml:space="preserve"> procházejícím </w:t>
      </w:r>
      <w:r w:rsidR="00630CCC" w:rsidRPr="00907983">
        <w:t xml:space="preserve">přes </w:t>
      </w:r>
      <w:r w:rsidRPr="00907983">
        <w:t xml:space="preserve">území obce </w:t>
      </w:r>
      <w:r w:rsidR="002F2950" w:rsidRPr="00907983">
        <w:t>Staré Buky</w:t>
      </w:r>
      <w:r w:rsidRPr="00907983">
        <w:t xml:space="preserve"> měla </w:t>
      </w:r>
      <w:r w:rsidR="002F2950" w:rsidRPr="00907983">
        <w:t>mezi lety 2016 a 2020</w:t>
      </w:r>
      <w:r w:rsidRPr="00907983">
        <w:t xml:space="preserve"> </w:t>
      </w:r>
      <w:r w:rsidR="00630CCC" w:rsidRPr="00907983">
        <w:t>nepatrně stoupající</w:t>
      </w:r>
      <w:r w:rsidRPr="00907983">
        <w:t xml:space="preserve"> tendenci </w:t>
      </w:r>
      <w:r w:rsidR="00627E44" w:rsidRPr="00907983">
        <w:t>–</w:t>
      </w:r>
      <w:r w:rsidR="002F2950" w:rsidRPr="00907983">
        <w:t xml:space="preserve"> </w:t>
      </w:r>
      <w:r w:rsidRPr="00907983">
        <w:t xml:space="preserve">o </w:t>
      </w:r>
      <w:r w:rsidR="002F2950" w:rsidRPr="00907983">
        <w:t>16</w:t>
      </w:r>
      <w:r w:rsidRPr="00907983">
        <w:t xml:space="preserve"> %</w:t>
      </w:r>
      <w:r w:rsidR="00627E44" w:rsidRPr="00907983">
        <w:t>.</w:t>
      </w:r>
    </w:p>
    <w:p w14:paraId="4E796F0D" w14:textId="3A968027" w:rsidR="004D6868" w:rsidRPr="00907983" w:rsidRDefault="002F2950" w:rsidP="004D6868">
      <w:pPr>
        <w:spacing w:after="160" w:line="259" w:lineRule="auto"/>
        <w:jc w:val="both"/>
      </w:pPr>
      <w:r w:rsidRPr="00907983">
        <w:t>Intenzita dopravy na měřeném úseku silnice III/30018 měla mezi lety 2016 a 2020 taktéž stoupající tendenci – o 39 %.</w:t>
      </w:r>
    </w:p>
    <w:p w14:paraId="508E68DD" w14:textId="17A9D8F0" w:rsidR="00152B12" w:rsidRDefault="00907983" w:rsidP="004D6868">
      <w:pPr>
        <w:spacing w:after="160" w:line="259" w:lineRule="auto"/>
        <w:jc w:val="both"/>
      </w:pPr>
      <w:r w:rsidRPr="00907983">
        <w:t xml:space="preserve">Z výše uvedeného vyplývá, že </w:t>
      </w:r>
      <w:r w:rsidR="004D6868" w:rsidRPr="00907983">
        <w:t xml:space="preserve">intenzita dopravy </w:t>
      </w:r>
      <w:r w:rsidRPr="00907983">
        <w:t xml:space="preserve">se v obci mezi sledovanými lety zvýšila a vzhledem ke stále narůstajícímu automobilismu lze předpokládat, že se intenzita dopravy bude </w:t>
      </w:r>
      <w:r>
        <w:t xml:space="preserve">v čase nadále </w:t>
      </w:r>
      <w:r w:rsidRPr="00907983">
        <w:t>zvyšovat</w:t>
      </w:r>
      <w:r w:rsidR="004D6868" w:rsidRPr="00907983">
        <w:t>.</w:t>
      </w:r>
      <w:r w:rsidR="00152B12">
        <w:t xml:space="preserve"> </w:t>
      </w:r>
    </w:p>
    <w:p w14:paraId="469CCF46" w14:textId="463FAE6C" w:rsidR="00152B12" w:rsidRDefault="00A81F41" w:rsidP="00152B12">
      <w:pPr>
        <w:spacing w:after="160" w:line="259" w:lineRule="auto"/>
        <w:jc w:val="both"/>
      </w:pPr>
      <w:r>
        <w:lastRenderedPageBreak/>
        <w:t>Se silniční sítí souvisí i parkování. V obci Staré Buky není na žádném místě parkování zpoplatněno. V obci se nenacházejí účelové parkovací plochy. Parkovací plochy, kde je možné zaparkovat několik aut,</w:t>
      </w:r>
      <w:r w:rsidRPr="006038AB">
        <w:t xml:space="preserve"> </w:t>
      </w:r>
      <w:r>
        <w:t>se vyskytují ojediněle a vznikly</w:t>
      </w:r>
      <w:r w:rsidRPr="009E1BF8">
        <w:t xml:space="preserve"> spontánně, ne organizovaně pod záštitou obce.</w:t>
      </w:r>
      <w:r>
        <w:t xml:space="preserve"> Z těchto ploch lze jmenovat např. prostranství před obecním úřadem</w:t>
      </w:r>
      <w:r w:rsidR="00095C9E">
        <w:t xml:space="preserve"> či plochu u fotbalového hřiště.</w:t>
      </w:r>
      <w:r>
        <w:t xml:space="preserve"> Lze konstatovat, že</w:t>
      </w:r>
      <w:r w:rsidRPr="006038AB">
        <w:rPr>
          <w:b/>
        </w:rPr>
        <w:t xml:space="preserve"> </w:t>
      </w:r>
      <w:r>
        <w:rPr>
          <w:b/>
        </w:rPr>
        <w:t>p</w:t>
      </w:r>
      <w:r w:rsidRPr="00B83738">
        <w:rPr>
          <w:b/>
        </w:rPr>
        <w:t>arkovací kapacity jsou na území obce dostatečné</w:t>
      </w:r>
      <w:r>
        <w:rPr>
          <w:b/>
        </w:rPr>
        <w:t>.</w:t>
      </w:r>
    </w:p>
    <w:p w14:paraId="08C88734" w14:textId="77777777" w:rsidR="00152B12" w:rsidRPr="0083220A" w:rsidRDefault="00152B12" w:rsidP="00152B12">
      <w:pPr>
        <w:spacing w:after="160" w:line="259" w:lineRule="auto"/>
        <w:jc w:val="both"/>
      </w:pPr>
    </w:p>
    <w:p w14:paraId="0FF7870C" w14:textId="7962A383" w:rsidR="00152B12" w:rsidRDefault="0044074D" w:rsidP="00152B12">
      <w:pPr>
        <w:spacing w:after="160" w:line="259" w:lineRule="auto"/>
        <w:jc w:val="both"/>
      </w:pPr>
      <w:r>
        <w:rPr>
          <w:bCs/>
        </w:rPr>
        <w:t xml:space="preserve">K nejbližšímu nájezdu na dálnici (D11 u obce Hořenice) je to z obce Staré Buky přibližně </w:t>
      </w:r>
      <w:r w:rsidR="00506F16">
        <w:rPr>
          <w:bCs/>
        </w:rPr>
        <w:t>2</w:t>
      </w:r>
      <w:r>
        <w:rPr>
          <w:bCs/>
        </w:rPr>
        <w:t>3 km.</w:t>
      </w:r>
      <w:r w:rsidRPr="00DB1488">
        <w:t xml:space="preserve"> </w:t>
      </w:r>
      <w:r>
        <w:t xml:space="preserve">Časová náročnost cesty je okolo </w:t>
      </w:r>
      <w:r w:rsidR="00506F16">
        <w:t>23</w:t>
      </w:r>
      <w:r>
        <w:t xml:space="preserve"> minut. Dálnice D11 má v budoucnu vést až k hranicím s Polskou republikou, kde naváže na polskou dálnici S3. Dostavba kompletní dálnice by obec </w:t>
      </w:r>
      <w:r w:rsidR="00506F16">
        <w:t>Staré Buky</w:t>
      </w:r>
      <w:r>
        <w:t xml:space="preserve"> ještě více přiblížila k napojení na dálniční síť ČR a umožnila by obyvatelům obce dostat se lépe do větších měst.</w:t>
      </w:r>
    </w:p>
    <w:p w14:paraId="260490D5" w14:textId="642B9B33" w:rsidR="00152B12" w:rsidRPr="00AF519E" w:rsidRDefault="00152B12" w:rsidP="00152B12">
      <w:pPr>
        <w:spacing w:after="160" w:line="259" w:lineRule="auto"/>
        <w:jc w:val="both"/>
      </w:pPr>
      <w:r w:rsidRPr="00A2539E">
        <w:t xml:space="preserve">Se silniční sítí souvisí i doprovodná infrastruktura v podobě chodníků pro pěší. </w:t>
      </w:r>
      <w:r w:rsidRPr="00A2539E">
        <w:rPr>
          <w:b/>
        </w:rPr>
        <w:t xml:space="preserve">Chodníky </w:t>
      </w:r>
      <w:r w:rsidRPr="00A2539E">
        <w:rPr>
          <w:bCs/>
        </w:rPr>
        <w:t>se v</w:t>
      </w:r>
      <w:r w:rsidR="00A2539E" w:rsidRPr="00A2539E">
        <w:rPr>
          <w:bCs/>
        </w:rPr>
        <w:t xml:space="preserve"> současné době </w:t>
      </w:r>
      <w:r w:rsidR="00A2539E">
        <w:rPr>
          <w:bCs/>
        </w:rPr>
        <w:t xml:space="preserve">na území obce </w:t>
      </w:r>
      <w:r w:rsidR="00A2539E" w:rsidRPr="00A2539E">
        <w:rPr>
          <w:bCs/>
        </w:rPr>
        <w:t>prakticky nen</w:t>
      </w:r>
      <w:r w:rsidRPr="00A2539E">
        <w:rPr>
          <w:bCs/>
        </w:rPr>
        <w:t>acházejí</w:t>
      </w:r>
      <w:r w:rsidR="00314B08" w:rsidRPr="00A2539E">
        <w:rPr>
          <w:bCs/>
        </w:rPr>
        <w:t>.</w:t>
      </w:r>
      <w:r w:rsidR="007455A4">
        <w:rPr>
          <w:bCs/>
        </w:rPr>
        <w:t xml:space="preserve"> Drobné úseky jsou pouze u budovy obecního úřadu a dětského hřiště. Do budoucna lze uvažovat o vybudování chodníků v centrální části obce.</w:t>
      </w:r>
    </w:p>
    <w:p w14:paraId="0E4F9463" w14:textId="77777777" w:rsidR="0076303E" w:rsidRDefault="0076303E" w:rsidP="00152B12">
      <w:pPr>
        <w:spacing w:after="160" w:line="259" w:lineRule="auto"/>
        <w:jc w:val="both"/>
      </w:pPr>
    </w:p>
    <w:p w14:paraId="4390A427" w14:textId="77777777" w:rsidR="00152B12" w:rsidRPr="001D0594" w:rsidRDefault="00152B12" w:rsidP="00152B12">
      <w:pPr>
        <w:spacing w:after="160" w:line="259" w:lineRule="auto"/>
        <w:jc w:val="both"/>
        <w:rPr>
          <w:u w:val="single"/>
        </w:rPr>
      </w:pPr>
      <w:r w:rsidRPr="001D0594">
        <w:rPr>
          <w:u w:val="single"/>
        </w:rPr>
        <w:t>Železniční síť a její kvalita</w:t>
      </w:r>
    </w:p>
    <w:p w14:paraId="0EC675AC" w14:textId="16F2C335" w:rsidR="00CC6796" w:rsidRDefault="00773B14" w:rsidP="00CC6796">
      <w:pPr>
        <w:spacing w:after="160" w:line="259" w:lineRule="auto"/>
        <w:jc w:val="both"/>
      </w:pPr>
      <w:r>
        <w:t xml:space="preserve">Na území obce Staré Buky </w:t>
      </w:r>
      <w:r w:rsidRPr="00255121">
        <w:rPr>
          <w:b/>
        </w:rPr>
        <w:t>není železniční síť vybudována</w:t>
      </w:r>
      <w:r>
        <w:t>.</w:t>
      </w:r>
      <w:r w:rsidR="006B3065">
        <w:t xml:space="preserve"> Pouze severním cípem území obce prochází železniční trať č. 040.</w:t>
      </w:r>
    </w:p>
    <w:p w14:paraId="32BC8380" w14:textId="6F17DB93" w:rsidR="00152B12" w:rsidRDefault="00152B12" w:rsidP="00152B12">
      <w:pPr>
        <w:spacing w:after="160" w:line="259" w:lineRule="auto"/>
      </w:pPr>
    </w:p>
    <w:p w14:paraId="050DA4D0" w14:textId="77777777" w:rsidR="00152B12" w:rsidRPr="00D73D51" w:rsidRDefault="00152B12" w:rsidP="00152B12">
      <w:pPr>
        <w:spacing w:after="160" w:line="259" w:lineRule="auto"/>
        <w:rPr>
          <w:u w:val="single"/>
        </w:rPr>
      </w:pPr>
      <w:r w:rsidRPr="00D73D51">
        <w:rPr>
          <w:u w:val="single"/>
        </w:rPr>
        <w:t>Cykloturistická síť</w:t>
      </w:r>
    </w:p>
    <w:p w14:paraId="777874D5" w14:textId="77777777" w:rsidR="00152B12" w:rsidRDefault="00152B12" w:rsidP="00152B12">
      <w:pPr>
        <w:spacing w:after="160" w:line="259" w:lineRule="auto"/>
        <w:jc w:val="both"/>
      </w:pPr>
      <w:r>
        <w:t xml:space="preserve">Cykloturistická síť je tvořena cyklostezkami, cyklotrasami a bikovými traily. </w:t>
      </w:r>
      <w:r w:rsidRPr="00603D88">
        <w:rPr>
          <w:b/>
        </w:rPr>
        <w:t>Cyklostezka</w:t>
      </w:r>
      <w:r w:rsidRPr="001C5AD7">
        <w:t xml:space="preserve"> </w:t>
      </w:r>
      <w:r>
        <w:t xml:space="preserve">je taková pozemní komunikace (případně její jízdní pás), která je přímo určena pro cyklistickou dopravu a je označena dopravní značkou pro jízdu na jízdním kole. </w:t>
      </w:r>
      <w:r w:rsidRPr="00603D88">
        <w:rPr>
          <w:b/>
        </w:rPr>
        <w:t>Cyklotrasa</w:t>
      </w:r>
      <w:r w:rsidRPr="008C0FB9">
        <w:t> je </w:t>
      </w:r>
      <w:r w:rsidRPr="008C0FB9">
        <w:rPr>
          <w:bCs/>
        </w:rPr>
        <w:t>trasa pro cyklisty</w:t>
      </w:r>
      <w:r w:rsidRPr="008C0FB9">
        <w:t> označená orientačním dopravním nebo turistickým značením</w:t>
      </w:r>
      <w:r>
        <w:t>. Může být vedena jak po stezkách pro cyklisty, tak po vhodných pozemních komunikacích, kde probíhá silniční doprava</w:t>
      </w:r>
      <w:r>
        <w:rPr>
          <w:rStyle w:val="Znakapoznpodarou"/>
        </w:rPr>
        <w:footnoteReference w:id="28"/>
      </w:r>
      <w:r>
        <w:t xml:space="preserve">. </w:t>
      </w:r>
      <w:r w:rsidRPr="0081430C">
        <w:rPr>
          <w:b/>
          <w:bCs/>
        </w:rPr>
        <w:t>Bikový trail</w:t>
      </w:r>
      <w:r w:rsidRPr="005F444D">
        <w:t xml:space="preserve"> </w:t>
      </w:r>
      <w:r>
        <w:t>je specifický druh cyklotrasy, který se vyznačuje svou náročností jak do kopce, tak především z kopce. Jedná se o lesní traily vyhledávané takzvanými bikery, tedy jezdci na MTB či downhillových kolech.</w:t>
      </w:r>
    </w:p>
    <w:p w14:paraId="4340DD53" w14:textId="628F69F9" w:rsidR="00A51598" w:rsidRDefault="00A51598" w:rsidP="00A51598">
      <w:pPr>
        <w:spacing w:after="160" w:line="259" w:lineRule="auto"/>
        <w:jc w:val="both"/>
      </w:pPr>
      <w:r>
        <w:t>Obcí Staré Buky ke květnu 2022 neprochází žádná cyklostezka. Přes území obce však prochází tři značené cyklotrasy. Informace k nim podává tabulka 14.</w:t>
      </w:r>
    </w:p>
    <w:p w14:paraId="2A7798FD" w14:textId="3381D240" w:rsidR="00FF7186" w:rsidRDefault="00FF7186" w:rsidP="00A51598">
      <w:pPr>
        <w:jc w:val="both"/>
      </w:pPr>
      <w:r>
        <w:br w:type="page"/>
      </w:r>
    </w:p>
    <w:p w14:paraId="4934E199" w14:textId="3861FB12" w:rsidR="00A51598" w:rsidRPr="0084280F" w:rsidRDefault="00A51598" w:rsidP="00A51598">
      <w:pPr>
        <w:pStyle w:val="TABULKA0"/>
      </w:pPr>
      <w:bookmarkStart w:id="247" w:name="_Toc465022153"/>
      <w:bookmarkStart w:id="248" w:name="_Toc480751592"/>
      <w:bookmarkStart w:id="249" w:name="_Toc100690512"/>
      <w:bookmarkStart w:id="250" w:name="_Toc120651936"/>
      <w:r>
        <w:lastRenderedPageBreak/>
        <w:t>Tabulka 14</w:t>
      </w:r>
      <w:r w:rsidRPr="00965DB8">
        <w:t xml:space="preserve">: </w:t>
      </w:r>
      <w:r>
        <w:t>C</w:t>
      </w:r>
      <w:r w:rsidRPr="00965DB8">
        <w:t xml:space="preserve">yklotrasy procházející územím </w:t>
      </w:r>
      <w:r>
        <w:t xml:space="preserve">obce </w:t>
      </w:r>
      <w:r w:rsidR="004234ED">
        <w:t>Staré Buky</w:t>
      </w:r>
      <w:r>
        <w:t xml:space="preserve"> (</w:t>
      </w:r>
      <w:r w:rsidRPr="00965DB8">
        <w:t>k</w:t>
      </w:r>
      <w:r w:rsidR="004234ED">
        <w:t>e</w:t>
      </w:r>
      <w:r>
        <w:t> </w:t>
      </w:r>
      <w:r w:rsidR="004234ED">
        <w:t>květnu</w:t>
      </w:r>
      <w:r>
        <w:t xml:space="preserve"> 2022)</w:t>
      </w:r>
      <w:bookmarkEnd w:id="247"/>
      <w:bookmarkEnd w:id="248"/>
      <w:bookmarkEnd w:id="249"/>
      <w:bookmarkEnd w:id="250"/>
    </w:p>
    <w:tbl>
      <w:tblPr>
        <w:tblW w:w="903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70"/>
        <w:gridCol w:w="1523"/>
        <w:gridCol w:w="658"/>
        <w:gridCol w:w="1025"/>
        <w:gridCol w:w="1820"/>
        <w:gridCol w:w="2940"/>
      </w:tblGrid>
      <w:tr w:rsidR="006E6868" w:rsidRPr="00FF1E25" w14:paraId="3BE1D0BC" w14:textId="77777777" w:rsidTr="006E6868">
        <w:trPr>
          <w:trHeight w:val="23"/>
          <w:jc w:val="center"/>
        </w:trPr>
        <w:tc>
          <w:tcPr>
            <w:tcW w:w="982" w:type="dxa"/>
            <w:tcBorders>
              <w:top w:val="single" w:sz="18" w:space="0" w:color="auto"/>
              <w:left w:val="single" w:sz="18" w:space="0" w:color="auto"/>
              <w:bottom w:val="single" w:sz="8" w:space="0" w:color="auto"/>
            </w:tcBorders>
            <w:shd w:val="clear" w:color="auto" w:fill="FFC000"/>
            <w:vAlign w:val="center"/>
            <w:hideMark/>
          </w:tcPr>
          <w:p w14:paraId="0CBF938F" w14:textId="77777777" w:rsidR="00A51598" w:rsidRPr="0059580D" w:rsidRDefault="00A51598" w:rsidP="00566E46">
            <w:pPr>
              <w:jc w:val="center"/>
              <w:rPr>
                <w:rFonts w:eastAsia="Times New Roman" w:cstheme="minorHAnsi"/>
                <w:b/>
                <w:bCs/>
                <w:color w:val="000000"/>
                <w:lang w:eastAsia="cs-CZ"/>
              </w:rPr>
            </w:pPr>
            <w:r w:rsidRPr="0059580D">
              <w:rPr>
                <w:rFonts w:eastAsia="Times New Roman" w:cstheme="minorHAnsi"/>
                <w:b/>
                <w:bCs/>
                <w:color w:val="000000"/>
                <w:lang w:eastAsia="cs-CZ"/>
              </w:rPr>
              <w:t>Číslo cyklotrasy</w:t>
            </w:r>
          </w:p>
        </w:tc>
        <w:tc>
          <w:tcPr>
            <w:tcW w:w="1565" w:type="dxa"/>
            <w:tcBorders>
              <w:top w:val="single" w:sz="18" w:space="0" w:color="auto"/>
              <w:bottom w:val="single" w:sz="8" w:space="0" w:color="auto"/>
            </w:tcBorders>
            <w:shd w:val="clear" w:color="auto" w:fill="FFC000"/>
            <w:vAlign w:val="center"/>
            <w:hideMark/>
          </w:tcPr>
          <w:p w14:paraId="2C8C9AC9" w14:textId="77777777" w:rsidR="00A51598" w:rsidRPr="0059580D" w:rsidRDefault="00A51598" w:rsidP="00566E46">
            <w:pPr>
              <w:jc w:val="center"/>
              <w:rPr>
                <w:rFonts w:eastAsia="Times New Roman" w:cstheme="minorHAnsi"/>
                <w:b/>
                <w:bCs/>
                <w:color w:val="000000"/>
                <w:lang w:eastAsia="cs-CZ"/>
              </w:rPr>
            </w:pPr>
            <w:r w:rsidRPr="0059580D">
              <w:rPr>
                <w:rFonts w:eastAsia="Times New Roman" w:cstheme="minorHAnsi"/>
                <w:b/>
                <w:bCs/>
                <w:color w:val="000000"/>
                <w:lang w:eastAsia="cs-CZ"/>
              </w:rPr>
              <w:t>Název</w:t>
            </w:r>
          </w:p>
        </w:tc>
        <w:tc>
          <w:tcPr>
            <w:tcW w:w="658" w:type="dxa"/>
            <w:tcBorders>
              <w:top w:val="single" w:sz="18" w:space="0" w:color="auto"/>
              <w:bottom w:val="single" w:sz="8" w:space="0" w:color="auto"/>
            </w:tcBorders>
            <w:shd w:val="clear" w:color="auto" w:fill="FFC000"/>
            <w:vAlign w:val="center"/>
            <w:hideMark/>
          </w:tcPr>
          <w:p w14:paraId="291ACF96" w14:textId="77777777" w:rsidR="00A51598" w:rsidRPr="0059580D" w:rsidRDefault="00A51598" w:rsidP="00566E46">
            <w:pPr>
              <w:jc w:val="center"/>
              <w:rPr>
                <w:rFonts w:eastAsia="Times New Roman" w:cstheme="minorHAnsi"/>
                <w:b/>
                <w:bCs/>
                <w:color w:val="000000"/>
                <w:lang w:eastAsia="cs-CZ"/>
              </w:rPr>
            </w:pPr>
            <w:r w:rsidRPr="0059580D">
              <w:rPr>
                <w:rFonts w:eastAsia="Times New Roman" w:cstheme="minorHAnsi"/>
                <w:b/>
                <w:bCs/>
                <w:color w:val="000000"/>
                <w:lang w:eastAsia="cs-CZ"/>
              </w:rPr>
              <w:t>Délka</w:t>
            </w:r>
          </w:p>
          <w:p w14:paraId="049A7AAC" w14:textId="77777777" w:rsidR="00A51598" w:rsidRPr="0059580D" w:rsidRDefault="00A51598" w:rsidP="00566E46">
            <w:pPr>
              <w:jc w:val="center"/>
              <w:rPr>
                <w:rFonts w:eastAsia="Times New Roman" w:cstheme="minorHAnsi"/>
                <w:b/>
                <w:bCs/>
                <w:color w:val="000000"/>
                <w:lang w:eastAsia="cs-CZ"/>
              </w:rPr>
            </w:pPr>
            <w:r w:rsidRPr="0059580D">
              <w:rPr>
                <w:rFonts w:eastAsia="Times New Roman" w:cstheme="minorHAnsi"/>
                <w:b/>
                <w:bCs/>
                <w:color w:val="000000"/>
                <w:lang w:eastAsia="cs-CZ"/>
              </w:rPr>
              <w:t>(km)</w:t>
            </w:r>
          </w:p>
        </w:tc>
        <w:tc>
          <w:tcPr>
            <w:tcW w:w="1025" w:type="dxa"/>
            <w:tcBorders>
              <w:top w:val="single" w:sz="18" w:space="0" w:color="auto"/>
              <w:bottom w:val="single" w:sz="8" w:space="0" w:color="auto"/>
            </w:tcBorders>
            <w:shd w:val="clear" w:color="auto" w:fill="FFC000"/>
            <w:vAlign w:val="center"/>
          </w:tcPr>
          <w:p w14:paraId="3560CF68" w14:textId="77777777" w:rsidR="00A51598" w:rsidRPr="0059580D" w:rsidRDefault="00A51598" w:rsidP="00566E46">
            <w:pPr>
              <w:jc w:val="center"/>
              <w:rPr>
                <w:rFonts w:eastAsia="Times New Roman" w:cstheme="minorHAnsi"/>
                <w:b/>
                <w:bCs/>
                <w:color w:val="000000"/>
                <w:lang w:eastAsia="cs-CZ"/>
              </w:rPr>
            </w:pPr>
            <w:r w:rsidRPr="0059580D">
              <w:rPr>
                <w:rFonts w:eastAsia="Times New Roman" w:cstheme="minorHAnsi"/>
                <w:b/>
                <w:bCs/>
                <w:color w:val="000000"/>
                <w:lang w:eastAsia="cs-CZ"/>
              </w:rPr>
              <w:t>Obtížnost</w:t>
            </w:r>
          </w:p>
        </w:tc>
        <w:tc>
          <w:tcPr>
            <w:tcW w:w="1866" w:type="dxa"/>
            <w:tcBorders>
              <w:top w:val="single" w:sz="18" w:space="0" w:color="auto"/>
              <w:bottom w:val="single" w:sz="8" w:space="0" w:color="auto"/>
            </w:tcBorders>
            <w:shd w:val="clear" w:color="auto" w:fill="FFC000"/>
            <w:vAlign w:val="center"/>
          </w:tcPr>
          <w:p w14:paraId="5E01A817" w14:textId="77777777" w:rsidR="00A51598" w:rsidRPr="0059580D" w:rsidRDefault="00A51598" w:rsidP="00566E46">
            <w:pPr>
              <w:jc w:val="center"/>
              <w:rPr>
                <w:rFonts w:eastAsia="Times New Roman" w:cstheme="minorHAnsi"/>
                <w:b/>
                <w:bCs/>
                <w:color w:val="000000"/>
                <w:lang w:eastAsia="cs-CZ"/>
              </w:rPr>
            </w:pPr>
            <w:r w:rsidRPr="0059580D">
              <w:rPr>
                <w:rFonts w:eastAsia="Times New Roman" w:cstheme="minorHAnsi"/>
                <w:b/>
                <w:bCs/>
                <w:color w:val="000000"/>
                <w:lang w:eastAsia="cs-CZ"/>
              </w:rPr>
              <w:t>Povrch</w:t>
            </w:r>
          </w:p>
        </w:tc>
        <w:tc>
          <w:tcPr>
            <w:tcW w:w="2940" w:type="dxa"/>
            <w:tcBorders>
              <w:top w:val="single" w:sz="18" w:space="0" w:color="auto"/>
              <w:bottom w:val="single" w:sz="8" w:space="0" w:color="auto"/>
              <w:right w:val="single" w:sz="18" w:space="0" w:color="auto"/>
            </w:tcBorders>
            <w:shd w:val="clear" w:color="auto" w:fill="FFC000"/>
            <w:vAlign w:val="center"/>
            <w:hideMark/>
          </w:tcPr>
          <w:p w14:paraId="009A55FF" w14:textId="77777777" w:rsidR="00A51598" w:rsidRPr="0059580D" w:rsidRDefault="00A51598" w:rsidP="00566E46">
            <w:pPr>
              <w:jc w:val="center"/>
              <w:rPr>
                <w:rFonts w:eastAsia="Times New Roman" w:cstheme="minorHAnsi"/>
                <w:b/>
                <w:bCs/>
                <w:color w:val="000000"/>
                <w:lang w:eastAsia="cs-CZ"/>
              </w:rPr>
            </w:pPr>
            <w:r w:rsidRPr="0059580D">
              <w:rPr>
                <w:rFonts w:eastAsia="Times New Roman" w:cstheme="minorHAnsi"/>
                <w:b/>
                <w:bCs/>
                <w:color w:val="000000"/>
                <w:lang w:eastAsia="cs-CZ"/>
              </w:rPr>
              <w:t>Trasa</w:t>
            </w:r>
          </w:p>
        </w:tc>
      </w:tr>
      <w:tr w:rsidR="00A51598" w:rsidRPr="00FF1E25" w14:paraId="67596FB3" w14:textId="77777777" w:rsidTr="006E6868">
        <w:trPr>
          <w:trHeight w:val="171"/>
          <w:jc w:val="center"/>
        </w:trPr>
        <w:tc>
          <w:tcPr>
            <w:tcW w:w="982" w:type="dxa"/>
            <w:tcBorders>
              <w:top w:val="single" w:sz="8" w:space="0" w:color="auto"/>
              <w:left w:val="single" w:sz="18" w:space="0" w:color="auto"/>
              <w:bottom w:val="single" w:sz="6" w:space="0" w:color="auto"/>
            </w:tcBorders>
            <w:shd w:val="clear" w:color="auto" w:fill="D9D9D9" w:themeFill="background1" w:themeFillShade="D9"/>
            <w:vAlign w:val="center"/>
          </w:tcPr>
          <w:p w14:paraId="61117F82" w14:textId="485B8522" w:rsidR="00A51598" w:rsidRPr="0049536D" w:rsidRDefault="004234ED" w:rsidP="00566E46">
            <w:pPr>
              <w:jc w:val="center"/>
              <w:rPr>
                <w:rFonts w:ascii="Calibri" w:eastAsia="Times New Roman" w:hAnsi="Calibri" w:cs="Times New Roman"/>
                <w:color w:val="000000"/>
                <w:sz w:val="20"/>
                <w:szCs w:val="20"/>
                <w:lang w:eastAsia="cs-CZ"/>
              </w:rPr>
            </w:pPr>
            <w:r w:rsidRPr="0049536D">
              <w:rPr>
                <w:rFonts w:ascii="Calibri" w:eastAsia="Times New Roman" w:hAnsi="Calibri" w:cs="Times New Roman"/>
                <w:color w:val="000000"/>
                <w:sz w:val="20"/>
                <w:szCs w:val="20"/>
                <w:lang w:eastAsia="cs-CZ"/>
              </w:rPr>
              <w:t>4138</w:t>
            </w:r>
          </w:p>
        </w:tc>
        <w:tc>
          <w:tcPr>
            <w:tcW w:w="1565" w:type="dxa"/>
            <w:tcBorders>
              <w:top w:val="single" w:sz="8" w:space="0" w:color="auto"/>
              <w:bottom w:val="single" w:sz="6" w:space="0" w:color="auto"/>
            </w:tcBorders>
            <w:shd w:val="clear" w:color="auto" w:fill="D9D9D9" w:themeFill="background1" w:themeFillShade="D9"/>
            <w:vAlign w:val="center"/>
          </w:tcPr>
          <w:p w14:paraId="775580E7" w14:textId="3D49E4EF" w:rsidR="00A51598" w:rsidRPr="0049536D" w:rsidRDefault="00422E72"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Pilníkov – Nesytá</w:t>
            </w:r>
          </w:p>
        </w:tc>
        <w:tc>
          <w:tcPr>
            <w:tcW w:w="658" w:type="dxa"/>
            <w:tcBorders>
              <w:top w:val="single" w:sz="8" w:space="0" w:color="auto"/>
              <w:bottom w:val="single" w:sz="6" w:space="0" w:color="auto"/>
            </w:tcBorders>
            <w:shd w:val="clear" w:color="auto" w:fill="auto"/>
            <w:vAlign w:val="center"/>
          </w:tcPr>
          <w:p w14:paraId="263F2697" w14:textId="5E6DE7FC" w:rsidR="00A51598" w:rsidRPr="0049536D" w:rsidRDefault="00422E72"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18</w:t>
            </w:r>
          </w:p>
        </w:tc>
        <w:tc>
          <w:tcPr>
            <w:tcW w:w="1025" w:type="dxa"/>
            <w:tcBorders>
              <w:top w:val="single" w:sz="8" w:space="0" w:color="auto"/>
              <w:bottom w:val="single" w:sz="6" w:space="0" w:color="auto"/>
            </w:tcBorders>
            <w:vAlign w:val="center"/>
          </w:tcPr>
          <w:p w14:paraId="5FB82E51" w14:textId="44E85563" w:rsidR="00A51598" w:rsidRPr="0049536D" w:rsidRDefault="00422E72"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lehká</w:t>
            </w:r>
          </w:p>
        </w:tc>
        <w:tc>
          <w:tcPr>
            <w:tcW w:w="1866" w:type="dxa"/>
            <w:tcBorders>
              <w:top w:val="single" w:sz="8" w:space="0" w:color="auto"/>
              <w:bottom w:val="single" w:sz="6" w:space="0" w:color="auto"/>
            </w:tcBorders>
            <w:vAlign w:val="center"/>
          </w:tcPr>
          <w:p w14:paraId="37D5D3DC" w14:textId="530E0027" w:rsidR="00A51598" w:rsidRPr="0049536D" w:rsidRDefault="00422E72"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asfalt</w:t>
            </w:r>
          </w:p>
        </w:tc>
        <w:tc>
          <w:tcPr>
            <w:tcW w:w="2940" w:type="dxa"/>
            <w:tcBorders>
              <w:top w:val="single" w:sz="8" w:space="0" w:color="auto"/>
              <w:bottom w:val="single" w:sz="6" w:space="0" w:color="auto"/>
              <w:right w:val="single" w:sz="18" w:space="0" w:color="auto"/>
            </w:tcBorders>
            <w:shd w:val="clear" w:color="auto" w:fill="auto"/>
            <w:vAlign w:val="center"/>
          </w:tcPr>
          <w:p w14:paraId="212D711F" w14:textId="55E2B33E" w:rsidR="00A51598" w:rsidRPr="0049536D" w:rsidRDefault="00422E72"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Pilníkov-</w:t>
            </w:r>
            <w:r w:rsidRPr="0049536D">
              <w:rPr>
                <w:rFonts w:eastAsia="Times New Roman" w:cstheme="minorHAnsi"/>
                <w:b/>
                <w:bCs/>
                <w:color w:val="000000"/>
                <w:sz w:val="20"/>
                <w:szCs w:val="20"/>
                <w:lang w:eastAsia="cs-CZ"/>
              </w:rPr>
              <w:t>Staré Buky</w:t>
            </w:r>
            <w:r w:rsidRPr="0049536D">
              <w:rPr>
                <w:rFonts w:eastAsia="Times New Roman" w:cstheme="minorHAnsi"/>
                <w:color w:val="000000"/>
                <w:sz w:val="20"/>
                <w:szCs w:val="20"/>
                <w:lang w:eastAsia="cs-CZ"/>
              </w:rPr>
              <w:t>-Horní Žďár-Hajnice-Nesytá</w:t>
            </w:r>
          </w:p>
        </w:tc>
      </w:tr>
      <w:tr w:rsidR="00A51598" w:rsidRPr="0049536D" w14:paraId="1A915E6C" w14:textId="77777777" w:rsidTr="006E6868">
        <w:trPr>
          <w:trHeight w:val="53"/>
          <w:jc w:val="center"/>
        </w:trPr>
        <w:tc>
          <w:tcPr>
            <w:tcW w:w="982" w:type="dxa"/>
            <w:tcBorders>
              <w:top w:val="single" w:sz="6" w:space="0" w:color="auto"/>
              <w:left w:val="single" w:sz="18" w:space="0" w:color="auto"/>
              <w:bottom w:val="single" w:sz="6" w:space="0" w:color="auto"/>
            </w:tcBorders>
            <w:shd w:val="clear" w:color="auto" w:fill="D9D9D9" w:themeFill="background1" w:themeFillShade="D9"/>
            <w:vAlign w:val="center"/>
          </w:tcPr>
          <w:p w14:paraId="6D1F2421" w14:textId="79260549" w:rsidR="00A51598" w:rsidRPr="0049536D" w:rsidRDefault="004234ED" w:rsidP="00566E46">
            <w:pPr>
              <w:jc w:val="center"/>
              <w:rPr>
                <w:rFonts w:ascii="Calibri" w:eastAsia="Times New Roman" w:hAnsi="Calibri" w:cs="Times New Roman"/>
                <w:color w:val="000000"/>
                <w:sz w:val="20"/>
                <w:szCs w:val="20"/>
                <w:lang w:eastAsia="cs-CZ"/>
              </w:rPr>
            </w:pPr>
            <w:r w:rsidRPr="0049536D">
              <w:rPr>
                <w:rFonts w:ascii="Calibri" w:eastAsia="Times New Roman" w:hAnsi="Calibri" w:cs="Times New Roman"/>
                <w:color w:val="000000"/>
                <w:sz w:val="20"/>
                <w:szCs w:val="20"/>
                <w:lang w:eastAsia="cs-CZ"/>
              </w:rPr>
              <w:t>4211</w:t>
            </w:r>
          </w:p>
        </w:tc>
        <w:tc>
          <w:tcPr>
            <w:tcW w:w="1565" w:type="dxa"/>
            <w:tcBorders>
              <w:top w:val="single" w:sz="6" w:space="0" w:color="auto"/>
              <w:bottom w:val="single" w:sz="6" w:space="0" w:color="auto"/>
            </w:tcBorders>
            <w:shd w:val="clear" w:color="auto" w:fill="D9D9D9" w:themeFill="background1" w:themeFillShade="D9"/>
            <w:vAlign w:val="center"/>
          </w:tcPr>
          <w:p w14:paraId="5EB9FABA" w14:textId="24EBB6B9" w:rsidR="00A51598" w:rsidRPr="0049536D" w:rsidRDefault="0049536D"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Starý Rokytník – Staré Buky</w:t>
            </w:r>
          </w:p>
        </w:tc>
        <w:tc>
          <w:tcPr>
            <w:tcW w:w="658" w:type="dxa"/>
            <w:tcBorders>
              <w:top w:val="single" w:sz="6" w:space="0" w:color="auto"/>
              <w:bottom w:val="single" w:sz="6" w:space="0" w:color="auto"/>
            </w:tcBorders>
            <w:shd w:val="clear" w:color="auto" w:fill="auto"/>
            <w:vAlign w:val="center"/>
          </w:tcPr>
          <w:p w14:paraId="1FD48B69" w14:textId="01CDA98F" w:rsidR="00A51598" w:rsidRPr="0049536D" w:rsidRDefault="0049536D"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7</w:t>
            </w:r>
          </w:p>
        </w:tc>
        <w:tc>
          <w:tcPr>
            <w:tcW w:w="1025" w:type="dxa"/>
            <w:tcBorders>
              <w:top w:val="single" w:sz="6" w:space="0" w:color="auto"/>
              <w:bottom w:val="single" w:sz="6" w:space="0" w:color="auto"/>
            </w:tcBorders>
            <w:vAlign w:val="center"/>
          </w:tcPr>
          <w:p w14:paraId="37F50CD1" w14:textId="0C35215D" w:rsidR="00A51598" w:rsidRPr="0049536D" w:rsidRDefault="0049536D" w:rsidP="00566E46">
            <w:pPr>
              <w:jc w:val="center"/>
              <w:rPr>
                <w:rFonts w:ascii="Calibri" w:eastAsia="Times New Roman" w:hAnsi="Calibri" w:cs="Times New Roman"/>
                <w:color w:val="000000"/>
                <w:sz w:val="20"/>
                <w:szCs w:val="20"/>
                <w:lang w:eastAsia="cs-CZ"/>
              </w:rPr>
            </w:pPr>
            <w:r w:rsidRPr="0049536D">
              <w:rPr>
                <w:rFonts w:ascii="Calibri" w:eastAsia="Times New Roman" w:hAnsi="Calibri" w:cs="Times New Roman"/>
                <w:color w:val="000000"/>
                <w:sz w:val="20"/>
                <w:szCs w:val="20"/>
                <w:lang w:eastAsia="cs-CZ"/>
              </w:rPr>
              <w:t>střední</w:t>
            </w:r>
          </w:p>
        </w:tc>
        <w:tc>
          <w:tcPr>
            <w:tcW w:w="1866" w:type="dxa"/>
            <w:tcBorders>
              <w:top w:val="single" w:sz="6" w:space="0" w:color="auto"/>
              <w:bottom w:val="single" w:sz="6" w:space="0" w:color="auto"/>
            </w:tcBorders>
            <w:vAlign w:val="center"/>
          </w:tcPr>
          <w:p w14:paraId="4EF98751" w14:textId="3BE3B270" w:rsidR="00A51598" w:rsidRPr="0049536D" w:rsidRDefault="0049536D"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asfalt, zpevněná účelová komunikace</w:t>
            </w:r>
          </w:p>
        </w:tc>
        <w:tc>
          <w:tcPr>
            <w:tcW w:w="2940" w:type="dxa"/>
            <w:tcBorders>
              <w:top w:val="single" w:sz="6" w:space="0" w:color="auto"/>
              <w:bottom w:val="single" w:sz="6" w:space="0" w:color="auto"/>
              <w:right w:val="single" w:sz="18" w:space="0" w:color="auto"/>
            </w:tcBorders>
            <w:shd w:val="clear" w:color="auto" w:fill="auto"/>
            <w:vAlign w:val="center"/>
          </w:tcPr>
          <w:p w14:paraId="55C8FCA6" w14:textId="4930F45D" w:rsidR="00A51598" w:rsidRPr="0049536D" w:rsidRDefault="0049536D"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Starý Rokytník-Novorokytnická-</w:t>
            </w:r>
            <w:r w:rsidRPr="0049536D">
              <w:rPr>
                <w:rFonts w:eastAsia="Times New Roman" w:cstheme="minorHAnsi"/>
                <w:b/>
                <w:bCs/>
                <w:color w:val="000000"/>
                <w:sz w:val="20"/>
                <w:szCs w:val="20"/>
                <w:lang w:eastAsia="cs-CZ"/>
              </w:rPr>
              <w:t>Staré Buky</w:t>
            </w:r>
          </w:p>
        </w:tc>
      </w:tr>
      <w:tr w:rsidR="00A51598" w:rsidRPr="00FF1E25" w14:paraId="5BDCF444" w14:textId="77777777" w:rsidTr="006E6868">
        <w:trPr>
          <w:trHeight w:val="53"/>
          <w:jc w:val="center"/>
        </w:trPr>
        <w:tc>
          <w:tcPr>
            <w:tcW w:w="982" w:type="dxa"/>
            <w:tcBorders>
              <w:left w:val="single" w:sz="18" w:space="0" w:color="auto"/>
              <w:bottom w:val="single" w:sz="18" w:space="0" w:color="auto"/>
            </w:tcBorders>
            <w:shd w:val="clear" w:color="auto" w:fill="D9D9D9" w:themeFill="background1" w:themeFillShade="D9"/>
            <w:noWrap/>
            <w:vAlign w:val="center"/>
          </w:tcPr>
          <w:p w14:paraId="55E02136" w14:textId="32534A88" w:rsidR="00A51598" w:rsidRPr="0049536D" w:rsidRDefault="004234ED" w:rsidP="00566E46">
            <w:pPr>
              <w:jc w:val="center"/>
              <w:rPr>
                <w:rFonts w:ascii="Calibri" w:eastAsia="Times New Roman" w:hAnsi="Calibri" w:cs="Times New Roman"/>
                <w:color w:val="000000"/>
                <w:sz w:val="20"/>
                <w:szCs w:val="20"/>
                <w:lang w:eastAsia="cs-CZ"/>
              </w:rPr>
            </w:pPr>
            <w:r w:rsidRPr="0049536D">
              <w:rPr>
                <w:rFonts w:ascii="Calibri" w:eastAsia="Times New Roman" w:hAnsi="Calibri" w:cs="Times New Roman"/>
                <w:color w:val="000000"/>
                <w:sz w:val="20"/>
                <w:szCs w:val="20"/>
                <w:lang w:eastAsia="cs-CZ"/>
              </w:rPr>
              <w:t>4323</w:t>
            </w:r>
          </w:p>
        </w:tc>
        <w:tc>
          <w:tcPr>
            <w:tcW w:w="1565" w:type="dxa"/>
            <w:tcBorders>
              <w:bottom w:val="single" w:sz="18" w:space="0" w:color="auto"/>
            </w:tcBorders>
            <w:shd w:val="clear" w:color="auto" w:fill="D9D9D9" w:themeFill="background1" w:themeFillShade="D9"/>
            <w:vAlign w:val="center"/>
          </w:tcPr>
          <w:p w14:paraId="1266F581" w14:textId="7BAE51CF" w:rsidR="00A51598" w:rsidRPr="0049536D" w:rsidRDefault="0049536D"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Mravenčí domky – Pilníkov</w:t>
            </w:r>
            <w:r w:rsidR="006E6868">
              <w:rPr>
                <w:rFonts w:eastAsia="Times New Roman" w:cstheme="minorHAnsi"/>
                <w:color w:val="000000"/>
                <w:sz w:val="20"/>
                <w:szCs w:val="20"/>
                <w:lang w:eastAsia="cs-CZ"/>
              </w:rPr>
              <w:t>-</w:t>
            </w:r>
            <w:r w:rsidRPr="0049536D">
              <w:rPr>
                <w:rFonts w:eastAsia="Times New Roman" w:cstheme="minorHAnsi"/>
                <w:color w:val="000000"/>
                <w:sz w:val="20"/>
                <w:szCs w:val="20"/>
                <w:lang w:eastAsia="cs-CZ"/>
              </w:rPr>
              <w:t>Prkenný Důl</w:t>
            </w:r>
          </w:p>
        </w:tc>
        <w:tc>
          <w:tcPr>
            <w:tcW w:w="658" w:type="dxa"/>
            <w:tcBorders>
              <w:bottom w:val="single" w:sz="18" w:space="0" w:color="auto"/>
            </w:tcBorders>
            <w:shd w:val="clear" w:color="auto" w:fill="auto"/>
            <w:noWrap/>
            <w:vAlign w:val="center"/>
          </w:tcPr>
          <w:p w14:paraId="12E50406" w14:textId="4624DB1B" w:rsidR="00A51598" w:rsidRPr="0049536D" w:rsidRDefault="0049536D"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11</w:t>
            </w:r>
          </w:p>
        </w:tc>
        <w:tc>
          <w:tcPr>
            <w:tcW w:w="1025" w:type="dxa"/>
            <w:tcBorders>
              <w:bottom w:val="single" w:sz="18" w:space="0" w:color="auto"/>
            </w:tcBorders>
            <w:vAlign w:val="center"/>
          </w:tcPr>
          <w:p w14:paraId="76D80975" w14:textId="063C66D9" w:rsidR="00A51598" w:rsidRPr="0049536D" w:rsidRDefault="0049536D"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střední</w:t>
            </w:r>
          </w:p>
        </w:tc>
        <w:tc>
          <w:tcPr>
            <w:tcW w:w="1866" w:type="dxa"/>
            <w:tcBorders>
              <w:bottom w:val="single" w:sz="18" w:space="0" w:color="auto"/>
            </w:tcBorders>
            <w:vAlign w:val="center"/>
          </w:tcPr>
          <w:p w14:paraId="58EFBEF2" w14:textId="15EC2D5D" w:rsidR="00A51598" w:rsidRPr="0049536D" w:rsidRDefault="0049536D"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šotolina, nezpevněný povrch lesních cest</w:t>
            </w:r>
          </w:p>
        </w:tc>
        <w:tc>
          <w:tcPr>
            <w:tcW w:w="2940" w:type="dxa"/>
            <w:tcBorders>
              <w:bottom w:val="single" w:sz="18" w:space="0" w:color="auto"/>
              <w:right w:val="single" w:sz="18" w:space="0" w:color="auto"/>
            </w:tcBorders>
            <w:shd w:val="clear" w:color="auto" w:fill="auto"/>
            <w:noWrap/>
            <w:vAlign w:val="center"/>
          </w:tcPr>
          <w:p w14:paraId="007D240F" w14:textId="254872F7" w:rsidR="00A51598" w:rsidRPr="0049536D" w:rsidRDefault="0049536D" w:rsidP="00566E46">
            <w:pPr>
              <w:jc w:val="center"/>
              <w:rPr>
                <w:rFonts w:eastAsia="Times New Roman" w:cstheme="minorHAnsi"/>
                <w:color w:val="000000"/>
                <w:sz w:val="20"/>
                <w:szCs w:val="20"/>
                <w:lang w:eastAsia="cs-CZ"/>
              </w:rPr>
            </w:pPr>
            <w:r w:rsidRPr="0049536D">
              <w:rPr>
                <w:rFonts w:eastAsia="Times New Roman" w:cstheme="minorHAnsi"/>
                <w:color w:val="000000"/>
                <w:sz w:val="20"/>
                <w:szCs w:val="20"/>
                <w:lang w:eastAsia="cs-CZ"/>
              </w:rPr>
              <w:t>Mravenčí domky-Výšinka-Dubový Dvůr-Sovinec-</w:t>
            </w:r>
            <w:r w:rsidRPr="0049536D">
              <w:rPr>
                <w:rFonts w:eastAsia="Times New Roman" w:cstheme="minorHAnsi"/>
                <w:b/>
                <w:bCs/>
                <w:color w:val="000000"/>
                <w:sz w:val="20"/>
                <w:szCs w:val="20"/>
                <w:lang w:eastAsia="cs-CZ"/>
              </w:rPr>
              <w:t>úpatí Kamence</w:t>
            </w:r>
            <w:r w:rsidRPr="0049536D">
              <w:rPr>
                <w:rFonts w:eastAsia="Times New Roman" w:cstheme="minorHAnsi"/>
                <w:color w:val="000000"/>
                <w:sz w:val="20"/>
                <w:szCs w:val="20"/>
                <w:lang w:eastAsia="cs-CZ"/>
              </w:rPr>
              <w:t>-Prkenný Důl</w:t>
            </w:r>
          </w:p>
        </w:tc>
      </w:tr>
    </w:tbl>
    <w:p w14:paraId="4693C3F9" w14:textId="398A1179" w:rsidR="00A51598" w:rsidRPr="00E2550B" w:rsidRDefault="00A51598" w:rsidP="00A51598">
      <w:pPr>
        <w:rPr>
          <w:sz w:val="20"/>
          <w:szCs w:val="20"/>
        </w:rPr>
      </w:pPr>
      <w:r w:rsidRPr="00E2550B">
        <w:rPr>
          <w:b/>
          <w:bCs/>
          <w:sz w:val="20"/>
          <w:szCs w:val="20"/>
        </w:rPr>
        <w:t>Poznámka:</w:t>
      </w:r>
      <w:r w:rsidRPr="00E2550B">
        <w:rPr>
          <w:sz w:val="20"/>
          <w:szCs w:val="20"/>
        </w:rPr>
        <w:t xml:space="preserve"> </w:t>
      </w:r>
      <w:r>
        <w:rPr>
          <w:sz w:val="20"/>
          <w:szCs w:val="20"/>
        </w:rPr>
        <w:t>T</w:t>
      </w:r>
      <w:r w:rsidRPr="00E2550B">
        <w:rPr>
          <w:sz w:val="20"/>
          <w:szCs w:val="20"/>
        </w:rPr>
        <w:t xml:space="preserve">učně jsou zvýrazněny lokality na území obce </w:t>
      </w:r>
      <w:r w:rsidR="00ED5701">
        <w:rPr>
          <w:sz w:val="20"/>
          <w:szCs w:val="20"/>
        </w:rPr>
        <w:t>Staré Buky</w:t>
      </w:r>
      <w:r w:rsidRPr="00E2550B">
        <w:rPr>
          <w:sz w:val="20"/>
          <w:szCs w:val="20"/>
        </w:rPr>
        <w:t>.</w:t>
      </w:r>
    </w:p>
    <w:p w14:paraId="2DD202A5" w14:textId="77777777" w:rsidR="00A51598" w:rsidRDefault="00A51598" w:rsidP="00A51598">
      <w:pPr>
        <w:contextualSpacing/>
        <w:jc w:val="both"/>
        <w:rPr>
          <w:sz w:val="20"/>
          <w:szCs w:val="20"/>
        </w:rPr>
      </w:pPr>
      <w:r w:rsidRPr="007402AD">
        <w:rPr>
          <w:b/>
          <w:sz w:val="20"/>
          <w:szCs w:val="20"/>
        </w:rPr>
        <w:t>Zdroj</w:t>
      </w:r>
      <w:r>
        <w:rPr>
          <w:b/>
          <w:sz w:val="20"/>
          <w:szCs w:val="20"/>
        </w:rPr>
        <w:t>e</w:t>
      </w:r>
      <w:r w:rsidRPr="007402AD">
        <w:rPr>
          <w:b/>
          <w:sz w:val="20"/>
          <w:szCs w:val="20"/>
        </w:rPr>
        <w:t>:</w:t>
      </w:r>
      <w:r w:rsidRPr="007402AD">
        <w:rPr>
          <w:sz w:val="20"/>
          <w:szCs w:val="20"/>
        </w:rPr>
        <w:t xml:space="preserve"> Internetové stránky</w:t>
      </w:r>
      <w:r>
        <w:rPr>
          <w:sz w:val="20"/>
          <w:szCs w:val="20"/>
        </w:rPr>
        <w:t xml:space="preserve"> serveru Cyklotrasy.cz </w:t>
      </w:r>
      <w:hyperlink r:id="rId77" w:history="1">
        <w:r w:rsidRPr="00601F34">
          <w:rPr>
            <w:rStyle w:val="Hypertextovodkaz"/>
            <w:sz w:val="20"/>
            <w:szCs w:val="20"/>
          </w:rPr>
          <w:t>http://cyklotrasy.cz/</w:t>
        </w:r>
      </w:hyperlink>
      <w:r>
        <w:rPr>
          <w:sz w:val="20"/>
          <w:szCs w:val="20"/>
        </w:rPr>
        <w:t xml:space="preserve"> </w:t>
      </w:r>
    </w:p>
    <w:p w14:paraId="6CBC4FF3" w14:textId="77777777" w:rsidR="00A51598" w:rsidRPr="00D13E8F" w:rsidRDefault="00A51598" w:rsidP="00A51598">
      <w:pPr>
        <w:contextualSpacing/>
        <w:jc w:val="both"/>
        <w:rPr>
          <w:sz w:val="20"/>
          <w:szCs w:val="20"/>
        </w:rPr>
      </w:pPr>
      <w:r>
        <w:rPr>
          <w:sz w:val="20"/>
          <w:szCs w:val="20"/>
        </w:rPr>
        <w:t xml:space="preserve">              Internetový mapový server Mapy.cz </w:t>
      </w:r>
      <w:hyperlink r:id="rId78" w:history="1">
        <w:r w:rsidRPr="00DC1E7F">
          <w:rPr>
            <w:rStyle w:val="Hypertextovodkaz"/>
            <w:sz w:val="20"/>
            <w:szCs w:val="20"/>
          </w:rPr>
          <w:t>https://mapy.cz/</w:t>
        </w:r>
      </w:hyperlink>
    </w:p>
    <w:p w14:paraId="0F541F95" w14:textId="77777777" w:rsidR="00A51598" w:rsidRDefault="00A51598" w:rsidP="00A51598">
      <w:pPr>
        <w:spacing w:after="160" w:line="259" w:lineRule="auto"/>
        <w:jc w:val="both"/>
      </w:pPr>
    </w:p>
    <w:p w14:paraId="0716E145" w14:textId="22BED9D1" w:rsidR="00383342" w:rsidRDefault="00152B12" w:rsidP="00152B12">
      <w:pPr>
        <w:spacing w:after="160" w:line="259" w:lineRule="auto"/>
        <w:jc w:val="both"/>
      </w:pPr>
      <w:r>
        <w:t xml:space="preserve">Co se týče cyklistických trailů, </w:t>
      </w:r>
      <w:r w:rsidR="0068524A">
        <w:t xml:space="preserve">nejbližší se nachází ve </w:t>
      </w:r>
      <w:r>
        <w:t>Lhot</w:t>
      </w:r>
      <w:r w:rsidR="0068524A">
        <w:t>ě</w:t>
      </w:r>
      <w:r>
        <w:t xml:space="preserve"> U Trutnova</w:t>
      </w:r>
      <w:r w:rsidR="0068524A">
        <w:t xml:space="preserve"> a jejím okolí (místní část města Trutnova). Ve Lhotě u Trutnova je i</w:t>
      </w:r>
      <w:r>
        <w:t xml:space="preserve"> trailové centrum Trutnov Trails. </w:t>
      </w:r>
      <w:r w:rsidR="0068524A">
        <w:t>N</w:t>
      </w:r>
      <w:r>
        <w:t xml:space="preserve">ávštěvníci </w:t>
      </w:r>
      <w:r w:rsidR="0068524A">
        <w:t xml:space="preserve">mohou </w:t>
      </w:r>
      <w:r>
        <w:t>využít tras s různou obtížností (od modré po černou), takže jsou tyto stezky vhodné pro všechny výkonnostní skupiny jezdců.</w:t>
      </w:r>
    </w:p>
    <w:p w14:paraId="7F592545" w14:textId="77777777" w:rsidR="0083707C" w:rsidRDefault="0083707C" w:rsidP="00383342">
      <w:pPr>
        <w:spacing w:after="160" w:line="259" w:lineRule="auto"/>
        <w:jc w:val="both"/>
      </w:pPr>
    </w:p>
    <w:p w14:paraId="336A5196" w14:textId="77777777" w:rsidR="008147E6" w:rsidRDefault="008147E6" w:rsidP="00A75045">
      <w:pPr>
        <w:pStyle w:val="Nadpis4"/>
      </w:pPr>
      <w:bookmarkStart w:id="251" w:name="_Toc32580120"/>
      <w:bookmarkStart w:id="252" w:name="_Toc120652145"/>
      <w:r>
        <w:t>2.1.4.2 Dopravní obslužnost</w:t>
      </w:r>
      <w:bookmarkEnd w:id="239"/>
      <w:bookmarkEnd w:id="240"/>
      <w:bookmarkEnd w:id="241"/>
      <w:bookmarkEnd w:id="251"/>
      <w:bookmarkEnd w:id="252"/>
    </w:p>
    <w:p w14:paraId="1DCF4627" w14:textId="44A7B553" w:rsidR="000E0DA5" w:rsidRDefault="00F76517" w:rsidP="000E0DA5">
      <w:pPr>
        <w:spacing w:after="160" w:line="259" w:lineRule="auto"/>
        <w:jc w:val="both"/>
        <w:rPr>
          <w:rFonts w:eastAsia="RWXLTG+TimesNewRoman" w:cs="RWXLTG+TimesNewRoman"/>
        </w:rPr>
      </w:pPr>
      <w:r w:rsidRPr="004932DA">
        <w:rPr>
          <w:rFonts w:eastAsia="RWXLTG+TimesNewRoman" w:cs="RWXLTG+TimesNewRoman"/>
        </w:rPr>
        <w:t>Dopravní obslužnost byla</w:t>
      </w:r>
      <w:r>
        <w:rPr>
          <w:rFonts w:eastAsia="RWXLTG+TimesNewRoman" w:cs="RWXLTG+TimesNewRoman"/>
        </w:rPr>
        <w:t xml:space="preserve"> zjišťována pomocí počtu spojů, které je možné v obci využít. Obslužnost byla sledována podle nejnovějších jízdních řádů, které platí do 1</w:t>
      </w:r>
      <w:r w:rsidR="00EB445E">
        <w:rPr>
          <w:rFonts w:eastAsia="RWXLTG+TimesNewRoman" w:cs="RWXLTG+TimesNewRoman"/>
        </w:rPr>
        <w:t>0</w:t>
      </w:r>
      <w:r>
        <w:rPr>
          <w:rFonts w:eastAsia="RWXLTG+TimesNewRoman" w:cs="RWXLTG+TimesNewRoman"/>
        </w:rPr>
        <w:t>. 12. 202</w:t>
      </w:r>
      <w:r w:rsidR="00EB445E">
        <w:rPr>
          <w:rFonts w:eastAsia="RWXLTG+TimesNewRoman" w:cs="RWXLTG+TimesNewRoman"/>
        </w:rPr>
        <w:t>2</w:t>
      </w:r>
      <w:r>
        <w:rPr>
          <w:rFonts w:eastAsia="RWXLTG+TimesNewRoman" w:cs="RWXLTG+TimesNewRoman"/>
        </w:rPr>
        <w:t xml:space="preserve">. Obec </w:t>
      </w:r>
      <w:r w:rsidR="00EB445E">
        <w:rPr>
          <w:rFonts w:eastAsia="RWXLTG+TimesNewRoman" w:cs="RWXLTG+TimesNewRoman"/>
        </w:rPr>
        <w:t>Staré Buky</w:t>
      </w:r>
      <w:r w:rsidRPr="00584068">
        <w:rPr>
          <w:rFonts w:eastAsia="RWXLTG+TimesNewRoman" w:cs="RWXLTG+TimesNewRoman"/>
        </w:rPr>
        <w:t xml:space="preserve"> </w:t>
      </w:r>
      <w:r>
        <w:rPr>
          <w:rFonts w:eastAsia="RWXLTG+TimesNewRoman" w:cs="RWXLTG+TimesNewRoman"/>
        </w:rPr>
        <w:br/>
      </w:r>
      <w:r w:rsidRPr="00584068">
        <w:rPr>
          <w:rFonts w:eastAsia="RWXLTG+TimesNewRoman" w:cs="RWXLTG+TimesNewRoman"/>
        </w:rPr>
        <w:t>je</w:t>
      </w:r>
      <w:r>
        <w:rPr>
          <w:rFonts w:eastAsia="RWXLTG+TimesNewRoman" w:cs="RWXLTG+TimesNewRoman"/>
        </w:rPr>
        <w:t xml:space="preserve"> zapojena do </w:t>
      </w:r>
      <w:r w:rsidRPr="00845DD9">
        <w:rPr>
          <w:rFonts w:eastAsia="RWXLTG+TimesNewRoman" w:cs="RWXLTG+TimesNewRoman"/>
          <w:b/>
        </w:rPr>
        <w:t>integrovaného regionálního systému dopravy IREDO</w:t>
      </w:r>
      <w:r>
        <w:rPr>
          <w:rFonts w:eastAsia="RWXLTG+TimesNewRoman" w:cs="RWXLTG+TimesNewRoman"/>
        </w:rPr>
        <w:t>, který funguje po celém území Královéhradeckého a Pardubického kraje. Organizátorem regionální dopravy je společnost OREDO s.r.o. se sídlem v Hradci Králové.</w:t>
      </w:r>
    </w:p>
    <w:p w14:paraId="33C2F958" w14:textId="75630187" w:rsidR="000E0DA5" w:rsidRDefault="000E0DA5" w:rsidP="000E0DA5">
      <w:pPr>
        <w:spacing w:after="160" w:line="259" w:lineRule="auto"/>
        <w:jc w:val="both"/>
        <w:rPr>
          <w:rFonts w:eastAsia="RWXLTG+TimesNewRoman" w:cs="RWXLTG+TimesNewRoman"/>
        </w:rPr>
      </w:pPr>
    </w:p>
    <w:p w14:paraId="59E48121" w14:textId="77777777" w:rsidR="000E0DA5" w:rsidRPr="0052157E" w:rsidRDefault="000E0DA5" w:rsidP="000E0DA5">
      <w:pPr>
        <w:spacing w:after="160" w:line="259" w:lineRule="auto"/>
        <w:jc w:val="both"/>
        <w:rPr>
          <w:rFonts w:eastAsia="RWXLTG+TimesNewRoman" w:cs="RWXLTG+TimesNewRoman"/>
          <w:u w:val="single"/>
        </w:rPr>
      </w:pPr>
      <w:r w:rsidRPr="0052157E">
        <w:rPr>
          <w:rFonts w:eastAsia="RWXLTG+TimesNewRoman" w:cs="RWXLTG+TimesNewRoman"/>
          <w:u w:val="single"/>
        </w:rPr>
        <w:t>Dopravní obslužnost autobusovou dopravou</w:t>
      </w:r>
    </w:p>
    <w:p w14:paraId="406F5AD2" w14:textId="650B6C51" w:rsidR="00A841D4" w:rsidRDefault="000E0DA5" w:rsidP="00A841D4">
      <w:pPr>
        <w:spacing w:after="160" w:line="259" w:lineRule="auto"/>
        <w:jc w:val="both"/>
      </w:pPr>
      <w:r w:rsidRPr="009F29E6">
        <w:rPr>
          <w:rFonts w:eastAsia="RWXLTG+TimesNewRoman" w:cs="RWXLTG+TimesNewRoman"/>
        </w:rPr>
        <w:t xml:space="preserve">Dopravní obslužnost </w:t>
      </w:r>
      <w:r>
        <w:rPr>
          <w:rFonts w:eastAsia="RWXLTG+TimesNewRoman" w:cs="RWXLTG+TimesNewRoman"/>
        </w:rPr>
        <w:t xml:space="preserve">obce </w:t>
      </w:r>
      <w:r w:rsidRPr="009F29E6">
        <w:rPr>
          <w:rFonts w:eastAsia="RWXLTG+TimesNewRoman" w:cs="RWXLTG+TimesNewRoman"/>
        </w:rPr>
        <w:t xml:space="preserve">autobusovými spoji shrnuje tabulka </w:t>
      </w:r>
      <w:r>
        <w:rPr>
          <w:rFonts w:eastAsia="RWXLTG+TimesNewRoman" w:cs="RWXLTG+TimesNewRoman"/>
        </w:rPr>
        <w:t>1</w:t>
      </w:r>
      <w:r w:rsidR="00963A92">
        <w:rPr>
          <w:rFonts w:eastAsia="RWXLTG+TimesNewRoman" w:cs="RWXLTG+TimesNewRoman"/>
        </w:rPr>
        <w:t>5</w:t>
      </w:r>
      <w:r w:rsidRPr="00782131">
        <w:rPr>
          <w:rFonts w:eastAsia="RWXLTG+TimesNewRoman" w:cs="RWXLTG+TimesNewRoman"/>
        </w:rPr>
        <w:t>.</w:t>
      </w:r>
      <w:r w:rsidR="00A841D4">
        <w:rPr>
          <w:rFonts w:eastAsia="RWXLTG+TimesNewRoman" w:cs="RWXLTG+TimesNewRoman"/>
        </w:rPr>
        <w:t xml:space="preserve"> </w:t>
      </w:r>
      <w:r w:rsidR="00A841D4" w:rsidRPr="0024475D">
        <w:t>Z tabulky</w:t>
      </w:r>
      <w:r w:rsidR="00A841D4" w:rsidRPr="00782131">
        <w:t xml:space="preserve"> vyplývá</w:t>
      </w:r>
      <w:r w:rsidR="00A841D4">
        <w:t xml:space="preserve">, že </w:t>
      </w:r>
      <w:r w:rsidR="00A841D4" w:rsidRPr="001A2F25">
        <w:rPr>
          <w:b/>
        </w:rPr>
        <w:t xml:space="preserve">dopravní obslužnost </w:t>
      </w:r>
      <w:r w:rsidR="00A841D4">
        <w:rPr>
          <w:b/>
        </w:rPr>
        <w:t>obce</w:t>
      </w:r>
      <w:r w:rsidR="00A841D4" w:rsidRPr="001A2F25">
        <w:rPr>
          <w:b/>
        </w:rPr>
        <w:t xml:space="preserve"> </w:t>
      </w:r>
      <w:r w:rsidR="00A841D4">
        <w:rPr>
          <w:b/>
        </w:rPr>
        <w:t>zajišťuj</w:t>
      </w:r>
      <w:r w:rsidR="00963A92">
        <w:rPr>
          <w:b/>
        </w:rPr>
        <w:t>í</w:t>
      </w:r>
      <w:r w:rsidR="00A841D4">
        <w:rPr>
          <w:b/>
        </w:rPr>
        <w:t xml:space="preserve"> celkem </w:t>
      </w:r>
      <w:r w:rsidR="00963A92">
        <w:rPr>
          <w:b/>
        </w:rPr>
        <w:t>4</w:t>
      </w:r>
      <w:r w:rsidR="00A841D4">
        <w:rPr>
          <w:b/>
        </w:rPr>
        <w:t xml:space="preserve"> lin</w:t>
      </w:r>
      <w:r w:rsidR="00963A92">
        <w:rPr>
          <w:b/>
        </w:rPr>
        <w:t>ky</w:t>
      </w:r>
      <w:r w:rsidR="00A841D4">
        <w:rPr>
          <w:b/>
        </w:rPr>
        <w:t xml:space="preserve">. </w:t>
      </w:r>
      <w:r w:rsidR="00963A92">
        <w:t>Dvě z nich</w:t>
      </w:r>
      <w:r w:rsidR="00A841D4">
        <w:t xml:space="preserve"> provozuje společnost </w:t>
      </w:r>
      <w:r w:rsidR="00963A92" w:rsidRPr="00963A92">
        <w:rPr>
          <w:b/>
        </w:rPr>
        <w:t>BusLine KHK s.r.o.</w:t>
      </w:r>
      <w:r w:rsidR="00963A92">
        <w:rPr>
          <w:b/>
        </w:rPr>
        <w:t xml:space="preserve"> </w:t>
      </w:r>
      <w:r w:rsidR="00963A92">
        <w:rPr>
          <w:bCs/>
        </w:rPr>
        <w:t>(č. 631406 a č. 692406)</w:t>
      </w:r>
      <w:r w:rsidR="00A841D4">
        <w:rPr>
          <w:bCs/>
        </w:rPr>
        <w:t xml:space="preserve">, </w:t>
      </w:r>
      <w:r w:rsidR="00963A92">
        <w:rPr>
          <w:bCs/>
        </w:rPr>
        <w:t>zbývající dvě</w:t>
      </w:r>
      <w:r w:rsidR="00A841D4">
        <w:rPr>
          <w:bCs/>
        </w:rPr>
        <w:t xml:space="preserve"> společnost </w:t>
      </w:r>
      <w:r w:rsidR="00A841D4" w:rsidRPr="00F20516">
        <w:rPr>
          <w:b/>
        </w:rPr>
        <w:t>AUDIS BUS s.r.o.</w:t>
      </w:r>
      <w:r w:rsidR="00963A92">
        <w:rPr>
          <w:bCs/>
        </w:rPr>
        <w:t xml:space="preserve"> (č. 691402 a č. 491406).</w:t>
      </w:r>
    </w:p>
    <w:p w14:paraId="02475E6F" w14:textId="69308803" w:rsidR="007F6B43" w:rsidRPr="00A841D4" w:rsidRDefault="007F6B43" w:rsidP="00A841D4">
      <w:pPr>
        <w:spacing w:after="160" w:line="259" w:lineRule="auto"/>
        <w:jc w:val="both"/>
        <w:rPr>
          <w:rFonts w:eastAsia="RWXLTG+TimesNewRoman" w:cs="RWXLTG+TimesNewRoman"/>
        </w:rPr>
      </w:pPr>
      <w:r>
        <w:t>V pracovní dny dopravní obslužnost obce zajišťuje okolo 20 autobusových spojů. Zde je však nutné podotknout, že tato četnost se týká pouze autobusové zastávky „</w:t>
      </w:r>
      <w:r w:rsidRPr="007F6B43">
        <w:t>Staré Buky, Dolní Staré Buky, Samoty</w:t>
      </w:r>
      <w:r>
        <w:t>“</w:t>
      </w:r>
      <w:r w:rsidRPr="007F6B43">
        <w:t xml:space="preserve"> </w:t>
      </w:r>
      <w:r>
        <w:t>v severním cípu území obce.</w:t>
      </w:r>
      <w:r w:rsidR="009D49AE">
        <w:t xml:space="preserve"> </w:t>
      </w:r>
      <w:r w:rsidR="009D49AE" w:rsidRPr="00B45102">
        <w:rPr>
          <w:b/>
          <w:bCs/>
        </w:rPr>
        <w:t>Četnost spojů zajišťující</w:t>
      </w:r>
      <w:r w:rsidR="00ED7DDA">
        <w:rPr>
          <w:b/>
          <w:bCs/>
        </w:rPr>
        <w:t>ch</w:t>
      </w:r>
      <w:r w:rsidR="009D49AE" w:rsidRPr="00B45102">
        <w:rPr>
          <w:b/>
          <w:bCs/>
        </w:rPr>
        <w:t xml:space="preserve"> obslužnost zbývajících autobusových zastávek na území obce</w:t>
      </w:r>
      <w:r w:rsidR="009D49AE">
        <w:t xml:space="preserve"> („</w:t>
      </w:r>
      <w:r w:rsidR="009D49AE" w:rsidRPr="009D49AE">
        <w:t>Staré Buky, Dolní Staré Buky, rybník</w:t>
      </w:r>
      <w:r w:rsidR="009D49AE">
        <w:t>“, „</w:t>
      </w:r>
      <w:r w:rsidR="009D49AE" w:rsidRPr="009D49AE">
        <w:t>Staré Buky, Prostř</w:t>
      </w:r>
      <w:r w:rsidR="009D49AE">
        <w:t xml:space="preserve">ední </w:t>
      </w:r>
      <w:r w:rsidR="009D49AE" w:rsidRPr="009D49AE">
        <w:t>Staré Buky, zámek</w:t>
      </w:r>
      <w:r w:rsidR="009D49AE">
        <w:t>“, „</w:t>
      </w:r>
      <w:r w:rsidR="009D49AE" w:rsidRPr="009D49AE">
        <w:t>Staré Buky, Prostř</w:t>
      </w:r>
      <w:r w:rsidR="009D49AE">
        <w:t xml:space="preserve">ední </w:t>
      </w:r>
      <w:r w:rsidR="009D49AE" w:rsidRPr="009D49AE">
        <w:t>Staré Buky</w:t>
      </w:r>
      <w:r w:rsidR="009D49AE">
        <w:t>“, „</w:t>
      </w:r>
      <w:r w:rsidR="009D49AE" w:rsidRPr="009D49AE">
        <w:t>Staré Buky, Prostř</w:t>
      </w:r>
      <w:r w:rsidR="009D49AE">
        <w:t xml:space="preserve">ední </w:t>
      </w:r>
      <w:r w:rsidR="009D49AE" w:rsidRPr="009D49AE">
        <w:t>Staré Buky, bytovka</w:t>
      </w:r>
      <w:r w:rsidR="009D49AE">
        <w:t>“ a „</w:t>
      </w:r>
      <w:r w:rsidR="009D49AE" w:rsidRPr="009D49AE">
        <w:t>Staré Buky, Horní Staré Buky, točna</w:t>
      </w:r>
      <w:r w:rsidR="009D49AE">
        <w:t xml:space="preserve">“) </w:t>
      </w:r>
      <w:r w:rsidR="009D49AE" w:rsidRPr="00B45102">
        <w:rPr>
          <w:b/>
          <w:bCs/>
        </w:rPr>
        <w:t>je výrazně nižší</w:t>
      </w:r>
      <w:r w:rsidR="009D49AE">
        <w:t xml:space="preserve"> (7-8 spojů denně).</w:t>
      </w:r>
    </w:p>
    <w:p w14:paraId="0AFBF871" w14:textId="649CAD66" w:rsidR="00A841D4" w:rsidRDefault="009D49AE" w:rsidP="00A841D4">
      <w:pPr>
        <w:spacing w:after="160" w:line="259" w:lineRule="auto"/>
        <w:jc w:val="both"/>
      </w:pPr>
      <w:r w:rsidRPr="009D49AE">
        <w:rPr>
          <w:rFonts w:eastAsia="RWXLTG+TimesNewRoman" w:cs="RWXLTG+TimesNewRoman"/>
          <w:b/>
          <w:bCs/>
        </w:rPr>
        <w:t>Žádný spoj nezajišťuje obslužnost obce o víkendech</w:t>
      </w:r>
      <w:r w:rsidR="00A841D4" w:rsidRPr="007D3A39">
        <w:rPr>
          <w:b/>
        </w:rPr>
        <w:t>.</w:t>
      </w:r>
    </w:p>
    <w:p w14:paraId="1DD2C304" w14:textId="28762A7B" w:rsidR="00A841D4" w:rsidRDefault="00A841D4" w:rsidP="000E0DA5">
      <w:pPr>
        <w:spacing w:after="160" w:line="259" w:lineRule="auto"/>
        <w:jc w:val="both"/>
        <w:rPr>
          <w:rFonts w:eastAsia="RWXLTG+TimesNewRoman" w:cs="RWXLTG+TimesNewRoman"/>
        </w:rPr>
      </w:pPr>
      <w:r>
        <w:rPr>
          <w:rFonts w:eastAsia="RWXLTG+TimesNewRoman" w:cs="RWXLTG+TimesNewRoman"/>
        </w:rPr>
        <w:br w:type="page"/>
      </w:r>
    </w:p>
    <w:p w14:paraId="399023EE" w14:textId="2D4B814B" w:rsidR="000E0DA5" w:rsidRDefault="000E0DA5" w:rsidP="000E0DA5">
      <w:pPr>
        <w:pStyle w:val="TABULKA0"/>
        <w:rPr>
          <w:rFonts w:eastAsia="RWXLTG+TimesNewRoman" w:cs="RWXLTG+TimesNewRoman"/>
        </w:rPr>
      </w:pPr>
      <w:bookmarkStart w:id="253" w:name="_Toc441221918"/>
      <w:bookmarkStart w:id="254" w:name="_Toc32577791"/>
      <w:bookmarkStart w:id="255" w:name="_Toc120651937"/>
      <w:r w:rsidRPr="009F29E6">
        <w:rPr>
          <w:rFonts w:eastAsia="RWXLTG+TimesNewRoman" w:cs="RWXLTG+TimesNewRoman"/>
        </w:rPr>
        <w:lastRenderedPageBreak/>
        <w:t>Tabulka 1</w:t>
      </w:r>
      <w:r w:rsidR="00963A92">
        <w:rPr>
          <w:rFonts w:eastAsia="RWXLTG+TimesNewRoman" w:cs="RWXLTG+TimesNewRoman"/>
        </w:rPr>
        <w:t>5</w:t>
      </w:r>
      <w:r w:rsidRPr="009F29E6">
        <w:rPr>
          <w:rFonts w:eastAsia="RWXLTG+TimesNewRoman" w:cs="RWXLTG+TimesNewRoman"/>
        </w:rPr>
        <w:t xml:space="preserve">: </w:t>
      </w:r>
      <w:r w:rsidRPr="009F29E6">
        <w:t>Dopravní</w:t>
      </w:r>
      <w:r w:rsidRPr="0074034A">
        <w:t xml:space="preserve"> ob</w:t>
      </w:r>
      <w:r w:rsidRPr="00CE233A">
        <w:t xml:space="preserve">služnost obce </w:t>
      </w:r>
      <w:r w:rsidR="00963A92">
        <w:t>Staré Buky</w:t>
      </w:r>
      <w:r w:rsidRPr="00CE233A">
        <w:t xml:space="preserve"> autobusovými spoji podle jízdních řádů platných </w:t>
      </w:r>
      <w:r>
        <w:t>do</w:t>
      </w:r>
      <w:r w:rsidRPr="00CE233A">
        <w:t xml:space="preserve"> </w:t>
      </w:r>
      <w:r>
        <w:t>1</w:t>
      </w:r>
      <w:r w:rsidR="00963A92">
        <w:t>0</w:t>
      </w:r>
      <w:r w:rsidRPr="00CE233A">
        <w:t>. 12. 20</w:t>
      </w:r>
      <w:bookmarkEnd w:id="253"/>
      <w:bookmarkEnd w:id="254"/>
      <w:r>
        <w:t>2</w:t>
      </w:r>
      <w:r w:rsidR="00963A92">
        <w:t>2</w:t>
      </w:r>
      <w:bookmarkEnd w:id="255"/>
    </w:p>
    <w:tbl>
      <w:tblPr>
        <w:tblW w:w="4713"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852"/>
        <w:gridCol w:w="3557"/>
        <w:gridCol w:w="707"/>
        <w:gridCol w:w="710"/>
        <w:gridCol w:w="712"/>
        <w:gridCol w:w="712"/>
        <w:gridCol w:w="709"/>
        <w:gridCol w:w="724"/>
      </w:tblGrid>
      <w:tr w:rsidR="000E0DA5" w:rsidRPr="00AE6D24" w14:paraId="3ABDEA7D" w14:textId="77777777" w:rsidTr="00B17594">
        <w:trPr>
          <w:trHeight w:val="23"/>
          <w:jc w:val="center"/>
        </w:trPr>
        <w:tc>
          <w:tcPr>
            <w:tcW w:w="491" w:type="pct"/>
            <w:vMerge w:val="restart"/>
            <w:tcBorders>
              <w:top w:val="single" w:sz="18" w:space="0" w:color="auto"/>
              <w:bottom w:val="single" w:sz="8" w:space="0" w:color="auto"/>
            </w:tcBorders>
            <w:shd w:val="clear" w:color="auto" w:fill="FFC000"/>
            <w:noWrap/>
            <w:vAlign w:val="center"/>
            <w:hideMark/>
          </w:tcPr>
          <w:p w14:paraId="69BF3321" w14:textId="77777777" w:rsidR="000E0DA5" w:rsidRPr="00AE6D24" w:rsidRDefault="000E0DA5" w:rsidP="009C229F">
            <w:pPr>
              <w:jc w:val="center"/>
              <w:rPr>
                <w:rFonts w:eastAsia="Times New Roman" w:cstheme="minorHAnsi"/>
                <w:b/>
                <w:color w:val="000000"/>
                <w:sz w:val="20"/>
                <w:szCs w:val="20"/>
                <w:lang w:eastAsia="cs-CZ"/>
              </w:rPr>
            </w:pPr>
            <w:r w:rsidRPr="00AE6D24">
              <w:rPr>
                <w:rFonts w:eastAsia="Times New Roman" w:cstheme="minorHAnsi"/>
                <w:b/>
                <w:color w:val="000000"/>
                <w:sz w:val="20"/>
                <w:szCs w:val="20"/>
                <w:lang w:eastAsia="cs-CZ"/>
              </w:rPr>
              <w:t>Číslo linky</w:t>
            </w:r>
          </w:p>
        </w:tc>
        <w:tc>
          <w:tcPr>
            <w:tcW w:w="2048" w:type="pct"/>
            <w:vMerge w:val="restart"/>
            <w:tcBorders>
              <w:top w:val="single" w:sz="18" w:space="0" w:color="auto"/>
              <w:bottom w:val="single" w:sz="8" w:space="0" w:color="auto"/>
            </w:tcBorders>
            <w:shd w:val="clear" w:color="auto" w:fill="FFC000"/>
            <w:noWrap/>
            <w:vAlign w:val="center"/>
            <w:hideMark/>
          </w:tcPr>
          <w:p w14:paraId="671978BD" w14:textId="77777777" w:rsidR="000E0DA5" w:rsidRPr="00AE6D24" w:rsidRDefault="000E0DA5" w:rsidP="009C229F">
            <w:pPr>
              <w:jc w:val="center"/>
              <w:rPr>
                <w:rFonts w:eastAsia="Times New Roman" w:cstheme="minorHAnsi"/>
                <w:b/>
                <w:color w:val="000000"/>
                <w:sz w:val="20"/>
                <w:szCs w:val="20"/>
                <w:lang w:eastAsia="cs-CZ"/>
              </w:rPr>
            </w:pPr>
            <w:r w:rsidRPr="00AE6D24">
              <w:rPr>
                <w:rFonts w:eastAsia="Times New Roman" w:cstheme="minorHAnsi"/>
                <w:b/>
                <w:color w:val="000000"/>
                <w:sz w:val="20"/>
                <w:szCs w:val="20"/>
                <w:lang w:eastAsia="cs-CZ"/>
              </w:rPr>
              <w:t>Trasa spoje</w:t>
            </w:r>
          </w:p>
        </w:tc>
        <w:tc>
          <w:tcPr>
            <w:tcW w:w="816" w:type="pct"/>
            <w:gridSpan w:val="2"/>
            <w:tcBorders>
              <w:top w:val="single" w:sz="18" w:space="0" w:color="auto"/>
              <w:bottom w:val="single" w:sz="8" w:space="0" w:color="auto"/>
            </w:tcBorders>
            <w:shd w:val="clear" w:color="auto" w:fill="FFC000"/>
            <w:noWrap/>
            <w:vAlign w:val="center"/>
            <w:hideMark/>
          </w:tcPr>
          <w:p w14:paraId="5739DF3F" w14:textId="77777777" w:rsidR="000E0DA5" w:rsidRPr="00AE6D24" w:rsidRDefault="000E0DA5" w:rsidP="009C229F">
            <w:pPr>
              <w:jc w:val="center"/>
              <w:rPr>
                <w:rFonts w:eastAsia="Times New Roman" w:cstheme="minorHAnsi"/>
                <w:b/>
                <w:color w:val="000000"/>
                <w:sz w:val="20"/>
                <w:szCs w:val="20"/>
                <w:lang w:eastAsia="cs-CZ"/>
              </w:rPr>
            </w:pPr>
            <w:r w:rsidRPr="00AE6D24">
              <w:rPr>
                <w:rFonts w:eastAsia="Times New Roman" w:cstheme="minorHAnsi"/>
                <w:b/>
                <w:color w:val="000000"/>
                <w:sz w:val="20"/>
                <w:szCs w:val="20"/>
                <w:lang w:eastAsia="cs-CZ"/>
              </w:rPr>
              <w:t>Pracovní den</w:t>
            </w:r>
          </w:p>
        </w:tc>
        <w:tc>
          <w:tcPr>
            <w:tcW w:w="820" w:type="pct"/>
            <w:gridSpan w:val="2"/>
            <w:tcBorders>
              <w:top w:val="single" w:sz="18" w:space="0" w:color="auto"/>
              <w:bottom w:val="single" w:sz="8" w:space="0" w:color="auto"/>
            </w:tcBorders>
            <w:shd w:val="clear" w:color="auto" w:fill="FFC000"/>
            <w:noWrap/>
            <w:vAlign w:val="center"/>
            <w:hideMark/>
          </w:tcPr>
          <w:p w14:paraId="62366600" w14:textId="77777777" w:rsidR="000E0DA5" w:rsidRPr="00AE6D24" w:rsidRDefault="000E0DA5" w:rsidP="009C229F">
            <w:pPr>
              <w:jc w:val="center"/>
              <w:rPr>
                <w:rFonts w:eastAsia="Times New Roman" w:cstheme="minorHAnsi"/>
                <w:b/>
                <w:color w:val="000000"/>
                <w:sz w:val="20"/>
                <w:szCs w:val="20"/>
                <w:lang w:eastAsia="cs-CZ"/>
              </w:rPr>
            </w:pPr>
            <w:r w:rsidRPr="00AE6D24">
              <w:rPr>
                <w:rFonts w:eastAsia="Times New Roman" w:cstheme="minorHAnsi"/>
                <w:b/>
                <w:color w:val="000000"/>
                <w:sz w:val="20"/>
                <w:szCs w:val="20"/>
                <w:lang w:eastAsia="cs-CZ"/>
              </w:rPr>
              <w:t>Sobota</w:t>
            </w:r>
          </w:p>
        </w:tc>
        <w:tc>
          <w:tcPr>
            <w:tcW w:w="825" w:type="pct"/>
            <w:gridSpan w:val="2"/>
            <w:tcBorders>
              <w:top w:val="single" w:sz="18" w:space="0" w:color="auto"/>
              <w:bottom w:val="single" w:sz="8" w:space="0" w:color="auto"/>
            </w:tcBorders>
            <w:shd w:val="clear" w:color="auto" w:fill="FFC000"/>
            <w:noWrap/>
            <w:vAlign w:val="center"/>
            <w:hideMark/>
          </w:tcPr>
          <w:p w14:paraId="5BF40057" w14:textId="77777777" w:rsidR="000E0DA5" w:rsidRPr="00AE6D24" w:rsidRDefault="000E0DA5" w:rsidP="009C229F">
            <w:pPr>
              <w:jc w:val="center"/>
              <w:rPr>
                <w:rFonts w:eastAsia="Times New Roman" w:cstheme="minorHAnsi"/>
                <w:b/>
                <w:color w:val="000000"/>
                <w:sz w:val="20"/>
                <w:szCs w:val="20"/>
                <w:lang w:eastAsia="cs-CZ"/>
              </w:rPr>
            </w:pPr>
            <w:r w:rsidRPr="00AE6D24">
              <w:rPr>
                <w:rFonts w:eastAsia="Times New Roman" w:cstheme="minorHAnsi"/>
                <w:b/>
                <w:color w:val="000000"/>
                <w:sz w:val="20"/>
                <w:szCs w:val="20"/>
                <w:lang w:eastAsia="cs-CZ"/>
              </w:rPr>
              <w:t>Neděle</w:t>
            </w:r>
          </w:p>
        </w:tc>
      </w:tr>
      <w:tr w:rsidR="000E0DA5" w:rsidRPr="00AE6D24" w14:paraId="03FD2808" w14:textId="77777777" w:rsidTr="00B17594">
        <w:trPr>
          <w:trHeight w:val="300"/>
          <w:jc w:val="center"/>
        </w:trPr>
        <w:tc>
          <w:tcPr>
            <w:tcW w:w="491" w:type="pct"/>
            <w:vMerge/>
            <w:tcBorders>
              <w:top w:val="single" w:sz="8" w:space="0" w:color="auto"/>
              <w:bottom w:val="single" w:sz="12" w:space="0" w:color="auto"/>
            </w:tcBorders>
            <w:shd w:val="clear" w:color="auto" w:fill="FFC000"/>
            <w:noWrap/>
            <w:vAlign w:val="center"/>
            <w:hideMark/>
          </w:tcPr>
          <w:p w14:paraId="22D991EE" w14:textId="77777777" w:rsidR="000E0DA5" w:rsidRPr="00AE6D24" w:rsidRDefault="000E0DA5" w:rsidP="009C229F">
            <w:pPr>
              <w:rPr>
                <w:rFonts w:eastAsia="Times New Roman" w:cstheme="minorHAnsi"/>
                <w:b/>
                <w:color w:val="000000"/>
                <w:sz w:val="20"/>
                <w:szCs w:val="20"/>
                <w:lang w:eastAsia="cs-CZ"/>
              </w:rPr>
            </w:pPr>
          </w:p>
        </w:tc>
        <w:tc>
          <w:tcPr>
            <w:tcW w:w="2048" w:type="pct"/>
            <w:vMerge/>
            <w:tcBorders>
              <w:top w:val="single" w:sz="8" w:space="0" w:color="auto"/>
              <w:bottom w:val="single" w:sz="12" w:space="0" w:color="auto"/>
            </w:tcBorders>
            <w:shd w:val="clear" w:color="auto" w:fill="FFC000"/>
            <w:noWrap/>
            <w:vAlign w:val="center"/>
            <w:hideMark/>
          </w:tcPr>
          <w:p w14:paraId="0FC02D1B" w14:textId="77777777" w:rsidR="000E0DA5" w:rsidRPr="00AE6D24" w:rsidRDefault="000E0DA5" w:rsidP="009C229F">
            <w:pPr>
              <w:rPr>
                <w:rFonts w:eastAsia="Times New Roman" w:cstheme="minorHAnsi"/>
                <w:b/>
                <w:color w:val="000000"/>
                <w:sz w:val="20"/>
                <w:szCs w:val="20"/>
                <w:lang w:eastAsia="cs-CZ"/>
              </w:rPr>
            </w:pPr>
          </w:p>
        </w:tc>
        <w:tc>
          <w:tcPr>
            <w:tcW w:w="407" w:type="pct"/>
            <w:tcBorders>
              <w:top w:val="single" w:sz="8" w:space="0" w:color="auto"/>
              <w:bottom w:val="single" w:sz="12" w:space="0" w:color="auto"/>
            </w:tcBorders>
            <w:shd w:val="clear" w:color="auto" w:fill="FFC000"/>
            <w:noWrap/>
            <w:vAlign w:val="center"/>
            <w:hideMark/>
          </w:tcPr>
          <w:p w14:paraId="5A8F2FE3" w14:textId="77777777" w:rsidR="000E0DA5" w:rsidRPr="00AE6D24" w:rsidRDefault="000E0DA5" w:rsidP="009C229F">
            <w:pPr>
              <w:jc w:val="center"/>
              <w:rPr>
                <w:rFonts w:eastAsia="Times New Roman" w:cstheme="minorHAnsi"/>
                <w:b/>
                <w:color w:val="000000"/>
                <w:sz w:val="20"/>
                <w:szCs w:val="20"/>
                <w:lang w:eastAsia="cs-CZ"/>
              </w:rPr>
            </w:pPr>
            <w:r w:rsidRPr="00AE6D24">
              <w:rPr>
                <w:rFonts w:eastAsia="Times New Roman" w:cstheme="minorHAnsi"/>
                <w:b/>
                <w:color w:val="000000"/>
                <w:sz w:val="20"/>
                <w:szCs w:val="20"/>
                <w:lang w:eastAsia="cs-CZ"/>
              </w:rPr>
              <w:t>Počet spojů TAM</w:t>
            </w:r>
          </w:p>
        </w:tc>
        <w:tc>
          <w:tcPr>
            <w:tcW w:w="409" w:type="pct"/>
            <w:tcBorders>
              <w:top w:val="single" w:sz="8" w:space="0" w:color="auto"/>
              <w:bottom w:val="single" w:sz="12" w:space="0" w:color="auto"/>
            </w:tcBorders>
            <w:shd w:val="clear" w:color="auto" w:fill="FFC000"/>
            <w:noWrap/>
            <w:vAlign w:val="center"/>
            <w:hideMark/>
          </w:tcPr>
          <w:p w14:paraId="422CF174" w14:textId="77777777" w:rsidR="000E0DA5" w:rsidRPr="00AE6D24" w:rsidRDefault="000E0DA5" w:rsidP="009C229F">
            <w:pPr>
              <w:jc w:val="center"/>
              <w:rPr>
                <w:rFonts w:eastAsia="Times New Roman" w:cstheme="minorHAnsi"/>
                <w:b/>
                <w:color w:val="000000"/>
                <w:sz w:val="20"/>
                <w:szCs w:val="20"/>
                <w:lang w:eastAsia="cs-CZ"/>
              </w:rPr>
            </w:pPr>
            <w:r w:rsidRPr="00AE6D24">
              <w:rPr>
                <w:rFonts w:eastAsia="Times New Roman" w:cstheme="minorHAnsi"/>
                <w:b/>
                <w:color w:val="000000"/>
                <w:sz w:val="20"/>
                <w:szCs w:val="20"/>
                <w:lang w:eastAsia="cs-CZ"/>
              </w:rPr>
              <w:t>Počet spojů ZPĚT</w:t>
            </w:r>
          </w:p>
        </w:tc>
        <w:tc>
          <w:tcPr>
            <w:tcW w:w="410" w:type="pct"/>
            <w:tcBorders>
              <w:top w:val="single" w:sz="8" w:space="0" w:color="auto"/>
              <w:bottom w:val="single" w:sz="12" w:space="0" w:color="auto"/>
            </w:tcBorders>
            <w:shd w:val="clear" w:color="auto" w:fill="FFC000"/>
            <w:noWrap/>
            <w:vAlign w:val="center"/>
            <w:hideMark/>
          </w:tcPr>
          <w:p w14:paraId="5137CEC0" w14:textId="77777777" w:rsidR="000E0DA5" w:rsidRPr="00AE6D24" w:rsidRDefault="000E0DA5" w:rsidP="009C229F">
            <w:pPr>
              <w:jc w:val="center"/>
              <w:rPr>
                <w:rFonts w:eastAsia="Times New Roman" w:cstheme="minorHAnsi"/>
                <w:b/>
                <w:color w:val="000000"/>
                <w:sz w:val="20"/>
                <w:szCs w:val="20"/>
                <w:lang w:eastAsia="cs-CZ"/>
              </w:rPr>
            </w:pPr>
            <w:r w:rsidRPr="00AE6D24">
              <w:rPr>
                <w:rFonts w:eastAsia="Times New Roman" w:cstheme="minorHAnsi"/>
                <w:b/>
                <w:color w:val="000000"/>
                <w:sz w:val="20"/>
                <w:szCs w:val="20"/>
                <w:lang w:eastAsia="cs-CZ"/>
              </w:rPr>
              <w:t>Počet spojů TAM</w:t>
            </w:r>
          </w:p>
        </w:tc>
        <w:tc>
          <w:tcPr>
            <w:tcW w:w="410" w:type="pct"/>
            <w:tcBorders>
              <w:top w:val="single" w:sz="8" w:space="0" w:color="auto"/>
              <w:bottom w:val="single" w:sz="12" w:space="0" w:color="auto"/>
            </w:tcBorders>
            <w:shd w:val="clear" w:color="auto" w:fill="FFC000"/>
            <w:noWrap/>
            <w:vAlign w:val="center"/>
            <w:hideMark/>
          </w:tcPr>
          <w:p w14:paraId="65036CE5" w14:textId="77777777" w:rsidR="000E0DA5" w:rsidRPr="00AE6D24" w:rsidRDefault="000E0DA5" w:rsidP="009C229F">
            <w:pPr>
              <w:jc w:val="center"/>
              <w:rPr>
                <w:rFonts w:eastAsia="Times New Roman" w:cstheme="minorHAnsi"/>
                <w:b/>
                <w:color w:val="000000"/>
                <w:sz w:val="20"/>
                <w:szCs w:val="20"/>
                <w:lang w:eastAsia="cs-CZ"/>
              </w:rPr>
            </w:pPr>
            <w:r w:rsidRPr="00AE6D24">
              <w:rPr>
                <w:rFonts w:eastAsia="Times New Roman" w:cstheme="minorHAnsi"/>
                <w:b/>
                <w:color w:val="000000"/>
                <w:sz w:val="20"/>
                <w:szCs w:val="20"/>
                <w:lang w:eastAsia="cs-CZ"/>
              </w:rPr>
              <w:t>Počet spojů ZPĚT</w:t>
            </w:r>
          </w:p>
        </w:tc>
        <w:tc>
          <w:tcPr>
            <w:tcW w:w="408" w:type="pct"/>
            <w:tcBorders>
              <w:top w:val="single" w:sz="8" w:space="0" w:color="auto"/>
              <w:bottom w:val="single" w:sz="12" w:space="0" w:color="auto"/>
            </w:tcBorders>
            <w:shd w:val="clear" w:color="auto" w:fill="FFC000"/>
            <w:noWrap/>
            <w:vAlign w:val="center"/>
            <w:hideMark/>
          </w:tcPr>
          <w:p w14:paraId="4F758287" w14:textId="77777777" w:rsidR="000E0DA5" w:rsidRPr="00AE6D24" w:rsidRDefault="000E0DA5" w:rsidP="009C229F">
            <w:pPr>
              <w:jc w:val="center"/>
              <w:rPr>
                <w:rFonts w:eastAsia="Times New Roman" w:cstheme="minorHAnsi"/>
                <w:b/>
                <w:color w:val="000000"/>
                <w:sz w:val="20"/>
                <w:szCs w:val="20"/>
                <w:lang w:eastAsia="cs-CZ"/>
              </w:rPr>
            </w:pPr>
            <w:r w:rsidRPr="00AE6D24">
              <w:rPr>
                <w:rFonts w:eastAsia="Times New Roman" w:cstheme="minorHAnsi"/>
                <w:b/>
                <w:color w:val="000000"/>
                <w:sz w:val="20"/>
                <w:szCs w:val="20"/>
                <w:lang w:eastAsia="cs-CZ"/>
              </w:rPr>
              <w:t>Počet spojů TAM</w:t>
            </w:r>
          </w:p>
        </w:tc>
        <w:tc>
          <w:tcPr>
            <w:tcW w:w="417" w:type="pct"/>
            <w:tcBorders>
              <w:top w:val="single" w:sz="8" w:space="0" w:color="auto"/>
              <w:bottom w:val="single" w:sz="12" w:space="0" w:color="auto"/>
            </w:tcBorders>
            <w:shd w:val="clear" w:color="auto" w:fill="FFC000"/>
            <w:noWrap/>
            <w:vAlign w:val="center"/>
            <w:hideMark/>
          </w:tcPr>
          <w:p w14:paraId="6A1D601D" w14:textId="77777777" w:rsidR="000E0DA5" w:rsidRPr="00AE6D24" w:rsidRDefault="000E0DA5" w:rsidP="009C229F">
            <w:pPr>
              <w:jc w:val="center"/>
              <w:rPr>
                <w:rFonts w:eastAsia="Times New Roman" w:cstheme="minorHAnsi"/>
                <w:b/>
                <w:color w:val="000000"/>
                <w:sz w:val="20"/>
                <w:szCs w:val="20"/>
                <w:lang w:eastAsia="cs-CZ"/>
              </w:rPr>
            </w:pPr>
            <w:r w:rsidRPr="00AE6D24">
              <w:rPr>
                <w:rFonts w:eastAsia="Times New Roman" w:cstheme="minorHAnsi"/>
                <w:b/>
                <w:color w:val="000000"/>
                <w:sz w:val="20"/>
                <w:szCs w:val="20"/>
                <w:lang w:eastAsia="cs-CZ"/>
              </w:rPr>
              <w:t>Počet spojů ZPĚT</w:t>
            </w:r>
          </w:p>
        </w:tc>
      </w:tr>
      <w:tr w:rsidR="00B17594" w:rsidRPr="00AE6D24" w14:paraId="52945F18" w14:textId="77777777" w:rsidTr="00B17594">
        <w:trPr>
          <w:trHeight w:val="300"/>
          <w:jc w:val="center"/>
        </w:trPr>
        <w:tc>
          <w:tcPr>
            <w:tcW w:w="491" w:type="pct"/>
            <w:tcBorders>
              <w:top w:val="single" w:sz="12" w:space="0" w:color="auto"/>
              <w:bottom w:val="single" w:sz="6" w:space="0" w:color="auto"/>
            </w:tcBorders>
            <w:shd w:val="clear" w:color="auto" w:fill="D9D9D9" w:themeFill="background1" w:themeFillShade="D9"/>
            <w:noWrap/>
            <w:vAlign w:val="center"/>
          </w:tcPr>
          <w:p w14:paraId="21F5792C" w14:textId="702D210A" w:rsidR="00B17594" w:rsidRPr="0013577A" w:rsidRDefault="00B17594" w:rsidP="00B17594">
            <w:pPr>
              <w:jc w:val="center"/>
              <w:rPr>
                <w:rFonts w:cstheme="minorHAnsi"/>
              </w:rPr>
            </w:pPr>
            <w:r>
              <w:rPr>
                <w:rFonts w:ascii="Calibri" w:hAnsi="Calibri" w:cs="Calibri"/>
                <w:color w:val="000000"/>
              </w:rPr>
              <w:t>631406</w:t>
            </w:r>
          </w:p>
        </w:tc>
        <w:tc>
          <w:tcPr>
            <w:tcW w:w="2048" w:type="pct"/>
            <w:tcBorders>
              <w:top w:val="single" w:sz="12" w:space="0" w:color="auto"/>
              <w:bottom w:val="single" w:sz="6" w:space="0" w:color="auto"/>
            </w:tcBorders>
            <w:shd w:val="clear" w:color="auto" w:fill="auto"/>
            <w:noWrap/>
            <w:vAlign w:val="center"/>
          </w:tcPr>
          <w:p w14:paraId="613664A6" w14:textId="6B000FCE" w:rsidR="00B17594" w:rsidRPr="002E5931" w:rsidRDefault="00B17594" w:rsidP="00B17594">
            <w:pPr>
              <w:rPr>
                <w:rFonts w:cstheme="minorHAnsi"/>
                <w:sz w:val="20"/>
                <w:szCs w:val="20"/>
              </w:rPr>
            </w:pPr>
            <w:r w:rsidRPr="0003702B">
              <w:rPr>
                <w:rFonts w:cstheme="minorHAnsi"/>
                <w:sz w:val="20"/>
                <w:szCs w:val="20"/>
              </w:rPr>
              <w:t>Jičín-Nová Paka-Hostinné-Trutnov</w:t>
            </w:r>
          </w:p>
        </w:tc>
        <w:tc>
          <w:tcPr>
            <w:tcW w:w="407" w:type="pct"/>
            <w:tcBorders>
              <w:top w:val="single" w:sz="12" w:space="0" w:color="auto"/>
              <w:bottom w:val="single" w:sz="6" w:space="0" w:color="auto"/>
            </w:tcBorders>
            <w:shd w:val="clear" w:color="auto" w:fill="auto"/>
            <w:noWrap/>
            <w:vAlign w:val="center"/>
          </w:tcPr>
          <w:p w14:paraId="7EC02212" w14:textId="79EC6732" w:rsidR="00B17594" w:rsidRPr="002E5931" w:rsidRDefault="00B17594" w:rsidP="00B17594">
            <w:pPr>
              <w:jc w:val="right"/>
              <w:rPr>
                <w:sz w:val="20"/>
                <w:szCs w:val="20"/>
              </w:rPr>
            </w:pPr>
            <w:r>
              <w:rPr>
                <w:rFonts w:ascii="Calibri" w:hAnsi="Calibri" w:cs="Calibri"/>
                <w:color w:val="000000"/>
              </w:rPr>
              <w:t>2</w:t>
            </w:r>
          </w:p>
        </w:tc>
        <w:tc>
          <w:tcPr>
            <w:tcW w:w="409" w:type="pct"/>
            <w:tcBorders>
              <w:top w:val="single" w:sz="12" w:space="0" w:color="auto"/>
              <w:bottom w:val="single" w:sz="6" w:space="0" w:color="auto"/>
            </w:tcBorders>
            <w:shd w:val="clear" w:color="auto" w:fill="auto"/>
            <w:noWrap/>
            <w:vAlign w:val="center"/>
          </w:tcPr>
          <w:p w14:paraId="2BE810B7" w14:textId="7D3FE0BF" w:rsidR="00B17594" w:rsidRPr="002E5931" w:rsidRDefault="00B17594" w:rsidP="00B17594">
            <w:pPr>
              <w:jc w:val="right"/>
              <w:rPr>
                <w:sz w:val="20"/>
                <w:szCs w:val="20"/>
              </w:rPr>
            </w:pPr>
            <w:r>
              <w:rPr>
                <w:rFonts w:ascii="Calibri" w:hAnsi="Calibri" w:cs="Calibri"/>
                <w:color w:val="000000"/>
              </w:rPr>
              <w:t>2</w:t>
            </w:r>
          </w:p>
        </w:tc>
        <w:tc>
          <w:tcPr>
            <w:tcW w:w="410" w:type="pct"/>
            <w:tcBorders>
              <w:top w:val="single" w:sz="12" w:space="0" w:color="auto"/>
              <w:bottom w:val="single" w:sz="6" w:space="0" w:color="auto"/>
            </w:tcBorders>
            <w:shd w:val="clear" w:color="auto" w:fill="auto"/>
            <w:noWrap/>
            <w:vAlign w:val="center"/>
          </w:tcPr>
          <w:p w14:paraId="00D5FFD8" w14:textId="169DFBB2" w:rsidR="00B17594" w:rsidRPr="002E5931" w:rsidRDefault="00B17594" w:rsidP="00B17594">
            <w:pPr>
              <w:jc w:val="right"/>
              <w:rPr>
                <w:sz w:val="20"/>
                <w:szCs w:val="20"/>
              </w:rPr>
            </w:pPr>
            <w:r>
              <w:rPr>
                <w:rFonts w:ascii="Calibri" w:hAnsi="Calibri" w:cs="Calibri"/>
                <w:color w:val="000000"/>
              </w:rPr>
              <w:t>0</w:t>
            </w:r>
          </w:p>
        </w:tc>
        <w:tc>
          <w:tcPr>
            <w:tcW w:w="410" w:type="pct"/>
            <w:tcBorders>
              <w:top w:val="single" w:sz="12" w:space="0" w:color="auto"/>
              <w:bottom w:val="single" w:sz="6" w:space="0" w:color="auto"/>
            </w:tcBorders>
            <w:shd w:val="clear" w:color="auto" w:fill="auto"/>
            <w:noWrap/>
            <w:vAlign w:val="center"/>
          </w:tcPr>
          <w:p w14:paraId="2CC4C043" w14:textId="45CD9C54" w:rsidR="00B17594" w:rsidRPr="002E5931" w:rsidRDefault="00B17594" w:rsidP="00B17594">
            <w:pPr>
              <w:jc w:val="right"/>
              <w:rPr>
                <w:sz w:val="20"/>
                <w:szCs w:val="20"/>
              </w:rPr>
            </w:pPr>
            <w:r>
              <w:rPr>
                <w:rFonts w:ascii="Calibri" w:hAnsi="Calibri" w:cs="Calibri"/>
                <w:color w:val="000000"/>
              </w:rPr>
              <w:t>0</w:t>
            </w:r>
          </w:p>
        </w:tc>
        <w:tc>
          <w:tcPr>
            <w:tcW w:w="408" w:type="pct"/>
            <w:tcBorders>
              <w:top w:val="single" w:sz="12" w:space="0" w:color="auto"/>
              <w:bottom w:val="single" w:sz="6" w:space="0" w:color="auto"/>
            </w:tcBorders>
            <w:shd w:val="clear" w:color="auto" w:fill="auto"/>
            <w:noWrap/>
            <w:vAlign w:val="center"/>
          </w:tcPr>
          <w:p w14:paraId="13108610" w14:textId="7BF312FC" w:rsidR="00B17594" w:rsidRPr="002E5931" w:rsidRDefault="00B17594" w:rsidP="00B17594">
            <w:pPr>
              <w:jc w:val="right"/>
              <w:rPr>
                <w:sz w:val="20"/>
                <w:szCs w:val="20"/>
              </w:rPr>
            </w:pPr>
            <w:r>
              <w:rPr>
                <w:rFonts w:ascii="Calibri" w:hAnsi="Calibri" w:cs="Calibri"/>
                <w:color w:val="000000"/>
              </w:rPr>
              <w:t>0</w:t>
            </w:r>
          </w:p>
        </w:tc>
        <w:tc>
          <w:tcPr>
            <w:tcW w:w="417" w:type="pct"/>
            <w:tcBorders>
              <w:top w:val="single" w:sz="12" w:space="0" w:color="auto"/>
              <w:bottom w:val="single" w:sz="6" w:space="0" w:color="auto"/>
            </w:tcBorders>
            <w:shd w:val="clear" w:color="auto" w:fill="auto"/>
            <w:noWrap/>
            <w:vAlign w:val="center"/>
          </w:tcPr>
          <w:p w14:paraId="7BF3C9DF" w14:textId="372C50E6" w:rsidR="00B17594" w:rsidRPr="002E5931" w:rsidRDefault="00B17594" w:rsidP="00B17594">
            <w:pPr>
              <w:jc w:val="right"/>
              <w:rPr>
                <w:sz w:val="20"/>
                <w:szCs w:val="20"/>
              </w:rPr>
            </w:pPr>
            <w:r>
              <w:rPr>
                <w:rFonts w:ascii="Calibri" w:hAnsi="Calibri" w:cs="Calibri"/>
                <w:color w:val="000000"/>
              </w:rPr>
              <w:t>0</w:t>
            </w:r>
          </w:p>
        </w:tc>
      </w:tr>
      <w:tr w:rsidR="00B17594" w:rsidRPr="00AE6D24" w14:paraId="2A80A01E" w14:textId="77777777" w:rsidTr="00B17594">
        <w:trPr>
          <w:trHeight w:val="300"/>
          <w:jc w:val="center"/>
        </w:trPr>
        <w:tc>
          <w:tcPr>
            <w:tcW w:w="491" w:type="pct"/>
            <w:tcBorders>
              <w:top w:val="single" w:sz="6" w:space="0" w:color="auto"/>
              <w:bottom w:val="single" w:sz="6" w:space="0" w:color="auto"/>
            </w:tcBorders>
            <w:shd w:val="clear" w:color="auto" w:fill="D9D9D9" w:themeFill="background1" w:themeFillShade="D9"/>
            <w:noWrap/>
            <w:vAlign w:val="center"/>
          </w:tcPr>
          <w:p w14:paraId="2110ED51" w14:textId="19D7B256" w:rsidR="00B17594" w:rsidRPr="0013577A" w:rsidRDefault="00B17594" w:rsidP="00B17594">
            <w:pPr>
              <w:jc w:val="center"/>
              <w:rPr>
                <w:rFonts w:cstheme="minorHAnsi"/>
              </w:rPr>
            </w:pPr>
            <w:r>
              <w:rPr>
                <w:rFonts w:ascii="Calibri" w:hAnsi="Calibri" w:cs="Calibri"/>
                <w:color w:val="000000"/>
              </w:rPr>
              <w:t>691402</w:t>
            </w:r>
          </w:p>
        </w:tc>
        <w:tc>
          <w:tcPr>
            <w:tcW w:w="2048" w:type="pct"/>
            <w:tcBorders>
              <w:top w:val="single" w:sz="6" w:space="0" w:color="auto"/>
              <w:bottom w:val="single" w:sz="6" w:space="0" w:color="auto"/>
            </w:tcBorders>
            <w:shd w:val="clear" w:color="auto" w:fill="auto"/>
            <w:noWrap/>
            <w:vAlign w:val="center"/>
          </w:tcPr>
          <w:p w14:paraId="216D0ED9" w14:textId="7F96EC49" w:rsidR="00B17594" w:rsidRPr="002E5931" w:rsidRDefault="00B17594" w:rsidP="00B17594">
            <w:pPr>
              <w:rPr>
                <w:rFonts w:cstheme="minorHAnsi"/>
                <w:sz w:val="20"/>
                <w:szCs w:val="20"/>
              </w:rPr>
            </w:pPr>
            <w:r w:rsidRPr="0003702B">
              <w:rPr>
                <w:rFonts w:cstheme="minorHAnsi"/>
                <w:sz w:val="20"/>
                <w:szCs w:val="20"/>
              </w:rPr>
              <w:t>Trutnov-Vlčice-Staré Buky-Pilníkov</w:t>
            </w:r>
          </w:p>
        </w:tc>
        <w:tc>
          <w:tcPr>
            <w:tcW w:w="407" w:type="pct"/>
            <w:tcBorders>
              <w:top w:val="single" w:sz="6" w:space="0" w:color="auto"/>
              <w:bottom w:val="single" w:sz="6" w:space="0" w:color="auto"/>
            </w:tcBorders>
            <w:shd w:val="clear" w:color="auto" w:fill="auto"/>
            <w:noWrap/>
            <w:vAlign w:val="center"/>
          </w:tcPr>
          <w:p w14:paraId="6FDF6D2D" w14:textId="3A284B11" w:rsidR="00B17594" w:rsidRPr="002E5931" w:rsidRDefault="00B17594" w:rsidP="00B17594">
            <w:pPr>
              <w:jc w:val="right"/>
              <w:rPr>
                <w:sz w:val="20"/>
                <w:szCs w:val="20"/>
              </w:rPr>
            </w:pPr>
            <w:r>
              <w:rPr>
                <w:rFonts w:ascii="Calibri" w:hAnsi="Calibri" w:cs="Calibri"/>
                <w:color w:val="000000"/>
              </w:rPr>
              <w:t>7</w:t>
            </w:r>
          </w:p>
        </w:tc>
        <w:tc>
          <w:tcPr>
            <w:tcW w:w="409" w:type="pct"/>
            <w:tcBorders>
              <w:top w:val="single" w:sz="6" w:space="0" w:color="auto"/>
              <w:bottom w:val="single" w:sz="6" w:space="0" w:color="auto"/>
            </w:tcBorders>
            <w:shd w:val="clear" w:color="auto" w:fill="auto"/>
            <w:noWrap/>
            <w:vAlign w:val="center"/>
          </w:tcPr>
          <w:p w14:paraId="696C4916" w14:textId="36D497E7" w:rsidR="00B17594" w:rsidRPr="002E5931" w:rsidRDefault="00B17594" w:rsidP="00B17594">
            <w:pPr>
              <w:jc w:val="right"/>
              <w:rPr>
                <w:sz w:val="20"/>
                <w:szCs w:val="20"/>
              </w:rPr>
            </w:pPr>
            <w:r>
              <w:rPr>
                <w:rFonts w:ascii="Calibri" w:hAnsi="Calibri" w:cs="Calibri"/>
                <w:color w:val="000000"/>
              </w:rPr>
              <w:t>8</w:t>
            </w:r>
          </w:p>
        </w:tc>
        <w:tc>
          <w:tcPr>
            <w:tcW w:w="410" w:type="pct"/>
            <w:tcBorders>
              <w:top w:val="single" w:sz="6" w:space="0" w:color="auto"/>
              <w:bottom w:val="single" w:sz="6" w:space="0" w:color="auto"/>
            </w:tcBorders>
            <w:shd w:val="clear" w:color="auto" w:fill="auto"/>
            <w:noWrap/>
            <w:vAlign w:val="center"/>
          </w:tcPr>
          <w:p w14:paraId="7A3CC700" w14:textId="14D452C3" w:rsidR="00B17594" w:rsidRPr="002E5931" w:rsidRDefault="00B17594" w:rsidP="00B17594">
            <w:pPr>
              <w:jc w:val="right"/>
              <w:rPr>
                <w:sz w:val="20"/>
                <w:szCs w:val="20"/>
              </w:rPr>
            </w:pPr>
            <w:r>
              <w:rPr>
                <w:rFonts w:ascii="Calibri" w:hAnsi="Calibri" w:cs="Calibri"/>
                <w:color w:val="000000"/>
              </w:rPr>
              <w:t>0</w:t>
            </w:r>
          </w:p>
        </w:tc>
        <w:tc>
          <w:tcPr>
            <w:tcW w:w="410" w:type="pct"/>
            <w:tcBorders>
              <w:top w:val="single" w:sz="6" w:space="0" w:color="auto"/>
              <w:bottom w:val="single" w:sz="6" w:space="0" w:color="auto"/>
            </w:tcBorders>
            <w:shd w:val="clear" w:color="auto" w:fill="auto"/>
            <w:noWrap/>
            <w:vAlign w:val="center"/>
          </w:tcPr>
          <w:p w14:paraId="08AB4E6E" w14:textId="3077AE26" w:rsidR="00B17594" w:rsidRPr="002E5931" w:rsidRDefault="00B17594" w:rsidP="00B17594">
            <w:pPr>
              <w:jc w:val="right"/>
              <w:rPr>
                <w:sz w:val="20"/>
                <w:szCs w:val="20"/>
              </w:rPr>
            </w:pPr>
            <w:r>
              <w:rPr>
                <w:rFonts w:ascii="Calibri" w:hAnsi="Calibri" w:cs="Calibri"/>
                <w:color w:val="000000"/>
              </w:rPr>
              <w:t>0</w:t>
            </w:r>
          </w:p>
        </w:tc>
        <w:tc>
          <w:tcPr>
            <w:tcW w:w="408" w:type="pct"/>
            <w:tcBorders>
              <w:top w:val="single" w:sz="6" w:space="0" w:color="auto"/>
              <w:bottom w:val="single" w:sz="6" w:space="0" w:color="auto"/>
            </w:tcBorders>
            <w:shd w:val="clear" w:color="auto" w:fill="auto"/>
            <w:noWrap/>
            <w:vAlign w:val="center"/>
          </w:tcPr>
          <w:p w14:paraId="2EEC7627" w14:textId="7A60C131" w:rsidR="00B17594" w:rsidRPr="002E5931" w:rsidRDefault="00B17594" w:rsidP="00B17594">
            <w:pPr>
              <w:jc w:val="right"/>
              <w:rPr>
                <w:sz w:val="20"/>
                <w:szCs w:val="20"/>
              </w:rPr>
            </w:pPr>
            <w:r>
              <w:rPr>
                <w:rFonts w:ascii="Calibri" w:hAnsi="Calibri" w:cs="Calibri"/>
                <w:color w:val="000000"/>
              </w:rPr>
              <w:t>0</w:t>
            </w:r>
          </w:p>
        </w:tc>
        <w:tc>
          <w:tcPr>
            <w:tcW w:w="417" w:type="pct"/>
            <w:tcBorders>
              <w:top w:val="single" w:sz="6" w:space="0" w:color="auto"/>
              <w:bottom w:val="single" w:sz="6" w:space="0" w:color="auto"/>
            </w:tcBorders>
            <w:shd w:val="clear" w:color="auto" w:fill="auto"/>
            <w:noWrap/>
            <w:vAlign w:val="center"/>
          </w:tcPr>
          <w:p w14:paraId="407D85BE" w14:textId="6CE06963" w:rsidR="00B17594" w:rsidRPr="002E5931" w:rsidRDefault="00B17594" w:rsidP="00B17594">
            <w:pPr>
              <w:jc w:val="right"/>
              <w:rPr>
                <w:sz w:val="20"/>
                <w:szCs w:val="20"/>
              </w:rPr>
            </w:pPr>
            <w:r>
              <w:rPr>
                <w:rFonts w:ascii="Calibri" w:hAnsi="Calibri" w:cs="Calibri"/>
                <w:color w:val="000000"/>
              </w:rPr>
              <w:t>0</w:t>
            </w:r>
          </w:p>
        </w:tc>
      </w:tr>
      <w:tr w:rsidR="00B17594" w:rsidRPr="00AE6D24" w14:paraId="7E77C762" w14:textId="77777777" w:rsidTr="00B17594">
        <w:trPr>
          <w:trHeight w:val="300"/>
          <w:jc w:val="center"/>
        </w:trPr>
        <w:tc>
          <w:tcPr>
            <w:tcW w:w="491" w:type="pct"/>
            <w:tcBorders>
              <w:top w:val="single" w:sz="6" w:space="0" w:color="auto"/>
              <w:bottom w:val="single" w:sz="6" w:space="0" w:color="auto"/>
            </w:tcBorders>
            <w:shd w:val="clear" w:color="auto" w:fill="D9D9D9" w:themeFill="background1" w:themeFillShade="D9"/>
            <w:noWrap/>
            <w:vAlign w:val="center"/>
          </w:tcPr>
          <w:p w14:paraId="238B6D6D" w14:textId="198D6136" w:rsidR="00B17594" w:rsidRPr="0013577A" w:rsidRDefault="00B17594" w:rsidP="00B17594">
            <w:pPr>
              <w:jc w:val="center"/>
              <w:rPr>
                <w:rFonts w:cstheme="minorHAnsi"/>
              </w:rPr>
            </w:pPr>
            <w:r>
              <w:rPr>
                <w:rFonts w:ascii="Calibri" w:hAnsi="Calibri" w:cs="Calibri"/>
                <w:color w:val="000000"/>
              </w:rPr>
              <w:t>691406</w:t>
            </w:r>
          </w:p>
        </w:tc>
        <w:tc>
          <w:tcPr>
            <w:tcW w:w="2048" w:type="pct"/>
            <w:tcBorders>
              <w:top w:val="single" w:sz="6" w:space="0" w:color="auto"/>
              <w:bottom w:val="single" w:sz="6" w:space="0" w:color="auto"/>
            </w:tcBorders>
            <w:shd w:val="clear" w:color="auto" w:fill="auto"/>
            <w:noWrap/>
            <w:vAlign w:val="center"/>
          </w:tcPr>
          <w:p w14:paraId="36F1AFDC" w14:textId="1787EB28" w:rsidR="00B17594" w:rsidRPr="002E5931" w:rsidRDefault="00B17594" w:rsidP="00B17594">
            <w:pPr>
              <w:rPr>
                <w:rFonts w:cstheme="minorHAnsi"/>
                <w:sz w:val="20"/>
                <w:szCs w:val="20"/>
              </w:rPr>
            </w:pPr>
            <w:r w:rsidRPr="0003702B">
              <w:rPr>
                <w:rFonts w:cstheme="minorHAnsi"/>
                <w:sz w:val="20"/>
                <w:szCs w:val="20"/>
              </w:rPr>
              <w:t>Jičín-Nová Paka-Hostinné-Trutnov</w:t>
            </w:r>
          </w:p>
        </w:tc>
        <w:tc>
          <w:tcPr>
            <w:tcW w:w="407" w:type="pct"/>
            <w:tcBorders>
              <w:top w:val="single" w:sz="6" w:space="0" w:color="auto"/>
              <w:bottom w:val="single" w:sz="6" w:space="0" w:color="auto"/>
            </w:tcBorders>
            <w:shd w:val="clear" w:color="auto" w:fill="auto"/>
            <w:noWrap/>
            <w:vAlign w:val="center"/>
          </w:tcPr>
          <w:p w14:paraId="70F46CC7" w14:textId="7837ED14" w:rsidR="00B17594" w:rsidRPr="002E5931" w:rsidRDefault="00B17594" w:rsidP="00B17594">
            <w:pPr>
              <w:jc w:val="right"/>
              <w:rPr>
                <w:sz w:val="20"/>
                <w:szCs w:val="20"/>
              </w:rPr>
            </w:pPr>
            <w:r>
              <w:rPr>
                <w:rFonts w:ascii="Calibri" w:hAnsi="Calibri" w:cs="Calibri"/>
                <w:color w:val="000000"/>
              </w:rPr>
              <w:t>6</w:t>
            </w:r>
          </w:p>
        </w:tc>
        <w:tc>
          <w:tcPr>
            <w:tcW w:w="409" w:type="pct"/>
            <w:tcBorders>
              <w:top w:val="single" w:sz="6" w:space="0" w:color="auto"/>
              <w:bottom w:val="single" w:sz="6" w:space="0" w:color="auto"/>
            </w:tcBorders>
            <w:shd w:val="clear" w:color="auto" w:fill="auto"/>
            <w:noWrap/>
            <w:vAlign w:val="center"/>
          </w:tcPr>
          <w:p w14:paraId="6BFDF0AC" w14:textId="148F0AAF" w:rsidR="00B17594" w:rsidRPr="002E5931" w:rsidRDefault="00B17594" w:rsidP="00B17594">
            <w:pPr>
              <w:jc w:val="right"/>
              <w:rPr>
                <w:sz w:val="20"/>
                <w:szCs w:val="20"/>
              </w:rPr>
            </w:pPr>
            <w:r>
              <w:rPr>
                <w:rFonts w:ascii="Calibri" w:hAnsi="Calibri" w:cs="Calibri"/>
                <w:color w:val="000000"/>
              </w:rPr>
              <w:t>6</w:t>
            </w:r>
          </w:p>
        </w:tc>
        <w:tc>
          <w:tcPr>
            <w:tcW w:w="410" w:type="pct"/>
            <w:tcBorders>
              <w:top w:val="single" w:sz="6" w:space="0" w:color="auto"/>
              <w:bottom w:val="single" w:sz="6" w:space="0" w:color="auto"/>
            </w:tcBorders>
            <w:shd w:val="clear" w:color="auto" w:fill="auto"/>
            <w:noWrap/>
            <w:vAlign w:val="center"/>
          </w:tcPr>
          <w:p w14:paraId="0806E35C" w14:textId="4E999D23" w:rsidR="00B17594" w:rsidRPr="002E5931" w:rsidRDefault="00B17594" w:rsidP="00B17594">
            <w:pPr>
              <w:jc w:val="right"/>
              <w:rPr>
                <w:sz w:val="20"/>
                <w:szCs w:val="20"/>
              </w:rPr>
            </w:pPr>
            <w:r>
              <w:rPr>
                <w:rFonts w:ascii="Calibri" w:hAnsi="Calibri" w:cs="Calibri"/>
                <w:color w:val="000000"/>
              </w:rPr>
              <w:t>0</w:t>
            </w:r>
          </w:p>
        </w:tc>
        <w:tc>
          <w:tcPr>
            <w:tcW w:w="410" w:type="pct"/>
            <w:tcBorders>
              <w:top w:val="single" w:sz="6" w:space="0" w:color="auto"/>
              <w:bottom w:val="single" w:sz="6" w:space="0" w:color="auto"/>
            </w:tcBorders>
            <w:shd w:val="clear" w:color="auto" w:fill="auto"/>
            <w:noWrap/>
            <w:vAlign w:val="center"/>
          </w:tcPr>
          <w:p w14:paraId="0B4CF10E" w14:textId="762E1F14" w:rsidR="00B17594" w:rsidRPr="002E5931" w:rsidRDefault="00B17594" w:rsidP="00B17594">
            <w:pPr>
              <w:jc w:val="right"/>
              <w:rPr>
                <w:sz w:val="20"/>
                <w:szCs w:val="20"/>
              </w:rPr>
            </w:pPr>
            <w:r>
              <w:rPr>
                <w:rFonts w:ascii="Calibri" w:hAnsi="Calibri" w:cs="Calibri"/>
                <w:color w:val="000000"/>
              </w:rPr>
              <w:t>0</w:t>
            </w:r>
          </w:p>
        </w:tc>
        <w:tc>
          <w:tcPr>
            <w:tcW w:w="408" w:type="pct"/>
            <w:tcBorders>
              <w:top w:val="single" w:sz="6" w:space="0" w:color="auto"/>
              <w:bottom w:val="single" w:sz="6" w:space="0" w:color="auto"/>
            </w:tcBorders>
            <w:shd w:val="clear" w:color="auto" w:fill="auto"/>
            <w:noWrap/>
            <w:vAlign w:val="center"/>
          </w:tcPr>
          <w:p w14:paraId="21C85525" w14:textId="626B3A86" w:rsidR="00B17594" w:rsidRPr="002E5931" w:rsidRDefault="00B17594" w:rsidP="00B17594">
            <w:pPr>
              <w:jc w:val="right"/>
              <w:rPr>
                <w:sz w:val="20"/>
                <w:szCs w:val="20"/>
              </w:rPr>
            </w:pPr>
            <w:r>
              <w:rPr>
                <w:rFonts w:ascii="Calibri" w:hAnsi="Calibri" w:cs="Calibri"/>
                <w:color w:val="000000"/>
              </w:rPr>
              <w:t>0</w:t>
            </w:r>
          </w:p>
        </w:tc>
        <w:tc>
          <w:tcPr>
            <w:tcW w:w="417" w:type="pct"/>
            <w:tcBorders>
              <w:top w:val="single" w:sz="6" w:space="0" w:color="auto"/>
              <w:bottom w:val="single" w:sz="6" w:space="0" w:color="auto"/>
            </w:tcBorders>
            <w:shd w:val="clear" w:color="auto" w:fill="auto"/>
            <w:noWrap/>
            <w:vAlign w:val="center"/>
          </w:tcPr>
          <w:p w14:paraId="1D77229E" w14:textId="46B1150D" w:rsidR="00B17594" w:rsidRPr="002E5931" w:rsidRDefault="00B17594" w:rsidP="00B17594">
            <w:pPr>
              <w:jc w:val="right"/>
              <w:rPr>
                <w:sz w:val="20"/>
                <w:szCs w:val="20"/>
              </w:rPr>
            </w:pPr>
            <w:r>
              <w:rPr>
                <w:rFonts w:ascii="Calibri" w:hAnsi="Calibri" w:cs="Calibri"/>
                <w:color w:val="000000"/>
              </w:rPr>
              <w:t>0</w:t>
            </w:r>
          </w:p>
        </w:tc>
      </w:tr>
      <w:tr w:rsidR="00B17594" w:rsidRPr="00AE6D24" w14:paraId="480E1CAA" w14:textId="77777777" w:rsidTr="00B17594">
        <w:trPr>
          <w:trHeight w:val="300"/>
          <w:jc w:val="center"/>
        </w:trPr>
        <w:tc>
          <w:tcPr>
            <w:tcW w:w="491" w:type="pct"/>
            <w:tcBorders>
              <w:top w:val="single" w:sz="6" w:space="0" w:color="auto"/>
              <w:bottom w:val="single" w:sz="18" w:space="0" w:color="auto"/>
            </w:tcBorders>
            <w:shd w:val="clear" w:color="auto" w:fill="D9D9D9" w:themeFill="background1" w:themeFillShade="D9"/>
            <w:noWrap/>
            <w:vAlign w:val="center"/>
          </w:tcPr>
          <w:p w14:paraId="5428FF73" w14:textId="5B2CDD8D" w:rsidR="00B17594" w:rsidRPr="0013577A" w:rsidRDefault="00B17594" w:rsidP="00B17594">
            <w:pPr>
              <w:jc w:val="center"/>
              <w:rPr>
                <w:rFonts w:cstheme="minorHAnsi"/>
              </w:rPr>
            </w:pPr>
            <w:r>
              <w:rPr>
                <w:rFonts w:ascii="Calibri" w:hAnsi="Calibri" w:cs="Calibri"/>
                <w:color w:val="000000"/>
              </w:rPr>
              <w:t>692406</w:t>
            </w:r>
          </w:p>
        </w:tc>
        <w:tc>
          <w:tcPr>
            <w:tcW w:w="2048" w:type="pct"/>
            <w:tcBorders>
              <w:top w:val="single" w:sz="6" w:space="0" w:color="auto"/>
              <w:bottom w:val="single" w:sz="18" w:space="0" w:color="auto"/>
            </w:tcBorders>
            <w:shd w:val="clear" w:color="auto" w:fill="auto"/>
            <w:noWrap/>
            <w:vAlign w:val="center"/>
          </w:tcPr>
          <w:p w14:paraId="43DCBA91" w14:textId="062401EF" w:rsidR="00B17594" w:rsidRPr="002E5931" w:rsidRDefault="00B17594" w:rsidP="00B17594">
            <w:pPr>
              <w:rPr>
                <w:rFonts w:cstheme="minorHAnsi"/>
                <w:sz w:val="20"/>
                <w:szCs w:val="20"/>
              </w:rPr>
            </w:pPr>
            <w:r w:rsidRPr="0003702B">
              <w:rPr>
                <w:rFonts w:cstheme="minorHAnsi"/>
                <w:sz w:val="20"/>
                <w:szCs w:val="20"/>
              </w:rPr>
              <w:t>Jičín-Nová Paka-Hostinné-Trutnov</w:t>
            </w:r>
          </w:p>
        </w:tc>
        <w:tc>
          <w:tcPr>
            <w:tcW w:w="407" w:type="pct"/>
            <w:tcBorders>
              <w:top w:val="single" w:sz="6" w:space="0" w:color="auto"/>
              <w:bottom w:val="single" w:sz="18" w:space="0" w:color="auto"/>
            </w:tcBorders>
            <w:shd w:val="clear" w:color="auto" w:fill="auto"/>
            <w:noWrap/>
            <w:vAlign w:val="center"/>
          </w:tcPr>
          <w:p w14:paraId="05EE13B6" w14:textId="12815C8E" w:rsidR="00B17594" w:rsidRPr="002E5931" w:rsidRDefault="00B17594" w:rsidP="00B17594">
            <w:pPr>
              <w:jc w:val="right"/>
              <w:rPr>
                <w:sz w:val="20"/>
                <w:szCs w:val="20"/>
              </w:rPr>
            </w:pPr>
            <w:r>
              <w:rPr>
                <w:rFonts w:ascii="Calibri" w:hAnsi="Calibri" w:cs="Calibri"/>
                <w:color w:val="000000"/>
              </w:rPr>
              <w:t>3</w:t>
            </w:r>
          </w:p>
        </w:tc>
        <w:tc>
          <w:tcPr>
            <w:tcW w:w="409" w:type="pct"/>
            <w:tcBorders>
              <w:top w:val="single" w:sz="6" w:space="0" w:color="auto"/>
              <w:bottom w:val="single" w:sz="18" w:space="0" w:color="auto"/>
            </w:tcBorders>
            <w:shd w:val="clear" w:color="auto" w:fill="auto"/>
            <w:noWrap/>
            <w:vAlign w:val="center"/>
          </w:tcPr>
          <w:p w14:paraId="1976E817" w14:textId="07C87C58" w:rsidR="00B17594" w:rsidRPr="002E5931" w:rsidRDefault="00B17594" w:rsidP="00B17594">
            <w:pPr>
              <w:jc w:val="right"/>
              <w:rPr>
                <w:sz w:val="20"/>
                <w:szCs w:val="20"/>
              </w:rPr>
            </w:pPr>
            <w:r>
              <w:rPr>
                <w:rFonts w:ascii="Calibri" w:hAnsi="Calibri" w:cs="Calibri"/>
                <w:color w:val="000000"/>
              </w:rPr>
              <w:t>4</w:t>
            </w:r>
          </w:p>
        </w:tc>
        <w:tc>
          <w:tcPr>
            <w:tcW w:w="410" w:type="pct"/>
            <w:tcBorders>
              <w:top w:val="single" w:sz="6" w:space="0" w:color="auto"/>
              <w:bottom w:val="single" w:sz="18" w:space="0" w:color="auto"/>
            </w:tcBorders>
            <w:shd w:val="clear" w:color="auto" w:fill="auto"/>
            <w:noWrap/>
            <w:vAlign w:val="center"/>
          </w:tcPr>
          <w:p w14:paraId="01B26BF6" w14:textId="3156FDC2" w:rsidR="00B17594" w:rsidRPr="002E5931" w:rsidRDefault="00B17594" w:rsidP="00B17594">
            <w:pPr>
              <w:jc w:val="right"/>
              <w:rPr>
                <w:sz w:val="20"/>
                <w:szCs w:val="20"/>
              </w:rPr>
            </w:pPr>
            <w:r>
              <w:rPr>
                <w:rFonts w:ascii="Calibri" w:hAnsi="Calibri" w:cs="Calibri"/>
                <w:color w:val="000000"/>
              </w:rPr>
              <w:t>0</w:t>
            </w:r>
          </w:p>
        </w:tc>
        <w:tc>
          <w:tcPr>
            <w:tcW w:w="410" w:type="pct"/>
            <w:tcBorders>
              <w:top w:val="single" w:sz="6" w:space="0" w:color="auto"/>
              <w:bottom w:val="single" w:sz="18" w:space="0" w:color="auto"/>
            </w:tcBorders>
            <w:shd w:val="clear" w:color="auto" w:fill="auto"/>
            <w:noWrap/>
            <w:vAlign w:val="center"/>
          </w:tcPr>
          <w:p w14:paraId="34E47949" w14:textId="7151C162" w:rsidR="00B17594" w:rsidRPr="002E5931" w:rsidRDefault="00B17594" w:rsidP="00B17594">
            <w:pPr>
              <w:jc w:val="right"/>
              <w:rPr>
                <w:sz w:val="20"/>
                <w:szCs w:val="20"/>
              </w:rPr>
            </w:pPr>
            <w:r>
              <w:rPr>
                <w:rFonts w:ascii="Calibri" w:hAnsi="Calibri" w:cs="Calibri"/>
                <w:color w:val="000000"/>
              </w:rPr>
              <w:t>0</w:t>
            </w:r>
          </w:p>
        </w:tc>
        <w:tc>
          <w:tcPr>
            <w:tcW w:w="408" w:type="pct"/>
            <w:tcBorders>
              <w:top w:val="single" w:sz="6" w:space="0" w:color="auto"/>
              <w:bottom w:val="single" w:sz="18" w:space="0" w:color="auto"/>
            </w:tcBorders>
            <w:shd w:val="clear" w:color="auto" w:fill="auto"/>
            <w:noWrap/>
            <w:vAlign w:val="center"/>
          </w:tcPr>
          <w:p w14:paraId="3C0DB2D9" w14:textId="6874B87F" w:rsidR="00B17594" w:rsidRPr="002E5931" w:rsidRDefault="00B17594" w:rsidP="00B17594">
            <w:pPr>
              <w:jc w:val="right"/>
              <w:rPr>
                <w:sz w:val="20"/>
                <w:szCs w:val="20"/>
              </w:rPr>
            </w:pPr>
            <w:r>
              <w:rPr>
                <w:rFonts w:ascii="Calibri" w:hAnsi="Calibri" w:cs="Calibri"/>
                <w:color w:val="000000"/>
              </w:rPr>
              <w:t>0</w:t>
            </w:r>
          </w:p>
        </w:tc>
        <w:tc>
          <w:tcPr>
            <w:tcW w:w="417" w:type="pct"/>
            <w:tcBorders>
              <w:top w:val="single" w:sz="6" w:space="0" w:color="auto"/>
              <w:bottom w:val="single" w:sz="18" w:space="0" w:color="auto"/>
            </w:tcBorders>
            <w:shd w:val="clear" w:color="auto" w:fill="auto"/>
            <w:noWrap/>
            <w:vAlign w:val="center"/>
          </w:tcPr>
          <w:p w14:paraId="74930AB1" w14:textId="60D6CF8E" w:rsidR="00B17594" w:rsidRPr="002E5931" w:rsidRDefault="00B17594" w:rsidP="00B17594">
            <w:pPr>
              <w:jc w:val="right"/>
              <w:rPr>
                <w:sz w:val="20"/>
                <w:szCs w:val="20"/>
              </w:rPr>
            </w:pPr>
            <w:r>
              <w:rPr>
                <w:rFonts w:ascii="Calibri" w:hAnsi="Calibri" w:cs="Calibri"/>
                <w:color w:val="000000"/>
              </w:rPr>
              <w:t>0</w:t>
            </w:r>
          </w:p>
        </w:tc>
      </w:tr>
    </w:tbl>
    <w:p w14:paraId="606E830B" w14:textId="77777777" w:rsidR="000E0DA5" w:rsidRDefault="000E0DA5" w:rsidP="000E0DA5">
      <w:pPr>
        <w:spacing w:after="160"/>
        <w:contextualSpacing/>
        <w:jc w:val="both"/>
        <w:rPr>
          <w:sz w:val="20"/>
          <w:szCs w:val="20"/>
        </w:rPr>
      </w:pPr>
      <w:r w:rsidRPr="00BF1318">
        <w:rPr>
          <w:b/>
          <w:sz w:val="20"/>
          <w:szCs w:val="20"/>
        </w:rPr>
        <w:t>Zdroj:</w:t>
      </w:r>
      <w:r w:rsidRPr="00BF1318">
        <w:rPr>
          <w:sz w:val="20"/>
          <w:szCs w:val="20"/>
        </w:rPr>
        <w:t xml:space="preserve"> </w:t>
      </w:r>
      <w:r>
        <w:rPr>
          <w:sz w:val="20"/>
          <w:szCs w:val="20"/>
        </w:rPr>
        <w:t xml:space="preserve">Vývěsné jízdní řády </w:t>
      </w:r>
      <w:hyperlink r:id="rId79" w:history="1">
        <w:r w:rsidRPr="00DC1E7F">
          <w:rPr>
            <w:rStyle w:val="Hypertextovodkaz"/>
            <w:sz w:val="20"/>
            <w:szCs w:val="20"/>
          </w:rPr>
          <w:t>http://portal.idos.cz/</w:t>
        </w:r>
      </w:hyperlink>
    </w:p>
    <w:p w14:paraId="0AA61C4F" w14:textId="77777777" w:rsidR="000E0DA5" w:rsidRDefault="000E0DA5" w:rsidP="000E0DA5">
      <w:pPr>
        <w:spacing w:after="160" w:line="259" w:lineRule="auto"/>
        <w:jc w:val="both"/>
      </w:pPr>
    </w:p>
    <w:p w14:paraId="1867BC96" w14:textId="3CC02013" w:rsidR="000E0DA5" w:rsidRDefault="000E0DA5" w:rsidP="000E0DA5">
      <w:pPr>
        <w:spacing w:after="160" w:line="259" w:lineRule="auto"/>
        <w:jc w:val="both"/>
      </w:pPr>
      <w:r>
        <w:t xml:space="preserve">Časovou dostupnost některých měst autobusovou </w:t>
      </w:r>
      <w:r w:rsidRPr="006F49B3">
        <w:t xml:space="preserve">dopravou shrnuje </w:t>
      </w:r>
      <w:r w:rsidRPr="0024475D">
        <w:t>následující tabulka 1</w:t>
      </w:r>
      <w:r w:rsidR="00AB7B26">
        <w:t>6</w:t>
      </w:r>
      <w:r w:rsidRPr="0024475D">
        <w:t>.</w:t>
      </w:r>
    </w:p>
    <w:p w14:paraId="5EBA776B" w14:textId="3E1C1158" w:rsidR="00D07291" w:rsidRDefault="00D07291" w:rsidP="000E0DA5">
      <w:pPr>
        <w:spacing w:after="160" w:line="259" w:lineRule="auto"/>
        <w:jc w:val="both"/>
      </w:pPr>
    </w:p>
    <w:p w14:paraId="3284352A" w14:textId="5D4FAAF9" w:rsidR="000E0DA5" w:rsidRPr="00F8623C" w:rsidRDefault="000E0DA5" w:rsidP="000E0DA5">
      <w:pPr>
        <w:pStyle w:val="TABULKA0"/>
      </w:pPr>
      <w:bookmarkStart w:id="256" w:name="_Toc441221919"/>
      <w:bookmarkStart w:id="257" w:name="_Toc32577792"/>
      <w:bookmarkStart w:id="258" w:name="_Toc120651938"/>
      <w:r w:rsidRPr="0024475D">
        <w:t>Tabulka 1</w:t>
      </w:r>
      <w:r w:rsidR="00AB7B26">
        <w:t>6</w:t>
      </w:r>
      <w:r w:rsidRPr="006F49B3">
        <w:t>: Časová</w:t>
      </w:r>
      <w:r>
        <w:t xml:space="preserve"> dostupnost vybraných měst </w:t>
      </w:r>
      <w:r w:rsidRPr="00545EBC">
        <w:t xml:space="preserve">autobusovou dopravou z obce </w:t>
      </w:r>
      <w:r w:rsidR="00AB7B26">
        <w:t>Staré Buky</w:t>
      </w:r>
      <w:r w:rsidRPr="00545EBC">
        <w:t xml:space="preserve"> podle jízdních řádů platných </w:t>
      </w:r>
      <w:r>
        <w:t>do</w:t>
      </w:r>
      <w:r w:rsidRPr="00545EBC">
        <w:t xml:space="preserve"> </w:t>
      </w:r>
      <w:r>
        <w:t>1</w:t>
      </w:r>
      <w:r w:rsidR="00AB7B26">
        <w:t>0</w:t>
      </w:r>
      <w:r w:rsidRPr="00545EBC">
        <w:t>. 12. 20</w:t>
      </w:r>
      <w:bookmarkEnd w:id="256"/>
      <w:bookmarkEnd w:id="257"/>
      <w:r>
        <w:t>2</w:t>
      </w:r>
      <w:r w:rsidR="00AB7B26">
        <w:t>2</w:t>
      </w:r>
      <w:bookmarkEnd w:id="258"/>
    </w:p>
    <w:tbl>
      <w:tblPr>
        <w:tblW w:w="8844" w:type="dxa"/>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182"/>
        <w:gridCol w:w="6662"/>
      </w:tblGrid>
      <w:tr w:rsidR="000E0DA5" w:rsidRPr="00E74933" w14:paraId="17480FA0" w14:textId="77777777" w:rsidTr="008F4838">
        <w:trPr>
          <w:trHeight w:val="300"/>
          <w:jc w:val="center"/>
        </w:trPr>
        <w:tc>
          <w:tcPr>
            <w:tcW w:w="2182" w:type="dxa"/>
            <w:tcBorders>
              <w:top w:val="single" w:sz="18" w:space="0" w:color="auto"/>
              <w:bottom w:val="single" w:sz="12" w:space="0" w:color="auto"/>
            </w:tcBorders>
            <w:shd w:val="clear" w:color="auto" w:fill="FFC000"/>
            <w:noWrap/>
            <w:vAlign w:val="center"/>
            <w:hideMark/>
          </w:tcPr>
          <w:p w14:paraId="14F85850" w14:textId="77777777" w:rsidR="000E0DA5" w:rsidRPr="00E74933" w:rsidRDefault="000E0DA5" w:rsidP="009C229F">
            <w:pPr>
              <w:jc w:val="center"/>
              <w:rPr>
                <w:rFonts w:ascii="Calibri" w:eastAsia="Times New Roman" w:hAnsi="Calibri" w:cs="Times New Roman"/>
                <w:b/>
                <w:color w:val="000000"/>
                <w:sz w:val="20"/>
                <w:szCs w:val="20"/>
                <w:lang w:eastAsia="cs-CZ"/>
              </w:rPr>
            </w:pPr>
            <w:r w:rsidRPr="00E74933">
              <w:rPr>
                <w:rFonts w:ascii="Calibri" w:eastAsia="Times New Roman" w:hAnsi="Calibri" w:cs="Times New Roman"/>
                <w:b/>
                <w:color w:val="000000"/>
                <w:sz w:val="20"/>
                <w:szCs w:val="20"/>
                <w:lang w:eastAsia="cs-CZ"/>
              </w:rPr>
              <w:t>Město</w:t>
            </w:r>
          </w:p>
        </w:tc>
        <w:tc>
          <w:tcPr>
            <w:tcW w:w="6662" w:type="dxa"/>
            <w:tcBorders>
              <w:top w:val="single" w:sz="18" w:space="0" w:color="auto"/>
              <w:bottom w:val="single" w:sz="12" w:space="0" w:color="auto"/>
            </w:tcBorders>
            <w:shd w:val="clear" w:color="auto" w:fill="FFC000"/>
            <w:noWrap/>
            <w:vAlign w:val="center"/>
            <w:hideMark/>
          </w:tcPr>
          <w:p w14:paraId="1660B68D" w14:textId="77777777" w:rsidR="000E0DA5" w:rsidRPr="00E74933" w:rsidRDefault="000E0DA5" w:rsidP="009C229F">
            <w:pPr>
              <w:jc w:val="center"/>
              <w:rPr>
                <w:rFonts w:ascii="Calibri" w:eastAsia="Times New Roman" w:hAnsi="Calibri" w:cs="Times New Roman"/>
                <w:b/>
                <w:color w:val="000000"/>
                <w:sz w:val="20"/>
                <w:szCs w:val="20"/>
                <w:lang w:eastAsia="cs-CZ"/>
              </w:rPr>
            </w:pPr>
            <w:r w:rsidRPr="00E74933">
              <w:rPr>
                <w:rFonts w:ascii="Calibri" w:eastAsia="Times New Roman" w:hAnsi="Calibri" w:cs="Times New Roman"/>
                <w:b/>
                <w:color w:val="000000"/>
                <w:sz w:val="20"/>
                <w:szCs w:val="20"/>
                <w:lang w:eastAsia="cs-CZ"/>
              </w:rPr>
              <w:t>Časová dostupnost</w:t>
            </w:r>
          </w:p>
        </w:tc>
      </w:tr>
      <w:tr w:rsidR="000E0DA5" w:rsidRPr="00E74933" w14:paraId="66CABF5D" w14:textId="77777777" w:rsidTr="008F4838">
        <w:trPr>
          <w:trHeight w:val="300"/>
          <w:jc w:val="center"/>
        </w:trPr>
        <w:tc>
          <w:tcPr>
            <w:tcW w:w="2182" w:type="dxa"/>
            <w:tcBorders>
              <w:top w:val="single" w:sz="12" w:space="0" w:color="auto"/>
              <w:bottom w:val="single" w:sz="6" w:space="0" w:color="auto"/>
            </w:tcBorders>
            <w:shd w:val="clear" w:color="auto" w:fill="D9D9D9" w:themeFill="background1" w:themeFillShade="D9"/>
            <w:noWrap/>
            <w:vAlign w:val="center"/>
          </w:tcPr>
          <w:p w14:paraId="428C1CC8" w14:textId="75EA877A" w:rsidR="000E0DA5" w:rsidRPr="00E74933" w:rsidRDefault="00AB7B26" w:rsidP="009C229F">
            <w:pP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Trutnov</w:t>
            </w:r>
          </w:p>
        </w:tc>
        <w:tc>
          <w:tcPr>
            <w:tcW w:w="6662" w:type="dxa"/>
            <w:tcBorders>
              <w:top w:val="single" w:sz="12" w:space="0" w:color="auto"/>
              <w:bottom w:val="single" w:sz="6" w:space="0" w:color="auto"/>
            </w:tcBorders>
            <w:shd w:val="clear" w:color="auto" w:fill="auto"/>
            <w:noWrap/>
            <w:vAlign w:val="center"/>
          </w:tcPr>
          <w:p w14:paraId="7E376800" w14:textId="0DD54B33" w:rsidR="008F4838" w:rsidRDefault="008F4838" w:rsidP="00C245A0">
            <w:pPr>
              <w:spacing w:after="60"/>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10 min a déle – ze zastávky </w:t>
            </w:r>
            <w:r w:rsidRPr="008F4838">
              <w:rPr>
                <w:rFonts w:ascii="Calibri" w:eastAsia="Times New Roman" w:hAnsi="Calibri" w:cs="Times New Roman"/>
                <w:color w:val="000000"/>
                <w:sz w:val="20"/>
                <w:szCs w:val="20"/>
                <w:lang w:eastAsia="cs-CZ"/>
              </w:rPr>
              <w:t>„Staré Buky, Dolní Staré Buky, Samoty“</w:t>
            </w:r>
            <w:r w:rsidRPr="00E74933">
              <w:rPr>
                <w:rFonts w:ascii="Calibri" w:eastAsia="Times New Roman" w:hAnsi="Calibri" w:cs="Times New Roman"/>
                <w:color w:val="000000"/>
                <w:sz w:val="20"/>
                <w:szCs w:val="20"/>
                <w:lang w:eastAsia="cs-CZ"/>
              </w:rPr>
              <w:t xml:space="preserve"> (přímý spoj)</w:t>
            </w:r>
          </w:p>
          <w:p w14:paraId="1438EC37" w14:textId="4F8FDC1F" w:rsidR="000E0DA5" w:rsidRPr="00E74933" w:rsidRDefault="006742D6" w:rsidP="00C245A0">
            <w:pP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r w:rsidR="008F4838">
              <w:rPr>
                <w:rFonts w:ascii="Calibri" w:eastAsia="Times New Roman" w:hAnsi="Calibri" w:cs="Times New Roman"/>
                <w:color w:val="000000"/>
                <w:sz w:val="20"/>
                <w:szCs w:val="20"/>
                <w:lang w:eastAsia="cs-CZ"/>
              </w:rPr>
              <w:t>6</w:t>
            </w:r>
            <w:r w:rsidR="000E0DA5" w:rsidRPr="00E74933">
              <w:rPr>
                <w:rFonts w:ascii="Calibri" w:eastAsia="Times New Roman" w:hAnsi="Calibri" w:cs="Times New Roman"/>
                <w:color w:val="000000"/>
                <w:sz w:val="20"/>
                <w:szCs w:val="20"/>
                <w:lang w:eastAsia="cs-CZ"/>
              </w:rPr>
              <w:t xml:space="preserve"> min </w:t>
            </w:r>
            <w:r w:rsidR="008F4838">
              <w:rPr>
                <w:rFonts w:ascii="Calibri" w:eastAsia="Times New Roman" w:hAnsi="Calibri" w:cs="Times New Roman"/>
                <w:color w:val="000000"/>
                <w:sz w:val="20"/>
                <w:szCs w:val="20"/>
                <w:lang w:eastAsia="cs-CZ"/>
              </w:rPr>
              <w:t xml:space="preserve">a déle – z ostatních zastávek </w:t>
            </w:r>
            <w:r w:rsidR="000E0DA5" w:rsidRPr="00E74933">
              <w:rPr>
                <w:rFonts w:ascii="Calibri" w:eastAsia="Times New Roman" w:hAnsi="Calibri" w:cs="Times New Roman"/>
                <w:color w:val="000000"/>
                <w:sz w:val="20"/>
                <w:szCs w:val="20"/>
                <w:lang w:eastAsia="cs-CZ"/>
              </w:rPr>
              <w:t>(přímý spoj)</w:t>
            </w:r>
          </w:p>
        </w:tc>
      </w:tr>
      <w:tr w:rsidR="000E0DA5" w:rsidRPr="00E74933" w14:paraId="3753E759" w14:textId="77777777" w:rsidTr="008F4838">
        <w:trPr>
          <w:trHeight w:val="300"/>
          <w:jc w:val="center"/>
        </w:trPr>
        <w:tc>
          <w:tcPr>
            <w:tcW w:w="2182" w:type="dxa"/>
            <w:tcBorders>
              <w:top w:val="single" w:sz="6" w:space="0" w:color="auto"/>
              <w:bottom w:val="single" w:sz="6" w:space="0" w:color="auto"/>
            </w:tcBorders>
            <w:shd w:val="clear" w:color="auto" w:fill="D9D9D9" w:themeFill="background1" w:themeFillShade="D9"/>
            <w:noWrap/>
            <w:vAlign w:val="center"/>
          </w:tcPr>
          <w:p w14:paraId="0B1C3445" w14:textId="31A94E56" w:rsidR="000E0DA5" w:rsidRPr="00E74933" w:rsidRDefault="00AB7B26" w:rsidP="009C229F">
            <w:pP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Hostinné</w:t>
            </w:r>
          </w:p>
        </w:tc>
        <w:tc>
          <w:tcPr>
            <w:tcW w:w="6662" w:type="dxa"/>
            <w:tcBorders>
              <w:top w:val="single" w:sz="6" w:space="0" w:color="auto"/>
              <w:bottom w:val="single" w:sz="6" w:space="0" w:color="auto"/>
            </w:tcBorders>
            <w:shd w:val="clear" w:color="auto" w:fill="auto"/>
            <w:noWrap/>
            <w:vAlign w:val="center"/>
          </w:tcPr>
          <w:p w14:paraId="458466EB" w14:textId="2E759BEA" w:rsidR="00BA44A5" w:rsidRDefault="00BA44A5" w:rsidP="00C245A0">
            <w:pPr>
              <w:spacing w:after="60"/>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22 min a déle – ze zastávky </w:t>
            </w:r>
            <w:r w:rsidRPr="008F4838">
              <w:rPr>
                <w:rFonts w:ascii="Calibri" w:eastAsia="Times New Roman" w:hAnsi="Calibri" w:cs="Times New Roman"/>
                <w:color w:val="000000"/>
                <w:sz w:val="20"/>
                <w:szCs w:val="20"/>
                <w:lang w:eastAsia="cs-CZ"/>
              </w:rPr>
              <w:t>„Staré Buky, Dolní Staré Buky, Samoty“</w:t>
            </w:r>
            <w:r w:rsidRPr="00E74933">
              <w:rPr>
                <w:rFonts w:ascii="Calibri" w:eastAsia="Times New Roman" w:hAnsi="Calibri" w:cs="Times New Roman"/>
                <w:color w:val="000000"/>
                <w:sz w:val="20"/>
                <w:szCs w:val="20"/>
                <w:lang w:eastAsia="cs-CZ"/>
              </w:rPr>
              <w:t xml:space="preserve"> (přímý spoj)</w:t>
            </w:r>
          </w:p>
          <w:p w14:paraId="540DFA9B" w14:textId="692DA140" w:rsidR="000E0DA5" w:rsidRPr="00E74933" w:rsidRDefault="00BA44A5" w:rsidP="00C245A0">
            <w:pP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26</w:t>
            </w:r>
            <w:r w:rsidRPr="00E74933">
              <w:rPr>
                <w:rFonts w:ascii="Calibri" w:eastAsia="Times New Roman" w:hAnsi="Calibri" w:cs="Times New Roman"/>
                <w:color w:val="000000"/>
                <w:sz w:val="20"/>
                <w:szCs w:val="20"/>
                <w:lang w:eastAsia="cs-CZ"/>
              </w:rPr>
              <w:t xml:space="preserve"> min </w:t>
            </w:r>
            <w:r>
              <w:rPr>
                <w:rFonts w:ascii="Calibri" w:eastAsia="Times New Roman" w:hAnsi="Calibri" w:cs="Times New Roman"/>
                <w:color w:val="000000"/>
                <w:sz w:val="20"/>
                <w:szCs w:val="20"/>
                <w:lang w:eastAsia="cs-CZ"/>
              </w:rPr>
              <w:t xml:space="preserve">a déle – z ostatních zastávek </w:t>
            </w:r>
            <w:r w:rsidRPr="00E74933">
              <w:rPr>
                <w:rFonts w:ascii="Calibri" w:eastAsia="Times New Roman" w:hAnsi="Calibri" w:cs="Times New Roman"/>
                <w:color w:val="000000"/>
                <w:sz w:val="20"/>
                <w:szCs w:val="20"/>
                <w:lang w:eastAsia="cs-CZ"/>
              </w:rPr>
              <w:t>(</w:t>
            </w:r>
            <w:r>
              <w:rPr>
                <w:rFonts w:ascii="Calibri" w:eastAsia="Times New Roman" w:hAnsi="Calibri" w:cs="Times New Roman"/>
                <w:color w:val="000000"/>
                <w:sz w:val="20"/>
                <w:szCs w:val="20"/>
                <w:lang w:eastAsia="cs-CZ"/>
              </w:rPr>
              <w:t>s přestupy,</w:t>
            </w:r>
            <w:r w:rsidRPr="00E74933">
              <w:rPr>
                <w:rFonts w:ascii="Calibri" w:eastAsia="Times New Roman" w:hAnsi="Calibri" w:cs="Times New Roman"/>
                <w:color w:val="000000"/>
                <w:sz w:val="20"/>
                <w:szCs w:val="20"/>
                <w:lang w:eastAsia="cs-CZ"/>
              </w:rPr>
              <w:t xml:space="preserve"> čas se odvíjí podle čekací doby na přípoj)</w:t>
            </w:r>
          </w:p>
        </w:tc>
      </w:tr>
      <w:tr w:rsidR="00ED3EBA" w:rsidRPr="00E74933" w14:paraId="329C627B" w14:textId="77777777" w:rsidTr="008F4838">
        <w:trPr>
          <w:trHeight w:val="300"/>
          <w:jc w:val="center"/>
        </w:trPr>
        <w:tc>
          <w:tcPr>
            <w:tcW w:w="2182" w:type="dxa"/>
            <w:tcBorders>
              <w:top w:val="single" w:sz="6" w:space="0" w:color="auto"/>
              <w:bottom w:val="single" w:sz="6" w:space="0" w:color="auto"/>
            </w:tcBorders>
            <w:shd w:val="clear" w:color="auto" w:fill="D9D9D9" w:themeFill="background1" w:themeFillShade="D9"/>
            <w:noWrap/>
            <w:vAlign w:val="center"/>
          </w:tcPr>
          <w:p w14:paraId="466DCBB4" w14:textId="218B2D5C" w:rsidR="00ED3EBA" w:rsidRDefault="00ED3EBA" w:rsidP="009C229F">
            <w:pP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Dvůr Králové nad Labem</w:t>
            </w:r>
          </w:p>
        </w:tc>
        <w:tc>
          <w:tcPr>
            <w:tcW w:w="6662" w:type="dxa"/>
            <w:tcBorders>
              <w:top w:val="single" w:sz="6" w:space="0" w:color="auto"/>
              <w:bottom w:val="single" w:sz="6" w:space="0" w:color="auto"/>
            </w:tcBorders>
            <w:shd w:val="clear" w:color="auto" w:fill="auto"/>
            <w:noWrap/>
            <w:vAlign w:val="center"/>
          </w:tcPr>
          <w:p w14:paraId="6D454044" w14:textId="1CBBF014" w:rsidR="003F01A8" w:rsidRDefault="003F01A8" w:rsidP="00C245A0">
            <w:pPr>
              <w:spacing w:after="60"/>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32 min a déle – ze zastávky </w:t>
            </w:r>
            <w:r w:rsidRPr="008F4838">
              <w:rPr>
                <w:rFonts w:ascii="Calibri" w:eastAsia="Times New Roman" w:hAnsi="Calibri" w:cs="Times New Roman"/>
                <w:color w:val="000000"/>
                <w:sz w:val="20"/>
                <w:szCs w:val="20"/>
                <w:lang w:eastAsia="cs-CZ"/>
              </w:rPr>
              <w:t>„Staré Buky, Dolní Staré Buky, Samoty“</w:t>
            </w:r>
            <w:r w:rsidRPr="00E74933">
              <w:rPr>
                <w:rFonts w:ascii="Calibri" w:eastAsia="Times New Roman" w:hAnsi="Calibri" w:cs="Times New Roman"/>
                <w:color w:val="000000"/>
                <w:sz w:val="20"/>
                <w:szCs w:val="20"/>
                <w:lang w:eastAsia="cs-CZ"/>
              </w:rPr>
              <w:t xml:space="preserve"> (</w:t>
            </w:r>
            <w:r>
              <w:rPr>
                <w:rFonts w:ascii="Calibri" w:eastAsia="Times New Roman" w:hAnsi="Calibri" w:cs="Times New Roman"/>
                <w:color w:val="000000"/>
                <w:sz w:val="20"/>
                <w:szCs w:val="20"/>
                <w:lang w:eastAsia="cs-CZ"/>
              </w:rPr>
              <w:t>s přestupy,</w:t>
            </w:r>
            <w:r w:rsidRPr="00E74933">
              <w:rPr>
                <w:rFonts w:ascii="Calibri" w:eastAsia="Times New Roman" w:hAnsi="Calibri" w:cs="Times New Roman"/>
                <w:color w:val="000000"/>
                <w:sz w:val="20"/>
                <w:szCs w:val="20"/>
                <w:lang w:eastAsia="cs-CZ"/>
              </w:rPr>
              <w:t xml:space="preserve"> čas se odvíjí podle čekací doby na přípoj)</w:t>
            </w:r>
          </w:p>
          <w:p w14:paraId="7D2C96A6" w14:textId="40E6B1F1" w:rsidR="00ED3EBA" w:rsidRDefault="003F01A8" w:rsidP="00C245A0">
            <w:pP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53</w:t>
            </w:r>
            <w:r w:rsidRPr="00E74933">
              <w:rPr>
                <w:rFonts w:ascii="Calibri" w:eastAsia="Times New Roman" w:hAnsi="Calibri" w:cs="Times New Roman"/>
                <w:color w:val="000000"/>
                <w:sz w:val="20"/>
                <w:szCs w:val="20"/>
                <w:lang w:eastAsia="cs-CZ"/>
              </w:rPr>
              <w:t xml:space="preserve"> min </w:t>
            </w:r>
            <w:r>
              <w:rPr>
                <w:rFonts w:ascii="Calibri" w:eastAsia="Times New Roman" w:hAnsi="Calibri" w:cs="Times New Roman"/>
                <w:color w:val="000000"/>
                <w:sz w:val="20"/>
                <w:szCs w:val="20"/>
                <w:lang w:eastAsia="cs-CZ"/>
              </w:rPr>
              <w:t xml:space="preserve">a déle – z ostatních zastávek </w:t>
            </w:r>
            <w:r w:rsidRPr="00E74933">
              <w:rPr>
                <w:rFonts w:ascii="Calibri" w:eastAsia="Times New Roman" w:hAnsi="Calibri" w:cs="Times New Roman"/>
                <w:color w:val="000000"/>
                <w:sz w:val="20"/>
                <w:szCs w:val="20"/>
                <w:lang w:eastAsia="cs-CZ"/>
              </w:rPr>
              <w:t>(</w:t>
            </w:r>
            <w:r>
              <w:rPr>
                <w:rFonts w:ascii="Calibri" w:eastAsia="Times New Roman" w:hAnsi="Calibri" w:cs="Times New Roman"/>
                <w:color w:val="000000"/>
                <w:sz w:val="20"/>
                <w:szCs w:val="20"/>
                <w:lang w:eastAsia="cs-CZ"/>
              </w:rPr>
              <w:t>s přestupy,</w:t>
            </w:r>
            <w:r w:rsidRPr="00E74933">
              <w:rPr>
                <w:rFonts w:ascii="Calibri" w:eastAsia="Times New Roman" w:hAnsi="Calibri" w:cs="Times New Roman"/>
                <w:color w:val="000000"/>
                <w:sz w:val="20"/>
                <w:szCs w:val="20"/>
                <w:lang w:eastAsia="cs-CZ"/>
              </w:rPr>
              <w:t xml:space="preserve"> čas se odvíjí podle čekací doby na přípoj)</w:t>
            </w:r>
          </w:p>
        </w:tc>
      </w:tr>
      <w:tr w:rsidR="000E0DA5" w:rsidRPr="00E74933" w14:paraId="24B56D97" w14:textId="77777777" w:rsidTr="008F4838">
        <w:trPr>
          <w:trHeight w:val="300"/>
          <w:jc w:val="center"/>
        </w:trPr>
        <w:tc>
          <w:tcPr>
            <w:tcW w:w="2182" w:type="dxa"/>
            <w:tcBorders>
              <w:top w:val="single" w:sz="6" w:space="0" w:color="auto"/>
              <w:bottom w:val="single" w:sz="6" w:space="0" w:color="auto"/>
            </w:tcBorders>
            <w:shd w:val="clear" w:color="auto" w:fill="D9D9D9" w:themeFill="background1" w:themeFillShade="D9"/>
            <w:noWrap/>
            <w:vAlign w:val="center"/>
          </w:tcPr>
          <w:p w14:paraId="28DF0F69" w14:textId="0A4DBC81" w:rsidR="000E0DA5" w:rsidRPr="00E74933" w:rsidRDefault="00B46B87" w:rsidP="009C229F">
            <w:pP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Hradec Králové</w:t>
            </w:r>
          </w:p>
        </w:tc>
        <w:tc>
          <w:tcPr>
            <w:tcW w:w="6662" w:type="dxa"/>
            <w:tcBorders>
              <w:top w:val="single" w:sz="6" w:space="0" w:color="auto"/>
              <w:bottom w:val="single" w:sz="6" w:space="0" w:color="auto"/>
            </w:tcBorders>
            <w:shd w:val="clear" w:color="auto" w:fill="auto"/>
            <w:noWrap/>
            <w:vAlign w:val="center"/>
          </w:tcPr>
          <w:p w14:paraId="625D57EB" w14:textId="77777777" w:rsidR="000E0DA5" w:rsidRDefault="001547AB" w:rsidP="00C245A0">
            <w:pPr>
              <w:spacing w:after="60"/>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1 hod </w:t>
            </w:r>
            <w:r w:rsidR="0007018D">
              <w:rPr>
                <w:rFonts w:ascii="Calibri" w:eastAsia="Times New Roman" w:hAnsi="Calibri" w:cs="Times New Roman"/>
                <w:color w:val="000000"/>
                <w:sz w:val="20"/>
                <w:szCs w:val="20"/>
                <w:lang w:eastAsia="cs-CZ"/>
              </w:rPr>
              <w:t>1</w:t>
            </w:r>
            <w:r w:rsidR="000E0DA5" w:rsidRPr="00E74933">
              <w:rPr>
                <w:rFonts w:ascii="Calibri" w:eastAsia="Times New Roman" w:hAnsi="Calibri" w:cs="Times New Roman"/>
                <w:color w:val="000000"/>
                <w:sz w:val="20"/>
                <w:szCs w:val="20"/>
                <w:lang w:eastAsia="cs-CZ"/>
              </w:rPr>
              <w:t xml:space="preserve"> min a déle </w:t>
            </w:r>
            <w:r w:rsidR="0007018D">
              <w:rPr>
                <w:rFonts w:ascii="Calibri" w:eastAsia="Times New Roman" w:hAnsi="Calibri" w:cs="Times New Roman"/>
                <w:color w:val="000000"/>
                <w:sz w:val="20"/>
                <w:szCs w:val="20"/>
                <w:lang w:eastAsia="cs-CZ"/>
              </w:rPr>
              <w:t xml:space="preserve">– ze zastávky </w:t>
            </w:r>
            <w:r w:rsidR="0007018D" w:rsidRPr="008F4838">
              <w:rPr>
                <w:rFonts w:ascii="Calibri" w:eastAsia="Times New Roman" w:hAnsi="Calibri" w:cs="Times New Roman"/>
                <w:color w:val="000000"/>
                <w:sz w:val="20"/>
                <w:szCs w:val="20"/>
                <w:lang w:eastAsia="cs-CZ"/>
              </w:rPr>
              <w:t>„Staré Buky, Dolní Staré Buky, Samoty“</w:t>
            </w:r>
            <w:r w:rsidR="0007018D" w:rsidRPr="00E74933">
              <w:rPr>
                <w:rFonts w:ascii="Calibri" w:eastAsia="Times New Roman" w:hAnsi="Calibri" w:cs="Times New Roman"/>
                <w:color w:val="000000"/>
                <w:sz w:val="20"/>
                <w:szCs w:val="20"/>
                <w:lang w:eastAsia="cs-CZ"/>
              </w:rPr>
              <w:t xml:space="preserve"> (</w:t>
            </w:r>
            <w:r w:rsidR="0007018D">
              <w:rPr>
                <w:rFonts w:ascii="Calibri" w:eastAsia="Times New Roman" w:hAnsi="Calibri" w:cs="Times New Roman"/>
                <w:color w:val="000000"/>
                <w:sz w:val="20"/>
                <w:szCs w:val="20"/>
                <w:lang w:eastAsia="cs-CZ"/>
              </w:rPr>
              <w:t>s přestupy,</w:t>
            </w:r>
            <w:r w:rsidR="0007018D" w:rsidRPr="00E74933">
              <w:rPr>
                <w:rFonts w:ascii="Calibri" w:eastAsia="Times New Roman" w:hAnsi="Calibri" w:cs="Times New Roman"/>
                <w:color w:val="000000"/>
                <w:sz w:val="20"/>
                <w:szCs w:val="20"/>
                <w:lang w:eastAsia="cs-CZ"/>
              </w:rPr>
              <w:t xml:space="preserve"> čas se odvíjí podle čekací doby na přípoj)</w:t>
            </w:r>
          </w:p>
          <w:p w14:paraId="105EECF7" w14:textId="4132CF38" w:rsidR="00DE3747" w:rsidRPr="00E74933" w:rsidRDefault="00DE3747" w:rsidP="00C245A0">
            <w:pP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 hod 26</w:t>
            </w:r>
            <w:r w:rsidRPr="00E74933">
              <w:rPr>
                <w:rFonts w:ascii="Calibri" w:eastAsia="Times New Roman" w:hAnsi="Calibri" w:cs="Times New Roman"/>
                <w:color w:val="000000"/>
                <w:sz w:val="20"/>
                <w:szCs w:val="20"/>
                <w:lang w:eastAsia="cs-CZ"/>
              </w:rPr>
              <w:t xml:space="preserve"> min a déle </w:t>
            </w:r>
            <w:r>
              <w:rPr>
                <w:rFonts w:ascii="Calibri" w:eastAsia="Times New Roman" w:hAnsi="Calibri" w:cs="Times New Roman"/>
                <w:color w:val="000000"/>
                <w:sz w:val="20"/>
                <w:szCs w:val="20"/>
                <w:lang w:eastAsia="cs-CZ"/>
              </w:rPr>
              <w:t xml:space="preserve">– z ostatních zastávek </w:t>
            </w:r>
            <w:r w:rsidRPr="00E74933">
              <w:rPr>
                <w:rFonts w:ascii="Calibri" w:eastAsia="Times New Roman" w:hAnsi="Calibri" w:cs="Times New Roman"/>
                <w:color w:val="000000"/>
                <w:sz w:val="20"/>
                <w:szCs w:val="20"/>
                <w:lang w:eastAsia="cs-CZ"/>
              </w:rPr>
              <w:t>(</w:t>
            </w:r>
            <w:r>
              <w:rPr>
                <w:rFonts w:ascii="Calibri" w:eastAsia="Times New Roman" w:hAnsi="Calibri" w:cs="Times New Roman"/>
                <w:color w:val="000000"/>
                <w:sz w:val="20"/>
                <w:szCs w:val="20"/>
                <w:lang w:eastAsia="cs-CZ"/>
              </w:rPr>
              <w:t>s přestupy,</w:t>
            </w:r>
            <w:r w:rsidRPr="00E74933">
              <w:rPr>
                <w:rFonts w:ascii="Calibri" w:eastAsia="Times New Roman" w:hAnsi="Calibri" w:cs="Times New Roman"/>
                <w:color w:val="000000"/>
                <w:sz w:val="20"/>
                <w:szCs w:val="20"/>
                <w:lang w:eastAsia="cs-CZ"/>
              </w:rPr>
              <w:t xml:space="preserve"> čas se odvíjí podle čekací doby na přípoj)</w:t>
            </w:r>
          </w:p>
        </w:tc>
      </w:tr>
      <w:tr w:rsidR="000E0DA5" w:rsidRPr="00E74933" w14:paraId="490D646D" w14:textId="77777777" w:rsidTr="008F4838">
        <w:trPr>
          <w:trHeight w:val="300"/>
          <w:jc w:val="center"/>
        </w:trPr>
        <w:tc>
          <w:tcPr>
            <w:tcW w:w="2182" w:type="dxa"/>
            <w:tcBorders>
              <w:top w:val="single" w:sz="6" w:space="0" w:color="auto"/>
              <w:bottom w:val="single" w:sz="18" w:space="0" w:color="auto"/>
            </w:tcBorders>
            <w:shd w:val="clear" w:color="auto" w:fill="D9D9D9" w:themeFill="background1" w:themeFillShade="D9"/>
            <w:noWrap/>
            <w:vAlign w:val="center"/>
          </w:tcPr>
          <w:p w14:paraId="5F39F3A0" w14:textId="365F6E7C" w:rsidR="000E0DA5" w:rsidRPr="00E74933" w:rsidRDefault="00B46B87" w:rsidP="009C229F">
            <w:pP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Praha</w:t>
            </w:r>
          </w:p>
        </w:tc>
        <w:tc>
          <w:tcPr>
            <w:tcW w:w="6662" w:type="dxa"/>
            <w:tcBorders>
              <w:top w:val="single" w:sz="6" w:space="0" w:color="auto"/>
              <w:bottom w:val="single" w:sz="18" w:space="0" w:color="auto"/>
            </w:tcBorders>
            <w:shd w:val="clear" w:color="auto" w:fill="auto"/>
            <w:noWrap/>
            <w:vAlign w:val="center"/>
          </w:tcPr>
          <w:p w14:paraId="1F47980D" w14:textId="2A439983" w:rsidR="000323CE" w:rsidRDefault="000323CE" w:rsidP="00C245A0">
            <w:pPr>
              <w:spacing w:after="60"/>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 hod 17</w:t>
            </w:r>
            <w:r w:rsidRPr="00E74933">
              <w:rPr>
                <w:rFonts w:ascii="Calibri" w:eastAsia="Times New Roman" w:hAnsi="Calibri" w:cs="Times New Roman"/>
                <w:color w:val="000000"/>
                <w:sz w:val="20"/>
                <w:szCs w:val="20"/>
                <w:lang w:eastAsia="cs-CZ"/>
              </w:rPr>
              <w:t xml:space="preserve"> min a déle </w:t>
            </w:r>
            <w:r>
              <w:rPr>
                <w:rFonts w:ascii="Calibri" w:eastAsia="Times New Roman" w:hAnsi="Calibri" w:cs="Times New Roman"/>
                <w:color w:val="000000"/>
                <w:sz w:val="20"/>
                <w:szCs w:val="20"/>
                <w:lang w:eastAsia="cs-CZ"/>
              </w:rPr>
              <w:t xml:space="preserve">– ze zastávky </w:t>
            </w:r>
            <w:r w:rsidRPr="008F4838">
              <w:rPr>
                <w:rFonts w:ascii="Calibri" w:eastAsia="Times New Roman" w:hAnsi="Calibri" w:cs="Times New Roman"/>
                <w:color w:val="000000"/>
                <w:sz w:val="20"/>
                <w:szCs w:val="20"/>
                <w:lang w:eastAsia="cs-CZ"/>
              </w:rPr>
              <w:t>„Staré Buky, Dolní Staré Buky, Samoty“</w:t>
            </w:r>
            <w:r w:rsidRPr="00E74933">
              <w:rPr>
                <w:rFonts w:ascii="Calibri" w:eastAsia="Times New Roman" w:hAnsi="Calibri" w:cs="Times New Roman"/>
                <w:color w:val="000000"/>
                <w:sz w:val="20"/>
                <w:szCs w:val="20"/>
                <w:lang w:eastAsia="cs-CZ"/>
              </w:rPr>
              <w:t xml:space="preserve"> (</w:t>
            </w:r>
            <w:r>
              <w:rPr>
                <w:rFonts w:ascii="Calibri" w:eastAsia="Times New Roman" w:hAnsi="Calibri" w:cs="Times New Roman"/>
                <w:color w:val="000000"/>
                <w:sz w:val="20"/>
                <w:szCs w:val="20"/>
                <w:lang w:eastAsia="cs-CZ"/>
              </w:rPr>
              <w:t>s přestupy,</w:t>
            </w:r>
            <w:r w:rsidRPr="00E74933">
              <w:rPr>
                <w:rFonts w:ascii="Calibri" w:eastAsia="Times New Roman" w:hAnsi="Calibri" w:cs="Times New Roman"/>
                <w:color w:val="000000"/>
                <w:sz w:val="20"/>
                <w:szCs w:val="20"/>
                <w:lang w:eastAsia="cs-CZ"/>
              </w:rPr>
              <w:t xml:space="preserve"> čas se odvíjí podle čekací doby na přípoj)</w:t>
            </w:r>
          </w:p>
          <w:p w14:paraId="4D441CB0" w14:textId="7D1810C0" w:rsidR="000E0DA5" w:rsidRPr="00E74933" w:rsidRDefault="000323CE" w:rsidP="00C245A0">
            <w:pP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 hod 55</w:t>
            </w:r>
            <w:r w:rsidRPr="00E74933">
              <w:rPr>
                <w:rFonts w:ascii="Calibri" w:eastAsia="Times New Roman" w:hAnsi="Calibri" w:cs="Times New Roman"/>
                <w:color w:val="000000"/>
                <w:sz w:val="20"/>
                <w:szCs w:val="20"/>
                <w:lang w:eastAsia="cs-CZ"/>
              </w:rPr>
              <w:t xml:space="preserve"> min a déle </w:t>
            </w:r>
            <w:r>
              <w:rPr>
                <w:rFonts w:ascii="Calibri" w:eastAsia="Times New Roman" w:hAnsi="Calibri" w:cs="Times New Roman"/>
                <w:color w:val="000000"/>
                <w:sz w:val="20"/>
                <w:szCs w:val="20"/>
                <w:lang w:eastAsia="cs-CZ"/>
              </w:rPr>
              <w:t xml:space="preserve">– z ostatních zastávek </w:t>
            </w:r>
            <w:r w:rsidRPr="00E74933">
              <w:rPr>
                <w:rFonts w:ascii="Calibri" w:eastAsia="Times New Roman" w:hAnsi="Calibri" w:cs="Times New Roman"/>
                <w:color w:val="000000"/>
                <w:sz w:val="20"/>
                <w:szCs w:val="20"/>
                <w:lang w:eastAsia="cs-CZ"/>
              </w:rPr>
              <w:t>(</w:t>
            </w:r>
            <w:r>
              <w:rPr>
                <w:rFonts w:ascii="Calibri" w:eastAsia="Times New Roman" w:hAnsi="Calibri" w:cs="Times New Roman"/>
                <w:color w:val="000000"/>
                <w:sz w:val="20"/>
                <w:szCs w:val="20"/>
                <w:lang w:eastAsia="cs-CZ"/>
              </w:rPr>
              <w:t>s přestupy,</w:t>
            </w:r>
            <w:r w:rsidRPr="00E74933">
              <w:rPr>
                <w:rFonts w:ascii="Calibri" w:eastAsia="Times New Roman" w:hAnsi="Calibri" w:cs="Times New Roman"/>
                <w:color w:val="000000"/>
                <w:sz w:val="20"/>
                <w:szCs w:val="20"/>
                <w:lang w:eastAsia="cs-CZ"/>
              </w:rPr>
              <w:t xml:space="preserve"> čas se odvíjí podle čekací doby na přípoj)</w:t>
            </w:r>
          </w:p>
        </w:tc>
      </w:tr>
    </w:tbl>
    <w:p w14:paraId="75D7C730" w14:textId="77777777" w:rsidR="000E0DA5" w:rsidRDefault="000E0DA5" w:rsidP="000E0DA5">
      <w:pPr>
        <w:spacing w:after="160"/>
        <w:jc w:val="both"/>
      </w:pPr>
      <w:r w:rsidRPr="00BF1318">
        <w:rPr>
          <w:b/>
          <w:sz w:val="20"/>
          <w:szCs w:val="20"/>
        </w:rPr>
        <w:t>Zdroj:</w:t>
      </w:r>
      <w:r w:rsidRPr="00BF1318">
        <w:rPr>
          <w:sz w:val="20"/>
          <w:szCs w:val="20"/>
        </w:rPr>
        <w:t xml:space="preserve"> Internetový jízdní řád IDOS </w:t>
      </w:r>
      <w:hyperlink r:id="rId80" w:history="1">
        <w:r w:rsidRPr="00A928C1">
          <w:rPr>
            <w:rStyle w:val="Hypertextovodkaz"/>
            <w:sz w:val="20"/>
            <w:szCs w:val="20"/>
          </w:rPr>
          <w:t>https://jizdnirady.idnes.cz/autobusy/spojeni/</w:t>
        </w:r>
      </w:hyperlink>
      <w:r>
        <w:t xml:space="preserve"> </w:t>
      </w:r>
    </w:p>
    <w:p w14:paraId="72016629" w14:textId="77777777" w:rsidR="000E0DA5" w:rsidRDefault="000E0DA5" w:rsidP="000E0DA5">
      <w:pPr>
        <w:spacing w:after="160" w:line="259" w:lineRule="auto"/>
        <w:jc w:val="both"/>
        <w:rPr>
          <w:rFonts w:eastAsia="RWXLTG+TimesNewRoman" w:cs="RWXLTG+TimesNewRoman"/>
        </w:rPr>
      </w:pPr>
    </w:p>
    <w:p w14:paraId="0DD3887A" w14:textId="1C7E7EF5" w:rsidR="000E0DA5" w:rsidRDefault="000E0DA5" w:rsidP="000E0DA5">
      <w:pPr>
        <w:spacing w:after="160" w:line="259" w:lineRule="auto"/>
        <w:jc w:val="both"/>
        <w:rPr>
          <w:rFonts w:eastAsia="RWXLTG+TimesNewRoman" w:cs="RWXLTG+TimesNewRoman"/>
        </w:rPr>
      </w:pPr>
      <w:bookmarkStart w:id="259" w:name="_Hlk76910974"/>
      <w:r w:rsidRPr="007E184F">
        <w:rPr>
          <w:rFonts w:eastAsia="RWXLTG+TimesNewRoman" w:cs="RWXLTG+TimesNewRoman"/>
        </w:rPr>
        <w:t xml:space="preserve">Z tabulky </w:t>
      </w:r>
      <w:r>
        <w:rPr>
          <w:rFonts w:eastAsia="RWXLTG+TimesNewRoman" w:cs="RWXLTG+TimesNewRoman"/>
        </w:rPr>
        <w:t>1</w:t>
      </w:r>
      <w:r w:rsidR="00627F2D">
        <w:rPr>
          <w:rFonts w:eastAsia="RWXLTG+TimesNewRoman" w:cs="RWXLTG+TimesNewRoman"/>
        </w:rPr>
        <w:t>6</w:t>
      </w:r>
      <w:r w:rsidRPr="007E184F">
        <w:rPr>
          <w:rFonts w:eastAsia="RWXLTG+TimesNewRoman" w:cs="RWXLTG+TimesNewRoman"/>
        </w:rPr>
        <w:t xml:space="preserve"> je dobře patrné, že je časová náročnost autobusovou dopravou z obce </w:t>
      </w:r>
      <w:r w:rsidR="00627F2D">
        <w:rPr>
          <w:rFonts w:eastAsia="RWXLTG+TimesNewRoman" w:cs="RWXLTG+TimesNewRoman"/>
        </w:rPr>
        <w:t>Staré Buky</w:t>
      </w:r>
      <w:r w:rsidRPr="007E184F">
        <w:rPr>
          <w:rFonts w:eastAsia="RWXLTG+TimesNewRoman" w:cs="RWXLTG+TimesNewRoman"/>
        </w:rPr>
        <w:t xml:space="preserve"> do</w:t>
      </w:r>
      <w:r w:rsidR="00342136">
        <w:rPr>
          <w:rFonts w:eastAsia="RWXLTG+TimesNewRoman" w:cs="RWXLTG+TimesNewRoman"/>
        </w:rPr>
        <w:t xml:space="preserve"> nejbližší</w:t>
      </w:r>
      <w:r w:rsidR="00627F2D">
        <w:rPr>
          <w:rFonts w:eastAsia="RWXLTG+TimesNewRoman" w:cs="RWXLTG+TimesNewRoman"/>
        </w:rPr>
        <w:t>ho</w:t>
      </w:r>
      <w:r w:rsidRPr="007E184F">
        <w:rPr>
          <w:rFonts w:eastAsia="RWXLTG+TimesNewRoman" w:cs="RWXLTG+TimesNewRoman"/>
        </w:rPr>
        <w:t xml:space="preserve"> spádov</w:t>
      </w:r>
      <w:r w:rsidR="00627F2D">
        <w:rPr>
          <w:rFonts w:eastAsia="RWXLTG+TimesNewRoman" w:cs="RWXLTG+TimesNewRoman"/>
        </w:rPr>
        <w:t>ého</w:t>
      </w:r>
      <w:r w:rsidRPr="007E184F">
        <w:rPr>
          <w:rFonts w:eastAsia="RWXLTG+TimesNewRoman" w:cs="RWXLTG+TimesNewRoman"/>
        </w:rPr>
        <w:t xml:space="preserve"> </w:t>
      </w:r>
      <w:r w:rsidR="00342136">
        <w:rPr>
          <w:rFonts w:eastAsia="RWXLTG+TimesNewRoman" w:cs="RWXLTG+TimesNewRoman"/>
        </w:rPr>
        <w:t>měst</w:t>
      </w:r>
      <w:r w:rsidR="00627F2D">
        <w:rPr>
          <w:rFonts w:eastAsia="RWXLTG+TimesNewRoman" w:cs="RWXLTG+TimesNewRoman"/>
        </w:rPr>
        <w:t>a Trutnova</w:t>
      </w:r>
      <w:r w:rsidR="00342136">
        <w:rPr>
          <w:rFonts w:eastAsia="RWXLTG+TimesNewRoman" w:cs="RWXLTG+TimesNewRoman"/>
        </w:rPr>
        <w:t xml:space="preserve"> nízká, do vzdálenějších větších </w:t>
      </w:r>
      <w:r w:rsidRPr="007E184F">
        <w:rPr>
          <w:rFonts w:eastAsia="RWXLTG+TimesNewRoman" w:cs="RWXLTG+TimesNewRoman"/>
        </w:rPr>
        <w:t xml:space="preserve">měst </w:t>
      </w:r>
      <w:r w:rsidR="00342136">
        <w:rPr>
          <w:rFonts w:eastAsia="RWXLTG+TimesNewRoman" w:cs="RWXLTG+TimesNewRoman"/>
        </w:rPr>
        <w:t xml:space="preserve">je již </w:t>
      </w:r>
      <w:r w:rsidRPr="007E184F">
        <w:rPr>
          <w:rFonts w:eastAsia="RWXLTG+TimesNewRoman" w:cs="RWXLTG+TimesNewRoman"/>
        </w:rPr>
        <w:t xml:space="preserve">poměrně vysoká. </w:t>
      </w:r>
      <w:bookmarkEnd w:id="259"/>
    </w:p>
    <w:p w14:paraId="0CA260FE" w14:textId="77777777" w:rsidR="000E0DA5" w:rsidRDefault="000E0DA5" w:rsidP="000E0DA5">
      <w:pPr>
        <w:spacing w:after="160" w:line="259" w:lineRule="auto"/>
        <w:jc w:val="both"/>
        <w:rPr>
          <w:rFonts w:eastAsia="RWXLTG+TimesNewRoman" w:cs="RWXLTG+TimesNewRoman"/>
        </w:rPr>
      </w:pPr>
    </w:p>
    <w:p w14:paraId="628DA446" w14:textId="77777777" w:rsidR="000E0DA5" w:rsidRPr="0052157E" w:rsidRDefault="000E0DA5" w:rsidP="000E0DA5">
      <w:pPr>
        <w:spacing w:after="160" w:line="259" w:lineRule="auto"/>
        <w:jc w:val="both"/>
        <w:rPr>
          <w:rFonts w:eastAsia="RWXLTG+TimesNewRoman" w:cs="RWXLTG+TimesNewRoman"/>
          <w:u w:val="single"/>
        </w:rPr>
      </w:pPr>
      <w:bookmarkStart w:id="260" w:name="_Hlk76911020"/>
      <w:r w:rsidRPr="0052157E">
        <w:rPr>
          <w:rFonts w:eastAsia="RWXLTG+TimesNewRoman" w:cs="RWXLTG+TimesNewRoman"/>
          <w:u w:val="single"/>
        </w:rPr>
        <w:t xml:space="preserve">Dopravní obslužnost </w:t>
      </w:r>
      <w:r>
        <w:rPr>
          <w:rFonts w:eastAsia="RWXLTG+TimesNewRoman" w:cs="RWXLTG+TimesNewRoman"/>
          <w:u w:val="single"/>
        </w:rPr>
        <w:t>vlako</w:t>
      </w:r>
      <w:r w:rsidRPr="0052157E">
        <w:rPr>
          <w:rFonts w:eastAsia="RWXLTG+TimesNewRoman" w:cs="RWXLTG+TimesNewRoman"/>
          <w:u w:val="single"/>
        </w:rPr>
        <w:t>vou dopravou</w:t>
      </w:r>
    </w:p>
    <w:p w14:paraId="4C50E276" w14:textId="66BC77F8" w:rsidR="006179DC" w:rsidRDefault="00FD3970" w:rsidP="006179DC">
      <w:pPr>
        <w:spacing w:after="160" w:line="259" w:lineRule="auto"/>
        <w:jc w:val="both"/>
      </w:pPr>
      <w:r w:rsidRPr="00FD3970">
        <w:t xml:space="preserve">Jak již bylo zmíněno výše, </w:t>
      </w:r>
      <w:r w:rsidR="00C626BB">
        <w:t xml:space="preserve">na území obce Staré Buky </w:t>
      </w:r>
      <w:r w:rsidR="00C626BB" w:rsidRPr="00C626BB">
        <w:rPr>
          <w:bCs/>
        </w:rPr>
        <w:t>není železniční síť vybudována</w:t>
      </w:r>
      <w:r w:rsidR="00C626BB">
        <w:t xml:space="preserve"> s výjimkou severního cípu území obce, tj. se zde nenachází ani železniční stanice</w:t>
      </w:r>
      <w:r w:rsidRPr="00FD3970">
        <w:t>. Nejbližší železniční zastávk</w:t>
      </w:r>
      <w:r w:rsidR="00C626BB">
        <w:t>a</w:t>
      </w:r>
      <w:r w:rsidRPr="00FD3970">
        <w:t xml:space="preserve"> </w:t>
      </w:r>
      <w:r w:rsidR="00C626BB">
        <w:t>je</w:t>
      </w:r>
      <w:r w:rsidRPr="00FD3970">
        <w:t xml:space="preserve"> v</w:t>
      </w:r>
      <w:r w:rsidR="00C626BB">
        <w:t xml:space="preserve">e Vlčicích či </w:t>
      </w:r>
      <w:r w:rsidR="00A25CF5">
        <w:t xml:space="preserve">v </w:t>
      </w:r>
      <w:r w:rsidR="00C626BB">
        <w:t>Pilníkově</w:t>
      </w:r>
      <w:r w:rsidRPr="00FD3970">
        <w:t>.</w:t>
      </w:r>
    </w:p>
    <w:p w14:paraId="74976995" w14:textId="77777777" w:rsidR="00C626BB" w:rsidRDefault="00C626BB" w:rsidP="006179DC">
      <w:pPr>
        <w:spacing w:after="160" w:line="259" w:lineRule="auto"/>
        <w:jc w:val="both"/>
      </w:pPr>
    </w:p>
    <w:p w14:paraId="17FD792A" w14:textId="77777777" w:rsidR="000E0DA5" w:rsidRDefault="000E0DA5" w:rsidP="000E0DA5">
      <w:pPr>
        <w:spacing w:after="160" w:line="259" w:lineRule="auto"/>
        <w:jc w:val="both"/>
        <w:rPr>
          <w:u w:val="single"/>
        </w:rPr>
      </w:pPr>
      <w:r w:rsidRPr="000954FA">
        <w:rPr>
          <w:u w:val="single"/>
        </w:rPr>
        <w:lastRenderedPageBreak/>
        <w:t>Dopravní obslužnost pro cykloturistiku</w:t>
      </w:r>
    </w:p>
    <w:p w14:paraId="7FC3CAF8" w14:textId="6E99FBA4" w:rsidR="007F054B" w:rsidRPr="003B609C" w:rsidRDefault="007F054B" w:rsidP="007F054B">
      <w:pPr>
        <w:spacing w:after="160" w:line="259" w:lineRule="auto"/>
        <w:jc w:val="both"/>
        <w:rPr>
          <w:rFonts w:eastAsia="RWXLTG+TimesNewRoman" w:cs="RWXLTG+TimesNewRoman"/>
        </w:rPr>
      </w:pPr>
      <w:r>
        <w:rPr>
          <w:rFonts w:eastAsia="RWXLTG+TimesNewRoman" w:cs="RWXLTG+TimesNewRoman"/>
        </w:rPr>
        <w:t xml:space="preserve">Autobusové spoje, které zajišťují dopravní obslužnost obce </w:t>
      </w:r>
      <w:r w:rsidR="00A25CF5">
        <w:rPr>
          <w:rFonts w:eastAsia="RWXLTG+TimesNewRoman" w:cs="RWXLTG+TimesNewRoman"/>
        </w:rPr>
        <w:t>Staré Buky</w:t>
      </w:r>
      <w:r w:rsidRPr="00F16A49">
        <w:rPr>
          <w:rFonts w:eastAsia="RWXLTG+TimesNewRoman" w:cs="RWXLTG+TimesNewRoman"/>
        </w:rPr>
        <w:t>,</w:t>
      </w:r>
      <w:r>
        <w:rPr>
          <w:rFonts w:eastAsia="RWXLTG+TimesNewRoman" w:cs="RWXLTG+TimesNewRoman"/>
        </w:rPr>
        <w:t xml:space="preserve"> nenabízí možnost převozu jízdních kol.</w:t>
      </w:r>
    </w:p>
    <w:p w14:paraId="154E8601" w14:textId="77777777" w:rsidR="007F054B" w:rsidRDefault="007F054B" w:rsidP="007F054B">
      <w:pPr>
        <w:spacing w:after="160" w:line="259" w:lineRule="auto"/>
        <w:jc w:val="both"/>
        <w:rPr>
          <w:rFonts w:eastAsia="RWXLTG+TimesNewRoman" w:cs="RWXLTG+TimesNewRoman"/>
        </w:rPr>
      </w:pPr>
      <w:r w:rsidRPr="003B609C">
        <w:rPr>
          <w:rFonts w:eastAsia="RWXLTG+TimesNewRoman" w:cs="RWXLTG+TimesNewRoman"/>
        </w:rPr>
        <w:t>V obci se nenachází veřejná úschovna kol.</w:t>
      </w:r>
    </w:p>
    <w:bookmarkEnd w:id="260"/>
    <w:p w14:paraId="1292536C" w14:textId="5EA72E2A" w:rsidR="00D07291" w:rsidRDefault="00D07291" w:rsidP="000E0DA5">
      <w:pPr>
        <w:spacing w:after="160" w:line="259" w:lineRule="auto"/>
        <w:jc w:val="both"/>
        <w:rPr>
          <w:rFonts w:eastAsia="RWXLTG+TimesNewRoman" w:cs="RWXLTG+TimesNewRoman"/>
        </w:rPr>
      </w:pPr>
    </w:p>
    <w:p w14:paraId="1839A9D4" w14:textId="77777777" w:rsidR="008147E6" w:rsidRDefault="008147E6" w:rsidP="00814D5A">
      <w:pPr>
        <w:pStyle w:val="Nadpis4"/>
      </w:pPr>
      <w:bookmarkStart w:id="261" w:name="_Toc413418370"/>
      <w:bookmarkStart w:id="262" w:name="_Toc440566349"/>
      <w:bookmarkStart w:id="263" w:name="_Toc441227500"/>
      <w:bookmarkStart w:id="264" w:name="_Toc32580121"/>
      <w:bookmarkStart w:id="265" w:name="_Toc120652146"/>
      <w:r>
        <w:t>2.1.4.3 Technická infrastruktura</w:t>
      </w:r>
      <w:bookmarkEnd w:id="261"/>
      <w:bookmarkEnd w:id="262"/>
      <w:bookmarkEnd w:id="263"/>
      <w:bookmarkEnd w:id="264"/>
      <w:bookmarkEnd w:id="265"/>
    </w:p>
    <w:p w14:paraId="7734E37C" w14:textId="77777777" w:rsidR="008147E6" w:rsidRDefault="008147E6" w:rsidP="008147E6">
      <w:pPr>
        <w:spacing w:after="160" w:line="259" w:lineRule="auto"/>
        <w:jc w:val="both"/>
      </w:pPr>
      <w:r w:rsidRPr="00F466A9">
        <w:t>Technickou infrastrukturou je myšlena</w:t>
      </w:r>
      <w:r>
        <w:t xml:space="preserve"> různorodá síť inženýrských sítí. Do této části je zařazen </w:t>
      </w:r>
      <w:r>
        <w:br/>
        <w:t>i systém nakládání s odpady.</w:t>
      </w:r>
    </w:p>
    <w:p w14:paraId="4307F219" w14:textId="77777777" w:rsidR="008147E6" w:rsidRDefault="008147E6" w:rsidP="008147E6">
      <w:pPr>
        <w:spacing w:after="160" w:line="259" w:lineRule="auto"/>
        <w:jc w:val="both"/>
      </w:pPr>
    </w:p>
    <w:p w14:paraId="22DF9235" w14:textId="77777777" w:rsidR="00A62E6C" w:rsidRPr="00E35644" w:rsidRDefault="00A62E6C" w:rsidP="00A62E6C">
      <w:pPr>
        <w:spacing w:after="160" w:line="259" w:lineRule="auto"/>
        <w:jc w:val="both"/>
        <w:rPr>
          <w:rFonts w:eastAsia="RWXLTG+TimesNewRoman" w:cs="RWXLTG+TimesNewRoman"/>
          <w:u w:val="single"/>
        </w:rPr>
      </w:pPr>
      <w:r w:rsidRPr="00E35644">
        <w:rPr>
          <w:rFonts w:eastAsia="RWXLTG+TimesNewRoman" w:cs="RWXLTG+TimesNewRoman"/>
          <w:u w:val="single"/>
        </w:rPr>
        <w:t>Vodovodní síť</w:t>
      </w:r>
    </w:p>
    <w:p w14:paraId="3A80EC7B" w14:textId="682FBE3B" w:rsidR="00C2240F" w:rsidRDefault="00C2240F" w:rsidP="007F2514">
      <w:pPr>
        <w:spacing w:after="160" w:line="259" w:lineRule="auto"/>
        <w:jc w:val="both"/>
        <w:rPr>
          <w:rFonts w:eastAsia="RWXLTG+TimesNewRoman" w:cs="RWXLTG+TimesNewRoman"/>
          <w:bCs/>
        </w:rPr>
      </w:pPr>
      <w:r>
        <w:rPr>
          <w:rFonts w:eastAsia="RWXLTG+TimesNewRoman" w:cs="RWXLTG+TimesNewRoman"/>
          <w:b/>
        </w:rPr>
        <w:t>Místní část Dolní Staré Buky nemá vybudován veřejný vodovod.</w:t>
      </w:r>
    </w:p>
    <w:p w14:paraId="4D6A34E5" w14:textId="2EB9D1EB" w:rsidR="00F85C6C" w:rsidRDefault="00344750" w:rsidP="007F2514">
      <w:pPr>
        <w:spacing w:after="160" w:line="259" w:lineRule="auto"/>
        <w:jc w:val="both"/>
        <w:rPr>
          <w:rFonts w:eastAsia="RWXLTG+TimesNewRoman" w:cs="RWXLTG+TimesNewRoman"/>
          <w:bCs/>
        </w:rPr>
      </w:pPr>
      <w:r w:rsidRPr="00F85C6C">
        <w:rPr>
          <w:rFonts w:eastAsia="RWXLTG+TimesNewRoman" w:cs="RWXLTG+TimesNewRoman"/>
          <w:b/>
        </w:rPr>
        <w:t>V místní části Horní Staré Buky je veřejným vodovodem zásobován areál společnosti Zemědělská a.s. Výšina a část blízké zástavby obce</w:t>
      </w:r>
      <w:r>
        <w:rPr>
          <w:rFonts w:eastAsia="RWXLTG+TimesNewRoman" w:cs="RWXLTG+TimesNewRoman"/>
          <w:bCs/>
        </w:rPr>
        <w:t>.</w:t>
      </w:r>
      <w:r w:rsidRPr="00344750">
        <w:t xml:space="preserve"> </w:t>
      </w:r>
      <w:r w:rsidRPr="00344750">
        <w:rPr>
          <w:rFonts w:eastAsia="RWXLTG+TimesNewRoman" w:cs="RWXLTG+TimesNewRoman"/>
          <w:bCs/>
        </w:rPr>
        <w:t>Zdrojem vody je šachtová Starobucká studna</w:t>
      </w:r>
      <w:r>
        <w:rPr>
          <w:rFonts w:eastAsia="RWXLTG+TimesNewRoman" w:cs="RWXLTG+TimesNewRoman"/>
          <w:bCs/>
        </w:rPr>
        <w:t xml:space="preserve">, ze které je voda čerpána </w:t>
      </w:r>
      <w:r w:rsidRPr="00344750">
        <w:rPr>
          <w:rFonts w:eastAsia="RWXLTG+TimesNewRoman" w:cs="RWXLTG+TimesNewRoman"/>
          <w:bCs/>
        </w:rPr>
        <w:t>do vodojemu Výšina</w:t>
      </w:r>
      <w:r w:rsidR="0072549E">
        <w:rPr>
          <w:rFonts w:eastAsia="RWXLTG+TimesNewRoman" w:cs="RWXLTG+TimesNewRoman"/>
          <w:bCs/>
        </w:rPr>
        <w:t xml:space="preserve"> (</w:t>
      </w:r>
      <w:r w:rsidR="0072549E" w:rsidRPr="0072549E">
        <w:rPr>
          <w:rFonts w:eastAsia="RWXLTG+TimesNewRoman" w:cs="RWXLTG+TimesNewRoman"/>
          <w:bCs/>
        </w:rPr>
        <w:t>zemní jednokomorový vodojem o objemu 80 m</w:t>
      </w:r>
      <w:r w:rsidR="0072549E" w:rsidRPr="0072549E">
        <w:rPr>
          <w:rFonts w:eastAsia="RWXLTG+TimesNewRoman" w:cs="RWXLTG+TimesNewRoman"/>
          <w:bCs/>
          <w:vertAlign w:val="superscript"/>
        </w:rPr>
        <w:t>3</w:t>
      </w:r>
      <w:r w:rsidR="0072549E">
        <w:rPr>
          <w:rFonts w:eastAsia="RWXLTG+TimesNewRoman" w:cs="RWXLTG+TimesNewRoman"/>
          <w:bCs/>
        </w:rPr>
        <w:t xml:space="preserve">), ze kterého je </w:t>
      </w:r>
      <w:r w:rsidR="0072549E" w:rsidRPr="0072549E">
        <w:rPr>
          <w:rFonts w:eastAsia="RWXLTG+TimesNewRoman" w:cs="RWXLTG+TimesNewRoman"/>
          <w:bCs/>
        </w:rPr>
        <w:t>pitná voda gravitačně vedena</w:t>
      </w:r>
      <w:r w:rsidR="0072549E" w:rsidRPr="0072549E">
        <w:t xml:space="preserve"> </w:t>
      </w:r>
      <w:r w:rsidR="0072549E" w:rsidRPr="0072549E">
        <w:rPr>
          <w:rFonts w:eastAsia="RWXLTG+TimesNewRoman" w:cs="RWXLTG+TimesNewRoman"/>
          <w:bCs/>
        </w:rPr>
        <w:t>zásobním řadem</w:t>
      </w:r>
      <w:r w:rsidR="0072549E" w:rsidRPr="0072549E">
        <w:t xml:space="preserve"> </w:t>
      </w:r>
      <w:r w:rsidR="0072549E" w:rsidRPr="0072549E">
        <w:rPr>
          <w:rFonts w:eastAsia="RWXLTG+TimesNewRoman" w:cs="RWXLTG+TimesNewRoman"/>
          <w:bCs/>
        </w:rPr>
        <w:t>do vodovodní sítě a ke spotřebitelům v</w:t>
      </w:r>
      <w:r w:rsidR="0072549E">
        <w:rPr>
          <w:rFonts w:eastAsia="RWXLTG+TimesNewRoman" w:cs="RWXLTG+TimesNewRoman"/>
          <w:bCs/>
        </w:rPr>
        <w:t> </w:t>
      </w:r>
      <w:r w:rsidR="0072549E" w:rsidRPr="0072549E">
        <w:rPr>
          <w:rFonts w:eastAsia="RWXLTG+TimesNewRoman" w:cs="RWXLTG+TimesNewRoman"/>
          <w:bCs/>
        </w:rPr>
        <w:t>obci</w:t>
      </w:r>
      <w:r w:rsidR="0072549E">
        <w:rPr>
          <w:rFonts w:eastAsia="RWXLTG+TimesNewRoman" w:cs="RWXLTG+TimesNewRoman"/>
          <w:bCs/>
        </w:rPr>
        <w:t>.</w:t>
      </w:r>
    </w:p>
    <w:p w14:paraId="70498B91" w14:textId="37D05800" w:rsidR="00344750" w:rsidRDefault="00F85C6C" w:rsidP="00F85C6C">
      <w:pPr>
        <w:spacing w:after="160" w:line="259" w:lineRule="auto"/>
        <w:jc w:val="both"/>
        <w:rPr>
          <w:rFonts w:eastAsia="RWXLTG+TimesNewRoman" w:cs="RWXLTG+TimesNewRoman"/>
          <w:bCs/>
        </w:rPr>
      </w:pPr>
      <w:r w:rsidRPr="00F85C6C">
        <w:rPr>
          <w:rFonts w:eastAsia="RWXLTG+TimesNewRoman" w:cs="RWXLTG+TimesNewRoman"/>
          <w:b/>
        </w:rPr>
        <w:t>Lokalita Dolníky je zásobena z vodovodu, který je napojen na veřejný vodovod Oblanov</w:t>
      </w:r>
      <w:r w:rsidRPr="00F85C6C">
        <w:rPr>
          <w:rFonts w:eastAsia="RWXLTG+TimesNewRoman" w:cs="RWXLTG+TimesNewRoman"/>
          <w:bCs/>
        </w:rPr>
        <w:t xml:space="preserve">, </w:t>
      </w:r>
      <w:r w:rsidRPr="00F85C6C">
        <w:rPr>
          <w:rFonts w:eastAsia="RWXLTG+TimesNewRoman" w:cs="RWXLTG+TimesNewRoman"/>
          <w:b/>
        </w:rPr>
        <w:t>který je součástí vodovodního systému Trutnov</w:t>
      </w:r>
      <w:r>
        <w:rPr>
          <w:rFonts w:eastAsia="RWXLTG+TimesNewRoman" w:cs="RWXLTG+TimesNewRoman"/>
          <w:bCs/>
        </w:rPr>
        <w:t>.</w:t>
      </w:r>
      <w:r w:rsidRPr="00F85C6C">
        <w:t xml:space="preserve"> </w:t>
      </w:r>
      <w:r w:rsidRPr="00F85C6C">
        <w:rPr>
          <w:rFonts w:eastAsia="RWXLTG+TimesNewRoman" w:cs="RWXLTG+TimesNewRoman"/>
          <w:bCs/>
        </w:rPr>
        <w:t>Z vodojemu Oblanov je pitná voda gravitačně svedena</w:t>
      </w:r>
      <w:r>
        <w:rPr>
          <w:rFonts w:eastAsia="RWXLTG+TimesNewRoman" w:cs="RWXLTG+TimesNewRoman"/>
          <w:bCs/>
        </w:rPr>
        <w:t xml:space="preserve"> </w:t>
      </w:r>
      <w:r w:rsidRPr="00F85C6C">
        <w:rPr>
          <w:rFonts w:eastAsia="RWXLTG+TimesNewRoman" w:cs="RWXLTG+TimesNewRoman"/>
          <w:bCs/>
        </w:rPr>
        <w:t>zásobním řadem do osady Dolníky, kde je z</w:t>
      </w:r>
      <w:r>
        <w:rPr>
          <w:rFonts w:eastAsia="RWXLTG+TimesNewRoman" w:cs="RWXLTG+TimesNewRoman"/>
          <w:bCs/>
        </w:rPr>
        <w:t xml:space="preserve"> </w:t>
      </w:r>
      <w:r w:rsidRPr="00F85C6C">
        <w:rPr>
          <w:rFonts w:eastAsia="RWXLTG+TimesNewRoman" w:cs="RWXLTG+TimesNewRoman"/>
          <w:bCs/>
        </w:rPr>
        <w:t>vodovodu zásobena převážná většina trvale a třetina přechodně bydlícího obyvatelstva.</w:t>
      </w:r>
      <w:r w:rsidRPr="00F85C6C">
        <w:t xml:space="preserve"> </w:t>
      </w:r>
      <w:r w:rsidRPr="00F85C6C">
        <w:rPr>
          <w:rFonts w:eastAsia="RWXLTG+TimesNewRoman" w:cs="RWXLTG+TimesNewRoman"/>
          <w:bCs/>
        </w:rPr>
        <w:t>Záložním zdrojem pitné vody pro veřejný vodovod je prameniště Dolce, ze kterého může být</w:t>
      </w:r>
      <w:r>
        <w:rPr>
          <w:rFonts w:eastAsia="RWXLTG+TimesNewRoman" w:cs="RWXLTG+TimesNewRoman"/>
          <w:bCs/>
        </w:rPr>
        <w:t xml:space="preserve"> </w:t>
      </w:r>
      <w:r w:rsidRPr="00F85C6C">
        <w:rPr>
          <w:rFonts w:eastAsia="RWXLTG+TimesNewRoman" w:cs="RWXLTG+TimesNewRoman"/>
          <w:bCs/>
        </w:rPr>
        <w:t>voda čerpána i do Dolníků.</w:t>
      </w:r>
    </w:p>
    <w:p w14:paraId="612ECE25" w14:textId="77777777" w:rsidR="00563F59" w:rsidRDefault="00B4635C" w:rsidP="00F85C6C">
      <w:pPr>
        <w:spacing w:after="160" w:line="259" w:lineRule="auto"/>
        <w:jc w:val="both"/>
        <w:rPr>
          <w:rFonts w:eastAsia="RWXLTG+TimesNewRoman" w:cs="RWXLTG+TimesNewRoman"/>
          <w:bCs/>
        </w:rPr>
      </w:pPr>
      <w:r>
        <w:rPr>
          <w:rFonts w:eastAsia="RWXLTG+TimesNewRoman" w:cs="RWXLTG+TimesNewRoman"/>
          <w:bCs/>
        </w:rPr>
        <w:t xml:space="preserve">V případě </w:t>
      </w:r>
      <w:r w:rsidRPr="00563F59">
        <w:rPr>
          <w:rFonts w:eastAsia="RWXLTG+TimesNewRoman" w:cs="RWXLTG+TimesNewRoman"/>
          <w:b/>
        </w:rPr>
        <w:t>místní části Prostřední Staré Buky</w:t>
      </w:r>
      <w:r>
        <w:rPr>
          <w:rFonts w:eastAsia="RWXLTG+TimesNewRoman" w:cs="RWXLTG+TimesNewRoman"/>
          <w:bCs/>
        </w:rPr>
        <w:t xml:space="preserve"> existují dvě izolované lokality, kde je vodovod řešen lokálním způsobem – </w:t>
      </w:r>
      <w:r w:rsidRPr="00563F59">
        <w:rPr>
          <w:rFonts w:eastAsia="RWXLTG+TimesNewRoman" w:cs="RWXLTG+TimesNewRoman"/>
          <w:b/>
        </w:rPr>
        <w:t>lokalita Bungalov</w:t>
      </w:r>
      <w:r>
        <w:rPr>
          <w:rFonts w:eastAsia="RWXLTG+TimesNewRoman" w:cs="RWXLTG+TimesNewRoman"/>
          <w:bCs/>
        </w:rPr>
        <w:t xml:space="preserve"> a </w:t>
      </w:r>
      <w:r w:rsidRPr="00563F59">
        <w:rPr>
          <w:rFonts w:eastAsia="RWXLTG+TimesNewRoman" w:cs="RWXLTG+TimesNewRoman"/>
          <w:b/>
        </w:rPr>
        <w:t>lokalita u obecního úřadu</w:t>
      </w:r>
      <w:r>
        <w:rPr>
          <w:rFonts w:eastAsia="RWXLTG+TimesNewRoman" w:cs="RWXLTG+TimesNewRoman"/>
          <w:bCs/>
        </w:rPr>
        <w:t>.</w:t>
      </w:r>
      <w:r w:rsidR="00275FFD">
        <w:rPr>
          <w:rFonts w:eastAsia="RWXLTG+TimesNewRoman" w:cs="RWXLTG+TimesNewRoman"/>
          <w:bCs/>
        </w:rPr>
        <w:t xml:space="preserve"> </w:t>
      </w:r>
    </w:p>
    <w:p w14:paraId="4ECCC4E0" w14:textId="5BA73A9B" w:rsidR="000066CB" w:rsidRDefault="00275FFD" w:rsidP="00F85C6C">
      <w:pPr>
        <w:spacing w:after="160" w:line="259" w:lineRule="auto"/>
        <w:jc w:val="both"/>
        <w:rPr>
          <w:rFonts w:eastAsia="RWXLTG+TimesNewRoman" w:cs="RWXLTG+TimesNewRoman"/>
          <w:bCs/>
        </w:rPr>
      </w:pPr>
      <w:r w:rsidRPr="00563F59">
        <w:rPr>
          <w:rFonts w:eastAsia="RWXLTG+TimesNewRoman" w:cs="RWXLTG+TimesNewRoman"/>
          <w:b/>
        </w:rPr>
        <w:t>U lokality Bungalov</w:t>
      </w:r>
      <w:r>
        <w:rPr>
          <w:rFonts w:eastAsia="RWXLTG+TimesNewRoman" w:cs="RWXLTG+TimesNewRoman"/>
          <w:bCs/>
        </w:rPr>
        <w:t xml:space="preserve"> je zdrojem vody </w:t>
      </w:r>
      <w:r w:rsidRPr="00275FFD">
        <w:rPr>
          <w:rFonts w:eastAsia="RWXLTG+TimesNewRoman" w:cs="RWXLTG+TimesNewRoman"/>
          <w:bCs/>
        </w:rPr>
        <w:t>vrtaná studna</w:t>
      </w:r>
      <w:r>
        <w:rPr>
          <w:rFonts w:eastAsia="RWXLTG+TimesNewRoman" w:cs="RWXLTG+TimesNewRoman"/>
          <w:bCs/>
        </w:rPr>
        <w:t>, ze které je</w:t>
      </w:r>
      <w:r w:rsidRPr="00275FFD">
        <w:t xml:space="preserve"> </w:t>
      </w:r>
      <w:r w:rsidRPr="00275FFD">
        <w:rPr>
          <w:rFonts w:eastAsia="RWXLTG+TimesNewRoman" w:cs="RWXLTG+TimesNewRoman"/>
          <w:bCs/>
        </w:rPr>
        <w:t>voda čerpána přes akumulační nádrž a automatickou čerpací stanic</w:t>
      </w:r>
      <w:r w:rsidR="00A80929">
        <w:rPr>
          <w:rFonts w:eastAsia="RWXLTG+TimesNewRoman" w:cs="RWXLTG+TimesNewRoman"/>
          <w:bCs/>
        </w:rPr>
        <w:t xml:space="preserve">í následně </w:t>
      </w:r>
      <w:r w:rsidRPr="00275FFD">
        <w:rPr>
          <w:rFonts w:eastAsia="RWXLTG+TimesNewRoman" w:cs="RWXLTG+TimesNewRoman"/>
          <w:bCs/>
        </w:rPr>
        <w:t xml:space="preserve">zásobním řadem </w:t>
      </w:r>
      <w:r w:rsidR="00A80929">
        <w:rPr>
          <w:rFonts w:eastAsia="RWXLTG+TimesNewRoman" w:cs="RWXLTG+TimesNewRoman"/>
          <w:bCs/>
        </w:rPr>
        <w:t xml:space="preserve">vedena </w:t>
      </w:r>
      <w:r w:rsidRPr="00275FFD">
        <w:rPr>
          <w:rFonts w:eastAsia="RWXLTG+TimesNewRoman" w:cs="RWXLTG+TimesNewRoman"/>
          <w:bCs/>
        </w:rPr>
        <w:t>do spotřebiště</w:t>
      </w:r>
      <w:r w:rsidR="00A80929">
        <w:rPr>
          <w:rFonts w:eastAsia="RWXLTG+TimesNewRoman" w:cs="RWXLTG+TimesNewRoman"/>
          <w:bCs/>
        </w:rPr>
        <w:t>.</w:t>
      </w:r>
      <w:r w:rsidR="00A80929" w:rsidRPr="00A80929">
        <w:t xml:space="preserve"> </w:t>
      </w:r>
      <w:r w:rsidR="00A80929" w:rsidRPr="00A80929">
        <w:rPr>
          <w:rFonts w:eastAsia="RWXLTG+TimesNewRoman" w:cs="RWXLTG+TimesNewRoman"/>
          <w:bCs/>
        </w:rPr>
        <w:t xml:space="preserve">Vodovod </w:t>
      </w:r>
      <w:r w:rsidR="00A80929">
        <w:rPr>
          <w:rFonts w:eastAsia="RWXLTG+TimesNewRoman" w:cs="RWXLTG+TimesNewRoman"/>
          <w:bCs/>
        </w:rPr>
        <w:t xml:space="preserve">zde </w:t>
      </w:r>
      <w:r w:rsidR="00A80929" w:rsidRPr="00A80929">
        <w:rPr>
          <w:rFonts w:eastAsia="RWXLTG+TimesNewRoman" w:cs="RWXLTG+TimesNewRoman"/>
          <w:bCs/>
        </w:rPr>
        <w:t xml:space="preserve">zásobuje pitnou a užitkovou vodou stávající a budoucí zástavbu </w:t>
      </w:r>
      <w:r w:rsidR="00A80929">
        <w:rPr>
          <w:rFonts w:eastAsia="RWXLTG+TimesNewRoman" w:cs="RWXLTG+TimesNewRoman"/>
          <w:bCs/>
        </w:rPr>
        <w:t xml:space="preserve">čítající okolo </w:t>
      </w:r>
      <w:r w:rsidR="00A80929" w:rsidRPr="00A80929">
        <w:rPr>
          <w:rFonts w:eastAsia="RWXLTG+TimesNewRoman" w:cs="RWXLTG+TimesNewRoman"/>
          <w:bCs/>
        </w:rPr>
        <w:t>25 rodinných domů.</w:t>
      </w:r>
    </w:p>
    <w:p w14:paraId="39802BFE" w14:textId="0AA1DCF7" w:rsidR="00563F59" w:rsidRDefault="00563F59" w:rsidP="00F85C6C">
      <w:pPr>
        <w:spacing w:after="160" w:line="259" w:lineRule="auto"/>
        <w:jc w:val="both"/>
        <w:rPr>
          <w:rFonts w:eastAsia="RWXLTG+TimesNewRoman" w:cs="RWXLTG+TimesNewRoman"/>
          <w:bCs/>
        </w:rPr>
      </w:pPr>
      <w:r>
        <w:rPr>
          <w:rFonts w:eastAsia="RWXLTG+TimesNewRoman" w:cs="RWXLTG+TimesNewRoman"/>
          <w:bCs/>
        </w:rPr>
        <w:t xml:space="preserve">Co se týče </w:t>
      </w:r>
      <w:r w:rsidRPr="009340E0">
        <w:rPr>
          <w:rFonts w:eastAsia="RWXLTG+TimesNewRoman" w:cs="RWXLTG+TimesNewRoman"/>
          <w:b/>
        </w:rPr>
        <w:t>lokality u obecního úřadu</w:t>
      </w:r>
      <w:r w:rsidR="00EB0ED6">
        <w:rPr>
          <w:rFonts w:eastAsia="RWXLTG+TimesNewRoman" w:cs="RWXLTG+TimesNewRoman"/>
          <w:bCs/>
        </w:rPr>
        <w:t xml:space="preserve"> (budova obecního úřadu a </w:t>
      </w:r>
      <w:r w:rsidR="00EB0ED6" w:rsidRPr="00EB0ED6">
        <w:rPr>
          <w:rFonts w:eastAsia="RWXLTG+TimesNewRoman" w:cs="RWXLTG+TimesNewRoman"/>
          <w:bCs/>
        </w:rPr>
        <w:t>několik objektů v okolí budovy</w:t>
      </w:r>
      <w:r w:rsidR="00EB0ED6">
        <w:rPr>
          <w:rFonts w:eastAsia="RWXLTG+TimesNewRoman" w:cs="RWXLTG+TimesNewRoman"/>
          <w:bCs/>
        </w:rPr>
        <w:t>)</w:t>
      </w:r>
      <w:r>
        <w:rPr>
          <w:rFonts w:eastAsia="RWXLTG+TimesNewRoman" w:cs="RWXLTG+TimesNewRoman"/>
          <w:bCs/>
        </w:rPr>
        <w:t xml:space="preserve">, je zdrojem pitné vody studna ležící </w:t>
      </w:r>
      <w:r w:rsidR="00EB0ED6">
        <w:rPr>
          <w:rFonts w:eastAsia="RWXLTG+TimesNewRoman" w:cs="RWXLTG+TimesNewRoman"/>
          <w:bCs/>
        </w:rPr>
        <w:t>severovýchodně od</w:t>
      </w:r>
      <w:r>
        <w:rPr>
          <w:rFonts w:eastAsia="RWXLTG+TimesNewRoman" w:cs="RWXLTG+TimesNewRoman"/>
          <w:bCs/>
        </w:rPr>
        <w:t xml:space="preserve"> budovy obecního úřadu. Vzhledem k tomu, že je tento </w:t>
      </w:r>
      <w:r w:rsidRPr="00563F59">
        <w:rPr>
          <w:rFonts w:eastAsia="RWXLTG+TimesNewRoman" w:cs="RWXLTG+TimesNewRoman"/>
          <w:bCs/>
        </w:rPr>
        <w:t>zdroj ve špatném technickém stav</w:t>
      </w:r>
      <w:r>
        <w:rPr>
          <w:rFonts w:eastAsia="RWXLTG+TimesNewRoman" w:cs="RWXLTG+TimesNewRoman"/>
          <w:bCs/>
        </w:rPr>
        <w:t>u</w:t>
      </w:r>
      <w:r w:rsidRPr="00563F59">
        <w:rPr>
          <w:rFonts w:eastAsia="RWXLTG+TimesNewRoman" w:cs="RWXLTG+TimesNewRoman"/>
          <w:bCs/>
        </w:rPr>
        <w:t xml:space="preserve"> a vydatností a kvalitou vody neodpovídá potřebám</w:t>
      </w:r>
      <w:r>
        <w:rPr>
          <w:rFonts w:eastAsia="RWXLTG+TimesNewRoman" w:cs="RWXLTG+TimesNewRoman"/>
          <w:bCs/>
        </w:rPr>
        <w:t>,</w:t>
      </w:r>
      <w:r w:rsidRPr="00563F59">
        <w:rPr>
          <w:rFonts w:eastAsia="RWXLTG+TimesNewRoman" w:cs="RWXLTG+TimesNewRoman"/>
          <w:bCs/>
        </w:rPr>
        <w:t xml:space="preserve"> je připravován zdroj nový</w:t>
      </w:r>
      <w:r w:rsidR="00EB0ED6">
        <w:rPr>
          <w:rFonts w:eastAsia="RWXLTG+TimesNewRoman" w:cs="RWXLTG+TimesNewRoman"/>
          <w:bCs/>
        </w:rPr>
        <w:t xml:space="preserve">. V roce 2018 byl na pozemku ležícím západně od budovy obecního úřadu vyvrtán </w:t>
      </w:r>
      <w:r w:rsidR="00EB0ED6" w:rsidRPr="00EB0ED6">
        <w:rPr>
          <w:rFonts w:eastAsia="RWXLTG+TimesNewRoman" w:cs="RWXLTG+TimesNewRoman"/>
          <w:bCs/>
        </w:rPr>
        <w:t>průzkumný vrt SBO-1</w:t>
      </w:r>
      <w:r w:rsidR="00EB0ED6">
        <w:rPr>
          <w:rFonts w:eastAsia="RWXLTG+TimesNewRoman" w:cs="RWXLTG+TimesNewRoman"/>
          <w:bCs/>
        </w:rPr>
        <w:t>, který slouží</w:t>
      </w:r>
      <w:r w:rsidR="00EB0ED6" w:rsidRPr="00EB0ED6">
        <w:t xml:space="preserve"> </w:t>
      </w:r>
      <w:r w:rsidR="00EB0ED6" w:rsidRPr="00EB0ED6">
        <w:rPr>
          <w:rFonts w:eastAsia="RWXLTG+TimesNewRoman" w:cs="RWXLTG+TimesNewRoman"/>
          <w:bCs/>
        </w:rPr>
        <w:t>jako nový zdroj pitné vody pro lokální vodovod v okolí budovy obecního úřadu</w:t>
      </w:r>
      <w:r w:rsidR="009340E0">
        <w:rPr>
          <w:rFonts w:eastAsia="RWXLTG+TimesNewRoman" w:cs="RWXLTG+TimesNewRoman"/>
          <w:bCs/>
        </w:rPr>
        <w:t>.</w:t>
      </w:r>
    </w:p>
    <w:p w14:paraId="3120244B" w14:textId="62FD8EB8" w:rsidR="007F2514" w:rsidRPr="007F2514" w:rsidRDefault="00A42A01" w:rsidP="007F2514">
      <w:pPr>
        <w:spacing w:after="160" w:line="259" w:lineRule="auto"/>
        <w:jc w:val="both"/>
        <w:rPr>
          <w:rFonts w:eastAsia="RWXLTG+TimesNewRoman" w:cs="RWXLTG+TimesNewRoman"/>
          <w:bCs/>
        </w:rPr>
      </w:pPr>
      <w:r>
        <w:rPr>
          <w:rFonts w:eastAsia="RWXLTG+TimesNewRoman" w:cs="RWXLTG+TimesNewRoman"/>
          <w:bCs/>
        </w:rPr>
        <w:t>V rámci plánu rozvoje vodovodů a kanalizací je navrženo napojení všech místních částí obce (vyjma lokality Dolníky) na vodovod v Pilníkově</w:t>
      </w:r>
      <w:r w:rsidR="006A755B">
        <w:rPr>
          <w:rStyle w:val="Znakapoznpodarou"/>
          <w:rFonts w:eastAsia="RWXLTG+TimesNewRoman" w:cs="RWXLTG+TimesNewRoman"/>
          <w:bCs/>
        </w:rPr>
        <w:footnoteReference w:id="29"/>
      </w:r>
      <w:r w:rsidR="00151FF7">
        <w:rPr>
          <w:rFonts w:eastAsia="RWXLTG+TimesNewRoman" w:cs="RWXLTG+TimesNewRoman"/>
          <w:bCs/>
        </w:rPr>
        <w:t>.</w:t>
      </w:r>
      <w:r w:rsidR="007F2514" w:rsidRPr="007F2514">
        <w:rPr>
          <w:rFonts w:eastAsia="RWXLTG+TimesNewRoman" w:cs="RWXLTG+TimesNewRoman"/>
          <w:bCs/>
        </w:rPr>
        <w:t xml:space="preserve"> </w:t>
      </w:r>
    </w:p>
    <w:p w14:paraId="3C2713A6" w14:textId="6BAD78EA" w:rsidR="00F466A9" w:rsidRDefault="00F466A9" w:rsidP="00A62E6C">
      <w:pPr>
        <w:spacing w:after="160" w:line="259" w:lineRule="auto"/>
        <w:jc w:val="both"/>
        <w:rPr>
          <w:rFonts w:eastAsia="RWXLTG+TimesNewRoman" w:cs="RWXLTG+TimesNewRoman"/>
        </w:rPr>
      </w:pPr>
      <w:r>
        <w:rPr>
          <w:rFonts w:eastAsia="RWXLTG+TimesNewRoman" w:cs="RWXLTG+TimesNewRoman"/>
        </w:rPr>
        <w:br w:type="page"/>
      </w:r>
    </w:p>
    <w:p w14:paraId="4229A484" w14:textId="77777777" w:rsidR="00A62E6C" w:rsidRPr="00AE237D" w:rsidRDefault="00A62E6C" w:rsidP="00A62E6C">
      <w:pPr>
        <w:spacing w:after="160" w:line="259" w:lineRule="auto"/>
        <w:jc w:val="both"/>
        <w:rPr>
          <w:rFonts w:eastAsia="RWXLTG+TimesNewRoman" w:cs="RWXLTG+TimesNewRoman"/>
          <w:u w:val="single"/>
        </w:rPr>
      </w:pPr>
      <w:r w:rsidRPr="00AE237D">
        <w:rPr>
          <w:rFonts w:eastAsia="RWXLTG+TimesNewRoman" w:cs="RWXLTG+TimesNewRoman"/>
          <w:u w:val="single"/>
        </w:rPr>
        <w:lastRenderedPageBreak/>
        <w:t>Kanalizační síť</w:t>
      </w:r>
    </w:p>
    <w:p w14:paraId="71AF4B9F" w14:textId="31A79564" w:rsidR="00C2240F" w:rsidRDefault="00C2240F" w:rsidP="00EC5E9A">
      <w:pPr>
        <w:spacing w:after="160" w:line="259" w:lineRule="auto"/>
        <w:jc w:val="both"/>
        <w:rPr>
          <w:rFonts w:eastAsia="RWXLTG+TimesNewRoman" w:cs="RWXLTG+TimesNewRoman"/>
          <w:bCs/>
        </w:rPr>
      </w:pPr>
      <w:r>
        <w:rPr>
          <w:rFonts w:eastAsia="RWXLTG+TimesNewRoman" w:cs="RWXLTG+TimesNewRoman"/>
          <w:b/>
        </w:rPr>
        <w:t>Místní část Dolní Staré Buky nemá vybudovanou kanalizační síť.</w:t>
      </w:r>
      <w:r w:rsidR="007A72A0" w:rsidRPr="007A72A0">
        <w:t xml:space="preserve"> </w:t>
      </w:r>
      <w:r w:rsidR="007A72A0" w:rsidRPr="007A72A0">
        <w:rPr>
          <w:rFonts w:eastAsia="RWXLTG+TimesNewRoman" w:cs="RWXLTG+TimesNewRoman"/>
          <w:bCs/>
        </w:rPr>
        <w:t>V souladu s územním plánem obce je navržena oddílná splašková kanalizace s</w:t>
      </w:r>
      <w:r w:rsidR="007A72A0">
        <w:rPr>
          <w:rFonts w:eastAsia="RWXLTG+TimesNewRoman" w:cs="RWXLTG+TimesNewRoman"/>
          <w:bCs/>
        </w:rPr>
        <w:t> čistírnou odpadních vod (</w:t>
      </w:r>
      <w:r w:rsidR="007A72A0" w:rsidRPr="007A72A0">
        <w:rPr>
          <w:rFonts w:eastAsia="RWXLTG+TimesNewRoman" w:cs="RWXLTG+TimesNewRoman"/>
          <w:bCs/>
        </w:rPr>
        <w:t>ČOV</w:t>
      </w:r>
      <w:r w:rsidR="007A72A0">
        <w:rPr>
          <w:rFonts w:eastAsia="RWXLTG+TimesNewRoman" w:cs="RWXLTG+TimesNewRoman"/>
          <w:bCs/>
        </w:rPr>
        <w:t>)</w:t>
      </w:r>
      <w:r w:rsidR="007A72A0" w:rsidRPr="007A72A0">
        <w:rPr>
          <w:rFonts w:eastAsia="RWXLTG+TimesNewRoman" w:cs="RWXLTG+TimesNewRoman"/>
          <w:bCs/>
        </w:rPr>
        <w:t xml:space="preserve"> pro 600 až 750 </w:t>
      </w:r>
      <w:r w:rsidR="007A72A0">
        <w:rPr>
          <w:rFonts w:eastAsia="RWXLTG+TimesNewRoman" w:cs="RWXLTG+TimesNewRoman"/>
          <w:bCs/>
        </w:rPr>
        <w:t>ekvivalentních obyvatel</w:t>
      </w:r>
      <w:r w:rsidR="007A72A0" w:rsidRPr="007A72A0">
        <w:rPr>
          <w:rFonts w:eastAsia="RWXLTG+TimesNewRoman" w:cs="RWXLTG+TimesNewRoman"/>
          <w:bCs/>
        </w:rPr>
        <w:t xml:space="preserve"> s délkou kanalizační sítě cca 1</w:t>
      </w:r>
      <w:r w:rsidR="007A72A0">
        <w:rPr>
          <w:rFonts w:eastAsia="RWXLTG+TimesNewRoman" w:cs="RWXLTG+TimesNewRoman"/>
          <w:bCs/>
        </w:rPr>
        <w:t xml:space="preserve"> </w:t>
      </w:r>
      <w:r w:rsidR="007A72A0" w:rsidRPr="007A72A0">
        <w:rPr>
          <w:rFonts w:eastAsia="RWXLTG+TimesNewRoman" w:cs="RWXLTG+TimesNewRoman"/>
          <w:bCs/>
        </w:rPr>
        <w:t>300 metrů</w:t>
      </w:r>
      <w:r w:rsidR="007A72A0">
        <w:rPr>
          <w:rFonts w:eastAsia="RWXLTG+TimesNewRoman" w:cs="RWXLTG+TimesNewRoman"/>
          <w:bCs/>
        </w:rPr>
        <w:t>.</w:t>
      </w:r>
    </w:p>
    <w:p w14:paraId="051AE63D" w14:textId="1B658A2A" w:rsidR="000066CB" w:rsidRDefault="000066CB" w:rsidP="00EC5E9A">
      <w:pPr>
        <w:spacing w:after="160" w:line="259" w:lineRule="auto"/>
        <w:jc w:val="both"/>
        <w:rPr>
          <w:rFonts w:eastAsia="RWXLTG+TimesNewRoman" w:cs="RWXLTG+TimesNewRoman"/>
          <w:bCs/>
        </w:rPr>
      </w:pPr>
      <w:r>
        <w:rPr>
          <w:rFonts w:eastAsia="RWXLTG+TimesNewRoman" w:cs="RWXLTG+TimesNewRoman"/>
          <w:b/>
        </w:rPr>
        <w:t>Místní část Horní Staré Buky nemá vybudovanou kanalizační síť.</w:t>
      </w:r>
      <w:r w:rsidR="002F73B7" w:rsidRPr="002F73B7">
        <w:t xml:space="preserve"> </w:t>
      </w:r>
      <w:r w:rsidR="002F73B7">
        <w:rPr>
          <w:rFonts w:eastAsia="RWXLTG+TimesNewRoman" w:cs="RWXLTG+TimesNewRoman"/>
          <w:bCs/>
        </w:rPr>
        <w:t>V rámci plánu rozvoje vodovodů a kanalizací je n</w:t>
      </w:r>
      <w:r w:rsidR="002F73B7" w:rsidRPr="002F73B7">
        <w:rPr>
          <w:rFonts w:eastAsia="RWXLTG+TimesNewRoman" w:cs="RWXLTG+TimesNewRoman"/>
          <w:bCs/>
        </w:rPr>
        <w:t>avr</w:t>
      </w:r>
      <w:r w:rsidR="002F73B7">
        <w:rPr>
          <w:rFonts w:eastAsia="RWXLTG+TimesNewRoman" w:cs="RWXLTG+TimesNewRoman"/>
          <w:bCs/>
        </w:rPr>
        <w:t xml:space="preserve">ženo </w:t>
      </w:r>
      <w:r w:rsidR="002F73B7" w:rsidRPr="002F73B7">
        <w:rPr>
          <w:rFonts w:eastAsia="RWXLTG+TimesNewRoman" w:cs="RWXLTG+TimesNewRoman"/>
          <w:bCs/>
        </w:rPr>
        <w:t xml:space="preserve">zachování stávajícího stavu, tj. individuální nakládání se splaškovými odpadními vodami s čištěním na </w:t>
      </w:r>
      <w:r w:rsidR="002F73B7">
        <w:rPr>
          <w:rFonts w:eastAsia="RWXLTG+TimesNewRoman" w:cs="RWXLTG+TimesNewRoman"/>
          <w:bCs/>
        </w:rPr>
        <w:t xml:space="preserve">domácích </w:t>
      </w:r>
      <w:r w:rsidR="002F73B7" w:rsidRPr="002F73B7">
        <w:rPr>
          <w:rFonts w:eastAsia="RWXLTG+TimesNewRoman" w:cs="RWXLTG+TimesNewRoman"/>
          <w:bCs/>
        </w:rPr>
        <w:t>ČOV nebo septicích se zemním filtrem. V budoucnosti by bylo možné dobudování kanalizace a napojení na plánovanou ČOV v Dolních Starých Bu</w:t>
      </w:r>
      <w:r w:rsidR="00B47139">
        <w:rPr>
          <w:rFonts w:eastAsia="RWXLTG+TimesNewRoman" w:cs="RWXLTG+TimesNewRoman"/>
          <w:bCs/>
        </w:rPr>
        <w:t>ká</w:t>
      </w:r>
      <w:r w:rsidR="002F73B7" w:rsidRPr="002F73B7">
        <w:rPr>
          <w:rFonts w:eastAsia="RWXLTG+TimesNewRoman" w:cs="RWXLTG+TimesNewRoman"/>
          <w:bCs/>
        </w:rPr>
        <w:t>ch.</w:t>
      </w:r>
    </w:p>
    <w:p w14:paraId="21723F62" w14:textId="5AB0543A" w:rsidR="00C41A06" w:rsidRDefault="00C41A06" w:rsidP="00EC5E9A">
      <w:pPr>
        <w:spacing w:after="160" w:line="259" w:lineRule="auto"/>
        <w:jc w:val="both"/>
        <w:rPr>
          <w:rFonts w:eastAsia="RWXLTG+TimesNewRoman" w:cs="RWXLTG+TimesNewRoman"/>
          <w:bCs/>
        </w:rPr>
      </w:pPr>
      <w:r w:rsidRPr="003E428F">
        <w:rPr>
          <w:rFonts w:eastAsia="RWXLTG+TimesNewRoman" w:cs="RWXLTG+TimesNewRoman"/>
          <w:b/>
        </w:rPr>
        <w:t>V Prostředních Starých Bukách byla pro 25 rodinných domů vybudována oddílná splašková kanalizace</w:t>
      </w:r>
      <w:r>
        <w:rPr>
          <w:rFonts w:eastAsia="RWXLTG+TimesNewRoman" w:cs="RWXLTG+TimesNewRoman"/>
          <w:bCs/>
        </w:rPr>
        <w:t>, kterou jsou s</w:t>
      </w:r>
      <w:r w:rsidRPr="00C41A06">
        <w:rPr>
          <w:rFonts w:eastAsia="RWXLTG+TimesNewRoman" w:cs="RWXLTG+TimesNewRoman"/>
          <w:bCs/>
        </w:rPr>
        <w:t>plaškové odpadní vody</w:t>
      </w:r>
      <w:r>
        <w:rPr>
          <w:rFonts w:eastAsia="RWXLTG+TimesNewRoman" w:cs="RWXLTG+TimesNewRoman"/>
          <w:bCs/>
        </w:rPr>
        <w:t xml:space="preserve"> odváděny na </w:t>
      </w:r>
      <w:r w:rsidR="00CE5BA2">
        <w:rPr>
          <w:rFonts w:eastAsia="RWXLTG+TimesNewRoman" w:cs="RWXLTG+TimesNewRoman"/>
          <w:bCs/>
        </w:rPr>
        <w:t xml:space="preserve">místní </w:t>
      </w:r>
      <w:r>
        <w:rPr>
          <w:rFonts w:eastAsia="RWXLTG+TimesNewRoman" w:cs="RWXLTG+TimesNewRoman"/>
          <w:bCs/>
        </w:rPr>
        <w:t>ČOV</w:t>
      </w:r>
      <w:r w:rsidR="00CE5BA2">
        <w:rPr>
          <w:rFonts w:eastAsia="RWXLTG+TimesNewRoman" w:cs="RWXLTG+TimesNewRoman"/>
          <w:bCs/>
        </w:rPr>
        <w:t>.</w:t>
      </w:r>
    </w:p>
    <w:p w14:paraId="399C144E" w14:textId="420D57AD" w:rsidR="00CE5BA2" w:rsidRPr="007A72A0" w:rsidRDefault="00CE5BA2" w:rsidP="00EC5E9A">
      <w:pPr>
        <w:spacing w:after="160" w:line="259" w:lineRule="auto"/>
        <w:jc w:val="both"/>
        <w:rPr>
          <w:rFonts w:eastAsia="RWXLTG+TimesNewRoman" w:cs="RWXLTG+TimesNewRoman"/>
          <w:bCs/>
        </w:rPr>
      </w:pPr>
      <w:r w:rsidRPr="00CE5BA2">
        <w:rPr>
          <w:rFonts w:eastAsia="RWXLTG+TimesNewRoman" w:cs="RWXLTG+TimesNewRoman"/>
          <w:bCs/>
        </w:rPr>
        <w:t xml:space="preserve">V souladu s územním plánem je navržena oddílná splašková kanalizace s délkou kanalizační sítě </w:t>
      </w:r>
      <w:r>
        <w:rPr>
          <w:rFonts w:eastAsia="RWXLTG+TimesNewRoman" w:cs="RWXLTG+TimesNewRoman"/>
          <w:bCs/>
        </w:rPr>
        <w:t>okolo</w:t>
      </w:r>
      <w:r w:rsidRPr="00CE5BA2">
        <w:rPr>
          <w:rFonts w:eastAsia="RWXLTG+TimesNewRoman" w:cs="RWXLTG+TimesNewRoman"/>
          <w:bCs/>
        </w:rPr>
        <w:t xml:space="preserve"> 2</w:t>
      </w:r>
      <w:r>
        <w:rPr>
          <w:rFonts w:eastAsia="RWXLTG+TimesNewRoman" w:cs="RWXLTG+TimesNewRoman"/>
          <w:bCs/>
        </w:rPr>
        <w:t xml:space="preserve"> </w:t>
      </w:r>
      <w:r w:rsidRPr="00CE5BA2">
        <w:rPr>
          <w:rFonts w:eastAsia="RWXLTG+TimesNewRoman" w:cs="RWXLTG+TimesNewRoman"/>
          <w:bCs/>
        </w:rPr>
        <w:t xml:space="preserve">km. Napojení kanalizace bude na plánovanou ČOV Dolní Staré Buky. Po vybudování veřejné kanalizace v rozsahu obce bude možné přepojit i kanalizaci v lokalitě </w:t>
      </w:r>
      <w:r>
        <w:rPr>
          <w:rFonts w:eastAsia="RWXLTG+TimesNewRoman" w:cs="RWXLTG+TimesNewRoman"/>
          <w:bCs/>
        </w:rPr>
        <w:t xml:space="preserve">pro </w:t>
      </w:r>
      <w:r w:rsidRPr="00CE5BA2">
        <w:rPr>
          <w:rFonts w:eastAsia="RWXLTG+TimesNewRoman" w:cs="RWXLTG+TimesNewRoman"/>
          <w:bCs/>
        </w:rPr>
        <w:t xml:space="preserve">25 </w:t>
      </w:r>
      <w:r>
        <w:rPr>
          <w:rFonts w:eastAsia="RWXLTG+TimesNewRoman" w:cs="RWXLTG+TimesNewRoman"/>
          <w:bCs/>
        </w:rPr>
        <w:t>rodinných domů v Prostředních Starých Bukách</w:t>
      </w:r>
      <w:r w:rsidR="00F466A9">
        <w:rPr>
          <w:rStyle w:val="Znakapoznpodarou"/>
          <w:rFonts w:eastAsia="RWXLTG+TimesNewRoman" w:cs="RWXLTG+TimesNewRoman"/>
          <w:bCs/>
        </w:rPr>
        <w:footnoteReference w:id="30"/>
      </w:r>
      <w:r>
        <w:rPr>
          <w:rFonts w:eastAsia="RWXLTG+TimesNewRoman" w:cs="RWXLTG+TimesNewRoman"/>
          <w:bCs/>
        </w:rPr>
        <w:t>.</w:t>
      </w:r>
    </w:p>
    <w:p w14:paraId="6E3333FC" w14:textId="77777777" w:rsidR="00FD6AED" w:rsidRDefault="00FD6AED" w:rsidP="00D50876">
      <w:pPr>
        <w:spacing w:after="160" w:line="259" w:lineRule="auto"/>
        <w:jc w:val="both"/>
        <w:rPr>
          <w:rFonts w:eastAsia="RWXLTG+TimesNewRoman" w:cs="RWXLTG+TimesNewRoman"/>
        </w:rPr>
      </w:pPr>
    </w:p>
    <w:p w14:paraId="7361B998" w14:textId="2B7A73F8" w:rsidR="00A62E6C" w:rsidRPr="004F5CD6" w:rsidRDefault="00A62E6C" w:rsidP="00A62E6C">
      <w:pPr>
        <w:spacing w:after="160" w:line="259" w:lineRule="auto"/>
        <w:jc w:val="both"/>
        <w:rPr>
          <w:rFonts w:eastAsia="RWXLTG+TimesNewRoman" w:cs="RWXLTG+TimesNewRoman"/>
          <w:bCs/>
          <w:u w:val="single"/>
        </w:rPr>
      </w:pPr>
      <w:r w:rsidRPr="004F5CD6">
        <w:rPr>
          <w:rFonts w:eastAsia="RWXLTG+TimesNewRoman" w:cs="RWXLTG+TimesNewRoman"/>
          <w:bCs/>
          <w:u w:val="single"/>
        </w:rPr>
        <w:t>Plynofikace a zásobování teplem</w:t>
      </w:r>
    </w:p>
    <w:p w14:paraId="5011636A" w14:textId="264D91CE" w:rsidR="002D7C71" w:rsidRDefault="002A6FC3" w:rsidP="002D7C71">
      <w:pPr>
        <w:spacing w:after="160" w:line="259" w:lineRule="auto"/>
        <w:jc w:val="both"/>
        <w:rPr>
          <w:rFonts w:eastAsia="RWXLTG+TimesNewRoman" w:cs="RWXLTG+TimesNewRoman"/>
          <w:bCs/>
        </w:rPr>
      </w:pPr>
      <w:r w:rsidRPr="00B4694E">
        <w:rPr>
          <w:rFonts w:eastAsia="RWXLTG+TimesNewRoman" w:cs="RWXLTG+TimesNewRoman"/>
          <w:b/>
          <w:bCs/>
        </w:rPr>
        <w:t xml:space="preserve">V obci </w:t>
      </w:r>
      <w:r w:rsidR="00B4694E" w:rsidRPr="00B4694E">
        <w:rPr>
          <w:rFonts w:eastAsia="RWXLTG+TimesNewRoman" w:cs="RWXLTG+TimesNewRoman"/>
          <w:b/>
          <w:bCs/>
        </w:rPr>
        <w:t>Staré Buky</w:t>
      </w:r>
      <w:r w:rsidRPr="00B4694E">
        <w:rPr>
          <w:rFonts w:eastAsia="RWXLTG+TimesNewRoman" w:cs="RWXLTG+TimesNewRoman"/>
          <w:b/>
          <w:bCs/>
        </w:rPr>
        <w:t xml:space="preserve"> </w:t>
      </w:r>
      <w:r w:rsidR="00B4694E" w:rsidRPr="00B4694E">
        <w:rPr>
          <w:rFonts w:eastAsia="RWXLTG+TimesNewRoman" w:cs="RWXLTG+TimesNewRoman"/>
          <w:b/>
          <w:bCs/>
        </w:rPr>
        <w:t xml:space="preserve">není </w:t>
      </w:r>
      <w:r w:rsidRPr="00B4694E">
        <w:rPr>
          <w:rFonts w:eastAsia="RWXLTG+TimesNewRoman" w:cs="RWXLTG+TimesNewRoman"/>
          <w:b/>
          <w:bCs/>
        </w:rPr>
        <w:t xml:space="preserve">vybudována plynovodní síť a obec tak </w:t>
      </w:r>
      <w:r w:rsidR="00B4694E" w:rsidRPr="00B4694E">
        <w:rPr>
          <w:rFonts w:eastAsia="RWXLTG+TimesNewRoman" w:cs="RWXLTG+TimesNewRoman"/>
          <w:b/>
          <w:bCs/>
        </w:rPr>
        <w:t xml:space="preserve">není </w:t>
      </w:r>
      <w:r w:rsidRPr="00B4694E">
        <w:rPr>
          <w:rFonts w:eastAsia="RWXLTG+TimesNewRoman" w:cs="RWXLTG+TimesNewRoman"/>
          <w:b/>
          <w:bCs/>
        </w:rPr>
        <w:t>zásobována zemním plynem</w:t>
      </w:r>
      <w:r>
        <w:rPr>
          <w:rFonts w:eastAsia="RWXLTG+TimesNewRoman" w:cs="RWXLTG+TimesNewRoman"/>
        </w:rPr>
        <w:t>.</w:t>
      </w:r>
    </w:p>
    <w:p w14:paraId="7215EA2E" w14:textId="21986780" w:rsidR="00C037E6" w:rsidRDefault="00C24C5E" w:rsidP="002D7C71">
      <w:pPr>
        <w:spacing w:after="160" w:line="259" w:lineRule="auto"/>
        <w:jc w:val="both"/>
        <w:rPr>
          <w:b/>
        </w:rPr>
      </w:pPr>
      <w:r w:rsidRPr="000803B7">
        <w:rPr>
          <w:b/>
        </w:rPr>
        <w:t xml:space="preserve">Teplovodní soustava není na území </w:t>
      </w:r>
      <w:r>
        <w:rPr>
          <w:b/>
        </w:rPr>
        <w:t>obce</w:t>
      </w:r>
      <w:r w:rsidRPr="000803B7">
        <w:rPr>
          <w:b/>
        </w:rPr>
        <w:t xml:space="preserve"> vybudována.</w:t>
      </w:r>
    </w:p>
    <w:p w14:paraId="6EC76E2B" w14:textId="77777777" w:rsidR="00C24C5E" w:rsidRPr="00C24C5E" w:rsidRDefault="00C24C5E" w:rsidP="002D7C71">
      <w:pPr>
        <w:spacing w:after="160" w:line="259" w:lineRule="auto"/>
        <w:jc w:val="both"/>
        <w:rPr>
          <w:rFonts w:eastAsia="RWXLTG+TimesNewRoman" w:cs="RWXLTG+TimesNewRoman"/>
          <w:bCs/>
        </w:rPr>
      </w:pPr>
    </w:p>
    <w:p w14:paraId="315E0A3D" w14:textId="77777777" w:rsidR="00A62E6C" w:rsidRPr="000C5CF0" w:rsidRDefault="00A62E6C" w:rsidP="00A62E6C">
      <w:pPr>
        <w:spacing w:after="160" w:line="259" w:lineRule="auto"/>
        <w:jc w:val="both"/>
        <w:rPr>
          <w:u w:val="single"/>
        </w:rPr>
      </w:pPr>
      <w:r w:rsidRPr="000C5CF0">
        <w:rPr>
          <w:u w:val="single"/>
        </w:rPr>
        <w:t>Další sítě technické infrastruktury</w:t>
      </w:r>
    </w:p>
    <w:p w14:paraId="6513BFA6" w14:textId="27D98E97" w:rsidR="008D57D8" w:rsidRDefault="008D57D8" w:rsidP="008D57D8">
      <w:pPr>
        <w:spacing w:after="160" w:line="259" w:lineRule="auto"/>
        <w:jc w:val="both"/>
      </w:pPr>
      <w:r w:rsidRPr="00FD544A">
        <w:rPr>
          <w:b/>
          <w:bCs/>
        </w:rPr>
        <w:t>Zásobování elektrickou energií</w:t>
      </w:r>
      <w:r>
        <w:t xml:space="preserve"> je zajištěno pro celé území</w:t>
      </w:r>
      <w:r w:rsidR="00EA3B9B">
        <w:t xml:space="preserve"> obce</w:t>
      </w:r>
      <w:r>
        <w:t xml:space="preserve">. Distributorem elektřiny a provozovatelem distribuční soustavy je společnost ČEZ Distribuce, a.s. </w:t>
      </w:r>
    </w:p>
    <w:p w14:paraId="41AC3C9D" w14:textId="77777777" w:rsidR="008D57D8" w:rsidRPr="00FD544A" w:rsidRDefault="008D57D8" w:rsidP="008D57D8">
      <w:pPr>
        <w:spacing w:after="160" w:line="259" w:lineRule="auto"/>
        <w:jc w:val="both"/>
        <w:rPr>
          <w:b/>
          <w:bCs/>
        </w:rPr>
      </w:pPr>
      <w:r w:rsidRPr="00FD544A">
        <w:rPr>
          <w:b/>
          <w:bCs/>
        </w:rPr>
        <w:t>Území obce je plně pokryto signálem pro rozhlasové a televizní vysílání.</w:t>
      </w:r>
    </w:p>
    <w:p w14:paraId="626D9243" w14:textId="1929FC8B" w:rsidR="00A62E6C" w:rsidRDefault="008D57D8" w:rsidP="008D57D8">
      <w:pPr>
        <w:spacing w:after="160" w:line="259" w:lineRule="auto"/>
        <w:jc w:val="both"/>
      </w:pPr>
      <w:r>
        <w:t xml:space="preserve">Území obce je dále </w:t>
      </w:r>
      <w:r w:rsidR="00EB158E">
        <w:t xml:space="preserve">téměř </w:t>
      </w:r>
      <w:r w:rsidRPr="00FD544A">
        <w:rPr>
          <w:b/>
          <w:bCs/>
        </w:rPr>
        <w:t>plně pokryto mobilním telefonním signálem</w:t>
      </w:r>
      <w:r>
        <w:t xml:space="preserve"> a </w:t>
      </w:r>
      <w:r w:rsidRPr="00FD544A">
        <w:rPr>
          <w:b/>
          <w:bCs/>
        </w:rPr>
        <w:t>signálem pro připojení k internetové síti</w:t>
      </w:r>
      <w:r>
        <w:t>.  Na území obce poskytuje připojení k internetu prostřednictvím wi-fi několik provozovatelů, např.</w:t>
      </w:r>
      <w:r w:rsidR="006E0BDB">
        <w:t xml:space="preserve"> </w:t>
      </w:r>
      <w:r w:rsidR="00576B3B" w:rsidRPr="00576B3B">
        <w:t>HD internet s.r.o.</w:t>
      </w:r>
      <w:r w:rsidR="006E0BDB">
        <w:t xml:space="preserve">, </w:t>
      </w:r>
      <w:r w:rsidR="00576B3B" w:rsidRPr="00576B3B">
        <w:t>Hi-next.cz s.r.o.</w:t>
      </w:r>
      <w:r>
        <w:t xml:space="preserve"> </w:t>
      </w:r>
      <w:r w:rsidR="006E0BDB">
        <w:t xml:space="preserve">či </w:t>
      </w:r>
      <w:r w:rsidR="00576B3B" w:rsidRPr="00576B3B">
        <w:t>ORELSOFT.cz</w:t>
      </w:r>
      <w:r>
        <w:rPr>
          <w:rStyle w:val="Znakapoznpodarou"/>
        </w:rPr>
        <w:footnoteReference w:id="31"/>
      </w:r>
    </w:p>
    <w:p w14:paraId="209109FB" w14:textId="77777777" w:rsidR="00A62E6C" w:rsidRDefault="00A62E6C" w:rsidP="00A62E6C">
      <w:pPr>
        <w:spacing w:after="160" w:line="259" w:lineRule="auto"/>
        <w:jc w:val="both"/>
      </w:pPr>
    </w:p>
    <w:p w14:paraId="77389C66" w14:textId="77777777" w:rsidR="00A62E6C" w:rsidRPr="00656B91" w:rsidRDefault="00A62E6C" w:rsidP="00A62E6C">
      <w:pPr>
        <w:spacing w:after="160" w:line="259" w:lineRule="auto"/>
        <w:jc w:val="both"/>
        <w:rPr>
          <w:u w:val="single"/>
        </w:rPr>
      </w:pPr>
      <w:r w:rsidRPr="00656B91">
        <w:rPr>
          <w:u w:val="single"/>
        </w:rPr>
        <w:t>Odpadové hospodářství a systém nakládání s odpady</w:t>
      </w:r>
    </w:p>
    <w:p w14:paraId="5A0DEF41" w14:textId="3DEEF723" w:rsidR="0050634D" w:rsidRDefault="0050634D" w:rsidP="0050634D">
      <w:pPr>
        <w:spacing w:after="160" w:line="259" w:lineRule="auto"/>
        <w:jc w:val="both"/>
        <w:rPr>
          <w:rFonts w:eastAsia="RWXLTG+TimesNewRoman" w:cs="RWXLTG+TimesNewRoman"/>
        </w:rPr>
      </w:pPr>
      <w:r w:rsidRPr="008519B0">
        <w:rPr>
          <w:rFonts w:eastAsia="RWXLTG+TimesNewRoman" w:cs="RWXLTG+TimesNewRoman"/>
        </w:rPr>
        <w:t xml:space="preserve">V obci </w:t>
      </w:r>
      <w:r>
        <w:rPr>
          <w:rFonts w:eastAsia="RWXLTG+TimesNewRoman" w:cs="RWXLTG+TimesNewRoman"/>
        </w:rPr>
        <w:t>Staré Buky</w:t>
      </w:r>
      <w:r w:rsidRPr="008519B0">
        <w:rPr>
          <w:rFonts w:eastAsia="RWXLTG+TimesNewRoman" w:cs="RWXLTG+TimesNewRoman"/>
        </w:rPr>
        <w:t xml:space="preserve"> </w:t>
      </w:r>
      <w:r w:rsidR="00D41865">
        <w:rPr>
          <w:rFonts w:eastAsia="RWXLTG+TimesNewRoman" w:cs="RWXLTG+TimesNewRoman"/>
        </w:rPr>
        <w:t>nebyl</w:t>
      </w:r>
      <w:r>
        <w:rPr>
          <w:rFonts w:eastAsia="RWXLTG+TimesNewRoman" w:cs="RWXLTG+TimesNewRoman"/>
        </w:rPr>
        <w:t xml:space="preserve"> zaveden </w:t>
      </w:r>
      <w:r w:rsidRPr="00247D8A">
        <w:rPr>
          <w:rFonts w:eastAsia="RWXLTG+TimesNewRoman" w:cs="RWXLTG+TimesNewRoman"/>
          <w:b/>
          <w:bCs/>
        </w:rPr>
        <w:t>poplatek za obecní systém odpadového hospodářství</w:t>
      </w:r>
      <w:r w:rsidR="00D41865">
        <w:rPr>
          <w:rFonts w:eastAsia="RWXLTG+TimesNewRoman" w:cs="RWXLTG+TimesNewRoman"/>
          <w:b/>
          <w:bCs/>
        </w:rPr>
        <w:t xml:space="preserve"> ani </w:t>
      </w:r>
      <w:r w:rsidR="00D41865" w:rsidRPr="00D41865">
        <w:rPr>
          <w:rFonts w:eastAsia="RWXLTG+TimesNewRoman" w:cs="RWXLTG+TimesNewRoman"/>
          <w:b/>
          <w:bCs/>
        </w:rPr>
        <w:t>poplatek za odkládání komunálního odpadu z nemovité věci</w:t>
      </w:r>
      <w:r w:rsidR="00D41865">
        <w:rPr>
          <w:rFonts w:eastAsia="RWXLTG+TimesNewRoman" w:cs="RWXLTG+TimesNewRoman"/>
          <w:b/>
          <w:bCs/>
        </w:rPr>
        <w:t xml:space="preserve">. </w:t>
      </w:r>
      <w:r w:rsidR="00D41865">
        <w:t>Vzhledem k potížím s vybíráním poplatků zejména z rekreačních objektů vyřešila obec vybírání poplatku v minulosti navýšením koeficientu daně z nemovitosti na 2 a ukládání komunálního odpadu hradí obec z tohoto příjmu</w:t>
      </w:r>
      <w:r w:rsidRPr="00EA1C1A">
        <w:rPr>
          <w:rStyle w:val="Znakapoznpodarou"/>
          <w:rFonts w:eastAsia="RWXLTG+TimesNewRoman" w:cs="RWXLTG+TimesNewRoman"/>
        </w:rPr>
        <w:footnoteReference w:id="32"/>
      </w:r>
      <w:r>
        <w:rPr>
          <w:rFonts w:eastAsia="RWXLTG+TimesNewRoman" w:cs="RWXLTG+TimesNewRoman"/>
        </w:rPr>
        <w:t>.</w:t>
      </w:r>
    </w:p>
    <w:p w14:paraId="138BD5CE" w14:textId="77777777" w:rsidR="00786B61" w:rsidRPr="00400885" w:rsidRDefault="00786B61" w:rsidP="0050634D">
      <w:pPr>
        <w:spacing w:after="160" w:line="259" w:lineRule="auto"/>
        <w:jc w:val="both"/>
        <w:rPr>
          <w:rFonts w:eastAsia="RWXLTG+TimesNewRoman" w:cs="RWXLTG+TimesNewRoman"/>
          <w:b/>
        </w:rPr>
      </w:pPr>
    </w:p>
    <w:p w14:paraId="06EB9B53" w14:textId="3C4812DD" w:rsidR="00367EBC" w:rsidRDefault="0050634D" w:rsidP="00705F19">
      <w:pPr>
        <w:spacing w:after="60" w:line="259" w:lineRule="auto"/>
        <w:jc w:val="both"/>
      </w:pPr>
      <w:r w:rsidRPr="00075C28">
        <w:rPr>
          <w:b/>
        </w:rPr>
        <w:lastRenderedPageBreak/>
        <w:t>Tříděný odpad</w:t>
      </w:r>
      <w:r>
        <w:t xml:space="preserve"> mohou lidé umísťovat do kontejnerů k tomu určených. Kontejnery na tříděný odpad jsou dostupné na těchto místech:</w:t>
      </w:r>
    </w:p>
    <w:p w14:paraId="34087816" w14:textId="00150790" w:rsidR="007E1792" w:rsidRPr="00B13587" w:rsidRDefault="007E1792">
      <w:pPr>
        <w:pStyle w:val="Odstavecseseznamem"/>
        <w:numPr>
          <w:ilvl w:val="0"/>
          <w:numId w:val="18"/>
        </w:numPr>
        <w:spacing w:after="60"/>
        <w:ind w:left="425" w:hanging="357"/>
        <w:contextualSpacing w:val="0"/>
        <w:jc w:val="both"/>
        <w:rPr>
          <w:rFonts w:eastAsia="RWXLTG+TimesNewRoman" w:cs="RWXLTG+TimesNewRoman"/>
          <w:bCs/>
        </w:rPr>
      </w:pPr>
      <w:r w:rsidRPr="007E1792">
        <w:rPr>
          <w:rFonts w:eastAsia="RWXLTG+TimesNewRoman" w:cs="RWXLTG+TimesNewRoman"/>
          <w:bCs/>
        </w:rPr>
        <w:t>Lokalita Dolníky</w:t>
      </w:r>
      <w:r>
        <w:rPr>
          <w:rFonts w:eastAsia="RWXLTG+TimesNewRoman" w:cs="RWXLTG+TimesNewRoman"/>
          <w:bCs/>
        </w:rPr>
        <w:t xml:space="preserve"> (rozhraní parcel KN 1820/1 a KN 1821 v k. ú. Prostřední Staré Buky) – </w:t>
      </w:r>
      <w:r>
        <w:t>sběrné nádoby na papír, plast a sklo</w:t>
      </w:r>
    </w:p>
    <w:p w14:paraId="41CFBD82" w14:textId="67A4BC7F" w:rsidR="00B13587" w:rsidRPr="00257268" w:rsidRDefault="00B13587">
      <w:pPr>
        <w:pStyle w:val="Odstavecseseznamem"/>
        <w:numPr>
          <w:ilvl w:val="0"/>
          <w:numId w:val="18"/>
        </w:numPr>
        <w:spacing w:after="60"/>
        <w:ind w:left="425" w:hanging="357"/>
        <w:contextualSpacing w:val="0"/>
        <w:jc w:val="both"/>
        <w:rPr>
          <w:rFonts w:eastAsia="RWXLTG+TimesNewRoman" w:cs="RWXLTG+TimesNewRoman"/>
          <w:bCs/>
        </w:rPr>
      </w:pPr>
      <w:r>
        <w:t xml:space="preserve">U fotbalového hřiště </w:t>
      </w:r>
      <w:r w:rsidR="00017B48">
        <w:rPr>
          <w:rFonts w:eastAsia="RWXLTG+TimesNewRoman" w:cs="RWXLTG+TimesNewRoman"/>
          <w:bCs/>
        </w:rPr>
        <w:t>(parcela KN 2050 v k. ú. Prostřední Staré Buky)</w:t>
      </w:r>
      <w:r w:rsidR="00D25819">
        <w:rPr>
          <w:rFonts w:eastAsia="RWXLTG+TimesNewRoman" w:cs="RWXLTG+TimesNewRoman"/>
          <w:bCs/>
        </w:rPr>
        <w:t xml:space="preserve"> </w:t>
      </w:r>
      <w:r>
        <w:t>– sběrná nádoba na papír</w:t>
      </w:r>
    </w:p>
    <w:p w14:paraId="35E04774" w14:textId="3906AC94" w:rsidR="00257268" w:rsidRPr="0047557B" w:rsidRDefault="00257268">
      <w:pPr>
        <w:pStyle w:val="Odstavecseseznamem"/>
        <w:numPr>
          <w:ilvl w:val="0"/>
          <w:numId w:val="18"/>
        </w:numPr>
        <w:spacing w:after="60"/>
        <w:ind w:left="425" w:hanging="357"/>
        <w:contextualSpacing w:val="0"/>
        <w:jc w:val="both"/>
        <w:rPr>
          <w:rFonts w:eastAsia="RWXLTG+TimesNewRoman" w:cs="RWXLTG+TimesNewRoman"/>
          <w:bCs/>
        </w:rPr>
      </w:pPr>
      <w:r>
        <w:t xml:space="preserve">U budov s č. p. 15 a 16 v místní části Dolní Staré Buky </w:t>
      </w:r>
      <w:r>
        <w:rPr>
          <w:rFonts w:eastAsia="RWXLTG+TimesNewRoman" w:cs="RWXLTG+TimesNewRoman"/>
          <w:bCs/>
        </w:rPr>
        <w:t xml:space="preserve">(parcela KN 53/1 v k. ú. Dolní Staré Buky) </w:t>
      </w:r>
      <w:r>
        <w:t>– sběrné nádoby na papír a plast</w:t>
      </w:r>
    </w:p>
    <w:p w14:paraId="501773CB" w14:textId="4D47542A" w:rsidR="0047557B" w:rsidRPr="005028AE" w:rsidRDefault="008C4B8F">
      <w:pPr>
        <w:pStyle w:val="Odstavecseseznamem"/>
        <w:numPr>
          <w:ilvl w:val="0"/>
          <w:numId w:val="18"/>
        </w:numPr>
        <w:spacing w:after="60"/>
        <w:ind w:left="425" w:hanging="357"/>
        <w:contextualSpacing w:val="0"/>
        <w:jc w:val="both"/>
        <w:rPr>
          <w:rFonts w:eastAsia="RWXLTG+TimesNewRoman" w:cs="RWXLTG+TimesNewRoman"/>
          <w:bCs/>
        </w:rPr>
      </w:pPr>
      <w:r>
        <w:rPr>
          <w:rFonts w:eastAsia="RWXLTG+TimesNewRoman" w:cs="RWXLTG+TimesNewRoman"/>
          <w:bCs/>
        </w:rPr>
        <w:t>U silnice III/30018 poblíž budovy s č. p. 24</w:t>
      </w:r>
      <w:r w:rsidRPr="008C4B8F">
        <w:t xml:space="preserve"> </w:t>
      </w:r>
      <w:r>
        <w:t xml:space="preserve">v místní části Dolní Staré Buky </w:t>
      </w:r>
      <w:r>
        <w:rPr>
          <w:rFonts w:eastAsia="RWXLTG+TimesNewRoman" w:cs="RWXLTG+TimesNewRoman"/>
          <w:bCs/>
        </w:rPr>
        <w:t>(parcela</w:t>
      </w:r>
      <w:r w:rsidRPr="008C4B8F">
        <w:rPr>
          <w:rFonts w:eastAsia="RWXLTG+TimesNewRoman" w:cs="RWXLTG+TimesNewRoman"/>
          <w:bCs/>
        </w:rPr>
        <w:t xml:space="preserve"> </w:t>
      </w:r>
      <w:r>
        <w:rPr>
          <w:rFonts w:eastAsia="RWXLTG+TimesNewRoman" w:cs="RWXLTG+TimesNewRoman"/>
          <w:bCs/>
        </w:rPr>
        <w:t xml:space="preserve">KN 663/1 v k. ú. Dolní Staré Buky) </w:t>
      </w:r>
      <w:r>
        <w:t>– sběrná nádoba na plast</w:t>
      </w:r>
    </w:p>
    <w:p w14:paraId="49D2DDE7" w14:textId="2E9790E3" w:rsidR="005028AE" w:rsidRPr="007E1792" w:rsidRDefault="005028AE">
      <w:pPr>
        <w:pStyle w:val="Odstavecseseznamem"/>
        <w:numPr>
          <w:ilvl w:val="0"/>
          <w:numId w:val="18"/>
        </w:numPr>
        <w:spacing w:after="60"/>
        <w:ind w:left="425" w:hanging="357"/>
        <w:contextualSpacing w:val="0"/>
        <w:jc w:val="both"/>
        <w:rPr>
          <w:rFonts w:eastAsia="RWXLTG+TimesNewRoman" w:cs="RWXLTG+TimesNewRoman"/>
          <w:bCs/>
        </w:rPr>
      </w:pPr>
      <w:r>
        <w:rPr>
          <w:rFonts w:eastAsia="RWXLTG+TimesNewRoman" w:cs="RWXLTG+TimesNewRoman"/>
          <w:bCs/>
        </w:rPr>
        <w:t>U silnice III/30018 poblíž budovy s č. p. 39</w:t>
      </w:r>
      <w:r w:rsidRPr="008C4B8F">
        <w:t xml:space="preserve"> </w:t>
      </w:r>
      <w:r>
        <w:t xml:space="preserve">v místní části Prostřední Staré Buky </w:t>
      </w:r>
      <w:r>
        <w:rPr>
          <w:rFonts w:eastAsia="RWXLTG+TimesNewRoman" w:cs="RWXLTG+TimesNewRoman"/>
          <w:bCs/>
        </w:rPr>
        <w:t>(parcela</w:t>
      </w:r>
      <w:r w:rsidRPr="008C4B8F">
        <w:rPr>
          <w:rFonts w:eastAsia="RWXLTG+TimesNewRoman" w:cs="RWXLTG+TimesNewRoman"/>
          <w:bCs/>
        </w:rPr>
        <w:t xml:space="preserve"> </w:t>
      </w:r>
      <w:r>
        <w:rPr>
          <w:rFonts w:eastAsia="RWXLTG+TimesNewRoman" w:cs="RWXLTG+TimesNewRoman"/>
          <w:bCs/>
        </w:rPr>
        <w:t xml:space="preserve">KN 25/1 v k. ú. Prostřední Staré Buky) </w:t>
      </w:r>
      <w:r>
        <w:t>– sběrn</w:t>
      </w:r>
      <w:r w:rsidR="00933A76">
        <w:t>é</w:t>
      </w:r>
      <w:r>
        <w:t xml:space="preserve"> nádob</w:t>
      </w:r>
      <w:r w:rsidR="00933A76">
        <w:t>y</w:t>
      </w:r>
      <w:r>
        <w:t xml:space="preserve"> na plast</w:t>
      </w:r>
    </w:p>
    <w:p w14:paraId="4474A460" w14:textId="18882738" w:rsidR="005028AE" w:rsidRPr="00644C94" w:rsidRDefault="00B37FB5">
      <w:pPr>
        <w:pStyle w:val="Odstavecseseznamem"/>
        <w:numPr>
          <w:ilvl w:val="0"/>
          <w:numId w:val="18"/>
        </w:numPr>
        <w:spacing w:after="60"/>
        <w:ind w:left="425" w:hanging="357"/>
        <w:contextualSpacing w:val="0"/>
        <w:jc w:val="both"/>
        <w:rPr>
          <w:rFonts w:eastAsia="RWXLTG+TimesNewRoman" w:cs="RWXLTG+TimesNewRoman"/>
          <w:bCs/>
        </w:rPr>
      </w:pPr>
      <w:r>
        <w:rPr>
          <w:rFonts w:eastAsia="RWXLTG+TimesNewRoman" w:cs="RWXLTG+TimesNewRoman"/>
          <w:bCs/>
        </w:rPr>
        <w:t>U budovy obecního úřadu (parcela</w:t>
      </w:r>
      <w:r w:rsidRPr="008C4B8F">
        <w:rPr>
          <w:rFonts w:eastAsia="RWXLTG+TimesNewRoman" w:cs="RWXLTG+TimesNewRoman"/>
          <w:bCs/>
        </w:rPr>
        <w:t xml:space="preserve"> </w:t>
      </w:r>
      <w:r>
        <w:rPr>
          <w:rFonts w:eastAsia="RWXLTG+TimesNewRoman" w:cs="RWXLTG+TimesNewRoman"/>
          <w:bCs/>
        </w:rPr>
        <w:t xml:space="preserve">KN 1035 v k. ú. Prostřední Staré Buky) </w:t>
      </w:r>
      <w:r>
        <w:t>– sběrné nádoby na plast a papír</w:t>
      </w:r>
    </w:p>
    <w:p w14:paraId="0535691C" w14:textId="2400DD91" w:rsidR="00644C94" w:rsidRPr="00644C94" w:rsidRDefault="00644C94">
      <w:pPr>
        <w:pStyle w:val="Odstavecseseznamem"/>
        <w:numPr>
          <w:ilvl w:val="0"/>
          <w:numId w:val="18"/>
        </w:numPr>
        <w:spacing w:after="60"/>
        <w:ind w:left="425" w:hanging="357"/>
        <w:contextualSpacing w:val="0"/>
        <w:jc w:val="both"/>
        <w:rPr>
          <w:rFonts w:eastAsia="RWXLTG+TimesNewRoman" w:cs="RWXLTG+TimesNewRoman"/>
          <w:bCs/>
        </w:rPr>
      </w:pPr>
      <w:r>
        <w:rPr>
          <w:rFonts w:eastAsia="RWXLTG+TimesNewRoman" w:cs="RWXLTG+TimesNewRoman"/>
          <w:bCs/>
        </w:rPr>
        <w:t>U autobusové zastávky „</w:t>
      </w:r>
      <w:r w:rsidRPr="00644C94">
        <w:rPr>
          <w:rFonts w:eastAsia="RWXLTG+TimesNewRoman" w:cs="RWXLTG+TimesNewRoman"/>
          <w:bCs/>
        </w:rPr>
        <w:t>Staré Buky, Prostř</w:t>
      </w:r>
      <w:r>
        <w:rPr>
          <w:rFonts w:eastAsia="RWXLTG+TimesNewRoman" w:cs="RWXLTG+TimesNewRoman"/>
          <w:bCs/>
        </w:rPr>
        <w:t xml:space="preserve">ední </w:t>
      </w:r>
      <w:r w:rsidRPr="00644C94">
        <w:rPr>
          <w:rFonts w:eastAsia="RWXLTG+TimesNewRoman" w:cs="RWXLTG+TimesNewRoman"/>
          <w:bCs/>
        </w:rPr>
        <w:t>Staré Buky</w:t>
      </w:r>
      <w:r>
        <w:rPr>
          <w:rFonts w:eastAsia="RWXLTG+TimesNewRoman" w:cs="RWXLTG+TimesNewRoman"/>
          <w:bCs/>
        </w:rPr>
        <w:t>“ (parcela</w:t>
      </w:r>
      <w:r w:rsidRPr="008C4B8F">
        <w:rPr>
          <w:rFonts w:eastAsia="RWXLTG+TimesNewRoman" w:cs="RWXLTG+TimesNewRoman"/>
          <w:bCs/>
        </w:rPr>
        <w:t xml:space="preserve"> </w:t>
      </w:r>
      <w:r>
        <w:rPr>
          <w:rFonts w:eastAsia="RWXLTG+TimesNewRoman" w:cs="RWXLTG+TimesNewRoman"/>
          <w:bCs/>
        </w:rPr>
        <w:t xml:space="preserve">KN 79 v k. ú. Prostřední Staré Buky) </w:t>
      </w:r>
      <w:r>
        <w:t>– sběrné nádoby na plast a sklo</w:t>
      </w:r>
    </w:p>
    <w:p w14:paraId="0BD743E0" w14:textId="1C4B13E1" w:rsidR="008A58CD" w:rsidRPr="007E1792" w:rsidRDefault="008A58CD">
      <w:pPr>
        <w:pStyle w:val="Odstavecseseznamem"/>
        <w:numPr>
          <w:ilvl w:val="0"/>
          <w:numId w:val="18"/>
        </w:numPr>
        <w:spacing w:after="60"/>
        <w:ind w:left="425" w:hanging="357"/>
        <w:contextualSpacing w:val="0"/>
        <w:jc w:val="both"/>
        <w:rPr>
          <w:rFonts w:eastAsia="RWXLTG+TimesNewRoman" w:cs="RWXLTG+TimesNewRoman"/>
          <w:bCs/>
        </w:rPr>
      </w:pPr>
      <w:r>
        <w:rPr>
          <w:rFonts w:eastAsia="RWXLTG+TimesNewRoman" w:cs="RWXLTG+TimesNewRoman"/>
          <w:bCs/>
        </w:rPr>
        <w:t>U silnice III/30018 poblíž budovy s č. p. 65</w:t>
      </w:r>
      <w:r w:rsidRPr="008C4B8F">
        <w:t xml:space="preserve"> </w:t>
      </w:r>
      <w:r>
        <w:t xml:space="preserve">v místní části Prostřední Staré Buky </w:t>
      </w:r>
      <w:r>
        <w:rPr>
          <w:rFonts w:eastAsia="RWXLTG+TimesNewRoman" w:cs="RWXLTG+TimesNewRoman"/>
          <w:bCs/>
        </w:rPr>
        <w:t>(parcela</w:t>
      </w:r>
      <w:r w:rsidRPr="008C4B8F">
        <w:rPr>
          <w:rFonts w:eastAsia="RWXLTG+TimesNewRoman" w:cs="RWXLTG+TimesNewRoman"/>
          <w:bCs/>
        </w:rPr>
        <w:t xml:space="preserve"> </w:t>
      </w:r>
      <w:r>
        <w:rPr>
          <w:rFonts w:eastAsia="RWXLTG+TimesNewRoman" w:cs="RWXLTG+TimesNewRoman"/>
          <w:bCs/>
        </w:rPr>
        <w:t xml:space="preserve">KN 105 v k. ú. Prostřední Staré Buky) </w:t>
      </w:r>
      <w:r>
        <w:t>– sběrná nádoba na plast a velkoobjemový kontejner na bioodpad</w:t>
      </w:r>
    </w:p>
    <w:p w14:paraId="064A85E9" w14:textId="75FB4AF4" w:rsidR="000811AD" w:rsidRPr="00644C94" w:rsidRDefault="000811AD">
      <w:pPr>
        <w:pStyle w:val="Odstavecseseznamem"/>
        <w:numPr>
          <w:ilvl w:val="0"/>
          <w:numId w:val="18"/>
        </w:numPr>
        <w:spacing w:after="60"/>
        <w:ind w:left="425" w:hanging="357"/>
        <w:contextualSpacing w:val="0"/>
        <w:jc w:val="both"/>
        <w:rPr>
          <w:rFonts w:eastAsia="RWXLTG+TimesNewRoman" w:cs="RWXLTG+TimesNewRoman"/>
          <w:bCs/>
        </w:rPr>
      </w:pPr>
      <w:r>
        <w:rPr>
          <w:rFonts w:eastAsia="RWXLTG+TimesNewRoman" w:cs="RWXLTG+TimesNewRoman"/>
          <w:bCs/>
        </w:rPr>
        <w:t>U autobusové zastávky „</w:t>
      </w:r>
      <w:r w:rsidRPr="000811AD">
        <w:rPr>
          <w:rFonts w:eastAsia="RWXLTG+TimesNewRoman" w:cs="RWXLTG+TimesNewRoman"/>
          <w:bCs/>
        </w:rPr>
        <w:t>Staré Buky, Prostř</w:t>
      </w:r>
      <w:r>
        <w:rPr>
          <w:rFonts w:eastAsia="RWXLTG+TimesNewRoman" w:cs="RWXLTG+TimesNewRoman"/>
          <w:bCs/>
        </w:rPr>
        <w:t xml:space="preserve">ední </w:t>
      </w:r>
      <w:r w:rsidRPr="000811AD">
        <w:rPr>
          <w:rFonts w:eastAsia="RWXLTG+TimesNewRoman" w:cs="RWXLTG+TimesNewRoman"/>
          <w:bCs/>
        </w:rPr>
        <w:t>Staré Buky, bytovka</w:t>
      </w:r>
      <w:r>
        <w:rPr>
          <w:rFonts w:eastAsia="RWXLTG+TimesNewRoman" w:cs="RWXLTG+TimesNewRoman"/>
          <w:bCs/>
        </w:rPr>
        <w:t>“ (parcela</w:t>
      </w:r>
      <w:r w:rsidRPr="008C4B8F">
        <w:rPr>
          <w:rFonts w:eastAsia="RWXLTG+TimesNewRoman" w:cs="RWXLTG+TimesNewRoman"/>
          <w:bCs/>
        </w:rPr>
        <w:t xml:space="preserve"> </w:t>
      </w:r>
      <w:r>
        <w:rPr>
          <w:rFonts w:eastAsia="RWXLTG+TimesNewRoman" w:cs="RWXLTG+TimesNewRoman"/>
          <w:bCs/>
        </w:rPr>
        <w:t xml:space="preserve">KN 152/1 v k. ú. Prostřední Staré Buky) </w:t>
      </w:r>
      <w:r>
        <w:t>– sběrná nádoba na plast</w:t>
      </w:r>
    </w:p>
    <w:p w14:paraId="3A5544EB" w14:textId="73B3A479" w:rsidR="00644C94" w:rsidRPr="00B23893" w:rsidRDefault="00032286">
      <w:pPr>
        <w:pStyle w:val="Odstavecseseznamem"/>
        <w:numPr>
          <w:ilvl w:val="0"/>
          <w:numId w:val="18"/>
        </w:numPr>
        <w:spacing w:after="60"/>
        <w:ind w:left="425" w:hanging="357"/>
        <w:contextualSpacing w:val="0"/>
        <w:jc w:val="both"/>
        <w:rPr>
          <w:rFonts w:eastAsia="RWXLTG+TimesNewRoman" w:cs="RWXLTG+TimesNewRoman"/>
          <w:bCs/>
        </w:rPr>
      </w:pPr>
      <w:r>
        <w:rPr>
          <w:rFonts w:eastAsia="RWXLTG+TimesNewRoman" w:cs="RWXLTG+TimesNewRoman"/>
          <w:bCs/>
        </w:rPr>
        <w:t>V Horních Starých Bukách u místní komunikace poblíž budovy s č. p. 113 (parcela</w:t>
      </w:r>
      <w:r w:rsidRPr="008C4B8F">
        <w:rPr>
          <w:rFonts w:eastAsia="RWXLTG+TimesNewRoman" w:cs="RWXLTG+TimesNewRoman"/>
          <w:bCs/>
        </w:rPr>
        <w:t xml:space="preserve"> </w:t>
      </w:r>
      <w:r>
        <w:rPr>
          <w:rFonts w:eastAsia="RWXLTG+TimesNewRoman" w:cs="RWXLTG+TimesNewRoman"/>
          <w:bCs/>
        </w:rPr>
        <w:t xml:space="preserve">KN 1588/1 v k. ú. Horní Staré Buky) </w:t>
      </w:r>
      <w:r>
        <w:t>– sběrné nádoby na papír a plast</w:t>
      </w:r>
    </w:p>
    <w:p w14:paraId="6612D14C" w14:textId="70027246" w:rsidR="00B23893" w:rsidRPr="00644C94" w:rsidRDefault="00B23893">
      <w:pPr>
        <w:pStyle w:val="Odstavecseseznamem"/>
        <w:numPr>
          <w:ilvl w:val="0"/>
          <w:numId w:val="18"/>
        </w:numPr>
        <w:spacing w:after="60"/>
        <w:ind w:left="425" w:hanging="357"/>
        <w:contextualSpacing w:val="0"/>
        <w:jc w:val="both"/>
        <w:rPr>
          <w:rFonts w:eastAsia="RWXLTG+TimesNewRoman" w:cs="RWXLTG+TimesNewRoman"/>
          <w:bCs/>
        </w:rPr>
      </w:pPr>
      <w:r>
        <w:rPr>
          <w:rFonts w:eastAsia="RWXLTG+TimesNewRoman" w:cs="RWXLTG+TimesNewRoman"/>
          <w:bCs/>
        </w:rPr>
        <w:t>U autobusové zastávky „</w:t>
      </w:r>
      <w:r w:rsidRPr="00B23893">
        <w:rPr>
          <w:rFonts w:eastAsia="RWXLTG+TimesNewRoman" w:cs="RWXLTG+TimesNewRoman"/>
          <w:bCs/>
        </w:rPr>
        <w:t>Staré Buky, Horní Staré Buky, točna</w:t>
      </w:r>
      <w:r>
        <w:rPr>
          <w:rFonts w:eastAsia="RWXLTG+TimesNewRoman" w:cs="RWXLTG+TimesNewRoman"/>
          <w:bCs/>
        </w:rPr>
        <w:t>“ (parcela</w:t>
      </w:r>
      <w:r w:rsidRPr="008C4B8F">
        <w:rPr>
          <w:rFonts w:eastAsia="RWXLTG+TimesNewRoman" w:cs="RWXLTG+TimesNewRoman"/>
          <w:bCs/>
        </w:rPr>
        <w:t xml:space="preserve"> </w:t>
      </w:r>
      <w:r>
        <w:rPr>
          <w:rFonts w:eastAsia="RWXLTG+TimesNewRoman" w:cs="RWXLTG+TimesNewRoman"/>
          <w:bCs/>
        </w:rPr>
        <w:t xml:space="preserve">KN 184 v k. ú. Horní Staré Buky) </w:t>
      </w:r>
      <w:r>
        <w:t>– sběrné nádoby na papír, plast a sklo</w:t>
      </w:r>
      <w:r w:rsidR="00BF57D8">
        <w:t xml:space="preserve"> (obrázek 8)</w:t>
      </w:r>
    </w:p>
    <w:p w14:paraId="4DB9A59A" w14:textId="49114527" w:rsidR="00B23893" w:rsidRPr="007E1792" w:rsidRDefault="00134314">
      <w:pPr>
        <w:pStyle w:val="Odstavecseseznamem"/>
        <w:numPr>
          <w:ilvl w:val="0"/>
          <w:numId w:val="18"/>
        </w:numPr>
        <w:spacing w:after="160"/>
        <w:ind w:left="425" w:hanging="357"/>
        <w:contextualSpacing w:val="0"/>
        <w:jc w:val="both"/>
        <w:rPr>
          <w:rFonts w:eastAsia="RWXLTG+TimesNewRoman" w:cs="RWXLTG+TimesNewRoman"/>
          <w:bCs/>
        </w:rPr>
      </w:pPr>
      <w:r>
        <w:rPr>
          <w:rFonts w:eastAsia="RWXLTG+TimesNewRoman" w:cs="RWXLTG+TimesNewRoman"/>
          <w:bCs/>
        </w:rPr>
        <w:t>V Horních Starých Bukách u místní komunikace poblíž budovy s č. p. 139 (parcela</w:t>
      </w:r>
      <w:r w:rsidRPr="008C4B8F">
        <w:rPr>
          <w:rFonts w:eastAsia="RWXLTG+TimesNewRoman" w:cs="RWXLTG+TimesNewRoman"/>
          <w:bCs/>
        </w:rPr>
        <w:t xml:space="preserve"> </w:t>
      </w:r>
      <w:r>
        <w:rPr>
          <w:rFonts w:eastAsia="RWXLTG+TimesNewRoman" w:cs="RWXLTG+TimesNewRoman"/>
          <w:bCs/>
        </w:rPr>
        <w:t xml:space="preserve">KN 72 v k. ú. Horní Staré Buky) </w:t>
      </w:r>
      <w:r>
        <w:t>– sběrné nádoby na plast a sklo</w:t>
      </w:r>
    </w:p>
    <w:p w14:paraId="16A05F32" w14:textId="21D8BE11" w:rsidR="00896700" w:rsidRDefault="00896700" w:rsidP="009D3BD5">
      <w:pPr>
        <w:spacing w:after="160" w:line="259" w:lineRule="auto"/>
        <w:jc w:val="both"/>
        <w:rPr>
          <w:bCs/>
        </w:rPr>
      </w:pPr>
    </w:p>
    <w:p w14:paraId="3053C13E" w14:textId="3500AD40" w:rsidR="00CB3D6D" w:rsidRDefault="00CB3D6D" w:rsidP="00CB3D6D">
      <w:pPr>
        <w:pStyle w:val="OBRZEK0"/>
      </w:pPr>
      <w:bookmarkStart w:id="266" w:name="_Toc104473129"/>
      <w:bookmarkStart w:id="267" w:name="_Toc120652027"/>
      <w:r>
        <w:t xml:space="preserve">Obrázek </w:t>
      </w:r>
      <w:r w:rsidR="00E7281E">
        <w:t>8</w:t>
      </w:r>
      <w:r>
        <w:t xml:space="preserve">: Sběrné místo </w:t>
      </w:r>
      <w:r>
        <w:rPr>
          <w:rFonts w:eastAsia="RWXLTG+TimesNewRoman" w:cs="RWXLTG+TimesNewRoman"/>
          <w:bCs/>
        </w:rPr>
        <w:t>u autobusové zastávky „</w:t>
      </w:r>
      <w:r w:rsidRPr="00B23893">
        <w:rPr>
          <w:rFonts w:eastAsia="RWXLTG+TimesNewRoman" w:cs="RWXLTG+TimesNewRoman"/>
          <w:bCs/>
        </w:rPr>
        <w:t>Staré Buky, Horní Staré Buky, točna</w:t>
      </w:r>
      <w:r>
        <w:rPr>
          <w:rFonts w:eastAsia="RWXLTG+TimesNewRoman" w:cs="RWXLTG+TimesNewRoman"/>
          <w:bCs/>
        </w:rPr>
        <w:t>“</w:t>
      </w:r>
      <w:r w:rsidRPr="003D2736">
        <w:t xml:space="preserve"> </w:t>
      </w:r>
      <w:r>
        <w:t>– stav ke květnu 2022</w:t>
      </w:r>
      <w:bookmarkEnd w:id="266"/>
      <w:bookmarkEnd w:id="267"/>
    </w:p>
    <w:p w14:paraId="18293B99" w14:textId="543D200F" w:rsidR="00CB3D6D" w:rsidRDefault="00CB3D6D" w:rsidP="00CB3D6D">
      <w:pPr>
        <w:spacing w:line="259" w:lineRule="auto"/>
        <w:jc w:val="center"/>
        <w:rPr>
          <w:rFonts w:eastAsia="RWXLTG+TimesNewRoman" w:cs="RWXLTG+TimesNewRoman"/>
          <w:bCs/>
        </w:rPr>
      </w:pPr>
      <w:r>
        <w:rPr>
          <w:rFonts w:eastAsia="RWXLTG+TimesNewRoman" w:cs="RWXLTG+TimesNewRoman"/>
          <w:bCs/>
          <w:noProof/>
        </w:rPr>
        <w:drawing>
          <wp:inline distT="0" distB="0" distL="0" distR="0" wp14:anchorId="4803B47E" wp14:editId="356D2CB2">
            <wp:extent cx="3868324" cy="229362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890616" cy="2306838"/>
                    </a:xfrm>
                    <a:prstGeom prst="rect">
                      <a:avLst/>
                    </a:prstGeom>
                  </pic:spPr>
                </pic:pic>
              </a:graphicData>
            </a:graphic>
          </wp:inline>
        </w:drawing>
      </w:r>
    </w:p>
    <w:p w14:paraId="1300692C" w14:textId="00E0086B" w:rsidR="00CB3D6D" w:rsidRDefault="00CB3D6D" w:rsidP="00CB3D6D">
      <w:pPr>
        <w:spacing w:after="160" w:line="259" w:lineRule="auto"/>
        <w:jc w:val="both"/>
        <w:rPr>
          <w:bCs/>
        </w:rPr>
      </w:pPr>
      <w:r w:rsidRPr="004D2394">
        <w:rPr>
          <w:rFonts w:eastAsia="RWXLTG+TimesNewRoman" w:cs="RWXLTG+TimesNewRoman"/>
          <w:b/>
          <w:sz w:val="20"/>
          <w:szCs w:val="20"/>
        </w:rPr>
        <w:t>Zdroj:</w:t>
      </w:r>
      <w:r w:rsidRPr="004D2394">
        <w:rPr>
          <w:rFonts w:eastAsia="RWXLTG+TimesNewRoman" w:cs="RWXLTG+TimesNewRoman"/>
          <w:bCs/>
          <w:sz w:val="20"/>
          <w:szCs w:val="20"/>
        </w:rPr>
        <w:t xml:space="preserve"> vlastní průzkum</w:t>
      </w:r>
    </w:p>
    <w:p w14:paraId="35C221F1" w14:textId="739CF643" w:rsidR="00CB3D6D" w:rsidRDefault="00CB3D6D" w:rsidP="009D3BD5">
      <w:pPr>
        <w:spacing w:after="160" w:line="259" w:lineRule="auto"/>
        <w:jc w:val="both"/>
        <w:rPr>
          <w:bCs/>
        </w:rPr>
      </w:pPr>
    </w:p>
    <w:p w14:paraId="21E848DA" w14:textId="69C515B1" w:rsidR="009D3BD5" w:rsidRDefault="009D3BD5" w:rsidP="009D3BD5">
      <w:pPr>
        <w:spacing w:after="160" w:line="259" w:lineRule="auto"/>
        <w:jc w:val="both"/>
        <w:rPr>
          <w:b/>
          <w:bCs/>
          <w:shd w:val="clear" w:color="auto" w:fill="FFFFFF"/>
        </w:rPr>
      </w:pPr>
      <w:r w:rsidRPr="00327499">
        <w:rPr>
          <w:bCs/>
        </w:rPr>
        <w:t xml:space="preserve">Svoz směsného komunálního odpadu a tříděného odpadu zajišťuje </w:t>
      </w:r>
      <w:r w:rsidRPr="00327499">
        <w:rPr>
          <w:rFonts w:eastAsia="RWXLTG+TimesNewRoman" w:cs="RWXLTG+TimesNewRoman"/>
        </w:rPr>
        <w:t xml:space="preserve">společnost </w:t>
      </w:r>
      <w:r w:rsidR="00896700" w:rsidRPr="00896700">
        <w:rPr>
          <w:b/>
          <w:bCs/>
          <w:shd w:val="clear" w:color="auto" w:fill="FFFFFF"/>
        </w:rPr>
        <w:t>TRANSPORT Trutnov s.r.o.</w:t>
      </w:r>
    </w:p>
    <w:p w14:paraId="1041A644" w14:textId="75DE7659" w:rsidR="00367EBC" w:rsidRDefault="00367EBC" w:rsidP="00367EBC">
      <w:pPr>
        <w:spacing w:after="160" w:line="259" w:lineRule="auto"/>
        <w:jc w:val="both"/>
      </w:pPr>
      <w:r w:rsidRPr="005D6B2C">
        <w:rPr>
          <w:b/>
        </w:rPr>
        <w:lastRenderedPageBreak/>
        <w:t>Bioodpad</w:t>
      </w:r>
      <w:r w:rsidRPr="005D6B2C">
        <w:t xml:space="preserve"> mohou občané</w:t>
      </w:r>
      <w:r w:rsidR="00676D6B">
        <w:t xml:space="preserve"> odkládat do</w:t>
      </w:r>
      <w:r w:rsidRPr="005D6B2C">
        <w:t xml:space="preserve"> </w:t>
      </w:r>
      <w:r w:rsidR="00676D6B">
        <w:t>velkoobjemového kontejneru na bioodpad, případně do kompostérů, které mají u svých domů.</w:t>
      </w:r>
    </w:p>
    <w:p w14:paraId="419439AC" w14:textId="5CFEDBBC" w:rsidR="00367EBC" w:rsidRDefault="007E4000" w:rsidP="00367EBC">
      <w:pPr>
        <w:spacing w:after="160" w:line="259" w:lineRule="auto"/>
        <w:jc w:val="both"/>
      </w:pPr>
      <w:r>
        <w:rPr>
          <w:b/>
        </w:rPr>
        <w:t>Sběr a svoz k</w:t>
      </w:r>
      <w:r w:rsidR="00367EBC" w:rsidRPr="00076C8C">
        <w:rPr>
          <w:b/>
        </w:rPr>
        <w:t>ovov</w:t>
      </w:r>
      <w:r>
        <w:rPr>
          <w:b/>
        </w:rPr>
        <w:t>ého</w:t>
      </w:r>
      <w:r w:rsidR="00367EBC" w:rsidRPr="00076C8C">
        <w:rPr>
          <w:b/>
        </w:rPr>
        <w:t xml:space="preserve"> odpad</w:t>
      </w:r>
      <w:r>
        <w:rPr>
          <w:b/>
        </w:rPr>
        <w:t>u</w:t>
      </w:r>
      <w:r w:rsidR="00367EBC" w:rsidRPr="00076C8C">
        <w:rPr>
          <w:b/>
        </w:rPr>
        <w:t xml:space="preserve"> </w:t>
      </w:r>
      <w:r w:rsidRPr="004C0F0B">
        <w:t>je zajiš</w:t>
      </w:r>
      <w:r>
        <w:t>ťován</w:t>
      </w:r>
      <w:r w:rsidRPr="004C0F0B">
        <w:t xml:space="preserve"> </w:t>
      </w:r>
      <w:r>
        <w:t>1x</w:t>
      </w:r>
      <w:r w:rsidRPr="004C0F0B">
        <w:t xml:space="preserve"> ročně</w:t>
      </w:r>
      <w:r w:rsidR="00AD4CB9">
        <w:t>, přičemž ve sběru a svozu se po roce střídají</w:t>
      </w:r>
      <w:r>
        <w:t xml:space="preserve"> </w:t>
      </w:r>
      <w:r w:rsidR="00786B61">
        <w:t xml:space="preserve">spolky </w:t>
      </w:r>
      <w:r w:rsidR="00786B61" w:rsidRPr="00786B61">
        <w:t>Myslivecký spolek Staré Buky</w:t>
      </w:r>
      <w:r w:rsidR="00786B61">
        <w:t xml:space="preserve"> a </w:t>
      </w:r>
      <w:r w:rsidR="00786B61" w:rsidRPr="00786B61">
        <w:t>Tělovýchovná jednota Sokol Staré Buky, z.s.</w:t>
      </w:r>
    </w:p>
    <w:p w14:paraId="6E755373" w14:textId="76E9B0FD" w:rsidR="00367EBC" w:rsidRDefault="00367EBC" w:rsidP="00367EBC">
      <w:pPr>
        <w:spacing w:after="160" w:line="259" w:lineRule="auto"/>
        <w:jc w:val="both"/>
      </w:pPr>
      <w:r>
        <w:rPr>
          <w:b/>
        </w:rPr>
        <w:t>Sběr a s</w:t>
      </w:r>
      <w:r w:rsidRPr="00075C28">
        <w:rPr>
          <w:b/>
        </w:rPr>
        <w:t>voz nebezpečného odpadu</w:t>
      </w:r>
      <w:r>
        <w:t xml:space="preserve"> </w:t>
      </w:r>
      <w:r w:rsidRPr="004C0F0B">
        <w:t>(např. barvy, ředidla, akumulátory, zářivky apod.) je zajiš</w:t>
      </w:r>
      <w:r>
        <w:t>ťován</w:t>
      </w:r>
      <w:r w:rsidRPr="004C0F0B">
        <w:t xml:space="preserve"> </w:t>
      </w:r>
      <w:r w:rsidR="008C55F5">
        <w:t>1</w:t>
      </w:r>
      <w:r>
        <w:t>x</w:t>
      </w:r>
      <w:r w:rsidRPr="004C0F0B">
        <w:t xml:space="preserve"> ročně</w:t>
      </w:r>
      <w:r w:rsidR="00423222">
        <w:t xml:space="preserve"> </w:t>
      </w:r>
      <w:r w:rsidR="008C55F5">
        <w:t>do přistavených kontejnerů společnosti Transport Trutnov, s.r.o</w:t>
      </w:r>
      <w:r w:rsidR="00423222">
        <w:t>.</w:t>
      </w:r>
    </w:p>
    <w:p w14:paraId="260F460F" w14:textId="297AF40C" w:rsidR="00367EBC" w:rsidRDefault="008C55F5" w:rsidP="00367EBC">
      <w:pPr>
        <w:spacing w:after="160" w:line="259" w:lineRule="auto"/>
        <w:jc w:val="both"/>
      </w:pPr>
      <w:r>
        <w:rPr>
          <w:b/>
        </w:rPr>
        <w:t>Sběr a s</w:t>
      </w:r>
      <w:r w:rsidRPr="00075C28">
        <w:rPr>
          <w:b/>
        </w:rPr>
        <w:t xml:space="preserve">voz </w:t>
      </w:r>
      <w:r>
        <w:rPr>
          <w:b/>
        </w:rPr>
        <w:t>o</w:t>
      </w:r>
      <w:r w:rsidR="00367EBC" w:rsidRPr="008C74D7">
        <w:rPr>
          <w:b/>
        </w:rPr>
        <w:t>bjemn</w:t>
      </w:r>
      <w:r>
        <w:rPr>
          <w:b/>
        </w:rPr>
        <w:t>ého</w:t>
      </w:r>
      <w:r w:rsidR="00423222">
        <w:rPr>
          <w:b/>
        </w:rPr>
        <w:t xml:space="preserve"> </w:t>
      </w:r>
      <w:r w:rsidR="00367EBC" w:rsidRPr="008C74D7">
        <w:rPr>
          <w:b/>
        </w:rPr>
        <w:t>odpad</w:t>
      </w:r>
      <w:r>
        <w:rPr>
          <w:b/>
        </w:rPr>
        <w:t>u</w:t>
      </w:r>
      <w:r w:rsidR="00367EBC" w:rsidRPr="008C74D7">
        <w:t xml:space="preserve"> (např. koberce, matrace, nábytek apod.) </w:t>
      </w:r>
      <w:r w:rsidRPr="004C0F0B">
        <w:t>je zajiš</w:t>
      </w:r>
      <w:r>
        <w:t>ťován</w:t>
      </w:r>
      <w:r w:rsidRPr="004C0F0B">
        <w:t xml:space="preserve"> </w:t>
      </w:r>
      <w:r>
        <w:t>1x</w:t>
      </w:r>
      <w:r w:rsidRPr="004C0F0B">
        <w:t xml:space="preserve"> ročně</w:t>
      </w:r>
      <w:r>
        <w:t xml:space="preserve"> do přistavených kontejnerů společnosti Transport Trutnov, s.r.o.</w:t>
      </w:r>
    </w:p>
    <w:p w14:paraId="32FF7ADA" w14:textId="77777777" w:rsidR="00367EBC" w:rsidRPr="00401676" w:rsidRDefault="00367EBC" w:rsidP="00367EBC">
      <w:pPr>
        <w:spacing w:after="160" w:line="259" w:lineRule="auto"/>
        <w:jc w:val="both"/>
        <w:rPr>
          <w:b/>
        </w:rPr>
      </w:pPr>
      <w:r w:rsidRPr="00075C28">
        <w:rPr>
          <w:b/>
        </w:rPr>
        <w:t>Likvidaci stavebních sutí, zemin a dalších odpadů a jejich odvoz</w:t>
      </w:r>
      <w:r>
        <w:t xml:space="preserve"> lze řešit pouze zákonem stanoveným způsobem</w:t>
      </w:r>
      <w:r>
        <w:rPr>
          <w:rStyle w:val="Znakapoznpodarou"/>
        </w:rPr>
        <w:footnoteReference w:id="33"/>
      </w:r>
      <w:r>
        <w:t>.</w:t>
      </w:r>
    </w:p>
    <w:p w14:paraId="201FC809" w14:textId="49CBECD2" w:rsidR="00BB1C31" w:rsidRDefault="00367EBC" w:rsidP="00367EBC">
      <w:pPr>
        <w:spacing w:after="160" w:line="259" w:lineRule="auto"/>
        <w:jc w:val="both"/>
      </w:pPr>
      <w:r>
        <w:t>Podnikatelské subjekty si musí zajistit likvidaci a odvoz odpadů, který vznikne prostřednictvím jejich činnosti, sami, či na základě dohody se svozovou společností.</w:t>
      </w:r>
    </w:p>
    <w:p w14:paraId="2F4915ED" w14:textId="08FBC24E" w:rsidR="00ED1DFA" w:rsidRDefault="00ED1DFA" w:rsidP="00367EBC">
      <w:pPr>
        <w:spacing w:after="160" w:line="259" w:lineRule="auto"/>
        <w:jc w:val="both"/>
      </w:pPr>
      <w:r w:rsidRPr="00ED1DFA">
        <w:rPr>
          <w:b/>
          <w:bCs/>
        </w:rPr>
        <w:t xml:space="preserve">Na území obce se </w:t>
      </w:r>
      <w:r w:rsidR="006022F6">
        <w:rPr>
          <w:b/>
          <w:bCs/>
        </w:rPr>
        <w:t>ne</w:t>
      </w:r>
      <w:r w:rsidRPr="00ED1DFA">
        <w:rPr>
          <w:b/>
          <w:bCs/>
        </w:rPr>
        <w:t>nachází sběrný dvůr</w:t>
      </w:r>
      <w:r w:rsidR="00A12C23">
        <w:t>.</w:t>
      </w:r>
    </w:p>
    <w:p w14:paraId="13C9A94A" w14:textId="77777777" w:rsidR="00081C38" w:rsidRDefault="00081C38" w:rsidP="001177FB">
      <w:pPr>
        <w:spacing w:after="160" w:line="259" w:lineRule="auto"/>
        <w:jc w:val="both"/>
      </w:pPr>
    </w:p>
    <w:p w14:paraId="6FB891C0" w14:textId="77777777" w:rsidR="008147E6" w:rsidRDefault="008147E6" w:rsidP="00814D5A">
      <w:pPr>
        <w:pStyle w:val="Nadpis3"/>
      </w:pPr>
      <w:bookmarkStart w:id="269" w:name="_Toc413418371"/>
      <w:bookmarkStart w:id="270" w:name="_Toc440566350"/>
      <w:bookmarkStart w:id="271" w:name="_Toc441227501"/>
      <w:bookmarkStart w:id="272" w:name="_Toc32580122"/>
      <w:bookmarkStart w:id="273" w:name="_Toc120652147"/>
      <w:r>
        <w:t>2.1.5 Vybavenost obce</w:t>
      </w:r>
      <w:bookmarkEnd w:id="269"/>
      <w:bookmarkEnd w:id="270"/>
      <w:bookmarkEnd w:id="271"/>
      <w:bookmarkEnd w:id="272"/>
      <w:bookmarkEnd w:id="273"/>
    </w:p>
    <w:p w14:paraId="16BC6611" w14:textId="77777777" w:rsidR="008147E6" w:rsidRPr="00287E93" w:rsidRDefault="008147E6" w:rsidP="00814D5A">
      <w:pPr>
        <w:pStyle w:val="Nadpis4"/>
      </w:pPr>
      <w:bookmarkStart w:id="274" w:name="_Toc413418372"/>
      <w:bookmarkStart w:id="275" w:name="_Toc440566351"/>
      <w:bookmarkStart w:id="276" w:name="_Toc441227502"/>
      <w:bookmarkStart w:id="277" w:name="_Toc32580123"/>
      <w:bookmarkStart w:id="278" w:name="_Toc120652148"/>
      <w:r>
        <w:t>2.1.5.1 Bydlení</w:t>
      </w:r>
      <w:bookmarkEnd w:id="274"/>
      <w:bookmarkEnd w:id="275"/>
      <w:bookmarkEnd w:id="276"/>
      <w:bookmarkEnd w:id="277"/>
      <w:bookmarkEnd w:id="278"/>
    </w:p>
    <w:p w14:paraId="54A462A1" w14:textId="055329B0" w:rsidR="001C73BA" w:rsidRPr="003217FA" w:rsidRDefault="007A7455" w:rsidP="00D86224">
      <w:pPr>
        <w:spacing w:after="160" w:line="259" w:lineRule="auto"/>
        <w:jc w:val="both"/>
      </w:pPr>
      <w:r w:rsidRPr="00794171">
        <w:t xml:space="preserve">Tabulky </w:t>
      </w:r>
      <w:r w:rsidR="00794171" w:rsidRPr="00794171">
        <w:t>1</w:t>
      </w:r>
      <w:r w:rsidR="00A95A3F">
        <w:t>7</w:t>
      </w:r>
      <w:r w:rsidRPr="00794171">
        <w:t xml:space="preserve"> a </w:t>
      </w:r>
      <w:r w:rsidR="00115B9B">
        <w:t>1</w:t>
      </w:r>
      <w:r w:rsidR="00A95A3F">
        <w:t>8</w:t>
      </w:r>
      <w:r>
        <w:t xml:space="preserve"> podávají</w:t>
      </w:r>
      <w:r w:rsidRPr="003217FA">
        <w:t xml:space="preserve"> informa</w:t>
      </w:r>
      <w:r>
        <w:t xml:space="preserve">ce o domovním a bytovém fondu v obci </w:t>
      </w:r>
      <w:r w:rsidR="00A95A3F">
        <w:t>Staré Buky</w:t>
      </w:r>
      <w:r>
        <w:t xml:space="preserve"> v letech</w:t>
      </w:r>
      <w:r w:rsidRPr="003217FA">
        <w:t xml:space="preserve"> 2001 </w:t>
      </w:r>
      <w:r>
        <w:br/>
      </w:r>
      <w:r w:rsidRPr="003217FA">
        <w:t>a 2011.</w:t>
      </w:r>
      <w:r>
        <w:t xml:space="preserve"> Výsledky za jednotlivé roky jsou ve dvou tabulkách z toho důvodu, že ve sčítání lidu, domů </w:t>
      </w:r>
      <w:r>
        <w:br/>
        <w:t>a bytů v roce 2001 a 2011 byl použit odlišný způsob zjišťování dat. V roce 2001 byla obydlenost domů i bytů zjišťována na základě trvalého pobytu, zatímco v roce 2011 na základě obvyklého pobytu. Z toho důvodu je nutné brát porovnání hodnot mezi jednotlivými lety s rezervou.</w:t>
      </w:r>
    </w:p>
    <w:p w14:paraId="7A722AF0" w14:textId="77777777" w:rsidR="00115B9B" w:rsidRDefault="00115B9B" w:rsidP="00875F59">
      <w:pPr>
        <w:spacing w:after="160" w:line="259" w:lineRule="auto"/>
        <w:jc w:val="both"/>
        <w:rPr>
          <w:b/>
        </w:rPr>
      </w:pPr>
    </w:p>
    <w:p w14:paraId="67C6A161" w14:textId="6D6F9145" w:rsidR="001C73BA" w:rsidRPr="00287E93" w:rsidRDefault="001C73BA" w:rsidP="001C73BA">
      <w:pPr>
        <w:pStyle w:val="TABULKA0"/>
      </w:pPr>
      <w:bookmarkStart w:id="279" w:name="_Toc441221923"/>
      <w:bookmarkStart w:id="280" w:name="_Toc465022158"/>
      <w:bookmarkStart w:id="281" w:name="_Toc480751597"/>
      <w:bookmarkStart w:id="282" w:name="_Toc32577795"/>
      <w:bookmarkStart w:id="283" w:name="_Toc120651939"/>
      <w:r w:rsidRPr="00794171">
        <w:t>Tabulka</w:t>
      </w:r>
      <w:r w:rsidR="00A70A9A" w:rsidRPr="00794171">
        <w:t xml:space="preserve"> </w:t>
      </w:r>
      <w:r w:rsidR="00794171" w:rsidRPr="00794171">
        <w:t>1</w:t>
      </w:r>
      <w:r w:rsidR="00A95A3F">
        <w:t>7</w:t>
      </w:r>
      <w:r w:rsidRPr="00794171">
        <w:t xml:space="preserve">: Informace o domovním a bytovém fondu v obci </w:t>
      </w:r>
      <w:r w:rsidR="00A95A3F">
        <w:t>Staré Buky</w:t>
      </w:r>
      <w:r w:rsidRPr="00794171">
        <w:t xml:space="preserve"> v roce 2001</w:t>
      </w:r>
      <w:bookmarkEnd w:id="279"/>
      <w:bookmarkEnd w:id="280"/>
      <w:bookmarkEnd w:id="281"/>
      <w:bookmarkEnd w:id="282"/>
      <w:bookmarkEnd w:id="283"/>
    </w:p>
    <w:tbl>
      <w:tblPr>
        <w:tblW w:w="4731" w:type="pct"/>
        <w:jc w:val="center"/>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left w:w="70" w:type="dxa"/>
          <w:right w:w="70" w:type="dxa"/>
        </w:tblCellMar>
        <w:tblLook w:val="04A0" w:firstRow="1" w:lastRow="0" w:firstColumn="1" w:lastColumn="0" w:noHBand="0" w:noVBand="1"/>
      </w:tblPr>
      <w:tblGrid>
        <w:gridCol w:w="777"/>
        <w:gridCol w:w="988"/>
        <w:gridCol w:w="994"/>
        <w:gridCol w:w="988"/>
        <w:gridCol w:w="994"/>
        <w:gridCol w:w="1297"/>
        <w:gridCol w:w="2678"/>
      </w:tblGrid>
      <w:tr w:rsidR="001C73BA" w:rsidRPr="003217FA" w14:paraId="4601745B" w14:textId="77777777" w:rsidTr="00A95A3F">
        <w:trPr>
          <w:trHeight w:val="165"/>
          <w:jc w:val="center"/>
        </w:trPr>
        <w:tc>
          <w:tcPr>
            <w:tcW w:w="5000" w:type="pct"/>
            <w:gridSpan w:val="7"/>
            <w:tcBorders>
              <w:top w:val="single" w:sz="18" w:space="0" w:color="auto"/>
              <w:bottom w:val="single" w:sz="12" w:space="0" w:color="auto"/>
            </w:tcBorders>
            <w:shd w:val="clear" w:color="auto" w:fill="FFC000"/>
            <w:noWrap/>
            <w:vAlign w:val="center"/>
            <w:hideMark/>
          </w:tcPr>
          <w:p w14:paraId="4A29F0A3"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Domovní fond</w:t>
            </w:r>
          </w:p>
        </w:tc>
      </w:tr>
      <w:tr w:rsidR="001C73BA" w:rsidRPr="003217FA" w14:paraId="4297F253" w14:textId="77777777" w:rsidTr="002B5FE7">
        <w:trPr>
          <w:trHeight w:val="185"/>
          <w:jc w:val="center"/>
        </w:trPr>
        <w:tc>
          <w:tcPr>
            <w:tcW w:w="446" w:type="pct"/>
            <w:vMerge w:val="restart"/>
            <w:tcBorders>
              <w:top w:val="single" w:sz="12" w:space="0" w:color="auto"/>
              <w:bottom w:val="single" w:sz="4" w:space="0" w:color="auto"/>
              <w:right w:val="single" w:sz="12" w:space="0" w:color="auto"/>
            </w:tcBorders>
            <w:shd w:val="clear" w:color="auto" w:fill="92D050"/>
            <w:noWrap/>
            <w:vAlign w:val="center"/>
            <w:hideMark/>
          </w:tcPr>
          <w:p w14:paraId="40D9AA6A"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Rok</w:t>
            </w:r>
          </w:p>
        </w:tc>
        <w:tc>
          <w:tcPr>
            <w:tcW w:w="567" w:type="pct"/>
            <w:vMerge w:val="restart"/>
            <w:tcBorders>
              <w:top w:val="single" w:sz="12" w:space="0" w:color="auto"/>
              <w:left w:val="single" w:sz="12" w:space="0" w:color="auto"/>
              <w:bottom w:val="single" w:sz="4" w:space="0" w:color="auto"/>
              <w:right w:val="single" w:sz="12" w:space="0" w:color="auto"/>
            </w:tcBorders>
            <w:shd w:val="clear" w:color="auto" w:fill="92D050"/>
            <w:noWrap/>
            <w:vAlign w:val="center"/>
            <w:hideMark/>
          </w:tcPr>
          <w:p w14:paraId="796B78CD"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Domy úhrnem</w:t>
            </w:r>
          </w:p>
        </w:tc>
        <w:tc>
          <w:tcPr>
            <w:tcW w:w="570" w:type="pct"/>
            <w:vMerge w:val="restart"/>
            <w:tcBorders>
              <w:top w:val="single" w:sz="12" w:space="0" w:color="auto"/>
              <w:left w:val="single" w:sz="12" w:space="0" w:color="auto"/>
              <w:bottom w:val="single" w:sz="4" w:space="0" w:color="auto"/>
              <w:right w:val="single" w:sz="12" w:space="0" w:color="auto"/>
            </w:tcBorders>
            <w:shd w:val="clear" w:color="auto" w:fill="92D050"/>
            <w:noWrap/>
            <w:vAlign w:val="center"/>
            <w:hideMark/>
          </w:tcPr>
          <w:p w14:paraId="2B063793"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Domy obydlené</w:t>
            </w:r>
          </w:p>
        </w:tc>
        <w:tc>
          <w:tcPr>
            <w:tcW w:w="1136" w:type="pct"/>
            <w:gridSpan w:val="2"/>
            <w:tcBorders>
              <w:top w:val="single" w:sz="12" w:space="0" w:color="auto"/>
              <w:left w:val="single" w:sz="12" w:space="0" w:color="auto"/>
              <w:bottom w:val="single" w:sz="4" w:space="0" w:color="auto"/>
              <w:right w:val="single" w:sz="12" w:space="0" w:color="auto"/>
            </w:tcBorders>
            <w:shd w:val="clear" w:color="auto" w:fill="92D050"/>
            <w:noWrap/>
            <w:vAlign w:val="center"/>
            <w:hideMark/>
          </w:tcPr>
          <w:p w14:paraId="288ED9D8"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Z toho</w:t>
            </w:r>
          </w:p>
        </w:tc>
        <w:tc>
          <w:tcPr>
            <w:tcW w:w="744" w:type="pct"/>
            <w:vMerge w:val="restart"/>
            <w:tcBorders>
              <w:top w:val="single" w:sz="12" w:space="0" w:color="auto"/>
              <w:left w:val="single" w:sz="12" w:space="0" w:color="auto"/>
              <w:bottom w:val="single" w:sz="4" w:space="0" w:color="auto"/>
              <w:right w:val="single" w:sz="12" w:space="0" w:color="auto"/>
            </w:tcBorders>
            <w:shd w:val="clear" w:color="auto" w:fill="92D050"/>
            <w:noWrap/>
            <w:vAlign w:val="center"/>
            <w:hideMark/>
          </w:tcPr>
          <w:p w14:paraId="0B480C56"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Domy neobydlené</w:t>
            </w:r>
          </w:p>
        </w:tc>
        <w:tc>
          <w:tcPr>
            <w:tcW w:w="1538" w:type="pct"/>
            <w:vMerge w:val="restart"/>
            <w:tcBorders>
              <w:top w:val="single" w:sz="12" w:space="0" w:color="auto"/>
              <w:left w:val="single" w:sz="12" w:space="0" w:color="auto"/>
              <w:bottom w:val="single" w:sz="4" w:space="0" w:color="auto"/>
            </w:tcBorders>
            <w:shd w:val="clear" w:color="auto" w:fill="92D050"/>
            <w:noWrap/>
            <w:vAlign w:val="center"/>
            <w:hideMark/>
          </w:tcPr>
          <w:p w14:paraId="660E030D"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Podíl neobydlených domů z celkového počtu domů (v %)</w:t>
            </w:r>
          </w:p>
        </w:tc>
      </w:tr>
      <w:tr w:rsidR="001C73BA" w:rsidRPr="003217FA" w14:paraId="3265AD84" w14:textId="77777777" w:rsidTr="002B5FE7">
        <w:trPr>
          <w:trHeight w:val="316"/>
          <w:jc w:val="center"/>
        </w:trPr>
        <w:tc>
          <w:tcPr>
            <w:tcW w:w="446" w:type="pct"/>
            <w:vMerge/>
            <w:tcBorders>
              <w:top w:val="single" w:sz="4" w:space="0" w:color="auto"/>
              <w:bottom w:val="single" w:sz="12" w:space="0" w:color="auto"/>
              <w:right w:val="single" w:sz="12" w:space="0" w:color="auto"/>
            </w:tcBorders>
            <w:shd w:val="clear" w:color="auto" w:fill="auto"/>
            <w:noWrap/>
            <w:vAlign w:val="center"/>
            <w:hideMark/>
          </w:tcPr>
          <w:p w14:paraId="5A382382" w14:textId="77777777" w:rsidR="001C73BA" w:rsidRPr="003217FA" w:rsidRDefault="001C73BA" w:rsidP="00DE1077">
            <w:pPr>
              <w:jc w:val="center"/>
              <w:rPr>
                <w:rFonts w:eastAsia="Times New Roman" w:cs="Times New Roman"/>
                <w:b/>
                <w:color w:val="000000"/>
                <w:sz w:val="20"/>
                <w:szCs w:val="20"/>
                <w:lang w:eastAsia="cs-CZ"/>
              </w:rPr>
            </w:pPr>
          </w:p>
        </w:tc>
        <w:tc>
          <w:tcPr>
            <w:tcW w:w="567" w:type="pct"/>
            <w:vMerge/>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36B70566" w14:textId="77777777" w:rsidR="001C73BA" w:rsidRPr="003217FA" w:rsidRDefault="001C73BA" w:rsidP="00DE1077">
            <w:pPr>
              <w:jc w:val="center"/>
              <w:rPr>
                <w:rFonts w:eastAsia="Times New Roman" w:cs="Times New Roman"/>
                <w:b/>
                <w:color w:val="000000"/>
                <w:sz w:val="20"/>
                <w:szCs w:val="20"/>
                <w:lang w:eastAsia="cs-CZ"/>
              </w:rPr>
            </w:pPr>
          </w:p>
        </w:tc>
        <w:tc>
          <w:tcPr>
            <w:tcW w:w="570" w:type="pct"/>
            <w:vMerge/>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2656E55C" w14:textId="77777777" w:rsidR="001C73BA" w:rsidRPr="003217FA" w:rsidRDefault="001C73BA" w:rsidP="00DE1077">
            <w:pPr>
              <w:jc w:val="center"/>
              <w:rPr>
                <w:rFonts w:eastAsia="Times New Roman" w:cs="Times New Roman"/>
                <w:b/>
                <w:color w:val="000000"/>
                <w:sz w:val="20"/>
                <w:szCs w:val="20"/>
                <w:lang w:eastAsia="cs-CZ"/>
              </w:rPr>
            </w:pPr>
          </w:p>
        </w:tc>
        <w:tc>
          <w:tcPr>
            <w:tcW w:w="567" w:type="pct"/>
            <w:tcBorders>
              <w:top w:val="single" w:sz="4" w:space="0" w:color="auto"/>
              <w:left w:val="single" w:sz="12" w:space="0" w:color="auto"/>
              <w:bottom w:val="single" w:sz="12" w:space="0" w:color="auto"/>
              <w:right w:val="single" w:sz="12" w:space="0" w:color="auto"/>
            </w:tcBorders>
            <w:shd w:val="clear" w:color="auto" w:fill="92D050"/>
            <w:noWrap/>
            <w:vAlign w:val="center"/>
            <w:hideMark/>
          </w:tcPr>
          <w:p w14:paraId="6EA9C2F3"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Rodinné domy</w:t>
            </w:r>
          </w:p>
        </w:tc>
        <w:tc>
          <w:tcPr>
            <w:tcW w:w="570" w:type="pct"/>
            <w:tcBorders>
              <w:top w:val="single" w:sz="4" w:space="0" w:color="auto"/>
              <w:left w:val="single" w:sz="12" w:space="0" w:color="auto"/>
              <w:bottom w:val="single" w:sz="12" w:space="0" w:color="auto"/>
              <w:right w:val="single" w:sz="12" w:space="0" w:color="auto"/>
            </w:tcBorders>
            <w:shd w:val="clear" w:color="auto" w:fill="92D050"/>
            <w:noWrap/>
            <w:vAlign w:val="center"/>
            <w:hideMark/>
          </w:tcPr>
          <w:p w14:paraId="01A8DDE4"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Bytové domy</w:t>
            </w:r>
          </w:p>
        </w:tc>
        <w:tc>
          <w:tcPr>
            <w:tcW w:w="744" w:type="pct"/>
            <w:vMerge/>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46551FD0" w14:textId="77777777" w:rsidR="001C73BA" w:rsidRPr="003217FA" w:rsidRDefault="001C73BA" w:rsidP="00DE1077">
            <w:pPr>
              <w:jc w:val="center"/>
              <w:rPr>
                <w:rFonts w:eastAsia="Times New Roman" w:cs="Times New Roman"/>
                <w:b/>
                <w:color w:val="000000"/>
                <w:sz w:val="20"/>
                <w:szCs w:val="20"/>
                <w:lang w:eastAsia="cs-CZ"/>
              </w:rPr>
            </w:pPr>
          </w:p>
        </w:tc>
        <w:tc>
          <w:tcPr>
            <w:tcW w:w="1538" w:type="pct"/>
            <w:vMerge/>
            <w:tcBorders>
              <w:top w:val="single" w:sz="4" w:space="0" w:color="auto"/>
              <w:left w:val="single" w:sz="12" w:space="0" w:color="auto"/>
              <w:bottom w:val="single" w:sz="12" w:space="0" w:color="auto"/>
            </w:tcBorders>
            <w:shd w:val="clear" w:color="auto" w:fill="auto"/>
            <w:noWrap/>
            <w:vAlign w:val="center"/>
            <w:hideMark/>
          </w:tcPr>
          <w:p w14:paraId="4AB239F1" w14:textId="77777777" w:rsidR="001C73BA" w:rsidRPr="003217FA" w:rsidRDefault="001C73BA" w:rsidP="00DE1077">
            <w:pPr>
              <w:jc w:val="center"/>
              <w:rPr>
                <w:rFonts w:eastAsia="Times New Roman" w:cs="Times New Roman"/>
                <w:b/>
                <w:color w:val="000000"/>
                <w:sz w:val="20"/>
                <w:szCs w:val="20"/>
                <w:lang w:eastAsia="cs-CZ"/>
              </w:rPr>
            </w:pPr>
          </w:p>
        </w:tc>
      </w:tr>
      <w:tr w:rsidR="001427D1" w:rsidRPr="003217FA" w14:paraId="72E40C81" w14:textId="77777777" w:rsidTr="00081C38">
        <w:trPr>
          <w:trHeight w:val="50"/>
          <w:jc w:val="center"/>
        </w:trPr>
        <w:tc>
          <w:tcPr>
            <w:tcW w:w="446" w:type="pct"/>
            <w:tcBorders>
              <w:top w:val="single" w:sz="12" w:space="0" w:color="auto"/>
              <w:right w:val="single" w:sz="12" w:space="0" w:color="auto"/>
            </w:tcBorders>
            <w:shd w:val="clear" w:color="auto" w:fill="D9D9D9" w:themeFill="background1" w:themeFillShade="D9"/>
            <w:noWrap/>
            <w:vAlign w:val="center"/>
            <w:hideMark/>
          </w:tcPr>
          <w:p w14:paraId="01BE6810" w14:textId="77777777" w:rsidR="001427D1" w:rsidRPr="003217FA" w:rsidRDefault="001427D1" w:rsidP="001427D1">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2001</w:t>
            </w:r>
          </w:p>
        </w:tc>
        <w:tc>
          <w:tcPr>
            <w:tcW w:w="567" w:type="pct"/>
            <w:tcBorders>
              <w:top w:val="single" w:sz="12" w:space="0" w:color="auto"/>
              <w:left w:val="single" w:sz="12" w:space="0" w:color="auto"/>
              <w:right w:val="single" w:sz="12" w:space="0" w:color="auto"/>
            </w:tcBorders>
            <w:shd w:val="clear" w:color="auto" w:fill="auto"/>
            <w:vAlign w:val="bottom"/>
          </w:tcPr>
          <w:p w14:paraId="00AAEFC1" w14:textId="22FDE212"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140</w:t>
            </w:r>
          </w:p>
        </w:tc>
        <w:tc>
          <w:tcPr>
            <w:tcW w:w="570" w:type="pct"/>
            <w:tcBorders>
              <w:top w:val="single" w:sz="12" w:space="0" w:color="auto"/>
              <w:left w:val="single" w:sz="12" w:space="0" w:color="auto"/>
              <w:right w:val="single" w:sz="12" w:space="0" w:color="auto"/>
            </w:tcBorders>
            <w:shd w:val="clear" w:color="auto" w:fill="auto"/>
            <w:vAlign w:val="bottom"/>
          </w:tcPr>
          <w:p w14:paraId="38BC6C99" w14:textId="63D23608"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126</w:t>
            </w:r>
          </w:p>
        </w:tc>
        <w:tc>
          <w:tcPr>
            <w:tcW w:w="567" w:type="pct"/>
            <w:tcBorders>
              <w:top w:val="single" w:sz="12" w:space="0" w:color="auto"/>
              <w:left w:val="single" w:sz="12" w:space="0" w:color="auto"/>
              <w:right w:val="single" w:sz="12" w:space="0" w:color="auto"/>
            </w:tcBorders>
            <w:shd w:val="clear" w:color="auto" w:fill="auto"/>
            <w:noWrap/>
            <w:vAlign w:val="bottom"/>
          </w:tcPr>
          <w:p w14:paraId="2F9EFDDF" w14:textId="3DE9C626"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121</w:t>
            </w:r>
          </w:p>
        </w:tc>
        <w:tc>
          <w:tcPr>
            <w:tcW w:w="570" w:type="pct"/>
            <w:tcBorders>
              <w:top w:val="single" w:sz="12" w:space="0" w:color="auto"/>
              <w:left w:val="single" w:sz="12" w:space="0" w:color="auto"/>
              <w:right w:val="single" w:sz="12" w:space="0" w:color="auto"/>
            </w:tcBorders>
            <w:shd w:val="clear" w:color="auto" w:fill="auto"/>
            <w:noWrap/>
            <w:vAlign w:val="bottom"/>
          </w:tcPr>
          <w:p w14:paraId="017E2803" w14:textId="4C6382EF"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3</w:t>
            </w:r>
          </w:p>
        </w:tc>
        <w:tc>
          <w:tcPr>
            <w:tcW w:w="744" w:type="pct"/>
            <w:tcBorders>
              <w:top w:val="single" w:sz="12" w:space="0" w:color="auto"/>
              <w:left w:val="single" w:sz="12" w:space="0" w:color="auto"/>
              <w:right w:val="single" w:sz="12" w:space="0" w:color="auto"/>
            </w:tcBorders>
            <w:shd w:val="clear" w:color="auto" w:fill="auto"/>
            <w:noWrap/>
            <w:vAlign w:val="bottom"/>
          </w:tcPr>
          <w:p w14:paraId="5FD19FF4" w14:textId="25F42ADE"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14</w:t>
            </w:r>
          </w:p>
        </w:tc>
        <w:tc>
          <w:tcPr>
            <w:tcW w:w="1538" w:type="pct"/>
            <w:tcBorders>
              <w:top w:val="single" w:sz="12" w:space="0" w:color="auto"/>
              <w:left w:val="single" w:sz="12" w:space="0" w:color="auto"/>
            </w:tcBorders>
            <w:shd w:val="clear" w:color="auto" w:fill="auto"/>
            <w:noWrap/>
            <w:vAlign w:val="bottom"/>
          </w:tcPr>
          <w:p w14:paraId="07F23B92" w14:textId="41260C83"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10,0</w:t>
            </w:r>
          </w:p>
        </w:tc>
      </w:tr>
      <w:tr w:rsidR="001C73BA" w:rsidRPr="003217FA" w14:paraId="45F1668B" w14:textId="77777777" w:rsidTr="00A95A3F">
        <w:trPr>
          <w:trHeight w:val="103"/>
          <w:jc w:val="center"/>
        </w:trPr>
        <w:tc>
          <w:tcPr>
            <w:tcW w:w="5000" w:type="pct"/>
            <w:gridSpan w:val="7"/>
            <w:tcBorders>
              <w:top w:val="single" w:sz="18" w:space="0" w:color="auto"/>
              <w:bottom w:val="single" w:sz="12" w:space="0" w:color="auto"/>
            </w:tcBorders>
            <w:shd w:val="clear" w:color="auto" w:fill="FFC000"/>
            <w:noWrap/>
            <w:vAlign w:val="center"/>
            <w:hideMark/>
          </w:tcPr>
          <w:p w14:paraId="31C0A11B"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Bytový fond</w:t>
            </w:r>
          </w:p>
        </w:tc>
      </w:tr>
      <w:tr w:rsidR="001C73BA" w:rsidRPr="003217FA" w14:paraId="3C5D9F06" w14:textId="77777777" w:rsidTr="002B5FE7">
        <w:trPr>
          <w:trHeight w:val="170"/>
          <w:jc w:val="center"/>
        </w:trPr>
        <w:tc>
          <w:tcPr>
            <w:tcW w:w="446" w:type="pct"/>
            <w:vMerge w:val="restart"/>
            <w:tcBorders>
              <w:top w:val="single" w:sz="12" w:space="0" w:color="auto"/>
              <w:bottom w:val="single" w:sz="12" w:space="0" w:color="auto"/>
              <w:right w:val="single" w:sz="12" w:space="0" w:color="auto"/>
            </w:tcBorders>
            <w:shd w:val="clear" w:color="auto" w:fill="92D050"/>
            <w:noWrap/>
            <w:vAlign w:val="center"/>
            <w:hideMark/>
          </w:tcPr>
          <w:p w14:paraId="58F7C540"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Rok</w:t>
            </w:r>
          </w:p>
        </w:tc>
        <w:tc>
          <w:tcPr>
            <w:tcW w:w="567" w:type="pct"/>
            <w:vMerge w:val="restart"/>
            <w:tcBorders>
              <w:top w:val="single" w:sz="12" w:space="0" w:color="auto"/>
              <w:left w:val="single" w:sz="12" w:space="0" w:color="auto"/>
              <w:bottom w:val="single" w:sz="12" w:space="0" w:color="auto"/>
              <w:right w:val="single" w:sz="12" w:space="0" w:color="auto"/>
            </w:tcBorders>
            <w:shd w:val="clear" w:color="auto" w:fill="92D050"/>
            <w:noWrap/>
            <w:vAlign w:val="center"/>
            <w:hideMark/>
          </w:tcPr>
          <w:p w14:paraId="34571186"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Byty úhrnem</w:t>
            </w:r>
          </w:p>
        </w:tc>
        <w:tc>
          <w:tcPr>
            <w:tcW w:w="570" w:type="pct"/>
            <w:vMerge w:val="restart"/>
            <w:tcBorders>
              <w:top w:val="single" w:sz="12" w:space="0" w:color="auto"/>
              <w:left w:val="single" w:sz="12" w:space="0" w:color="auto"/>
              <w:bottom w:val="single" w:sz="12" w:space="0" w:color="auto"/>
              <w:right w:val="single" w:sz="12" w:space="0" w:color="auto"/>
            </w:tcBorders>
            <w:shd w:val="clear" w:color="auto" w:fill="92D050"/>
            <w:noWrap/>
            <w:vAlign w:val="center"/>
            <w:hideMark/>
          </w:tcPr>
          <w:p w14:paraId="0B482364"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Byty obydlené</w:t>
            </w:r>
          </w:p>
        </w:tc>
        <w:tc>
          <w:tcPr>
            <w:tcW w:w="1136" w:type="pct"/>
            <w:gridSpan w:val="2"/>
            <w:tcBorders>
              <w:top w:val="single" w:sz="12" w:space="0" w:color="auto"/>
              <w:left w:val="single" w:sz="12" w:space="0" w:color="auto"/>
              <w:bottom w:val="single" w:sz="8" w:space="0" w:color="auto"/>
              <w:right w:val="single" w:sz="12" w:space="0" w:color="auto"/>
            </w:tcBorders>
            <w:shd w:val="clear" w:color="auto" w:fill="92D050"/>
            <w:noWrap/>
            <w:vAlign w:val="center"/>
            <w:hideMark/>
          </w:tcPr>
          <w:p w14:paraId="69826168"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Z toho</w:t>
            </w:r>
          </w:p>
        </w:tc>
        <w:tc>
          <w:tcPr>
            <w:tcW w:w="744" w:type="pct"/>
            <w:vMerge w:val="restart"/>
            <w:tcBorders>
              <w:top w:val="single" w:sz="12" w:space="0" w:color="auto"/>
              <w:left w:val="single" w:sz="12" w:space="0" w:color="auto"/>
              <w:bottom w:val="single" w:sz="12" w:space="0" w:color="auto"/>
              <w:right w:val="single" w:sz="12" w:space="0" w:color="auto"/>
            </w:tcBorders>
            <w:shd w:val="clear" w:color="auto" w:fill="92D050"/>
            <w:noWrap/>
            <w:vAlign w:val="center"/>
            <w:hideMark/>
          </w:tcPr>
          <w:p w14:paraId="49DFC7D2"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Byty neobydlené</w:t>
            </w:r>
          </w:p>
        </w:tc>
        <w:tc>
          <w:tcPr>
            <w:tcW w:w="1538" w:type="pct"/>
            <w:vMerge w:val="restart"/>
            <w:tcBorders>
              <w:top w:val="single" w:sz="12" w:space="0" w:color="auto"/>
              <w:left w:val="single" w:sz="12" w:space="0" w:color="auto"/>
              <w:bottom w:val="single" w:sz="12" w:space="0" w:color="auto"/>
            </w:tcBorders>
            <w:shd w:val="clear" w:color="auto" w:fill="92D050"/>
            <w:noWrap/>
            <w:vAlign w:val="center"/>
            <w:hideMark/>
          </w:tcPr>
          <w:p w14:paraId="2901927D"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Podíl neobydlený</w:t>
            </w:r>
            <w:r>
              <w:rPr>
                <w:rFonts w:eastAsia="Times New Roman" w:cs="Times New Roman"/>
                <w:b/>
                <w:color w:val="000000"/>
                <w:sz w:val="20"/>
                <w:szCs w:val="20"/>
                <w:lang w:eastAsia="cs-CZ"/>
              </w:rPr>
              <w:t xml:space="preserve">ch bytů z celkového počtu bytů </w:t>
            </w:r>
            <w:r w:rsidRPr="003217FA">
              <w:rPr>
                <w:rFonts w:eastAsia="Times New Roman" w:cs="Times New Roman"/>
                <w:b/>
                <w:color w:val="000000"/>
                <w:sz w:val="20"/>
                <w:szCs w:val="20"/>
                <w:lang w:eastAsia="cs-CZ"/>
              </w:rPr>
              <w:t>(v %)</w:t>
            </w:r>
          </w:p>
        </w:tc>
      </w:tr>
      <w:tr w:rsidR="001C73BA" w:rsidRPr="003217FA" w14:paraId="483FD719" w14:textId="77777777" w:rsidTr="002B5FE7">
        <w:trPr>
          <w:trHeight w:val="170"/>
          <w:jc w:val="center"/>
        </w:trPr>
        <w:tc>
          <w:tcPr>
            <w:tcW w:w="446" w:type="pct"/>
            <w:vMerge/>
            <w:tcBorders>
              <w:top w:val="single" w:sz="12" w:space="0" w:color="auto"/>
              <w:bottom w:val="single" w:sz="12" w:space="0" w:color="auto"/>
              <w:right w:val="single" w:sz="12" w:space="0" w:color="auto"/>
            </w:tcBorders>
            <w:shd w:val="clear" w:color="auto" w:fill="auto"/>
            <w:noWrap/>
            <w:vAlign w:val="center"/>
            <w:hideMark/>
          </w:tcPr>
          <w:p w14:paraId="6EAA8C4F" w14:textId="77777777" w:rsidR="001C73BA" w:rsidRPr="003217FA" w:rsidRDefault="001C73BA" w:rsidP="00DE1077">
            <w:pPr>
              <w:jc w:val="center"/>
              <w:rPr>
                <w:rFonts w:eastAsia="Times New Roman" w:cs="Times New Roman"/>
                <w:b/>
                <w:color w:val="000000"/>
                <w:sz w:val="20"/>
                <w:szCs w:val="20"/>
                <w:lang w:eastAsia="cs-CZ"/>
              </w:rPr>
            </w:pPr>
          </w:p>
        </w:tc>
        <w:tc>
          <w:tcPr>
            <w:tcW w:w="567" w:type="pct"/>
            <w:vMerge/>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FD59874" w14:textId="77777777" w:rsidR="001C73BA" w:rsidRPr="003217FA" w:rsidRDefault="001C73BA" w:rsidP="00DE1077">
            <w:pPr>
              <w:jc w:val="center"/>
              <w:rPr>
                <w:rFonts w:eastAsia="Times New Roman" w:cs="Times New Roman"/>
                <w:b/>
                <w:color w:val="000000"/>
                <w:sz w:val="20"/>
                <w:szCs w:val="20"/>
                <w:lang w:eastAsia="cs-CZ"/>
              </w:rPr>
            </w:pPr>
          </w:p>
        </w:tc>
        <w:tc>
          <w:tcPr>
            <w:tcW w:w="570" w:type="pct"/>
            <w:vMerge/>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0466764" w14:textId="77777777" w:rsidR="001C73BA" w:rsidRPr="003217FA" w:rsidRDefault="001C73BA" w:rsidP="00DE1077">
            <w:pPr>
              <w:jc w:val="center"/>
              <w:rPr>
                <w:rFonts w:eastAsia="Times New Roman" w:cs="Times New Roman"/>
                <w:b/>
                <w:color w:val="000000"/>
                <w:sz w:val="20"/>
                <w:szCs w:val="20"/>
                <w:lang w:eastAsia="cs-CZ"/>
              </w:rPr>
            </w:pPr>
          </w:p>
        </w:tc>
        <w:tc>
          <w:tcPr>
            <w:tcW w:w="567" w:type="pct"/>
            <w:tcBorders>
              <w:top w:val="single" w:sz="8" w:space="0" w:color="auto"/>
              <w:left w:val="single" w:sz="12" w:space="0" w:color="auto"/>
              <w:bottom w:val="single" w:sz="12" w:space="0" w:color="auto"/>
              <w:right w:val="single" w:sz="12" w:space="0" w:color="auto"/>
            </w:tcBorders>
            <w:shd w:val="clear" w:color="auto" w:fill="92D050"/>
            <w:noWrap/>
            <w:vAlign w:val="center"/>
            <w:hideMark/>
          </w:tcPr>
          <w:p w14:paraId="07F94B96"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Rodinné domy</w:t>
            </w:r>
          </w:p>
        </w:tc>
        <w:tc>
          <w:tcPr>
            <w:tcW w:w="570" w:type="pct"/>
            <w:tcBorders>
              <w:top w:val="single" w:sz="8" w:space="0" w:color="auto"/>
              <w:left w:val="single" w:sz="12" w:space="0" w:color="auto"/>
              <w:bottom w:val="single" w:sz="12" w:space="0" w:color="auto"/>
              <w:right w:val="single" w:sz="12" w:space="0" w:color="auto"/>
            </w:tcBorders>
            <w:shd w:val="clear" w:color="auto" w:fill="92D050"/>
            <w:noWrap/>
            <w:vAlign w:val="center"/>
            <w:hideMark/>
          </w:tcPr>
          <w:p w14:paraId="01D56E52" w14:textId="77777777" w:rsidR="001C73BA" w:rsidRPr="003217FA" w:rsidRDefault="001C73BA" w:rsidP="00DE1077">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Bytové domy</w:t>
            </w:r>
          </w:p>
        </w:tc>
        <w:tc>
          <w:tcPr>
            <w:tcW w:w="744" w:type="pct"/>
            <w:vMerge/>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3F5F56F" w14:textId="77777777" w:rsidR="001C73BA" w:rsidRPr="003217FA" w:rsidRDefault="001C73BA" w:rsidP="00DE1077">
            <w:pPr>
              <w:jc w:val="center"/>
              <w:rPr>
                <w:rFonts w:eastAsia="Times New Roman" w:cs="Times New Roman"/>
                <w:b/>
                <w:color w:val="000000"/>
                <w:sz w:val="20"/>
                <w:szCs w:val="20"/>
                <w:lang w:eastAsia="cs-CZ"/>
              </w:rPr>
            </w:pPr>
          </w:p>
        </w:tc>
        <w:tc>
          <w:tcPr>
            <w:tcW w:w="1538" w:type="pct"/>
            <w:vMerge/>
            <w:tcBorders>
              <w:top w:val="single" w:sz="12" w:space="0" w:color="auto"/>
              <w:left w:val="single" w:sz="12" w:space="0" w:color="auto"/>
              <w:bottom w:val="single" w:sz="12" w:space="0" w:color="auto"/>
            </w:tcBorders>
            <w:shd w:val="clear" w:color="auto" w:fill="auto"/>
            <w:noWrap/>
            <w:vAlign w:val="center"/>
            <w:hideMark/>
          </w:tcPr>
          <w:p w14:paraId="3DD5A5A1" w14:textId="77777777" w:rsidR="001C73BA" w:rsidRPr="003217FA" w:rsidRDefault="001C73BA" w:rsidP="00DE1077">
            <w:pPr>
              <w:jc w:val="center"/>
              <w:rPr>
                <w:rFonts w:eastAsia="Times New Roman" w:cs="Times New Roman"/>
                <w:b/>
                <w:color w:val="000000"/>
                <w:sz w:val="20"/>
                <w:szCs w:val="20"/>
                <w:lang w:eastAsia="cs-CZ"/>
              </w:rPr>
            </w:pPr>
          </w:p>
        </w:tc>
      </w:tr>
      <w:tr w:rsidR="001427D1" w:rsidRPr="003217FA" w14:paraId="170646D7" w14:textId="77777777" w:rsidTr="00081C38">
        <w:trPr>
          <w:trHeight w:val="50"/>
          <w:jc w:val="center"/>
        </w:trPr>
        <w:tc>
          <w:tcPr>
            <w:tcW w:w="446" w:type="pct"/>
            <w:tcBorders>
              <w:top w:val="single" w:sz="12" w:space="0" w:color="auto"/>
              <w:bottom w:val="single" w:sz="18" w:space="0" w:color="auto"/>
              <w:right w:val="single" w:sz="12" w:space="0" w:color="auto"/>
            </w:tcBorders>
            <w:shd w:val="clear" w:color="auto" w:fill="D9D9D9" w:themeFill="background1" w:themeFillShade="D9"/>
            <w:noWrap/>
            <w:vAlign w:val="center"/>
            <w:hideMark/>
          </w:tcPr>
          <w:p w14:paraId="542BAA1B" w14:textId="77777777" w:rsidR="001427D1" w:rsidRPr="003217FA" w:rsidRDefault="001427D1" w:rsidP="001427D1">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2001</w:t>
            </w:r>
          </w:p>
        </w:tc>
        <w:tc>
          <w:tcPr>
            <w:tcW w:w="567" w:type="pct"/>
            <w:tcBorders>
              <w:top w:val="single" w:sz="12" w:space="0" w:color="auto"/>
              <w:left w:val="single" w:sz="12" w:space="0" w:color="auto"/>
              <w:bottom w:val="single" w:sz="18" w:space="0" w:color="auto"/>
              <w:right w:val="single" w:sz="12" w:space="0" w:color="auto"/>
            </w:tcBorders>
            <w:shd w:val="clear" w:color="auto" w:fill="auto"/>
            <w:noWrap/>
            <w:vAlign w:val="bottom"/>
          </w:tcPr>
          <w:p w14:paraId="2A29A759" w14:textId="1C38BD45"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155</w:t>
            </w:r>
          </w:p>
        </w:tc>
        <w:tc>
          <w:tcPr>
            <w:tcW w:w="570" w:type="pct"/>
            <w:tcBorders>
              <w:top w:val="single" w:sz="12" w:space="0" w:color="auto"/>
              <w:left w:val="single" w:sz="12" w:space="0" w:color="auto"/>
              <w:bottom w:val="single" w:sz="18" w:space="0" w:color="auto"/>
              <w:right w:val="single" w:sz="12" w:space="0" w:color="auto"/>
            </w:tcBorders>
            <w:shd w:val="clear" w:color="auto" w:fill="auto"/>
            <w:noWrap/>
            <w:vAlign w:val="bottom"/>
          </w:tcPr>
          <w:p w14:paraId="1B05DD7F" w14:textId="7917D975"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141</w:t>
            </w:r>
          </w:p>
        </w:tc>
        <w:tc>
          <w:tcPr>
            <w:tcW w:w="567" w:type="pct"/>
            <w:tcBorders>
              <w:top w:val="single" w:sz="12" w:space="0" w:color="auto"/>
              <w:left w:val="single" w:sz="12" w:space="0" w:color="auto"/>
              <w:bottom w:val="single" w:sz="18" w:space="0" w:color="auto"/>
              <w:right w:val="single" w:sz="12" w:space="0" w:color="auto"/>
            </w:tcBorders>
            <w:shd w:val="clear" w:color="auto" w:fill="auto"/>
            <w:noWrap/>
            <w:vAlign w:val="bottom"/>
          </w:tcPr>
          <w:p w14:paraId="4B0F14A6" w14:textId="2B8720E3"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126</w:t>
            </w:r>
          </w:p>
        </w:tc>
        <w:tc>
          <w:tcPr>
            <w:tcW w:w="570" w:type="pct"/>
            <w:tcBorders>
              <w:top w:val="single" w:sz="12" w:space="0" w:color="auto"/>
              <w:left w:val="single" w:sz="12" w:space="0" w:color="auto"/>
              <w:bottom w:val="single" w:sz="18" w:space="0" w:color="auto"/>
              <w:right w:val="single" w:sz="12" w:space="0" w:color="auto"/>
            </w:tcBorders>
            <w:shd w:val="clear" w:color="auto" w:fill="auto"/>
            <w:noWrap/>
            <w:vAlign w:val="bottom"/>
          </w:tcPr>
          <w:p w14:paraId="1C97F109" w14:textId="3D026815"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12</w:t>
            </w:r>
          </w:p>
        </w:tc>
        <w:tc>
          <w:tcPr>
            <w:tcW w:w="744" w:type="pct"/>
            <w:tcBorders>
              <w:top w:val="single" w:sz="12" w:space="0" w:color="auto"/>
              <w:left w:val="single" w:sz="12" w:space="0" w:color="auto"/>
              <w:bottom w:val="single" w:sz="18" w:space="0" w:color="auto"/>
              <w:right w:val="single" w:sz="12" w:space="0" w:color="auto"/>
            </w:tcBorders>
            <w:shd w:val="clear" w:color="auto" w:fill="auto"/>
            <w:noWrap/>
            <w:vAlign w:val="bottom"/>
          </w:tcPr>
          <w:p w14:paraId="0C0699C0" w14:textId="1357B095"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14</w:t>
            </w:r>
          </w:p>
        </w:tc>
        <w:tc>
          <w:tcPr>
            <w:tcW w:w="1538" w:type="pct"/>
            <w:tcBorders>
              <w:top w:val="single" w:sz="12" w:space="0" w:color="auto"/>
              <w:left w:val="single" w:sz="12" w:space="0" w:color="auto"/>
              <w:bottom w:val="single" w:sz="18" w:space="0" w:color="auto"/>
            </w:tcBorders>
            <w:shd w:val="clear" w:color="auto" w:fill="auto"/>
            <w:noWrap/>
            <w:vAlign w:val="bottom"/>
          </w:tcPr>
          <w:p w14:paraId="7445060E" w14:textId="24A9464C"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9,0</w:t>
            </w:r>
          </w:p>
        </w:tc>
      </w:tr>
    </w:tbl>
    <w:p w14:paraId="66D87467" w14:textId="67424F60" w:rsidR="001C73BA" w:rsidRDefault="001C73BA" w:rsidP="001C73BA">
      <w:pPr>
        <w:jc w:val="both"/>
        <w:rPr>
          <w:rFonts w:eastAsia="RWXLTG+TimesNewRoman" w:cs="RWXLTG+TimesNewRoman"/>
        </w:rPr>
      </w:pPr>
      <w:r>
        <w:rPr>
          <w:b/>
          <w:sz w:val="20"/>
          <w:szCs w:val="20"/>
        </w:rPr>
        <w:t>Zdroj</w:t>
      </w:r>
      <w:r w:rsidRPr="0074351D">
        <w:rPr>
          <w:b/>
          <w:sz w:val="20"/>
          <w:szCs w:val="20"/>
        </w:rPr>
        <w:t>:</w:t>
      </w:r>
      <w:r w:rsidRPr="0074351D">
        <w:rPr>
          <w:sz w:val="20"/>
          <w:szCs w:val="20"/>
        </w:rPr>
        <w:t xml:space="preserve"> </w:t>
      </w:r>
      <w:r w:rsidRPr="0074351D">
        <w:rPr>
          <w:rFonts w:eastAsia="RWXLTG+TimesNewRoman" w:cs="RWXLTG+TimesNewRoman"/>
          <w:color w:val="000000"/>
          <w:sz w:val="20"/>
          <w:szCs w:val="20"/>
        </w:rPr>
        <w:t xml:space="preserve">Sčítání lidu, domů a bytů </w:t>
      </w:r>
      <w:r w:rsidRPr="004B5BEF">
        <w:rPr>
          <w:rFonts w:eastAsia="RWXLTG+TimesNewRoman" w:cs="RWXLTG+TimesNewRoman"/>
          <w:color w:val="000000"/>
          <w:sz w:val="20"/>
          <w:szCs w:val="20"/>
        </w:rPr>
        <w:t xml:space="preserve">2001, </w:t>
      </w:r>
      <w:hyperlink r:id="rId82" w:history="1">
        <w:r w:rsidRPr="004B5BEF">
          <w:rPr>
            <w:rStyle w:val="Hypertextovodkaz"/>
            <w:sz w:val="20"/>
            <w:szCs w:val="20"/>
          </w:rPr>
          <w:t>https://www.czso.cz/staticke/sldb/sldb2001.nsf/index</w:t>
        </w:r>
      </w:hyperlink>
      <w:r>
        <w:rPr>
          <w:rFonts w:eastAsia="RWXLTG+TimesNewRoman" w:cs="RWXLTG+TimesNewRoman"/>
        </w:rPr>
        <w:t xml:space="preserve"> </w:t>
      </w:r>
    </w:p>
    <w:p w14:paraId="75EBF269" w14:textId="77BF8C7E" w:rsidR="007A7455" w:rsidRDefault="007A7455" w:rsidP="001C73BA">
      <w:pPr>
        <w:jc w:val="both"/>
        <w:rPr>
          <w:rFonts w:eastAsia="RWXLTG+TimesNewRoman" w:cs="RWXLTG+TimesNewRoman"/>
        </w:rPr>
      </w:pPr>
    </w:p>
    <w:p w14:paraId="539D4EA2" w14:textId="7991E10D" w:rsidR="00A95A3F" w:rsidRDefault="00A95A3F" w:rsidP="001C73BA">
      <w:pPr>
        <w:jc w:val="both"/>
        <w:rPr>
          <w:rFonts w:eastAsia="RWXLTG+TimesNewRoman" w:cs="RWXLTG+TimesNewRoman"/>
        </w:rPr>
      </w:pPr>
      <w:r>
        <w:rPr>
          <w:rFonts w:eastAsia="RWXLTG+TimesNewRoman" w:cs="RWXLTG+TimesNewRoman"/>
        </w:rPr>
        <w:br w:type="page"/>
      </w:r>
    </w:p>
    <w:p w14:paraId="4578F8B8" w14:textId="7BAB27E3" w:rsidR="001C73BA" w:rsidRPr="007D3B20" w:rsidRDefault="001C73BA" w:rsidP="001C73BA">
      <w:pPr>
        <w:pStyle w:val="TABULKA0"/>
      </w:pPr>
      <w:bookmarkStart w:id="284" w:name="_Toc465022159"/>
      <w:bookmarkStart w:id="285" w:name="_Toc480751598"/>
      <w:bookmarkStart w:id="286" w:name="_Toc32577796"/>
      <w:bookmarkStart w:id="287" w:name="_Toc120651940"/>
      <w:r w:rsidRPr="00794171">
        <w:lastRenderedPageBreak/>
        <w:t>Tabulka</w:t>
      </w:r>
      <w:r w:rsidR="00A70A9A" w:rsidRPr="00794171">
        <w:t xml:space="preserve"> </w:t>
      </w:r>
      <w:r w:rsidR="00115B9B">
        <w:t>1</w:t>
      </w:r>
      <w:r w:rsidR="00A95A3F">
        <w:t>8</w:t>
      </w:r>
      <w:r w:rsidRPr="00794171">
        <w:t>: Informace</w:t>
      </w:r>
      <w:r w:rsidRPr="00DA12D3">
        <w:t xml:space="preserve"> o domovním a bytovém fondu </w:t>
      </w:r>
      <w:r>
        <w:t xml:space="preserve">v obci </w:t>
      </w:r>
      <w:r w:rsidR="00A95A3F">
        <w:t>Staré Buky</w:t>
      </w:r>
      <w:r>
        <w:t xml:space="preserve"> </w:t>
      </w:r>
      <w:r w:rsidRPr="00DA12D3">
        <w:t>v </w:t>
      </w:r>
      <w:r>
        <w:t>roce</w:t>
      </w:r>
      <w:r w:rsidRPr="00DA12D3">
        <w:t xml:space="preserve"> 2011</w:t>
      </w:r>
      <w:bookmarkEnd w:id="284"/>
      <w:bookmarkEnd w:id="285"/>
      <w:bookmarkEnd w:id="286"/>
      <w:bookmarkEnd w:id="287"/>
    </w:p>
    <w:tbl>
      <w:tblPr>
        <w:tblW w:w="4731" w:type="pct"/>
        <w:jc w:val="center"/>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left w:w="70" w:type="dxa"/>
          <w:right w:w="70" w:type="dxa"/>
        </w:tblCellMar>
        <w:tblLook w:val="04A0" w:firstRow="1" w:lastRow="0" w:firstColumn="1" w:lastColumn="0" w:noHBand="0" w:noVBand="1"/>
      </w:tblPr>
      <w:tblGrid>
        <w:gridCol w:w="777"/>
        <w:gridCol w:w="988"/>
        <w:gridCol w:w="994"/>
        <w:gridCol w:w="988"/>
        <w:gridCol w:w="994"/>
        <w:gridCol w:w="1297"/>
        <w:gridCol w:w="2678"/>
      </w:tblGrid>
      <w:tr w:rsidR="00883CF7" w:rsidRPr="003217FA" w14:paraId="5CF573FB" w14:textId="77777777" w:rsidTr="00A95A3F">
        <w:trPr>
          <w:trHeight w:val="165"/>
          <w:jc w:val="center"/>
        </w:trPr>
        <w:tc>
          <w:tcPr>
            <w:tcW w:w="5000" w:type="pct"/>
            <w:gridSpan w:val="7"/>
            <w:tcBorders>
              <w:top w:val="single" w:sz="18" w:space="0" w:color="auto"/>
              <w:bottom w:val="single" w:sz="12" w:space="0" w:color="auto"/>
            </w:tcBorders>
            <w:shd w:val="clear" w:color="auto" w:fill="FFC000"/>
            <w:noWrap/>
            <w:vAlign w:val="center"/>
            <w:hideMark/>
          </w:tcPr>
          <w:p w14:paraId="2AD588FF"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Domovní fond</w:t>
            </w:r>
          </w:p>
        </w:tc>
      </w:tr>
      <w:tr w:rsidR="00883CF7" w:rsidRPr="003217FA" w14:paraId="6999EDC4" w14:textId="77777777" w:rsidTr="002B5FE7">
        <w:trPr>
          <w:trHeight w:val="185"/>
          <w:jc w:val="center"/>
        </w:trPr>
        <w:tc>
          <w:tcPr>
            <w:tcW w:w="446" w:type="pct"/>
            <w:vMerge w:val="restart"/>
            <w:tcBorders>
              <w:top w:val="single" w:sz="12" w:space="0" w:color="auto"/>
              <w:bottom w:val="single" w:sz="4" w:space="0" w:color="auto"/>
              <w:right w:val="single" w:sz="12" w:space="0" w:color="auto"/>
            </w:tcBorders>
            <w:shd w:val="clear" w:color="auto" w:fill="92D050"/>
            <w:noWrap/>
            <w:vAlign w:val="center"/>
            <w:hideMark/>
          </w:tcPr>
          <w:p w14:paraId="4F6F39C0"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Rok</w:t>
            </w:r>
          </w:p>
        </w:tc>
        <w:tc>
          <w:tcPr>
            <w:tcW w:w="567" w:type="pct"/>
            <w:vMerge w:val="restart"/>
            <w:tcBorders>
              <w:top w:val="single" w:sz="12" w:space="0" w:color="auto"/>
              <w:left w:val="single" w:sz="12" w:space="0" w:color="auto"/>
              <w:bottom w:val="single" w:sz="4" w:space="0" w:color="auto"/>
              <w:right w:val="single" w:sz="12" w:space="0" w:color="auto"/>
            </w:tcBorders>
            <w:shd w:val="clear" w:color="auto" w:fill="92D050"/>
            <w:noWrap/>
            <w:vAlign w:val="center"/>
            <w:hideMark/>
          </w:tcPr>
          <w:p w14:paraId="79076538"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Domy úhrnem</w:t>
            </w:r>
          </w:p>
        </w:tc>
        <w:tc>
          <w:tcPr>
            <w:tcW w:w="570" w:type="pct"/>
            <w:vMerge w:val="restart"/>
            <w:tcBorders>
              <w:top w:val="single" w:sz="12" w:space="0" w:color="auto"/>
              <w:left w:val="single" w:sz="12" w:space="0" w:color="auto"/>
              <w:bottom w:val="single" w:sz="4" w:space="0" w:color="auto"/>
              <w:right w:val="single" w:sz="12" w:space="0" w:color="auto"/>
            </w:tcBorders>
            <w:shd w:val="clear" w:color="auto" w:fill="92D050"/>
            <w:noWrap/>
            <w:vAlign w:val="center"/>
            <w:hideMark/>
          </w:tcPr>
          <w:p w14:paraId="2BC319D2"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Domy obydlené</w:t>
            </w:r>
          </w:p>
        </w:tc>
        <w:tc>
          <w:tcPr>
            <w:tcW w:w="1136" w:type="pct"/>
            <w:gridSpan w:val="2"/>
            <w:tcBorders>
              <w:top w:val="single" w:sz="12" w:space="0" w:color="auto"/>
              <w:left w:val="single" w:sz="12" w:space="0" w:color="auto"/>
              <w:bottom w:val="single" w:sz="4" w:space="0" w:color="auto"/>
              <w:right w:val="single" w:sz="12" w:space="0" w:color="auto"/>
            </w:tcBorders>
            <w:shd w:val="clear" w:color="auto" w:fill="92D050"/>
            <w:noWrap/>
            <w:vAlign w:val="center"/>
            <w:hideMark/>
          </w:tcPr>
          <w:p w14:paraId="76C24628"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Z toho</w:t>
            </w:r>
          </w:p>
        </w:tc>
        <w:tc>
          <w:tcPr>
            <w:tcW w:w="744" w:type="pct"/>
            <w:vMerge w:val="restart"/>
            <w:tcBorders>
              <w:top w:val="single" w:sz="12" w:space="0" w:color="auto"/>
              <w:left w:val="single" w:sz="12" w:space="0" w:color="auto"/>
              <w:bottom w:val="single" w:sz="4" w:space="0" w:color="auto"/>
              <w:right w:val="single" w:sz="12" w:space="0" w:color="auto"/>
            </w:tcBorders>
            <w:shd w:val="clear" w:color="auto" w:fill="92D050"/>
            <w:noWrap/>
            <w:vAlign w:val="center"/>
            <w:hideMark/>
          </w:tcPr>
          <w:p w14:paraId="160A6791"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Domy neobydlené</w:t>
            </w:r>
          </w:p>
        </w:tc>
        <w:tc>
          <w:tcPr>
            <w:tcW w:w="1538" w:type="pct"/>
            <w:vMerge w:val="restart"/>
            <w:tcBorders>
              <w:top w:val="single" w:sz="12" w:space="0" w:color="auto"/>
              <w:left w:val="single" w:sz="12" w:space="0" w:color="auto"/>
              <w:bottom w:val="single" w:sz="4" w:space="0" w:color="auto"/>
            </w:tcBorders>
            <w:shd w:val="clear" w:color="auto" w:fill="92D050"/>
            <w:noWrap/>
            <w:vAlign w:val="center"/>
            <w:hideMark/>
          </w:tcPr>
          <w:p w14:paraId="2833E30B"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Podíl neobydlených domů z celkového počtu domů (v %)</w:t>
            </w:r>
          </w:p>
        </w:tc>
      </w:tr>
      <w:tr w:rsidR="00883CF7" w:rsidRPr="003217FA" w14:paraId="64E75D5D" w14:textId="77777777" w:rsidTr="002B5FE7">
        <w:trPr>
          <w:trHeight w:val="316"/>
          <w:jc w:val="center"/>
        </w:trPr>
        <w:tc>
          <w:tcPr>
            <w:tcW w:w="446" w:type="pct"/>
            <w:vMerge/>
            <w:tcBorders>
              <w:top w:val="single" w:sz="4" w:space="0" w:color="auto"/>
              <w:bottom w:val="single" w:sz="12" w:space="0" w:color="auto"/>
              <w:right w:val="single" w:sz="12" w:space="0" w:color="auto"/>
            </w:tcBorders>
            <w:shd w:val="clear" w:color="auto" w:fill="auto"/>
            <w:noWrap/>
            <w:vAlign w:val="center"/>
            <w:hideMark/>
          </w:tcPr>
          <w:p w14:paraId="51437110" w14:textId="77777777" w:rsidR="00883CF7" w:rsidRPr="003217FA" w:rsidRDefault="00883CF7" w:rsidP="000A2FCE">
            <w:pPr>
              <w:jc w:val="center"/>
              <w:rPr>
                <w:rFonts w:eastAsia="Times New Roman" w:cs="Times New Roman"/>
                <w:b/>
                <w:color w:val="000000"/>
                <w:sz w:val="20"/>
                <w:szCs w:val="20"/>
                <w:lang w:eastAsia="cs-CZ"/>
              </w:rPr>
            </w:pPr>
          </w:p>
        </w:tc>
        <w:tc>
          <w:tcPr>
            <w:tcW w:w="567" w:type="pct"/>
            <w:vMerge/>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23554C21" w14:textId="77777777" w:rsidR="00883CF7" w:rsidRPr="003217FA" w:rsidRDefault="00883CF7" w:rsidP="000A2FCE">
            <w:pPr>
              <w:jc w:val="center"/>
              <w:rPr>
                <w:rFonts w:eastAsia="Times New Roman" w:cs="Times New Roman"/>
                <w:b/>
                <w:color w:val="000000"/>
                <w:sz w:val="20"/>
                <w:szCs w:val="20"/>
                <w:lang w:eastAsia="cs-CZ"/>
              </w:rPr>
            </w:pPr>
          </w:p>
        </w:tc>
        <w:tc>
          <w:tcPr>
            <w:tcW w:w="570" w:type="pct"/>
            <w:vMerge/>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1A56553F" w14:textId="77777777" w:rsidR="00883CF7" w:rsidRPr="003217FA" w:rsidRDefault="00883CF7" w:rsidP="000A2FCE">
            <w:pPr>
              <w:jc w:val="center"/>
              <w:rPr>
                <w:rFonts w:eastAsia="Times New Roman" w:cs="Times New Roman"/>
                <w:b/>
                <w:color w:val="000000"/>
                <w:sz w:val="20"/>
                <w:szCs w:val="20"/>
                <w:lang w:eastAsia="cs-CZ"/>
              </w:rPr>
            </w:pPr>
          </w:p>
        </w:tc>
        <w:tc>
          <w:tcPr>
            <w:tcW w:w="567" w:type="pct"/>
            <w:tcBorders>
              <w:top w:val="single" w:sz="4" w:space="0" w:color="auto"/>
              <w:left w:val="single" w:sz="12" w:space="0" w:color="auto"/>
              <w:bottom w:val="single" w:sz="12" w:space="0" w:color="auto"/>
              <w:right w:val="single" w:sz="12" w:space="0" w:color="auto"/>
            </w:tcBorders>
            <w:shd w:val="clear" w:color="auto" w:fill="92D050"/>
            <w:noWrap/>
            <w:vAlign w:val="center"/>
            <w:hideMark/>
          </w:tcPr>
          <w:p w14:paraId="7D1121C2"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Rodinné domy</w:t>
            </w:r>
          </w:p>
        </w:tc>
        <w:tc>
          <w:tcPr>
            <w:tcW w:w="570" w:type="pct"/>
            <w:tcBorders>
              <w:top w:val="single" w:sz="4" w:space="0" w:color="auto"/>
              <w:left w:val="single" w:sz="12" w:space="0" w:color="auto"/>
              <w:bottom w:val="single" w:sz="12" w:space="0" w:color="auto"/>
              <w:right w:val="single" w:sz="12" w:space="0" w:color="auto"/>
            </w:tcBorders>
            <w:shd w:val="clear" w:color="auto" w:fill="92D050"/>
            <w:noWrap/>
            <w:vAlign w:val="center"/>
            <w:hideMark/>
          </w:tcPr>
          <w:p w14:paraId="15490172"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Bytové domy</w:t>
            </w:r>
          </w:p>
        </w:tc>
        <w:tc>
          <w:tcPr>
            <w:tcW w:w="744" w:type="pct"/>
            <w:vMerge/>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2CC93088" w14:textId="77777777" w:rsidR="00883CF7" w:rsidRPr="003217FA" w:rsidRDefault="00883CF7" w:rsidP="000A2FCE">
            <w:pPr>
              <w:jc w:val="center"/>
              <w:rPr>
                <w:rFonts w:eastAsia="Times New Roman" w:cs="Times New Roman"/>
                <w:b/>
                <w:color w:val="000000"/>
                <w:sz w:val="20"/>
                <w:szCs w:val="20"/>
                <w:lang w:eastAsia="cs-CZ"/>
              </w:rPr>
            </w:pPr>
          </w:p>
        </w:tc>
        <w:tc>
          <w:tcPr>
            <w:tcW w:w="1538" w:type="pct"/>
            <w:vMerge/>
            <w:tcBorders>
              <w:top w:val="single" w:sz="4" w:space="0" w:color="auto"/>
              <w:left w:val="single" w:sz="12" w:space="0" w:color="auto"/>
              <w:bottom w:val="single" w:sz="12" w:space="0" w:color="auto"/>
            </w:tcBorders>
            <w:shd w:val="clear" w:color="auto" w:fill="auto"/>
            <w:noWrap/>
            <w:vAlign w:val="center"/>
            <w:hideMark/>
          </w:tcPr>
          <w:p w14:paraId="3D579B23" w14:textId="77777777" w:rsidR="00883CF7" w:rsidRPr="003217FA" w:rsidRDefault="00883CF7" w:rsidP="000A2FCE">
            <w:pPr>
              <w:jc w:val="center"/>
              <w:rPr>
                <w:rFonts w:eastAsia="Times New Roman" w:cs="Times New Roman"/>
                <w:b/>
                <w:color w:val="000000"/>
                <w:sz w:val="20"/>
                <w:szCs w:val="20"/>
                <w:lang w:eastAsia="cs-CZ"/>
              </w:rPr>
            </w:pPr>
          </w:p>
        </w:tc>
      </w:tr>
      <w:tr w:rsidR="001427D1" w:rsidRPr="003217FA" w14:paraId="63F6A039" w14:textId="77777777" w:rsidTr="00081C38">
        <w:trPr>
          <w:trHeight w:val="50"/>
          <w:jc w:val="center"/>
        </w:trPr>
        <w:tc>
          <w:tcPr>
            <w:tcW w:w="446" w:type="pct"/>
            <w:tcBorders>
              <w:top w:val="single" w:sz="12" w:space="0" w:color="auto"/>
              <w:right w:val="single" w:sz="12" w:space="0" w:color="auto"/>
            </w:tcBorders>
            <w:shd w:val="clear" w:color="auto" w:fill="D9D9D9" w:themeFill="background1" w:themeFillShade="D9"/>
            <w:noWrap/>
            <w:vAlign w:val="center"/>
            <w:hideMark/>
          </w:tcPr>
          <w:p w14:paraId="1AF595D9" w14:textId="4CDD5F38" w:rsidR="001427D1" w:rsidRPr="003217FA" w:rsidRDefault="001427D1" w:rsidP="001427D1">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20</w:t>
            </w:r>
            <w:r>
              <w:rPr>
                <w:rFonts w:eastAsia="Times New Roman" w:cs="Times New Roman"/>
                <w:b/>
                <w:color w:val="000000"/>
                <w:sz w:val="20"/>
                <w:szCs w:val="20"/>
                <w:lang w:eastAsia="cs-CZ"/>
              </w:rPr>
              <w:t>1</w:t>
            </w:r>
            <w:r w:rsidRPr="003217FA">
              <w:rPr>
                <w:rFonts w:eastAsia="Times New Roman" w:cs="Times New Roman"/>
                <w:b/>
                <w:color w:val="000000"/>
                <w:sz w:val="20"/>
                <w:szCs w:val="20"/>
                <w:lang w:eastAsia="cs-CZ"/>
              </w:rPr>
              <w:t>1</w:t>
            </w:r>
          </w:p>
        </w:tc>
        <w:tc>
          <w:tcPr>
            <w:tcW w:w="567" w:type="pct"/>
            <w:tcBorders>
              <w:top w:val="single" w:sz="12" w:space="0" w:color="auto"/>
              <w:left w:val="single" w:sz="12" w:space="0" w:color="auto"/>
              <w:right w:val="single" w:sz="12" w:space="0" w:color="auto"/>
            </w:tcBorders>
            <w:shd w:val="clear" w:color="auto" w:fill="auto"/>
            <w:vAlign w:val="bottom"/>
          </w:tcPr>
          <w:p w14:paraId="5A82703C" w14:textId="64D694B4"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181</w:t>
            </w:r>
          </w:p>
        </w:tc>
        <w:tc>
          <w:tcPr>
            <w:tcW w:w="570" w:type="pct"/>
            <w:tcBorders>
              <w:top w:val="single" w:sz="12" w:space="0" w:color="auto"/>
              <w:left w:val="single" w:sz="12" w:space="0" w:color="auto"/>
              <w:right w:val="single" w:sz="12" w:space="0" w:color="auto"/>
            </w:tcBorders>
            <w:shd w:val="clear" w:color="auto" w:fill="auto"/>
            <w:vAlign w:val="bottom"/>
          </w:tcPr>
          <w:p w14:paraId="591895CC" w14:textId="7BCDA5E6"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159</w:t>
            </w:r>
          </w:p>
        </w:tc>
        <w:tc>
          <w:tcPr>
            <w:tcW w:w="567" w:type="pct"/>
            <w:tcBorders>
              <w:top w:val="single" w:sz="12" w:space="0" w:color="auto"/>
              <w:left w:val="single" w:sz="12" w:space="0" w:color="auto"/>
              <w:right w:val="single" w:sz="12" w:space="0" w:color="auto"/>
            </w:tcBorders>
            <w:shd w:val="clear" w:color="auto" w:fill="auto"/>
            <w:noWrap/>
            <w:vAlign w:val="bottom"/>
          </w:tcPr>
          <w:p w14:paraId="1F379172" w14:textId="60D7C993"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154</w:t>
            </w:r>
          </w:p>
        </w:tc>
        <w:tc>
          <w:tcPr>
            <w:tcW w:w="570" w:type="pct"/>
            <w:tcBorders>
              <w:top w:val="single" w:sz="12" w:space="0" w:color="auto"/>
              <w:left w:val="single" w:sz="12" w:space="0" w:color="auto"/>
              <w:right w:val="single" w:sz="12" w:space="0" w:color="auto"/>
            </w:tcBorders>
            <w:shd w:val="clear" w:color="auto" w:fill="auto"/>
            <w:noWrap/>
            <w:vAlign w:val="bottom"/>
          </w:tcPr>
          <w:p w14:paraId="31D39031" w14:textId="515CFA2C"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4</w:t>
            </w:r>
          </w:p>
        </w:tc>
        <w:tc>
          <w:tcPr>
            <w:tcW w:w="744" w:type="pct"/>
            <w:tcBorders>
              <w:top w:val="single" w:sz="12" w:space="0" w:color="auto"/>
              <w:left w:val="single" w:sz="12" w:space="0" w:color="auto"/>
              <w:right w:val="single" w:sz="12" w:space="0" w:color="auto"/>
            </w:tcBorders>
            <w:shd w:val="clear" w:color="auto" w:fill="auto"/>
            <w:noWrap/>
            <w:vAlign w:val="bottom"/>
          </w:tcPr>
          <w:p w14:paraId="1C4F701C" w14:textId="612D2078"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22</w:t>
            </w:r>
          </w:p>
        </w:tc>
        <w:tc>
          <w:tcPr>
            <w:tcW w:w="1538" w:type="pct"/>
            <w:tcBorders>
              <w:top w:val="single" w:sz="12" w:space="0" w:color="auto"/>
              <w:left w:val="single" w:sz="12" w:space="0" w:color="auto"/>
            </w:tcBorders>
            <w:shd w:val="clear" w:color="auto" w:fill="auto"/>
            <w:noWrap/>
            <w:vAlign w:val="bottom"/>
          </w:tcPr>
          <w:p w14:paraId="2E8CA083" w14:textId="0609DD98"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12,2</w:t>
            </w:r>
          </w:p>
        </w:tc>
      </w:tr>
      <w:tr w:rsidR="00883CF7" w:rsidRPr="003217FA" w14:paraId="11E1453F" w14:textId="77777777" w:rsidTr="00A95A3F">
        <w:trPr>
          <w:trHeight w:val="103"/>
          <w:jc w:val="center"/>
        </w:trPr>
        <w:tc>
          <w:tcPr>
            <w:tcW w:w="5000" w:type="pct"/>
            <w:gridSpan w:val="7"/>
            <w:tcBorders>
              <w:top w:val="single" w:sz="18" w:space="0" w:color="auto"/>
              <w:bottom w:val="single" w:sz="12" w:space="0" w:color="auto"/>
            </w:tcBorders>
            <w:shd w:val="clear" w:color="auto" w:fill="FFC000"/>
            <w:noWrap/>
            <w:vAlign w:val="center"/>
            <w:hideMark/>
          </w:tcPr>
          <w:p w14:paraId="076D945C"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Bytový fond</w:t>
            </w:r>
          </w:p>
        </w:tc>
      </w:tr>
      <w:tr w:rsidR="00883CF7" w:rsidRPr="003217FA" w14:paraId="1EFEA7D1" w14:textId="77777777" w:rsidTr="002B5FE7">
        <w:trPr>
          <w:trHeight w:val="170"/>
          <w:jc w:val="center"/>
        </w:trPr>
        <w:tc>
          <w:tcPr>
            <w:tcW w:w="446" w:type="pct"/>
            <w:vMerge w:val="restart"/>
            <w:tcBorders>
              <w:top w:val="single" w:sz="12" w:space="0" w:color="auto"/>
              <w:bottom w:val="single" w:sz="12" w:space="0" w:color="auto"/>
              <w:right w:val="single" w:sz="12" w:space="0" w:color="auto"/>
            </w:tcBorders>
            <w:shd w:val="clear" w:color="auto" w:fill="92D050"/>
            <w:noWrap/>
            <w:vAlign w:val="center"/>
            <w:hideMark/>
          </w:tcPr>
          <w:p w14:paraId="0A2A41BB"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Rok</w:t>
            </w:r>
          </w:p>
        </w:tc>
        <w:tc>
          <w:tcPr>
            <w:tcW w:w="567" w:type="pct"/>
            <w:vMerge w:val="restart"/>
            <w:tcBorders>
              <w:top w:val="single" w:sz="12" w:space="0" w:color="auto"/>
              <w:left w:val="single" w:sz="12" w:space="0" w:color="auto"/>
              <w:bottom w:val="single" w:sz="12" w:space="0" w:color="auto"/>
              <w:right w:val="single" w:sz="12" w:space="0" w:color="auto"/>
            </w:tcBorders>
            <w:shd w:val="clear" w:color="auto" w:fill="92D050"/>
            <w:noWrap/>
            <w:vAlign w:val="center"/>
            <w:hideMark/>
          </w:tcPr>
          <w:p w14:paraId="12284D1F"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Byty úhrnem</w:t>
            </w:r>
          </w:p>
        </w:tc>
        <w:tc>
          <w:tcPr>
            <w:tcW w:w="570" w:type="pct"/>
            <w:vMerge w:val="restart"/>
            <w:tcBorders>
              <w:top w:val="single" w:sz="12" w:space="0" w:color="auto"/>
              <w:left w:val="single" w:sz="12" w:space="0" w:color="auto"/>
              <w:bottom w:val="single" w:sz="12" w:space="0" w:color="auto"/>
              <w:right w:val="single" w:sz="12" w:space="0" w:color="auto"/>
            </w:tcBorders>
            <w:shd w:val="clear" w:color="auto" w:fill="92D050"/>
            <w:noWrap/>
            <w:vAlign w:val="center"/>
            <w:hideMark/>
          </w:tcPr>
          <w:p w14:paraId="2F235BDB"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Byty obydlené</w:t>
            </w:r>
          </w:p>
        </w:tc>
        <w:tc>
          <w:tcPr>
            <w:tcW w:w="1136" w:type="pct"/>
            <w:gridSpan w:val="2"/>
            <w:tcBorders>
              <w:top w:val="single" w:sz="12" w:space="0" w:color="auto"/>
              <w:left w:val="single" w:sz="12" w:space="0" w:color="auto"/>
              <w:bottom w:val="single" w:sz="8" w:space="0" w:color="auto"/>
              <w:right w:val="single" w:sz="12" w:space="0" w:color="auto"/>
            </w:tcBorders>
            <w:shd w:val="clear" w:color="auto" w:fill="92D050"/>
            <w:noWrap/>
            <w:vAlign w:val="center"/>
            <w:hideMark/>
          </w:tcPr>
          <w:p w14:paraId="7A879FDF"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Z toho</w:t>
            </w:r>
          </w:p>
        </w:tc>
        <w:tc>
          <w:tcPr>
            <w:tcW w:w="744" w:type="pct"/>
            <w:vMerge w:val="restart"/>
            <w:tcBorders>
              <w:top w:val="single" w:sz="12" w:space="0" w:color="auto"/>
              <w:left w:val="single" w:sz="12" w:space="0" w:color="auto"/>
              <w:bottom w:val="single" w:sz="12" w:space="0" w:color="auto"/>
              <w:right w:val="single" w:sz="12" w:space="0" w:color="auto"/>
            </w:tcBorders>
            <w:shd w:val="clear" w:color="auto" w:fill="92D050"/>
            <w:noWrap/>
            <w:vAlign w:val="center"/>
            <w:hideMark/>
          </w:tcPr>
          <w:p w14:paraId="400D1A82"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Byty neobydlené</w:t>
            </w:r>
          </w:p>
        </w:tc>
        <w:tc>
          <w:tcPr>
            <w:tcW w:w="1538" w:type="pct"/>
            <w:vMerge w:val="restart"/>
            <w:tcBorders>
              <w:top w:val="single" w:sz="12" w:space="0" w:color="auto"/>
              <w:left w:val="single" w:sz="12" w:space="0" w:color="auto"/>
              <w:bottom w:val="single" w:sz="12" w:space="0" w:color="auto"/>
            </w:tcBorders>
            <w:shd w:val="clear" w:color="auto" w:fill="92D050"/>
            <w:noWrap/>
            <w:vAlign w:val="center"/>
            <w:hideMark/>
          </w:tcPr>
          <w:p w14:paraId="51BEC7AA"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Podíl neobydlený</w:t>
            </w:r>
            <w:r>
              <w:rPr>
                <w:rFonts w:eastAsia="Times New Roman" w:cs="Times New Roman"/>
                <w:b/>
                <w:color w:val="000000"/>
                <w:sz w:val="20"/>
                <w:szCs w:val="20"/>
                <w:lang w:eastAsia="cs-CZ"/>
              </w:rPr>
              <w:t xml:space="preserve">ch bytů z celkového počtu bytů </w:t>
            </w:r>
            <w:r w:rsidRPr="003217FA">
              <w:rPr>
                <w:rFonts w:eastAsia="Times New Roman" w:cs="Times New Roman"/>
                <w:b/>
                <w:color w:val="000000"/>
                <w:sz w:val="20"/>
                <w:szCs w:val="20"/>
                <w:lang w:eastAsia="cs-CZ"/>
              </w:rPr>
              <w:t>(v %)</w:t>
            </w:r>
          </w:p>
        </w:tc>
      </w:tr>
      <w:tr w:rsidR="00883CF7" w:rsidRPr="003217FA" w14:paraId="2774BB19" w14:textId="77777777" w:rsidTr="002B5FE7">
        <w:trPr>
          <w:trHeight w:val="170"/>
          <w:jc w:val="center"/>
        </w:trPr>
        <w:tc>
          <w:tcPr>
            <w:tcW w:w="446" w:type="pct"/>
            <w:vMerge/>
            <w:tcBorders>
              <w:top w:val="single" w:sz="12" w:space="0" w:color="auto"/>
              <w:bottom w:val="single" w:sz="12" w:space="0" w:color="auto"/>
              <w:right w:val="single" w:sz="12" w:space="0" w:color="auto"/>
            </w:tcBorders>
            <w:shd w:val="clear" w:color="auto" w:fill="auto"/>
            <w:noWrap/>
            <w:vAlign w:val="center"/>
            <w:hideMark/>
          </w:tcPr>
          <w:p w14:paraId="2A78B559" w14:textId="77777777" w:rsidR="00883CF7" w:rsidRPr="003217FA" w:rsidRDefault="00883CF7" w:rsidP="000A2FCE">
            <w:pPr>
              <w:jc w:val="center"/>
              <w:rPr>
                <w:rFonts w:eastAsia="Times New Roman" w:cs="Times New Roman"/>
                <w:b/>
                <w:color w:val="000000"/>
                <w:sz w:val="20"/>
                <w:szCs w:val="20"/>
                <w:lang w:eastAsia="cs-CZ"/>
              </w:rPr>
            </w:pPr>
          </w:p>
        </w:tc>
        <w:tc>
          <w:tcPr>
            <w:tcW w:w="567" w:type="pct"/>
            <w:vMerge/>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3D1E88D" w14:textId="77777777" w:rsidR="00883CF7" w:rsidRPr="003217FA" w:rsidRDefault="00883CF7" w:rsidP="000A2FCE">
            <w:pPr>
              <w:jc w:val="center"/>
              <w:rPr>
                <w:rFonts w:eastAsia="Times New Roman" w:cs="Times New Roman"/>
                <w:b/>
                <w:color w:val="000000"/>
                <w:sz w:val="20"/>
                <w:szCs w:val="20"/>
                <w:lang w:eastAsia="cs-CZ"/>
              </w:rPr>
            </w:pPr>
          </w:p>
        </w:tc>
        <w:tc>
          <w:tcPr>
            <w:tcW w:w="570" w:type="pct"/>
            <w:vMerge/>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6D36587" w14:textId="77777777" w:rsidR="00883CF7" w:rsidRPr="003217FA" w:rsidRDefault="00883CF7" w:rsidP="000A2FCE">
            <w:pPr>
              <w:jc w:val="center"/>
              <w:rPr>
                <w:rFonts w:eastAsia="Times New Roman" w:cs="Times New Roman"/>
                <w:b/>
                <w:color w:val="000000"/>
                <w:sz w:val="20"/>
                <w:szCs w:val="20"/>
                <w:lang w:eastAsia="cs-CZ"/>
              </w:rPr>
            </w:pPr>
          </w:p>
        </w:tc>
        <w:tc>
          <w:tcPr>
            <w:tcW w:w="567" w:type="pct"/>
            <w:tcBorders>
              <w:top w:val="single" w:sz="8" w:space="0" w:color="auto"/>
              <w:left w:val="single" w:sz="12" w:space="0" w:color="auto"/>
              <w:bottom w:val="single" w:sz="12" w:space="0" w:color="auto"/>
              <w:right w:val="single" w:sz="12" w:space="0" w:color="auto"/>
            </w:tcBorders>
            <w:shd w:val="clear" w:color="auto" w:fill="92D050"/>
            <w:noWrap/>
            <w:vAlign w:val="center"/>
            <w:hideMark/>
          </w:tcPr>
          <w:p w14:paraId="06EAD313"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Rodinné domy</w:t>
            </w:r>
          </w:p>
        </w:tc>
        <w:tc>
          <w:tcPr>
            <w:tcW w:w="570" w:type="pct"/>
            <w:tcBorders>
              <w:top w:val="single" w:sz="8" w:space="0" w:color="auto"/>
              <w:left w:val="single" w:sz="12" w:space="0" w:color="auto"/>
              <w:bottom w:val="single" w:sz="12" w:space="0" w:color="auto"/>
              <w:right w:val="single" w:sz="12" w:space="0" w:color="auto"/>
            </w:tcBorders>
            <w:shd w:val="clear" w:color="auto" w:fill="92D050"/>
            <w:noWrap/>
            <w:vAlign w:val="center"/>
            <w:hideMark/>
          </w:tcPr>
          <w:p w14:paraId="79B02A02" w14:textId="77777777" w:rsidR="00883CF7" w:rsidRPr="003217FA" w:rsidRDefault="00883CF7" w:rsidP="000A2FCE">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Bytové domy</w:t>
            </w:r>
          </w:p>
        </w:tc>
        <w:tc>
          <w:tcPr>
            <w:tcW w:w="744" w:type="pct"/>
            <w:vMerge/>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6489213" w14:textId="77777777" w:rsidR="00883CF7" w:rsidRPr="003217FA" w:rsidRDefault="00883CF7" w:rsidP="000A2FCE">
            <w:pPr>
              <w:jc w:val="center"/>
              <w:rPr>
                <w:rFonts w:eastAsia="Times New Roman" w:cs="Times New Roman"/>
                <w:b/>
                <w:color w:val="000000"/>
                <w:sz w:val="20"/>
                <w:szCs w:val="20"/>
                <w:lang w:eastAsia="cs-CZ"/>
              </w:rPr>
            </w:pPr>
          </w:p>
        </w:tc>
        <w:tc>
          <w:tcPr>
            <w:tcW w:w="1538" w:type="pct"/>
            <w:vMerge/>
            <w:tcBorders>
              <w:top w:val="single" w:sz="12" w:space="0" w:color="auto"/>
              <w:left w:val="single" w:sz="12" w:space="0" w:color="auto"/>
              <w:bottom w:val="single" w:sz="12" w:space="0" w:color="auto"/>
            </w:tcBorders>
            <w:shd w:val="clear" w:color="auto" w:fill="auto"/>
            <w:noWrap/>
            <w:vAlign w:val="center"/>
            <w:hideMark/>
          </w:tcPr>
          <w:p w14:paraId="5918CCC6" w14:textId="77777777" w:rsidR="00883CF7" w:rsidRPr="003217FA" w:rsidRDefault="00883CF7" w:rsidP="000A2FCE">
            <w:pPr>
              <w:jc w:val="center"/>
              <w:rPr>
                <w:rFonts w:eastAsia="Times New Roman" w:cs="Times New Roman"/>
                <w:b/>
                <w:color w:val="000000"/>
                <w:sz w:val="20"/>
                <w:szCs w:val="20"/>
                <w:lang w:eastAsia="cs-CZ"/>
              </w:rPr>
            </w:pPr>
          </w:p>
        </w:tc>
      </w:tr>
      <w:tr w:rsidR="001427D1" w:rsidRPr="003217FA" w14:paraId="6A0720FC" w14:textId="77777777" w:rsidTr="00081C38">
        <w:trPr>
          <w:trHeight w:val="50"/>
          <w:jc w:val="center"/>
        </w:trPr>
        <w:tc>
          <w:tcPr>
            <w:tcW w:w="446" w:type="pct"/>
            <w:tcBorders>
              <w:top w:val="single" w:sz="12" w:space="0" w:color="auto"/>
              <w:bottom w:val="single" w:sz="18" w:space="0" w:color="auto"/>
              <w:right w:val="single" w:sz="12" w:space="0" w:color="auto"/>
            </w:tcBorders>
            <w:shd w:val="clear" w:color="auto" w:fill="D9D9D9" w:themeFill="background1" w:themeFillShade="D9"/>
            <w:noWrap/>
            <w:vAlign w:val="center"/>
            <w:hideMark/>
          </w:tcPr>
          <w:p w14:paraId="443A6887" w14:textId="465332D2" w:rsidR="001427D1" w:rsidRPr="003217FA" w:rsidRDefault="001427D1" w:rsidP="001427D1">
            <w:pPr>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20</w:t>
            </w:r>
            <w:r>
              <w:rPr>
                <w:rFonts w:eastAsia="Times New Roman" w:cs="Times New Roman"/>
                <w:b/>
                <w:color w:val="000000"/>
                <w:sz w:val="20"/>
                <w:szCs w:val="20"/>
                <w:lang w:eastAsia="cs-CZ"/>
              </w:rPr>
              <w:t>1</w:t>
            </w:r>
            <w:r w:rsidRPr="003217FA">
              <w:rPr>
                <w:rFonts w:eastAsia="Times New Roman" w:cs="Times New Roman"/>
                <w:b/>
                <w:color w:val="000000"/>
                <w:sz w:val="20"/>
                <w:szCs w:val="20"/>
                <w:lang w:eastAsia="cs-CZ"/>
              </w:rPr>
              <w:t>1</w:t>
            </w:r>
          </w:p>
        </w:tc>
        <w:tc>
          <w:tcPr>
            <w:tcW w:w="567" w:type="pct"/>
            <w:tcBorders>
              <w:top w:val="single" w:sz="12" w:space="0" w:color="auto"/>
              <w:left w:val="single" w:sz="12" w:space="0" w:color="auto"/>
              <w:bottom w:val="single" w:sz="18" w:space="0" w:color="auto"/>
              <w:right w:val="single" w:sz="12" w:space="0" w:color="auto"/>
            </w:tcBorders>
            <w:shd w:val="clear" w:color="auto" w:fill="auto"/>
            <w:noWrap/>
            <w:vAlign w:val="bottom"/>
          </w:tcPr>
          <w:p w14:paraId="0FC8D099" w14:textId="2FD0C790"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215</w:t>
            </w:r>
          </w:p>
        </w:tc>
        <w:tc>
          <w:tcPr>
            <w:tcW w:w="570" w:type="pct"/>
            <w:tcBorders>
              <w:top w:val="single" w:sz="12" w:space="0" w:color="auto"/>
              <w:left w:val="single" w:sz="12" w:space="0" w:color="auto"/>
              <w:bottom w:val="single" w:sz="18" w:space="0" w:color="auto"/>
              <w:right w:val="single" w:sz="12" w:space="0" w:color="auto"/>
            </w:tcBorders>
            <w:shd w:val="clear" w:color="auto" w:fill="auto"/>
            <w:noWrap/>
            <w:vAlign w:val="bottom"/>
          </w:tcPr>
          <w:p w14:paraId="25F730FC" w14:textId="2C4EFC37"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177</w:t>
            </w:r>
          </w:p>
        </w:tc>
        <w:tc>
          <w:tcPr>
            <w:tcW w:w="567" w:type="pct"/>
            <w:tcBorders>
              <w:top w:val="single" w:sz="12" w:space="0" w:color="auto"/>
              <w:left w:val="single" w:sz="12" w:space="0" w:color="auto"/>
              <w:bottom w:val="single" w:sz="18" w:space="0" w:color="auto"/>
              <w:right w:val="single" w:sz="12" w:space="0" w:color="auto"/>
            </w:tcBorders>
            <w:shd w:val="clear" w:color="auto" w:fill="auto"/>
            <w:noWrap/>
            <w:vAlign w:val="bottom"/>
          </w:tcPr>
          <w:p w14:paraId="171EFE41" w14:textId="199520CE"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161</w:t>
            </w:r>
          </w:p>
        </w:tc>
        <w:tc>
          <w:tcPr>
            <w:tcW w:w="570" w:type="pct"/>
            <w:tcBorders>
              <w:top w:val="single" w:sz="12" w:space="0" w:color="auto"/>
              <w:left w:val="single" w:sz="12" w:space="0" w:color="auto"/>
              <w:bottom w:val="single" w:sz="18" w:space="0" w:color="auto"/>
              <w:right w:val="single" w:sz="12" w:space="0" w:color="auto"/>
            </w:tcBorders>
            <w:shd w:val="clear" w:color="auto" w:fill="auto"/>
            <w:noWrap/>
            <w:vAlign w:val="bottom"/>
          </w:tcPr>
          <w:p w14:paraId="1B0CBAC3" w14:textId="04232CA3"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15</w:t>
            </w:r>
          </w:p>
        </w:tc>
        <w:tc>
          <w:tcPr>
            <w:tcW w:w="744" w:type="pct"/>
            <w:tcBorders>
              <w:top w:val="single" w:sz="12" w:space="0" w:color="auto"/>
              <w:left w:val="single" w:sz="12" w:space="0" w:color="auto"/>
              <w:bottom w:val="single" w:sz="18" w:space="0" w:color="auto"/>
              <w:right w:val="single" w:sz="12" w:space="0" w:color="auto"/>
            </w:tcBorders>
            <w:shd w:val="clear" w:color="auto" w:fill="auto"/>
            <w:noWrap/>
            <w:vAlign w:val="bottom"/>
          </w:tcPr>
          <w:p w14:paraId="526598B1" w14:textId="078B8C4F"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38</w:t>
            </w:r>
          </w:p>
        </w:tc>
        <w:tc>
          <w:tcPr>
            <w:tcW w:w="1538" w:type="pct"/>
            <w:tcBorders>
              <w:top w:val="single" w:sz="12" w:space="0" w:color="auto"/>
              <w:left w:val="single" w:sz="12" w:space="0" w:color="auto"/>
              <w:bottom w:val="single" w:sz="18" w:space="0" w:color="auto"/>
            </w:tcBorders>
            <w:shd w:val="clear" w:color="auto" w:fill="auto"/>
            <w:noWrap/>
            <w:vAlign w:val="bottom"/>
          </w:tcPr>
          <w:p w14:paraId="1E9F8D94" w14:textId="045454C1" w:rsidR="001427D1" w:rsidRPr="003217FA" w:rsidRDefault="002B5FE7" w:rsidP="001427D1">
            <w:pPr>
              <w:jc w:val="right"/>
              <w:rPr>
                <w:rFonts w:eastAsia="Times New Roman" w:cs="Times New Roman"/>
                <w:color w:val="000000"/>
                <w:sz w:val="20"/>
                <w:szCs w:val="20"/>
                <w:lang w:eastAsia="cs-CZ"/>
              </w:rPr>
            </w:pPr>
            <w:r>
              <w:rPr>
                <w:rFonts w:eastAsia="Times New Roman" w:cs="Times New Roman"/>
                <w:color w:val="000000"/>
                <w:sz w:val="20"/>
                <w:szCs w:val="20"/>
                <w:lang w:eastAsia="cs-CZ"/>
              </w:rPr>
              <w:t>17,7</w:t>
            </w:r>
          </w:p>
        </w:tc>
      </w:tr>
    </w:tbl>
    <w:p w14:paraId="773F2A70" w14:textId="266E704C" w:rsidR="001C73BA" w:rsidRDefault="001C73BA" w:rsidP="001C73BA">
      <w:pPr>
        <w:contextualSpacing/>
        <w:jc w:val="both"/>
        <w:rPr>
          <w:rFonts w:eastAsia="RWXLTG+TimesNewRoman" w:cs="RWXLTG+TimesNewRoman"/>
        </w:rPr>
      </w:pPr>
      <w:r w:rsidRPr="0074351D">
        <w:rPr>
          <w:b/>
          <w:sz w:val="20"/>
          <w:szCs w:val="20"/>
        </w:rPr>
        <w:t>Zdroj:</w:t>
      </w:r>
      <w:r w:rsidRPr="0074351D">
        <w:rPr>
          <w:sz w:val="20"/>
          <w:szCs w:val="20"/>
        </w:rPr>
        <w:t xml:space="preserve"> </w:t>
      </w:r>
      <w:r>
        <w:rPr>
          <w:sz w:val="20"/>
          <w:szCs w:val="20"/>
        </w:rPr>
        <w:t>S</w:t>
      </w:r>
      <w:r>
        <w:rPr>
          <w:rFonts w:eastAsia="RWXLTG+TimesNewRoman" w:cs="RWXLTG+TimesNewRoman"/>
          <w:color w:val="000000"/>
          <w:sz w:val="20"/>
          <w:szCs w:val="20"/>
        </w:rPr>
        <w:t xml:space="preserve">čítání lidu, domů a bytů </w:t>
      </w:r>
      <w:r w:rsidRPr="002808C1">
        <w:rPr>
          <w:rFonts w:eastAsia="RWXLTG+TimesNewRoman" w:cs="RWXLTG+TimesNewRoman"/>
          <w:color w:val="000000"/>
          <w:sz w:val="20"/>
          <w:szCs w:val="20"/>
        </w:rPr>
        <w:t xml:space="preserve">2011, </w:t>
      </w:r>
      <w:hyperlink r:id="rId83" w:history="1">
        <w:r w:rsidRPr="00740CD5">
          <w:rPr>
            <w:rStyle w:val="Hypertextovodkaz"/>
            <w:sz w:val="20"/>
            <w:szCs w:val="20"/>
          </w:rPr>
          <w:t>https://www.czso.cz/csu/czso/scitani-lidu-domu-a-bytu</w:t>
        </w:r>
      </w:hyperlink>
    </w:p>
    <w:p w14:paraId="4D4BFFE0" w14:textId="77777777" w:rsidR="001C73BA" w:rsidRDefault="001C73BA" w:rsidP="00310BC6">
      <w:pPr>
        <w:spacing w:after="160" w:line="259" w:lineRule="auto"/>
        <w:jc w:val="both"/>
        <w:rPr>
          <w:rFonts w:eastAsia="RWXLTG+TimesNewRoman" w:cs="RWXLTG+TimesNewRoman"/>
        </w:rPr>
      </w:pPr>
    </w:p>
    <w:p w14:paraId="77A41182" w14:textId="4535214A" w:rsidR="0066547D" w:rsidRDefault="0066547D" w:rsidP="00310BC6">
      <w:pPr>
        <w:spacing w:after="160" w:line="259" w:lineRule="auto"/>
        <w:jc w:val="both"/>
        <w:rPr>
          <w:rFonts w:eastAsia="RWXLTG+TimesNewRoman" w:cs="RWXLTG+TimesNewRoman"/>
        </w:rPr>
      </w:pPr>
      <w:r>
        <w:rPr>
          <w:rFonts w:eastAsia="RWXLTG+TimesNewRoman" w:cs="RWXLTG+TimesNewRoman"/>
        </w:rPr>
        <w:t>Co se týče vývoje počtu domů, mezi lety 2001 a 2011 došlo k</w:t>
      </w:r>
      <w:r w:rsidR="00126CEB">
        <w:rPr>
          <w:rFonts w:eastAsia="RWXLTG+TimesNewRoman" w:cs="RWXLTG+TimesNewRoman"/>
        </w:rPr>
        <w:t> poměrně výraznému</w:t>
      </w:r>
      <w:r>
        <w:rPr>
          <w:rFonts w:eastAsia="RWXLTG+TimesNewRoman" w:cs="RWXLTG+TimesNewRoman"/>
        </w:rPr>
        <w:t xml:space="preserve"> </w:t>
      </w:r>
      <w:r w:rsidR="00750893">
        <w:rPr>
          <w:rFonts w:eastAsia="RWXLTG+TimesNewRoman" w:cs="RWXLTG+TimesNewRoman"/>
        </w:rPr>
        <w:t>nárůstu</w:t>
      </w:r>
      <w:r>
        <w:rPr>
          <w:rFonts w:eastAsia="RWXLTG+TimesNewRoman" w:cs="RWXLTG+TimesNewRoman"/>
        </w:rPr>
        <w:t xml:space="preserve"> celkového počtu domů (o </w:t>
      </w:r>
      <w:r w:rsidR="002B5FE7">
        <w:rPr>
          <w:rFonts w:eastAsia="RWXLTG+TimesNewRoman" w:cs="RWXLTG+TimesNewRoman"/>
        </w:rPr>
        <w:t>29</w:t>
      </w:r>
      <w:r>
        <w:rPr>
          <w:rFonts w:eastAsia="RWXLTG+TimesNewRoman" w:cs="RWXLTG+TimesNewRoman"/>
        </w:rPr>
        <w:t xml:space="preserve"> %). Počet obydlených domů mezi sledovanými lety </w:t>
      </w:r>
      <w:r w:rsidR="00126CEB">
        <w:rPr>
          <w:rFonts w:eastAsia="RWXLTG+TimesNewRoman" w:cs="RWXLTG+TimesNewRoman"/>
        </w:rPr>
        <w:t xml:space="preserve">také poměrně výrazně narostl (o </w:t>
      </w:r>
      <w:r w:rsidR="002B5FE7">
        <w:rPr>
          <w:rFonts w:eastAsia="RWXLTG+TimesNewRoman" w:cs="RWXLTG+TimesNewRoman"/>
        </w:rPr>
        <w:t>26</w:t>
      </w:r>
      <w:r w:rsidR="00126CEB">
        <w:rPr>
          <w:rFonts w:eastAsia="RWXLTG+TimesNewRoman" w:cs="RWXLTG+TimesNewRoman"/>
        </w:rPr>
        <w:t xml:space="preserve"> %)</w:t>
      </w:r>
      <w:r w:rsidR="002B5FE7">
        <w:rPr>
          <w:rFonts w:eastAsia="RWXLTG+TimesNewRoman" w:cs="RWXLTG+TimesNewRoman"/>
        </w:rPr>
        <w:t xml:space="preserve">. </w:t>
      </w:r>
      <w:r w:rsidRPr="008E57C2">
        <w:rPr>
          <w:rFonts w:eastAsia="RWXLTG+TimesNewRoman" w:cs="RWXLTG+TimesNewRoman"/>
        </w:rPr>
        <w:t xml:space="preserve">Podíl neobydlených </w:t>
      </w:r>
      <w:r>
        <w:rPr>
          <w:rFonts w:eastAsia="RWXLTG+TimesNewRoman" w:cs="RWXLTG+TimesNewRoman"/>
        </w:rPr>
        <w:t>domů</w:t>
      </w:r>
      <w:r w:rsidRPr="008E57C2">
        <w:rPr>
          <w:rFonts w:eastAsia="RWXLTG+TimesNewRoman" w:cs="RWXLTG+TimesNewRoman"/>
        </w:rPr>
        <w:t xml:space="preserve"> z celkového počtu </w:t>
      </w:r>
      <w:r>
        <w:rPr>
          <w:rFonts w:eastAsia="RWXLTG+TimesNewRoman" w:cs="RWXLTG+TimesNewRoman"/>
        </w:rPr>
        <w:t>domů</w:t>
      </w:r>
      <w:r w:rsidRPr="008E57C2">
        <w:rPr>
          <w:rFonts w:eastAsia="RWXLTG+TimesNewRoman" w:cs="RWXLTG+TimesNewRoman"/>
        </w:rPr>
        <w:t xml:space="preserve"> </w:t>
      </w:r>
      <w:r>
        <w:rPr>
          <w:rFonts w:eastAsia="RWXLTG+TimesNewRoman" w:cs="RWXLTG+TimesNewRoman"/>
        </w:rPr>
        <w:t xml:space="preserve">mezi sledovanými lety </w:t>
      </w:r>
      <w:r w:rsidR="002B5FE7">
        <w:rPr>
          <w:rFonts w:eastAsia="RWXLTG+TimesNewRoman" w:cs="RWXLTG+TimesNewRoman"/>
        </w:rPr>
        <w:t>nepatrně vzrostl</w:t>
      </w:r>
      <w:r w:rsidR="00E643A6">
        <w:rPr>
          <w:rFonts w:eastAsia="RWXLTG+TimesNewRoman" w:cs="RWXLTG+TimesNewRoman"/>
        </w:rPr>
        <w:t xml:space="preserve">, konkrétně </w:t>
      </w:r>
      <w:r>
        <w:rPr>
          <w:rFonts w:eastAsia="RWXLTG+TimesNewRoman" w:cs="RWXLTG+TimesNewRoman"/>
        </w:rPr>
        <w:t xml:space="preserve">o </w:t>
      </w:r>
      <w:r w:rsidR="002B5FE7">
        <w:rPr>
          <w:rFonts w:eastAsia="RWXLTG+TimesNewRoman" w:cs="RWXLTG+TimesNewRoman"/>
        </w:rPr>
        <w:t>2</w:t>
      </w:r>
      <w:r w:rsidR="00E643A6">
        <w:rPr>
          <w:rFonts w:eastAsia="RWXLTG+TimesNewRoman" w:cs="RWXLTG+TimesNewRoman"/>
        </w:rPr>
        <w:t>,</w:t>
      </w:r>
      <w:r w:rsidR="002B5FE7">
        <w:rPr>
          <w:rFonts w:eastAsia="RWXLTG+TimesNewRoman" w:cs="RWXLTG+TimesNewRoman"/>
        </w:rPr>
        <w:t>2</w:t>
      </w:r>
      <w:r>
        <w:rPr>
          <w:rFonts w:eastAsia="RWXLTG+TimesNewRoman" w:cs="RWXLTG+TimesNewRoman"/>
        </w:rPr>
        <w:t xml:space="preserve"> % z</w:t>
      </w:r>
      <w:r w:rsidR="00126CEB">
        <w:rPr>
          <w:rFonts w:eastAsia="RWXLTG+TimesNewRoman" w:cs="RWXLTG+TimesNewRoman"/>
        </w:rPr>
        <w:t> </w:t>
      </w:r>
      <w:r w:rsidR="002B5FE7">
        <w:rPr>
          <w:rFonts w:eastAsia="RWXLTG+TimesNewRoman" w:cs="RWXLTG+TimesNewRoman"/>
        </w:rPr>
        <w:t>10</w:t>
      </w:r>
      <w:r>
        <w:rPr>
          <w:rFonts w:eastAsia="RWXLTG+TimesNewRoman" w:cs="RWXLTG+TimesNewRoman"/>
        </w:rPr>
        <w:t xml:space="preserve"> % v roce 2001 na </w:t>
      </w:r>
      <w:r w:rsidR="002B5FE7">
        <w:rPr>
          <w:rFonts w:eastAsia="RWXLTG+TimesNewRoman" w:cs="RWXLTG+TimesNewRoman"/>
        </w:rPr>
        <w:t>12,2</w:t>
      </w:r>
      <w:r>
        <w:rPr>
          <w:rFonts w:eastAsia="RWXLTG+TimesNewRoman" w:cs="RWXLTG+TimesNewRoman"/>
        </w:rPr>
        <w:t xml:space="preserve"> % v roce 2011. Tyto domy z převážné části představují rekreační objekty.</w:t>
      </w:r>
    </w:p>
    <w:p w14:paraId="6C409FF6" w14:textId="5F3A66FE" w:rsidR="0066547D" w:rsidRDefault="0066547D" w:rsidP="00310BC6">
      <w:pPr>
        <w:spacing w:after="160" w:line="259" w:lineRule="auto"/>
        <w:jc w:val="both"/>
        <w:rPr>
          <w:rFonts w:eastAsia="RWXLTG+TimesNewRoman" w:cs="RWXLTG+TimesNewRoman"/>
        </w:rPr>
      </w:pPr>
      <w:r>
        <w:rPr>
          <w:rFonts w:eastAsia="RWXLTG+TimesNewRoman" w:cs="RWXLTG+TimesNewRoman"/>
        </w:rPr>
        <w:t xml:space="preserve">Co se týče vývoje počtu bytů, mezi lety 2001 a 2011 došlo </w:t>
      </w:r>
      <w:r w:rsidR="00750893">
        <w:rPr>
          <w:rFonts w:eastAsia="RWXLTG+TimesNewRoman" w:cs="RWXLTG+TimesNewRoman"/>
        </w:rPr>
        <w:t>k</w:t>
      </w:r>
      <w:r w:rsidR="004052F4">
        <w:rPr>
          <w:rFonts w:eastAsia="RWXLTG+TimesNewRoman" w:cs="RWXLTG+TimesNewRoman"/>
        </w:rPr>
        <w:t>e</w:t>
      </w:r>
      <w:r w:rsidR="00750893">
        <w:rPr>
          <w:rFonts w:eastAsia="RWXLTG+TimesNewRoman" w:cs="RWXLTG+TimesNewRoman"/>
        </w:rPr>
        <w:t xml:space="preserve"> značnému nárůstu celkového počtu </w:t>
      </w:r>
      <w:r>
        <w:rPr>
          <w:rFonts w:eastAsia="RWXLTG+TimesNewRoman" w:cs="RWXLTG+TimesNewRoman"/>
        </w:rPr>
        <w:t xml:space="preserve">bytů (o </w:t>
      </w:r>
      <w:r w:rsidR="00097983">
        <w:rPr>
          <w:rFonts w:eastAsia="RWXLTG+TimesNewRoman" w:cs="RWXLTG+TimesNewRoman"/>
        </w:rPr>
        <w:t>39</w:t>
      </w:r>
      <w:r>
        <w:rPr>
          <w:rFonts w:eastAsia="RWXLTG+TimesNewRoman" w:cs="RWXLTG+TimesNewRoman"/>
        </w:rPr>
        <w:t xml:space="preserve"> %). </w:t>
      </w:r>
      <w:r w:rsidR="004052F4">
        <w:rPr>
          <w:rFonts w:eastAsia="RWXLTG+TimesNewRoman" w:cs="RWXLTG+TimesNewRoman"/>
        </w:rPr>
        <w:t>P</w:t>
      </w:r>
      <w:r>
        <w:rPr>
          <w:rFonts w:eastAsia="RWXLTG+TimesNewRoman" w:cs="RWXLTG+TimesNewRoman"/>
        </w:rPr>
        <w:t xml:space="preserve">očet obydlených bytů mezi sledovanými lety </w:t>
      </w:r>
      <w:r w:rsidR="00D003BE">
        <w:rPr>
          <w:rFonts w:eastAsia="RWXLTG+TimesNewRoman" w:cs="RWXLTG+TimesNewRoman"/>
        </w:rPr>
        <w:t xml:space="preserve">také výrazně narostl (o </w:t>
      </w:r>
      <w:r w:rsidR="00097983">
        <w:rPr>
          <w:rFonts w:eastAsia="RWXLTG+TimesNewRoman" w:cs="RWXLTG+TimesNewRoman"/>
        </w:rPr>
        <w:t>26</w:t>
      </w:r>
      <w:r w:rsidR="00D003BE">
        <w:rPr>
          <w:rFonts w:eastAsia="RWXLTG+TimesNewRoman" w:cs="RWXLTG+TimesNewRoman"/>
        </w:rPr>
        <w:t xml:space="preserve"> %)</w:t>
      </w:r>
      <w:r>
        <w:rPr>
          <w:rFonts w:eastAsia="RWXLTG+TimesNewRoman" w:cs="RWXLTG+TimesNewRoman"/>
        </w:rPr>
        <w:t>.</w:t>
      </w:r>
      <w:r w:rsidRPr="00A649EC">
        <w:rPr>
          <w:rFonts w:eastAsia="RWXLTG+TimesNewRoman" w:cs="RWXLTG+TimesNewRoman"/>
        </w:rPr>
        <w:t xml:space="preserve"> </w:t>
      </w:r>
      <w:r w:rsidRPr="008E57C2">
        <w:rPr>
          <w:rFonts w:eastAsia="RWXLTG+TimesNewRoman" w:cs="RWXLTG+TimesNewRoman"/>
        </w:rPr>
        <w:t xml:space="preserve">Podíl neobydlených </w:t>
      </w:r>
      <w:r>
        <w:rPr>
          <w:rFonts w:eastAsia="RWXLTG+TimesNewRoman" w:cs="RWXLTG+TimesNewRoman"/>
        </w:rPr>
        <w:t>bytů</w:t>
      </w:r>
      <w:r w:rsidRPr="008E57C2">
        <w:rPr>
          <w:rFonts w:eastAsia="RWXLTG+TimesNewRoman" w:cs="RWXLTG+TimesNewRoman"/>
        </w:rPr>
        <w:t xml:space="preserve"> z celkového počtu </w:t>
      </w:r>
      <w:r>
        <w:rPr>
          <w:rFonts w:eastAsia="RWXLTG+TimesNewRoman" w:cs="RWXLTG+TimesNewRoman"/>
        </w:rPr>
        <w:t>bytů</w:t>
      </w:r>
      <w:r w:rsidRPr="008E57C2">
        <w:rPr>
          <w:rFonts w:eastAsia="RWXLTG+TimesNewRoman" w:cs="RWXLTG+TimesNewRoman"/>
        </w:rPr>
        <w:t xml:space="preserve"> </w:t>
      </w:r>
      <w:r>
        <w:rPr>
          <w:rFonts w:eastAsia="RWXLTG+TimesNewRoman" w:cs="RWXLTG+TimesNewRoman"/>
        </w:rPr>
        <w:t>mezi sledovanými lety</w:t>
      </w:r>
      <w:r w:rsidR="00750893">
        <w:rPr>
          <w:rFonts w:eastAsia="RWXLTG+TimesNewRoman" w:cs="RWXLTG+TimesNewRoman"/>
        </w:rPr>
        <w:t xml:space="preserve"> </w:t>
      </w:r>
      <w:r w:rsidR="00097983">
        <w:rPr>
          <w:rFonts w:eastAsia="RWXLTG+TimesNewRoman" w:cs="RWXLTG+TimesNewRoman"/>
        </w:rPr>
        <w:t>vzrostl</w:t>
      </w:r>
      <w:r>
        <w:rPr>
          <w:rFonts w:eastAsia="RWXLTG+TimesNewRoman" w:cs="RWXLTG+TimesNewRoman"/>
        </w:rPr>
        <w:t xml:space="preserve"> o </w:t>
      </w:r>
      <w:r w:rsidR="00097983">
        <w:rPr>
          <w:rFonts w:eastAsia="RWXLTG+TimesNewRoman" w:cs="RWXLTG+TimesNewRoman"/>
        </w:rPr>
        <w:t>8</w:t>
      </w:r>
      <w:r w:rsidR="004052F4">
        <w:rPr>
          <w:rFonts w:eastAsia="RWXLTG+TimesNewRoman" w:cs="RWXLTG+TimesNewRoman"/>
        </w:rPr>
        <w:t>,</w:t>
      </w:r>
      <w:r w:rsidR="00097983">
        <w:rPr>
          <w:rFonts w:eastAsia="RWXLTG+TimesNewRoman" w:cs="RWXLTG+TimesNewRoman"/>
        </w:rPr>
        <w:t>7</w:t>
      </w:r>
      <w:r>
        <w:rPr>
          <w:rFonts w:eastAsia="RWXLTG+TimesNewRoman" w:cs="RWXLTG+TimesNewRoman"/>
        </w:rPr>
        <w:t xml:space="preserve"> % </w:t>
      </w:r>
      <w:r w:rsidR="00750893">
        <w:rPr>
          <w:rFonts w:eastAsia="RWXLTG+TimesNewRoman" w:cs="RWXLTG+TimesNewRoman"/>
        </w:rPr>
        <w:t>– z</w:t>
      </w:r>
      <w:r w:rsidR="00D003BE">
        <w:rPr>
          <w:rFonts w:eastAsia="RWXLTG+TimesNewRoman" w:cs="RWXLTG+TimesNewRoman"/>
        </w:rPr>
        <w:t> </w:t>
      </w:r>
      <w:r w:rsidR="00097983">
        <w:rPr>
          <w:rFonts w:eastAsia="RWXLTG+TimesNewRoman" w:cs="RWXLTG+TimesNewRoman"/>
        </w:rPr>
        <w:t>9</w:t>
      </w:r>
      <w:r>
        <w:rPr>
          <w:rFonts w:eastAsia="RWXLTG+TimesNewRoman" w:cs="RWXLTG+TimesNewRoman"/>
        </w:rPr>
        <w:t xml:space="preserve"> % v roce 2001 na </w:t>
      </w:r>
      <w:r w:rsidR="00097983">
        <w:rPr>
          <w:rFonts w:eastAsia="RWXLTG+TimesNewRoman" w:cs="RWXLTG+TimesNewRoman"/>
        </w:rPr>
        <w:t>17,7</w:t>
      </w:r>
      <w:r>
        <w:rPr>
          <w:rFonts w:eastAsia="RWXLTG+TimesNewRoman" w:cs="RWXLTG+TimesNewRoman"/>
        </w:rPr>
        <w:t xml:space="preserve"> % v roce 2011. Z toho vyplývá, že přibližně každý </w:t>
      </w:r>
      <w:r w:rsidR="00097983">
        <w:rPr>
          <w:rFonts w:eastAsia="RWXLTG+TimesNewRoman" w:cs="RWXLTG+TimesNewRoman"/>
        </w:rPr>
        <w:t>pátý</w:t>
      </w:r>
      <w:r>
        <w:rPr>
          <w:rFonts w:eastAsia="RWXLTG+TimesNewRoman" w:cs="RWXLTG+TimesNewRoman"/>
        </w:rPr>
        <w:t xml:space="preserve"> byt nebyl v obci obydlen. Tyto byty z převážné části představují byty v rekreačních objektech či byty v domech, které jsou obydleny pouze přechodně.</w:t>
      </w:r>
    </w:p>
    <w:p w14:paraId="20BA3D3D" w14:textId="6FD92300" w:rsidR="00F72B0C" w:rsidRDefault="00F72B0C" w:rsidP="00310BC6">
      <w:pPr>
        <w:spacing w:after="160" w:line="259" w:lineRule="auto"/>
        <w:jc w:val="both"/>
        <w:rPr>
          <w:rFonts w:eastAsia="RWXLTG+TimesNewRoman" w:cs="RWXLTG+TimesNewRoman"/>
        </w:rPr>
      </w:pPr>
      <w:r>
        <w:rPr>
          <w:rFonts w:eastAsia="RWXLTG+TimesNewRoman" w:cs="RWXLTG+TimesNewRoman"/>
        </w:rPr>
        <w:t xml:space="preserve">Nárůst počtu celkového počtu domů a bytů i obydlených domů a bytů je způsoben </w:t>
      </w:r>
      <w:r w:rsidR="003244DD">
        <w:rPr>
          <w:rFonts w:eastAsia="RWXLTG+TimesNewRoman" w:cs="RWXLTG+TimesNewRoman"/>
        </w:rPr>
        <w:t xml:space="preserve">především </w:t>
      </w:r>
      <w:r>
        <w:rPr>
          <w:rFonts w:eastAsia="RWXLTG+TimesNewRoman" w:cs="RWXLTG+TimesNewRoman"/>
        </w:rPr>
        <w:t xml:space="preserve">výstavbou nových rodinných domů v obci. </w:t>
      </w:r>
    </w:p>
    <w:p w14:paraId="33F5036A" w14:textId="07C605AF" w:rsidR="001C73BA" w:rsidRDefault="0066547D" w:rsidP="00310BC6">
      <w:pPr>
        <w:spacing w:after="160" w:line="259" w:lineRule="auto"/>
        <w:jc w:val="both"/>
      </w:pPr>
      <w:r>
        <w:t xml:space="preserve">Z pohledu právního důvodu užívání bytu byla situace v roce 2011 následující: </w:t>
      </w:r>
      <w:r w:rsidR="00656CD8">
        <w:t>60,9</w:t>
      </w:r>
      <w:r>
        <w:t xml:space="preserve"> % bytů z celkového počtu bytů představovaly byty ve vlastním domě, </w:t>
      </w:r>
      <w:r w:rsidR="00656CD8">
        <w:t>8,9</w:t>
      </w:r>
      <w:r>
        <w:t xml:space="preserve"> % představovaly byty </w:t>
      </w:r>
      <w:r w:rsidR="009E7385">
        <w:t>nájemní</w:t>
      </w:r>
      <w:r>
        <w:t xml:space="preserve">. U zbývajících bytů </w:t>
      </w:r>
      <w:r w:rsidR="000B1CFF">
        <w:t>(</w:t>
      </w:r>
      <w:r w:rsidR="00656CD8">
        <w:t>30,2</w:t>
      </w:r>
      <w:r w:rsidR="000B1CFF">
        <w:t xml:space="preserve"> %) </w:t>
      </w:r>
      <w:r>
        <w:t>nebyl právní důvod užívání uveden.</w:t>
      </w:r>
    </w:p>
    <w:p w14:paraId="5990C27D" w14:textId="26352FAC" w:rsidR="001C73BA" w:rsidRPr="00B74F7C" w:rsidRDefault="001C73BA" w:rsidP="00310BC6">
      <w:pPr>
        <w:spacing w:after="160" w:line="259" w:lineRule="auto"/>
        <w:jc w:val="both"/>
        <w:rPr>
          <w:rFonts w:eastAsia="RWXLTG+TimesNewRoman" w:cs="RWXLTG+TimesNewRoman"/>
        </w:rPr>
      </w:pPr>
      <w:r w:rsidRPr="00E75246">
        <w:t xml:space="preserve">Zastavitelné plochy, jejichž součástí jsou i lokality, u kterých je požadován způsob využití „plochy </w:t>
      </w:r>
      <w:r w:rsidR="0008307C">
        <w:t>bydlení v rodinných domech</w:t>
      </w:r>
      <w:r w:rsidR="00E75246" w:rsidRPr="00E75246">
        <w:t xml:space="preserve"> – venkovské</w:t>
      </w:r>
      <w:r w:rsidRPr="00E75246">
        <w:t>“ jsou vymezeny v </w:t>
      </w:r>
      <w:r w:rsidR="00E75246" w:rsidRPr="00E75246">
        <w:t>Ú</w:t>
      </w:r>
      <w:r w:rsidRPr="00E75246">
        <w:t xml:space="preserve">zemním plánu </w:t>
      </w:r>
      <w:r w:rsidR="0008307C">
        <w:t>Staré Buky</w:t>
      </w:r>
      <w:r w:rsidR="00E75246" w:rsidRPr="00E75246">
        <w:t xml:space="preserve"> (blíže viz kap. 2.4.2 Návaznost na jiné strategické a územní dokumenty).</w:t>
      </w:r>
    </w:p>
    <w:p w14:paraId="76F437A8" w14:textId="2D9FA20A" w:rsidR="00825888" w:rsidRDefault="001C73BA" w:rsidP="00032D4A">
      <w:pPr>
        <w:spacing w:after="160" w:line="259" w:lineRule="auto"/>
        <w:jc w:val="both"/>
      </w:pPr>
      <w:r w:rsidRPr="002562CF">
        <w:rPr>
          <w:rFonts w:eastAsia="RWXLTG+TimesNewRoman" w:cs="RWXLTG+TimesNewRoman"/>
        </w:rPr>
        <w:t xml:space="preserve">Zájemců o informace týkající se stavby rodinného domu bývá ročně okolo </w:t>
      </w:r>
      <w:r w:rsidR="002562CF" w:rsidRPr="002562CF">
        <w:rPr>
          <w:rFonts w:eastAsia="RWXLTG+TimesNewRoman" w:cs="RWXLTG+TimesNewRoman"/>
        </w:rPr>
        <w:t>dvaceti až pětadvaceti</w:t>
      </w:r>
      <w:r w:rsidR="002D3330" w:rsidRPr="002562CF">
        <w:rPr>
          <w:rFonts w:eastAsia="RWXLTG+TimesNewRoman" w:cs="RWXLTG+TimesNewRoman"/>
        </w:rPr>
        <w:t xml:space="preserve"> osob.</w:t>
      </w:r>
    </w:p>
    <w:p w14:paraId="3C2573C0" w14:textId="752B1FCA" w:rsidR="00995C48" w:rsidRDefault="00995C48" w:rsidP="00032D4A">
      <w:pPr>
        <w:spacing w:after="160" w:line="259" w:lineRule="auto"/>
        <w:jc w:val="both"/>
        <w:rPr>
          <w:rFonts w:eastAsia="RWXLTG+TimesNewRoman" w:cs="RWXLTG+TimesNewRoman"/>
        </w:rPr>
      </w:pPr>
      <w:r w:rsidRPr="002562CF">
        <w:rPr>
          <w:rFonts w:eastAsia="RWXLTG+TimesNewRoman" w:cs="RWXLTG+TimesNewRoman"/>
        </w:rPr>
        <w:t>Obec v rámci svých možností podporuje výstavbu nových rodinných domů</w:t>
      </w:r>
      <w:r w:rsidR="00875F59" w:rsidRPr="002562CF">
        <w:rPr>
          <w:rFonts w:eastAsia="RWXLTG+TimesNewRoman" w:cs="RWXLTG+TimesNewRoman"/>
        </w:rPr>
        <w:t xml:space="preserve">, konkrétně např. formou </w:t>
      </w:r>
      <w:r w:rsidR="002562CF" w:rsidRPr="002562CF">
        <w:rPr>
          <w:bCs/>
        </w:rPr>
        <w:t>budování přístupových komunikací</w:t>
      </w:r>
      <w:r w:rsidR="00875F59" w:rsidRPr="002562CF">
        <w:rPr>
          <w:bCs/>
        </w:rPr>
        <w:t xml:space="preserve"> </w:t>
      </w:r>
      <w:r w:rsidR="002562CF" w:rsidRPr="002562CF">
        <w:rPr>
          <w:bCs/>
        </w:rPr>
        <w:t xml:space="preserve">k plochám určeným k výstavbě </w:t>
      </w:r>
      <w:r w:rsidR="00B15528" w:rsidRPr="002562CF">
        <w:rPr>
          <w:bCs/>
        </w:rPr>
        <w:t>rodinných domů</w:t>
      </w:r>
      <w:r w:rsidR="00875F59" w:rsidRPr="002562CF">
        <w:rPr>
          <w:bCs/>
        </w:rPr>
        <w:t xml:space="preserve">. </w:t>
      </w:r>
    </w:p>
    <w:p w14:paraId="3B053412" w14:textId="0008CCE5" w:rsidR="003E03FC" w:rsidRPr="003270B2" w:rsidRDefault="001C73BA" w:rsidP="00032D4A">
      <w:pPr>
        <w:spacing w:after="160" w:line="259" w:lineRule="auto"/>
        <w:jc w:val="both"/>
        <w:rPr>
          <w:rFonts w:eastAsia="RWXLTG+TimesNewRoman" w:cs="RWXLTG+TimesNewRoman"/>
          <w:color w:val="000000" w:themeColor="text1"/>
        </w:rPr>
      </w:pPr>
      <w:r w:rsidRPr="003270B2">
        <w:rPr>
          <w:rFonts w:eastAsia="RWXLTG+TimesNewRoman" w:cs="RWXLTG+TimesNewRoman"/>
        </w:rPr>
        <w:t>Obec</w:t>
      </w:r>
      <w:r w:rsidR="000F7372" w:rsidRPr="003270B2">
        <w:rPr>
          <w:rFonts w:eastAsia="RWXLTG+TimesNewRoman" w:cs="RWXLTG+TimesNewRoman"/>
        </w:rPr>
        <w:t xml:space="preserve"> </w:t>
      </w:r>
      <w:r w:rsidR="002942F4">
        <w:rPr>
          <w:rFonts w:eastAsia="RWXLTG+TimesNewRoman" w:cs="RWXLTG+TimesNewRoman"/>
        </w:rPr>
        <w:t>Staré Buky</w:t>
      </w:r>
      <w:r w:rsidRPr="003270B2">
        <w:rPr>
          <w:rFonts w:eastAsia="RWXLTG+TimesNewRoman" w:cs="RWXLTG+TimesNewRoman"/>
        </w:rPr>
        <w:t xml:space="preserve"> </w:t>
      </w:r>
      <w:r w:rsidR="009A1DE6" w:rsidRPr="003270B2">
        <w:rPr>
          <w:rFonts w:eastAsia="RWXLTG+TimesNewRoman" w:cs="RWXLTG+TimesNewRoman"/>
          <w:color w:val="000000" w:themeColor="text1"/>
        </w:rPr>
        <w:t>k</w:t>
      </w:r>
      <w:r w:rsidR="002942F4">
        <w:rPr>
          <w:rFonts w:eastAsia="RWXLTG+TimesNewRoman" w:cs="RWXLTG+TimesNewRoman"/>
          <w:color w:val="000000" w:themeColor="text1"/>
        </w:rPr>
        <w:t>e</w:t>
      </w:r>
      <w:r w:rsidR="00EE3826" w:rsidRPr="003270B2">
        <w:rPr>
          <w:rFonts w:eastAsia="RWXLTG+TimesNewRoman" w:cs="RWXLTG+TimesNewRoman"/>
          <w:color w:val="000000" w:themeColor="text1"/>
        </w:rPr>
        <w:t> </w:t>
      </w:r>
      <w:r w:rsidR="002942F4">
        <w:rPr>
          <w:rFonts w:eastAsia="RWXLTG+TimesNewRoman" w:cs="RWXLTG+TimesNewRoman"/>
          <w:color w:val="000000" w:themeColor="text1"/>
        </w:rPr>
        <w:t>květnu</w:t>
      </w:r>
      <w:r w:rsidR="00EE3826" w:rsidRPr="003270B2">
        <w:rPr>
          <w:rFonts w:eastAsia="RWXLTG+TimesNewRoman" w:cs="RWXLTG+TimesNewRoman"/>
          <w:color w:val="000000" w:themeColor="text1"/>
        </w:rPr>
        <w:t xml:space="preserve"> 202</w:t>
      </w:r>
      <w:r w:rsidR="002942F4">
        <w:rPr>
          <w:rFonts w:eastAsia="RWXLTG+TimesNewRoman" w:cs="RWXLTG+TimesNewRoman"/>
          <w:color w:val="000000" w:themeColor="text1"/>
        </w:rPr>
        <w:t>2</w:t>
      </w:r>
      <w:r w:rsidR="00744841" w:rsidRPr="003270B2">
        <w:rPr>
          <w:rFonts w:eastAsia="RWXLTG+TimesNewRoman" w:cs="RWXLTG+TimesNewRoman"/>
          <w:color w:val="000000" w:themeColor="text1"/>
        </w:rPr>
        <w:t xml:space="preserve"> </w:t>
      </w:r>
      <w:r w:rsidR="002942F4">
        <w:rPr>
          <w:rFonts w:eastAsia="RWXLTG+TimesNewRoman" w:cs="RWXLTG+TimesNewRoman"/>
          <w:color w:val="000000" w:themeColor="text1"/>
        </w:rPr>
        <w:t>ne</w:t>
      </w:r>
      <w:r w:rsidR="002942F4" w:rsidRPr="003270B2">
        <w:rPr>
          <w:rFonts w:eastAsia="RWXLTG+TimesNewRoman" w:cs="RWXLTG+TimesNewRoman"/>
          <w:color w:val="000000" w:themeColor="text1"/>
        </w:rPr>
        <w:t xml:space="preserve">vlastní </w:t>
      </w:r>
      <w:r w:rsidR="002942F4">
        <w:rPr>
          <w:rFonts w:eastAsia="RWXLTG+TimesNewRoman" w:cs="RWXLTG+TimesNewRoman"/>
          <w:color w:val="000000" w:themeColor="text1"/>
        </w:rPr>
        <w:t>žádnou</w:t>
      </w:r>
      <w:r w:rsidR="009A1DE6" w:rsidRPr="003270B2">
        <w:rPr>
          <w:rFonts w:eastAsia="RWXLTG+TimesNewRoman" w:cs="RWXLTG+TimesNewRoman"/>
          <w:color w:val="000000" w:themeColor="text1"/>
        </w:rPr>
        <w:t xml:space="preserve"> </w:t>
      </w:r>
      <w:r w:rsidR="00E7758A" w:rsidRPr="003270B2">
        <w:rPr>
          <w:rFonts w:eastAsia="RWXLTG+TimesNewRoman" w:cs="RWXLTG+TimesNewRoman"/>
          <w:color w:val="000000" w:themeColor="text1"/>
        </w:rPr>
        <w:t>budov</w:t>
      </w:r>
      <w:r w:rsidR="002942F4">
        <w:rPr>
          <w:rFonts w:eastAsia="RWXLTG+TimesNewRoman" w:cs="RWXLTG+TimesNewRoman"/>
          <w:color w:val="000000" w:themeColor="text1"/>
        </w:rPr>
        <w:t>u</w:t>
      </w:r>
      <w:r w:rsidR="00473BF2" w:rsidRPr="003270B2">
        <w:rPr>
          <w:rFonts w:eastAsia="RWXLTG+TimesNewRoman" w:cs="RWXLTG+TimesNewRoman"/>
          <w:color w:val="000000" w:themeColor="text1"/>
        </w:rPr>
        <w:t xml:space="preserve"> </w:t>
      </w:r>
      <w:r w:rsidR="00C03376" w:rsidRPr="003270B2">
        <w:rPr>
          <w:rFonts w:eastAsia="RWXLTG+TimesNewRoman" w:cs="RWXLTG+TimesNewRoman"/>
          <w:color w:val="000000" w:themeColor="text1"/>
        </w:rPr>
        <w:t>veden</w:t>
      </w:r>
      <w:r w:rsidR="002942F4">
        <w:rPr>
          <w:rFonts w:eastAsia="RWXLTG+TimesNewRoman" w:cs="RWXLTG+TimesNewRoman"/>
          <w:color w:val="000000" w:themeColor="text1"/>
        </w:rPr>
        <w:t>ou</w:t>
      </w:r>
      <w:r w:rsidR="00C03376" w:rsidRPr="003270B2">
        <w:rPr>
          <w:rFonts w:eastAsia="RWXLTG+TimesNewRoman" w:cs="RWXLTG+TimesNewRoman"/>
          <w:color w:val="000000" w:themeColor="text1"/>
        </w:rPr>
        <w:t xml:space="preserve"> jako „</w:t>
      </w:r>
      <w:r w:rsidR="00E7758A" w:rsidRPr="003270B2">
        <w:rPr>
          <w:rFonts w:eastAsia="RWXLTG+TimesNewRoman" w:cs="RWXLTG+TimesNewRoman"/>
          <w:color w:val="000000" w:themeColor="text1"/>
        </w:rPr>
        <w:t>rodinný dům</w:t>
      </w:r>
      <w:r w:rsidR="00C03376" w:rsidRPr="003270B2">
        <w:rPr>
          <w:rFonts w:eastAsia="RWXLTG+TimesNewRoman" w:cs="RWXLTG+TimesNewRoman"/>
          <w:color w:val="000000" w:themeColor="text1"/>
        </w:rPr>
        <w:t>“</w:t>
      </w:r>
      <w:r w:rsidR="002942F4">
        <w:rPr>
          <w:rFonts w:eastAsia="RWXLTG+TimesNewRoman" w:cs="RWXLTG+TimesNewRoman"/>
          <w:color w:val="000000" w:themeColor="text1"/>
        </w:rPr>
        <w:t xml:space="preserve"> či „bytový dům“</w:t>
      </w:r>
      <w:r w:rsidR="00C03376" w:rsidRPr="003270B2">
        <w:rPr>
          <w:rFonts w:eastAsia="RWXLTG+TimesNewRoman" w:cs="RWXLTG+TimesNewRoman"/>
          <w:color w:val="000000" w:themeColor="text1"/>
        </w:rPr>
        <w:t xml:space="preserve">. </w:t>
      </w:r>
      <w:r w:rsidR="003270B2" w:rsidRPr="003270B2">
        <w:rPr>
          <w:rFonts w:eastAsia="RWXLTG+TimesNewRoman" w:cs="RWXLTG+TimesNewRoman"/>
          <w:color w:val="000000" w:themeColor="text1"/>
        </w:rPr>
        <w:t xml:space="preserve">Obec vlastní </w:t>
      </w:r>
      <w:r w:rsidR="002942F4">
        <w:rPr>
          <w:rFonts w:eastAsia="RWXLTG+TimesNewRoman" w:cs="RWXLTG+TimesNewRoman"/>
          <w:color w:val="000000" w:themeColor="text1"/>
        </w:rPr>
        <w:t>budovu s č. p. 50</w:t>
      </w:r>
      <w:r w:rsidR="003270B2" w:rsidRPr="003270B2">
        <w:rPr>
          <w:rFonts w:eastAsia="RWXLTG+TimesNewRoman" w:cs="RWXLTG+TimesNewRoman"/>
          <w:color w:val="000000" w:themeColor="text1"/>
        </w:rPr>
        <w:t xml:space="preserve"> </w:t>
      </w:r>
      <w:r w:rsidR="002942F4">
        <w:rPr>
          <w:rFonts w:eastAsia="RWXLTG+TimesNewRoman" w:cs="RWXLTG+TimesNewRoman"/>
          <w:color w:val="000000" w:themeColor="text1"/>
        </w:rPr>
        <w:t>(</w:t>
      </w:r>
      <w:r w:rsidR="003270B2" w:rsidRPr="003270B2">
        <w:rPr>
          <w:rFonts w:eastAsia="RWXLTG+TimesNewRoman" w:cs="RWXLTG+TimesNewRoman"/>
          <w:color w:val="000000" w:themeColor="text1"/>
        </w:rPr>
        <w:t>veden</w:t>
      </w:r>
      <w:r w:rsidR="002942F4">
        <w:rPr>
          <w:rFonts w:eastAsia="RWXLTG+TimesNewRoman" w:cs="RWXLTG+TimesNewRoman"/>
          <w:color w:val="000000" w:themeColor="text1"/>
        </w:rPr>
        <w:t>á</w:t>
      </w:r>
      <w:r w:rsidR="003270B2" w:rsidRPr="003270B2">
        <w:rPr>
          <w:rFonts w:eastAsia="RWXLTG+TimesNewRoman" w:cs="RWXLTG+TimesNewRoman"/>
          <w:color w:val="000000" w:themeColor="text1"/>
        </w:rPr>
        <w:t xml:space="preserve"> jako „</w:t>
      </w:r>
      <w:r w:rsidR="002942F4" w:rsidRPr="002942F4">
        <w:rPr>
          <w:rFonts w:eastAsia="RWXLTG+TimesNewRoman" w:cs="RWXLTG+TimesNewRoman"/>
          <w:color w:val="000000" w:themeColor="text1"/>
        </w:rPr>
        <w:t>stavba občanského vybavení</w:t>
      </w:r>
      <w:r w:rsidR="003270B2" w:rsidRPr="003270B2">
        <w:rPr>
          <w:rFonts w:eastAsia="RWXLTG+TimesNewRoman" w:cs="RWXLTG+TimesNewRoman"/>
          <w:color w:val="000000" w:themeColor="text1"/>
        </w:rPr>
        <w:t>“</w:t>
      </w:r>
      <w:r w:rsidR="002942F4">
        <w:rPr>
          <w:rFonts w:eastAsia="RWXLTG+TimesNewRoman" w:cs="RWXLTG+TimesNewRoman"/>
          <w:color w:val="000000" w:themeColor="text1"/>
        </w:rPr>
        <w:t xml:space="preserve">; </w:t>
      </w:r>
      <w:r w:rsidR="003270B2" w:rsidRPr="003270B2">
        <w:rPr>
          <w:rFonts w:eastAsia="RWXLTG+TimesNewRoman" w:cs="RWXLTG+TimesNewRoman"/>
          <w:color w:val="000000" w:themeColor="text1"/>
        </w:rPr>
        <w:t xml:space="preserve">budova obecního úřadu, knihovny, </w:t>
      </w:r>
      <w:r w:rsidR="002942F4">
        <w:rPr>
          <w:rFonts w:eastAsia="RWXLTG+TimesNewRoman" w:cs="RWXLTG+TimesNewRoman"/>
          <w:color w:val="000000" w:themeColor="text1"/>
        </w:rPr>
        <w:t xml:space="preserve">pošty partner </w:t>
      </w:r>
      <w:r w:rsidR="003270B2" w:rsidRPr="003270B2">
        <w:rPr>
          <w:rFonts w:eastAsia="RWXLTG+TimesNewRoman" w:cs="RWXLTG+TimesNewRoman"/>
          <w:color w:val="000000" w:themeColor="text1"/>
        </w:rPr>
        <w:t xml:space="preserve">apod.), </w:t>
      </w:r>
      <w:r w:rsidR="002942F4">
        <w:rPr>
          <w:rFonts w:eastAsia="RWXLTG+TimesNewRoman" w:cs="RWXLTG+TimesNewRoman"/>
          <w:color w:val="000000" w:themeColor="text1"/>
        </w:rPr>
        <w:t>ve které</w:t>
      </w:r>
      <w:r w:rsidR="003270B2" w:rsidRPr="003270B2">
        <w:rPr>
          <w:rFonts w:eastAsia="RWXLTG+TimesNewRoman" w:cs="RWXLTG+TimesNewRoman"/>
          <w:color w:val="000000" w:themeColor="text1"/>
        </w:rPr>
        <w:t xml:space="preserve"> je evidováno celkem </w:t>
      </w:r>
      <w:r w:rsidR="002942F4">
        <w:rPr>
          <w:rFonts w:eastAsia="RWXLTG+TimesNewRoman" w:cs="RWXLTG+TimesNewRoman"/>
          <w:color w:val="000000" w:themeColor="text1"/>
        </w:rPr>
        <w:t>8</w:t>
      </w:r>
      <w:r w:rsidR="003270B2" w:rsidRPr="003270B2">
        <w:rPr>
          <w:rFonts w:eastAsia="RWXLTG+TimesNewRoman" w:cs="RWXLTG+TimesNewRoman"/>
          <w:color w:val="000000" w:themeColor="text1"/>
        </w:rPr>
        <w:t xml:space="preserve"> bytových jednotek.</w:t>
      </w:r>
      <w:r w:rsidR="002942F4">
        <w:rPr>
          <w:rFonts w:eastAsia="RWXLTG+TimesNewRoman" w:cs="RWXLTG+TimesNewRoman"/>
          <w:color w:val="000000" w:themeColor="text1"/>
        </w:rPr>
        <w:t xml:space="preserve"> Obec dále vlastní budovu s č. p. 41 (</w:t>
      </w:r>
      <w:r w:rsidR="002942F4" w:rsidRPr="003270B2">
        <w:rPr>
          <w:rFonts w:eastAsia="RWXLTG+TimesNewRoman" w:cs="RWXLTG+TimesNewRoman"/>
          <w:color w:val="000000" w:themeColor="text1"/>
        </w:rPr>
        <w:t>veden</w:t>
      </w:r>
      <w:r w:rsidR="002942F4">
        <w:rPr>
          <w:rFonts w:eastAsia="RWXLTG+TimesNewRoman" w:cs="RWXLTG+TimesNewRoman"/>
          <w:color w:val="000000" w:themeColor="text1"/>
        </w:rPr>
        <w:t>á</w:t>
      </w:r>
      <w:r w:rsidR="002942F4" w:rsidRPr="003270B2">
        <w:rPr>
          <w:rFonts w:eastAsia="RWXLTG+TimesNewRoman" w:cs="RWXLTG+TimesNewRoman"/>
          <w:color w:val="000000" w:themeColor="text1"/>
        </w:rPr>
        <w:t xml:space="preserve"> jako „</w:t>
      </w:r>
      <w:r w:rsidR="002942F4">
        <w:rPr>
          <w:rFonts w:eastAsia="RWXLTG+TimesNewRoman" w:cs="RWXLTG+TimesNewRoman"/>
          <w:color w:val="000000" w:themeColor="text1"/>
        </w:rPr>
        <w:t xml:space="preserve">zemědělská </w:t>
      </w:r>
      <w:r w:rsidR="002942F4" w:rsidRPr="002942F4">
        <w:rPr>
          <w:rFonts w:eastAsia="RWXLTG+TimesNewRoman" w:cs="RWXLTG+TimesNewRoman"/>
          <w:color w:val="000000" w:themeColor="text1"/>
        </w:rPr>
        <w:t>stavba</w:t>
      </w:r>
      <w:r w:rsidR="002942F4" w:rsidRPr="003270B2">
        <w:rPr>
          <w:rFonts w:eastAsia="RWXLTG+TimesNewRoman" w:cs="RWXLTG+TimesNewRoman"/>
          <w:color w:val="000000" w:themeColor="text1"/>
        </w:rPr>
        <w:t>“</w:t>
      </w:r>
      <w:r w:rsidR="002942F4">
        <w:rPr>
          <w:rFonts w:eastAsia="RWXLTG+TimesNewRoman" w:cs="RWXLTG+TimesNewRoman"/>
          <w:color w:val="000000" w:themeColor="text1"/>
        </w:rPr>
        <w:t>; budova zámečku), ve které jsou evidovány 4 bytové jednotky.</w:t>
      </w:r>
    </w:p>
    <w:p w14:paraId="20DC5F56" w14:textId="3E844F41" w:rsidR="004062BE" w:rsidRDefault="003E03FC" w:rsidP="001C73BA">
      <w:pPr>
        <w:spacing w:after="160" w:line="259" w:lineRule="auto"/>
        <w:jc w:val="both"/>
        <w:rPr>
          <w:rFonts w:eastAsia="RWXLTG+TimesNewRoman" w:cs="RWXLTG+TimesNewRoman"/>
        </w:rPr>
      </w:pPr>
      <w:r w:rsidRPr="003270B2">
        <w:rPr>
          <w:rFonts w:eastAsia="RWXLTG+TimesNewRoman" w:cs="RWXLTG+TimesNewRoman"/>
          <w:color w:val="000000" w:themeColor="text1"/>
        </w:rPr>
        <w:t xml:space="preserve">Celkem tedy </w:t>
      </w:r>
      <w:r w:rsidRPr="003270B2">
        <w:rPr>
          <w:rFonts w:eastAsia="RWXLTG+TimesNewRoman" w:cs="RWXLTG+TimesNewRoman"/>
        </w:rPr>
        <w:t xml:space="preserve">obec </w:t>
      </w:r>
      <w:r w:rsidR="00867F1E">
        <w:rPr>
          <w:rFonts w:eastAsia="RWXLTG+TimesNewRoman" w:cs="RWXLTG+TimesNewRoman"/>
        </w:rPr>
        <w:t>Staré Buky</w:t>
      </w:r>
      <w:r w:rsidRPr="003270B2">
        <w:rPr>
          <w:rFonts w:eastAsia="RWXLTG+TimesNewRoman" w:cs="RWXLTG+TimesNewRoman"/>
        </w:rPr>
        <w:t xml:space="preserve"> vlastní </w:t>
      </w:r>
      <w:r w:rsidR="003270B2" w:rsidRPr="003270B2">
        <w:rPr>
          <w:rFonts w:eastAsia="RWXLTG+TimesNewRoman" w:cs="RWXLTG+TimesNewRoman"/>
        </w:rPr>
        <w:t>1</w:t>
      </w:r>
      <w:r w:rsidR="00867F1E">
        <w:rPr>
          <w:rFonts w:eastAsia="RWXLTG+TimesNewRoman" w:cs="RWXLTG+TimesNewRoman"/>
        </w:rPr>
        <w:t>2</w:t>
      </w:r>
      <w:r w:rsidRPr="003270B2">
        <w:rPr>
          <w:rFonts w:eastAsia="RWXLTG+TimesNewRoman" w:cs="RWXLTG+TimesNewRoman"/>
        </w:rPr>
        <w:t xml:space="preserve"> bytových jednotek.</w:t>
      </w:r>
    </w:p>
    <w:p w14:paraId="28C0E468" w14:textId="77777777" w:rsidR="00AE49FF" w:rsidRDefault="00AE49FF" w:rsidP="001C73BA">
      <w:pPr>
        <w:spacing w:after="160" w:line="259" w:lineRule="auto"/>
        <w:jc w:val="both"/>
        <w:rPr>
          <w:rFonts w:eastAsia="RWXLTG+TimesNewRoman" w:cs="RWXLTG+TimesNewRoman"/>
        </w:rPr>
      </w:pPr>
    </w:p>
    <w:p w14:paraId="41422C73" w14:textId="77777777" w:rsidR="001C73BA" w:rsidRDefault="001C73BA" w:rsidP="001C73BA">
      <w:pPr>
        <w:pStyle w:val="Nadpis4"/>
      </w:pPr>
      <w:bookmarkStart w:id="288" w:name="_Toc413418373"/>
      <w:bookmarkStart w:id="289" w:name="_Toc440566352"/>
      <w:bookmarkStart w:id="290" w:name="_Toc441227503"/>
      <w:bookmarkStart w:id="291" w:name="_Toc32580124"/>
      <w:bookmarkStart w:id="292" w:name="_Toc120652149"/>
      <w:r>
        <w:lastRenderedPageBreak/>
        <w:t>2.1.5.2 Školství a vzdělávání</w:t>
      </w:r>
      <w:bookmarkEnd w:id="288"/>
      <w:bookmarkEnd w:id="289"/>
      <w:bookmarkEnd w:id="290"/>
      <w:bookmarkEnd w:id="291"/>
      <w:bookmarkEnd w:id="292"/>
    </w:p>
    <w:p w14:paraId="3D681E91" w14:textId="5E98ABEE" w:rsidR="00204C8C" w:rsidRDefault="00204C8C" w:rsidP="00204C8C">
      <w:pPr>
        <w:spacing w:after="160" w:line="259" w:lineRule="auto"/>
        <w:jc w:val="both"/>
        <w:rPr>
          <w:rFonts w:eastAsia="RWXLTG+TimesNewRoman" w:cs="RWXLTG+TimesNewRoman"/>
        </w:rPr>
      </w:pPr>
      <w:r>
        <w:rPr>
          <w:rFonts w:eastAsia="RWXLTG+TimesNewRoman" w:cs="RWXLTG+TimesNewRoman"/>
        </w:rPr>
        <w:t xml:space="preserve">V obci </w:t>
      </w:r>
      <w:r w:rsidR="003E44F4">
        <w:rPr>
          <w:rFonts w:eastAsia="RWXLTG+TimesNewRoman" w:cs="RWXLTG+TimesNewRoman"/>
        </w:rPr>
        <w:t>Staré Buky</w:t>
      </w:r>
      <w:r>
        <w:rPr>
          <w:rFonts w:eastAsia="RWXLTG+TimesNewRoman" w:cs="RWXLTG+TimesNewRoman"/>
        </w:rPr>
        <w:t xml:space="preserve"> </w:t>
      </w:r>
      <w:r w:rsidRPr="002D4F59">
        <w:rPr>
          <w:rFonts w:eastAsia="RWXLTG+TimesNewRoman" w:cs="RWXLTG+TimesNewRoman"/>
          <w:b/>
        </w:rPr>
        <w:t>není k</w:t>
      </w:r>
      <w:r w:rsidR="003E44F4">
        <w:rPr>
          <w:rFonts w:eastAsia="RWXLTG+TimesNewRoman" w:cs="RWXLTG+TimesNewRoman"/>
          <w:b/>
        </w:rPr>
        <w:t>e květnu</w:t>
      </w:r>
      <w:r>
        <w:rPr>
          <w:rFonts w:eastAsia="RWXLTG+TimesNewRoman" w:cs="RWXLTG+TimesNewRoman"/>
          <w:b/>
        </w:rPr>
        <w:t xml:space="preserve"> 202</w:t>
      </w:r>
      <w:r w:rsidR="003E44F4">
        <w:rPr>
          <w:rFonts w:eastAsia="RWXLTG+TimesNewRoman" w:cs="RWXLTG+TimesNewRoman"/>
          <w:b/>
        </w:rPr>
        <w:t>2</w:t>
      </w:r>
      <w:r w:rsidRPr="002D4F59">
        <w:rPr>
          <w:rFonts w:eastAsia="RWXLTG+TimesNewRoman" w:cs="RWXLTG+TimesNewRoman"/>
          <w:b/>
        </w:rPr>
        <w:t xml:space="preserve"> zřízeno žádné vzdělávací zařízení, které by bylo vedeno v Rejstříku škol a školských zařízení</w:t>
      </w:r>
      <w:r>
        <w:rPr>
          <w:rFonts w:eastAsia="RWXLTG+TimesNewRoman" w:cs="RWXLTG+TimesNewRoman"/>
        </w:rPr>
        <w:t>.</w:t>
      </w:r>
      <w:r w:rsidR="003E44F4">
        <w:rPr>
          <w:rFonts w:eastAsia="RWXLTG+TimesNewRoman" w:cs="RWXLTG+TimesNewRoman"/>
        </w:rPr>
        <w:t xml:space="preserve"> </w:t>
      </w:r>
      <w:r>
        <w:rPr>
          <w:rFonts w:eastAsia="RWXLTG+TimesNewRoman" w:cs="RWXLTG+TimesNewRoman"/>
        </w:rPr>
        <w:t xml:space="preserve">Nejbližší mateřská </w:t>
      </w:r>
      <w:r w:rsidR="003E44F4">
        <w:rPr>
          <w:rFonts w:eastAsia="RWXLTG+TimesNewRoman" w:cs="RWXLTG+TimesNewRoman"/>
        </w:rPr>
        <w:t xml:space="preserve">a základní </w:t>
      </w:r>
      <w:r>
        <w:rPr>
          <w:rFonts w:eastAsia="RWXLTG+TimesNewRoman" w:cs="RWXLTG+TimesNewRoman"/>
        </w:rPr>
        <w:t xml:space="preserve">škola se nachází </w:t>
      </w:r>
      <w:r w:rsidR="003E44F4">
        <w:rPr>
          <w:rFonts w:eastAsia="RWXLTG+TimesNewRoman" w:cs="RWXLTG+TimesNewRoman"/>
        </w:rPr>
        <w:t>ve městě Pilníkov</w:t>
      </w:r>
      <w:r>
        <w:rPr>
          <w:rFonts w:eastAsia="RWXLTG+TimesNewRoman" w:cs="RWXLTG+TimesNewRoman"/>
        </w:rPr>
        <w:t>.</w:t>
      </w:r>
    </w:p>
    <w:p w14:paraId="4BBDCEE3" w14:textId="77777777" w:rsidR="001640F1" w:rsidRDefault="001640F1" w:rsidP="001640F1">
      <w:pPr>
        <w:spacing w:after="160" w:line="259" w:lineRule="auto"/>
        <w:jc w:val="both"/>
        <w:rPr>
          <w:rFonts w:eastAsia="RWXLTG+TimesNewRoman" w:cs="RWXLTG+TimesNewRoman"/>
        </w:rPr>
      </w:pPr>
    </w:p>
    <w:p w14:paraId="4BB6A82A" w14:textId="77777777" w:rsidR="001C73BA" w:rsidRPr="00073E04" w:rsidRDefault="001C73BA" w:rsidP="001C73BA">
      <w:pPr>
        <w:pStyle w:val="Nadpis4"/>
      </w:pPr>
      <w:bookmarkStart w:id="293" w:name="_Toc413418374"/>
      <w:bookmarkStart w:id="294" w:name="_Toc440566353"/>
      <w:bookmarkStart w:id="295" w:name="_Toc441227504"/>
      <w:bookmarkStart w:id="296" w:name="_Toc32580125"/>
      <w:bookmarkStart w:id="297" w:name="_Toc120652150"/>
      <w:r>
        <w:t>2.1.5.3 Zdravotnictví</w:t>
      </w:r>
      <w:bookmarkEnd w:id="293"/>
      <w:bookmarkEnd w:id="294"/>
      <w:bookmarkEnd w:id="295"/>
      <w:bookmarkEnd w:id="296"/>
      <w:bookmarkEnd w:id="297"/>
    </w:p>
    <w:p w14:paraId="13BBE939" w14:textId="77777777" w:rsidR="00F57698" w:rsidRPr="00433517" w:rsidRDefault="00F57698" w:rsidP="00F57698">
      <w:pPr>
        <w:spacing w:after="160" w:line="259" w:lineRule="auto"/>
        <w:jc w:val="both"/>
        <w:rPr>
          <w:b/>
        </w:rPr>
      </w:pPr>
      <w:r w:rsidRPr="00433517">
        <w:rPr>
          <w:b/>
        </w:rPr>
        <w:t>Na území obce není zřízeno žádné zdravotnické zařízení.</w:t>
      </w:r>
    </w:p>
    <w:p w14:paraId="52B78BC2" w14:textId="417AC64E" w:rsidR="00C23BA1" w:rsidRDefault="00C23BA1" w:rsidP="00C23BA1">
      <w:pPr>
        <w:spacing w:after="160" w:line="259" w:lineRule="auto"/>
        <w:jc w:val="both"/>
        <w:rPr>
          <w:rFonts w:eastAsia="RWXLTG+TimesNewRoman" w:cs="RWXLTG+TimesNewRoman"/>
        </w:rPr>
      </w:pPr>
      <w:r>
        <w:rPr>
          <w:rFonts w:eastAsia="RWXLTG+TimesNewRoman" w:cs="RWXLTG+TimesNewRoman"/>
        </w:rPr>
        <w:t xml:space="preserve">Nejbližší </w:t>
      </w:r>
      <w:r w:rsidRPr="00E521C6">
        <w:rPr>
          <w:rFonts w:eastAsia="RWXLTG+TimesNewRoman" w:cs="RWXLTG+TimesNewRoman"/>
        </w:rPr>
        <w:t>ordinace praktického lékaře pro dospělé</w:t>
      </w:r>
      <w:r>
        <w:rPr>
          <w:rFonts w:eastAsia="RWXLTG+TimesNewRoman" w:cs="RWXLTG+TimesNewRoman"/>
        </w:rPr>
        <w:t xml:space="preserve"> </w:t>
      </w:r>
      <w:r w:rsidR="0032736E" w:rsidRPr="00E521C6">
        <w:rPr>
          <w:rFonts w:eastAsia="RWXLTG+TimesNewRoman" w:cs="RWXLTG+TimesNewRoman"/>
        </w:rPr>
        <w:t xml:space="preserve">a ordinace stomatologa </w:t>
      </w:r>
      <w:r>
        <w:rPr>
          <w:rFonts w:eastAsia="RWXLTG+TimesNewRoman" w:cs="RWXLTG+TimesNewRoman"/>
        </w:rPr>
        <w:t>se nachází v </w:t>
      </w:r>
      <w:r w:rsidR="0032736E">
        <w:rPr>
          <w:rFonts w:eastAsia="RWXLTG+TimesNewRoman" w:cs="RWXLTG+TimesNewRoman"/>
        </w:rPr>
        <w:t>Pilníkově</w:t>
      </w:r>
      <w:r>
        <w:rPr>
          <w:rFonts w:eastAsia="RWXLTG+TimesNewRoman" w:cs="RWXLTG+TimesNewRoman"/>
        </w:rPr>
        <w:t>.</w:t>
      </w:r>
    </w:p>
    <w:p w14:paraId="053D45CF" w14:textId="4D8A13D6" w:rsidR="001D4EBB" w:rsidRDefault="00C23BA1" w:rsidP="00C23BA1">
      <w:pPr>
        <w:spacing w:after="160" w:line="259" w:lineRule="auto"/>
        <w:jc w:val="both"/>
        <w:rPr>
          <w:rFonts w:eastAsia="RWXLTG+TimesNewRoman" w:cs="RWXLTG+TimesNewRoman"/>
        </w:rPr>
      </w:pPr>
      <w:r>
        <w:rPr>
          <w:rFonts w:eastAsia="RWXLTG+TimesNewRoman" w:cs="RWXLTG+TimesNewRoman"/>
        </w:rPr>
        <w:t xml:space="preserve">Nejbližší </w:t>
      </w:r>
      <w:r w:rsidRPr="00E521C6">
        <w:rPr>
          <w:rFonts w:eastAsia="RWXLTG+TimesNewRoman" w:cs="RWXLTG+TimesNewRoman"/>
        </w:rPr>
        <w:t>ordinace</w:t>
      </w:r>
      <w:r>
        <w:rPr>
          <w:rFonts w:eastAsia="RWXLTG+TimesNewRoman" w:cs="RWXLTG+TimesNewRoman"/>
        </w:rPr>
        <w:t xml:space="preserve"> pro děti</w:t>
      </w:r>
      <w:r w:rsidRPr="00E521C6">
        <w:rPr>
          <w:rFonts w:eastAsia="RWXLTG+TimesNewRoman" w:cs="RWXLTG+TimesNewRoman"/>
        </w:rPr>
        <w:t xml:space="preserve"> </w:t>
      </w:r>
      <w:r>
        <w:rPr>
          <w:rFonts w:eastAsia="RWXLTG+TimesNewRoman" w:cs="RWXLTG+TimesNewRoman"/>
        </w:rPr>
        <w:t xml:space="preserve">a dorost </w:t>
      </w:r>
      <w:r w:rsidRPr="00E521C6">
        <w:rPr>
          <w:rFonts w:eastAsia="RWXLTG+TimesNewRoman" w:cs="RWXLTG+TimesNewRoman"/>
        </w:rPr>
        <w:t xml:space="preserve">a </w:t>
      </w:r>
      <w:r w:rsidR="0032736E">
        <w:rPr>
          <w:rFonts w:eastAsia="RWXLTG+TimesNewRoman" w:cs="RWXLTG+TimesNewRoman"/>
        </w:rPr>
        <w:t>další různorodé specializované ordinace</w:t>
      </w:r>
      <w:r w:rsidRPr="00E521C6">
        <w:rPr>
          <w:rFonts w:eastAsia="RWXLTG+TimesNewRoman" w:cs="RWXLTG+TimesNewRoman"/>
        </w:rPr>
        <w:t xml:space="preserve"> se</w:t>
      </w:r>
      <w:r>
        <w:rPr>
          <w:rFonts w:eastAsia="RWXLTG+TimesNewRoman" w:cs="RWXLTG+TimesNewRoman"/>
        </w:rPr>
        <w:t xml:space="preserve"> nachází v </w:t>
      </w:r>
      <w:r w:rsidR="0032736E">
        <w:rPr>
          <w:rFonts w:eastAsia="RWXLTG+TimesNewRoman" w:cs="RWXLTG+TimesNewRoman"/>
        </w:rPr>
        <w:t>Trutnově</w:t>
      </w:r>
      <w:r w:rsidRPr="00C8717B">
        <w:rPr>
          <w:rFonts w:eastAsia="RWXLTG+TimesNewRoman" w:cs="RWXLTG+TimesNewRoman"/>
        </w:rPr>
        <w:t>.</w:t>
      </w:r>
    </w:p>
    <w:p w14:paraId="7257A90C" w14:textId="355E7B93" w:rsidR="000A1336" w:rsidRDefault="00DB4621" w:rsidP="001D4EBB">
      <w:pPr>
        <w:spacing w:after="160" w:line="259" w:lineRule="auto"/>
        <w:jc w:val="both"/>
        <w:rPr>
          <w:rFonts w:eastAsia="RWXLTG+TimesNewRoman" w:cs="RWXLTG+TimesNewRoman"/>
        </w:rPr>
      </w:pPr>
      <w:r>
        <w:rPr>
          <w:rFonts w:eastAsia="RWXLTG+TimesNewRoman" w:cs="RWXLTG+TimesNewRoman"/>
        </w:rPr>
        <w:t>Na území obce není lékárna. Nejbližší lékárny, které lidé můžou navštívit, jsou v </w:t>
      </w:r>
      <w:r w:rsidR="0032736E">
        <w:rPr>
          <w:rFonts w:eastAsia="RWXLTG+TimesNewRoman" w:cs="RWXLTG+TimesNewRoman"/>
        </w:rPr>
        <w:t>Trutnově</w:t>
      </w:r>
      <w:r w:rsidRPr="007A2E8B">
        <w:rPr>
          <w:rFonts w:eastAsia="RWXLTG+TimesNewRoman" w:cs="RWXLTG+TimesNewRoman"/>
        </w:rPr>
        <w:t>.</w:t>
      </w:r>
    </w:p>
    <w:p w14:paraId="5AA2FEC1" w14:textId="357DDBA0" w:rsidR="00161AA5" w:rsidRDefault="000B7B6E" w:rsidP="001D4EBB">
      <w:pPr>
        <w:spacing w:after="160" w:line="259" w:lineRule="auto"/>
        <w:jc w:val="both"/>
        <w:rPr>
          <w:rFonts w:eastAsia="RWXLTG+TimesNewRoman" w:cs="RWXLTG+TimesNewRoman"/>
        </w:rPr>
      </w:pPr>
      <w:r>
        <w:rPr>
          <w:rFonts w:eastAsia="RWXLTG+TimesNewRoman" w:cs="RWXLTG+TimesNewRoman"/>
        </w:rPr>
        <w:t>Na území obce se</w:t>
      </w:r>
      <w:r w:rsidR="00DB4621">
        <w:rPr>
          <w:rFonts w:eastAsia="RWXLTG+TimesNewRoman" w:cs="RWXLTG+TimesNewRoman"/>
        </w:rPr>
        <w:t xml:space="preserve"> </w:t>
      </w:r>
      <w:r>
        <w:rPr>
          <w:rFonts w:eastAsia="RWXLTG+TimesNewRoman" w:cs="RWXLTG+TimesNewRoman"/>
        </w:rPr>
        <w:t xml:space="preserve">nenachází </w:t>
      </w:r>
      <w:r w:rsidR="00DB4621">
        <w:rPr>
          <w:rFonts w:eastAsia="RWXLTG+TimesNewRoman" w:cs="RWXLTG+TimesNewRoman"/>
        </w:rPr>
        <w:t>dům s pečovatelskou službou</w:t>
      </w:r>
      <w:r w:rsidR="000F16BA">
        <w:rPr>
          <w:rFonts w:eastAsia="RWXLTG+TimesNewRoman" w:cs="RWXLTG+TimesNewRoman"/>
        </w:rPr>
        <w:t xml:space="preserve">. </w:t>
      </w:r>
      <w:r w:rsidR="0083055F" w:rsidRPr="004F3450">
        <w:rPr>
          <w:rFonts w:eastAsia="RWXLTG+TimesNewRoman" w:cs="RWXLTG+TimesNewRoman"/>
        </w:rPr>
        <w:t>Nejbližší dům s pečovatelskou službou se nachází v</w:t>
      </w:r>
      <w:r w:rsidR="003130C5">
        <w:rPr>
          <w:rFonts w:eastAsia="RWXLTG+TimesNewRoman" w:cs="RWXLTG+TimesNewRoman"/>
        </w:rPr>
        <w:t> </w:t>
      </w:r>
      <w:r w:rsidR="00780EED">
        <w:rPr>
          <w:rFonts w:eastAsia="RWXLTG+TimesNewRoman" w:cs="RWXLTG+TimesNewRoman"/>
        </w:rPr>
        <w:t>Trutnově</w:t>
      </w:r>
      <w:r w:rsidR="0083055F">
        <w:rPr>
          <w:rFonts w:eastAsia="RWXLTG+TimesNewRoman" w:cs="RWXLTG+TimesNewRoman"/>
        </w:rPr>
        <w:t>.</w:t>
      </w:r>
    </w:p>
    <w:p w14:paraId="75B3177E" w14:textId="4418E01C" w:rsidR="003F0EF5" w:rsidRDefault="00A9454E" w:rsidP="001D4EBB">
      <w:pPr>
        <w:spacing w:after="160" w:line="259" w:lineRule="auto"/>
        <w:jc w:val="both"/>
      </w:pPr>
      <w:r>
        <w:t xml:space="preserve">Nejbližší nemocnice a jí poskytované služby jsou lidem k dispozici </w:t>
      </w:r>
      <w:r w:rsidR="00780EED">
        <w:t>také v Trutnově</w:t>
      </w:r>
      <w:r>
        <w:t>.</w:t>
      </w:r>
    </w:p>
    <w:p w14:paraId="4EF6A0D4" w14:textId="69E44DB2" w:rsidR="0061707E" w:rsidRDefault="0061707E" w:rsidP="001D4EBB">
      <w:pPr>
        <w:spacing w:after="160" w:line="259" w:lineRule="auto"/>
        <w:jc w:val="both"/>
        <w:rPr>
          <w:rFonts w:eastAsia="RWXLTG+TimesNewRoman" w:cs="RWXLTG+TimesNewRoman"/>
        </w:rPr>
      </w:pPr>
    </w:p>
    <w:p w14:paraId="1D3E3CAB" w14:textId="77777777" w:rsidR="008147E6" w:rsidRDefault="008147E6" w:rsidP="00814D5A">
      <w:pPr>
        <w:pStyle w:val="Nadpis4"/>
      </w:pPr>
      <w:bookmarkStart w:id="298" w:name="_Toc413418375"/>
      <w:bookmarkStart w:id="299" w:name="_Toc440566354"/>
      <w:bookmarkStart w:id="300" w:name="_Toc441227505"/>
      <w:bookmarkStart w:id="301" w:name="_Toc32580126"/>
      <w:bookmarkStart w:id="302" w:name="_Toc120652151"/>
      <w:r>
        <w:t>2.1.5.4 Sociální služby</w:t>
      </w:r>
      <w:bookmarkEnd w:id="298"/>
      <w:bookmarkEnd w:id="299"/>
      <w:bookmarkEnd w:id="300"/>
      <w:bookmarkEnd w:id="301"/>
      <w:bookmarkEnd w:id="302"/>
    </w:p>
    <w:p w14:paraId="7F78867A" w14:textId="46A2F148" w:rsidR="00C1246A" w:rsidRDefault="00C1246A" w:rsidP="00C1246A">
      <w:pPr>
        <w:spacing w:after="160" w:line="259" w:lineRule="auto"/>
        <w:jc w:val="both"/>
        <w:rPr>
          <w:rFonts w:eastAsia="RWXLTG+TimesNewRoman" w:cs="RWXLTG+TimesNewRoman"/>
        </w:rPr>
      </w:pPr>
      <w:bookmarkStart w:id="303" w:name="_Hlk490081903"/>
      <w:r w:rsidRPr="00BA575D">
        <w:rPr>
          <w:rFonts w:eastAsia="RWXLTG+TimesNewRoman" w:cs="RWXLTG+TimesNewRoman"/>
          <w:b/>
        </w:rPr>
        <w:t>Obec</w:t>
      </w:r>
      <w:r>
        <w:rPr>
          <w:rFonts w:eastAsia="RWXLTG+TimesNewRoman" w:cs="RWXLTG+TimesNewRoman"/>
          <w:b/>
        </w:rPr>
        <w:t xml:space="preserve"> </w:t>
      </w:r>
      <w:r w:rsidR="00DC63D4">
        <w:rPr>
          <w:rFonts w:eastAsia="RWXLTG+TimesNewRoman" w:cs="RWXLTG+TimesNewRoman"/>
          <w:b/>
        </w:rPr>
        <w:t>Staré Buky</w:t>
      </w:r>
      <w:r>
        <w:rPr>
          <w:rFonts w:eastAsia="RWXLTG+TimesNewRoman" w:cs="RWXLTG+TimesNewRoman"/>
        </w:rPr>
        <w:t xml:space="preserve"> </w:t>
      </w:r>
      <w:r w:rsidRPr="00F76771">
        <w:rPr>
          <w:rFonts w:eastAsia="RWXLTG+TimesNewRoman" w:cs="RWXLTG+TimesNewRoman"/>
          <w:b/>
        </w:rPr>
        <w:t>nemá zpracovaný komunitní plán sociálních služeb</w:t>
      </w:r>
      <w:r>
        <w:rPr>
          <w:rFonts w:eastAsia="RWXLTG+TimesNewRoman" w:cs="RWXLTG+TimesNewRoman"/>
        </w:rPr>
        <w:t xml:space="preserve"> pro území obce</w:t>
      </w:r>
      <w:bookmarkEnd w:id="303"/>
      <w:r>
        <w:rPr>
          <w:rFonts w:eastAsia="RWXLTG+TimesNewRoman" w:cs="RWXLTG+TimesNewRoman"/>
        </w:rPr>
        <w:t>.</w:t>
      </w:r>
    </w:p>
    <w:p w14:paraId="5D489F82" w14:textId="5CA2292B" w:rsidR="00C37C65" w:rsidRDefault="00C1246A" w:rsidP="00C1246A">
      <w:pPr>
        <w:spacing w:after="160" w:line="259" w:lineRule="auto"/>
        <w:jc w:val="both"/>
      </w:pPr>
      <w:r w:rsidRPr="00641387">
        <w:rPr>
          <w:rFonts w:eastAsia="RWXLTG+TimesNewRoman" w:cs="RWXLTG+TimesNewRoman"/>
          <w:b/>
        </w:rPr>
        <w:t>Na území obce se nenachází žádné zařízení sociálních služeb</w:t>
      </w:r>
      <w:r w:rsidRPr="00641387">
        <w:rPr>
          <w:rFonts w:eastAsia="RWXLTG+TimesNewRoman" w:cs="RWXLTG+TimesNewRoman"/>
        </w:rPr>
        <w:t xml:space="preserve">. </w:t>
      </w:r>
      <w:r w:rsidRPr="00641387">
        <w:rPr>
          <w:rFonts w:eastAsia="RWXLTG+TimesNewRoman" w:cs="RWXLTG+TimesNewRoman"/>
          <w:b/>
        </w:rPr>
        <w:t xml:space="preserve">Terénní pečovatelskou službu </w:t>
      </w:r>
      <w:r w:rsidRPr="00641387">
        <w:rPr>
          <w:rFonts w:eastAsia="RWXLTG+TimesNewRoman" w:cs="RWXLTG+TimesNewRoman"/>
          <w:b/>
        </w:rPr>
        <w:br/>
        <w:t xml:space="preserve">pro zájemce z řad obyvatel obce </w:t>
      </w:r>
      <w:r w:rsidR="000D775A" w:rsidRPr="00D00905">
        <w:rPr>
          <w:rFonts w:eastAsia="RWXLTG+TimesNewRoman" w:cs="RWXLTG+TimesNewRoman"/>
          <w:b/>
        </w:rPr>
        <w:t xml:space="preserve">zajišťuje </w:t>
      </w:r>
      <w:r w:rsidR="000D775A" w:rsidRPr="003E572A">
        <w:rPr>
          <w:rFonts w:eastAsia="RWXLTG+TimesNewRoman" w:cs="RWXLTG+TimesNewRoman"/>
          <w:b/>
        </w:rPr>
        <w:t>Oblastní spolek Českého červeného kříže Trutnov (Domácí péče „Alice“)</w:t>
      </w:r>
      <w:r w:rsidR="00A03080" w:rsidRPr="00682D50">
        <w:rPr>
          <w:rFonts w:eastAsia="RWXLTG+TimesNewRoman" w:cs="RWXLTG+TimesNewRoman"/>
          <w:b/>
        </w:rPr>
        <w:t>.</w:t>
      </w:r>
      <w:r w:rsidR="00242392" w:rsidRPr="00682D50">
        <w:rPr>
          <w:rFonts w:eastAsia="RWXLTG+TimesNewRoman" w:cs="RWXLTG+TimesNewRoman"/>
          <w:b/>
        </w:rPr>
        <w:t xml:space="preserve"> </w:t>
      </w:r>
      <w:r w:rsidRPr="00682D50">
        <w:rPr>
          <w:rFonts w:eastAsia="RWXLTG+TimesNewRoman" w:cs="RWXLTG+TimesNewRoman"/>
        </w:rPr>
        <w:t>Jedná</w:t>
      </w:r>
      <w:r w:rsidRPr="00641387">
        <w:rPr>
          <w:rFonts w:eastAsia="RWXLTG+TimesNewRoman" w:cs="RWXLTG+TimesNewRoman"/>
        </w:rPr>
        <w:t xml:space="preserve"> se např. o</w:t>
      </w:r>
      <w:r w:rsidRPr="00641387">
        <w:t xml:space="preserve"> zajištění pomoci při zvládání běžných úkonů péče o vlastní osobu, poskytnutí stravy nebo pomoc při zajištění stravy, pomoc při zajištění chodu do</w:t>
      </w:r>
      <w:r>
        <w:t>mácnosti</w:t>
      </w:r>
      <w:r w:rsidRPr="00641387">
        <w:t xml:space="preserve"> apod. </w:t>
      </w:r>
    </w:p>
    <w:p w14:paraId="764E781D" w14:textId="4663615F" w:rsidR="00C37C65" w:rsidRDefault="00C37C65" w:rsidP="00C37C65">
      <w:pPr>
        <w:spacing w:after="160" w:line="259" w:lineRule="auto"/>
        <w:jc w:val="both"/>
        <w:rPr>
          <w:rFonts w:eastAsia="RWXLTG+TimesNewRoman" w:cs="RWXLTG+TimesNewRoman"/>
        </w:rPr>
      </w:pPr>
      <w:r w:rsidRPr="00D55574">
        <w:rPr>
          <w:rFonts w:eastAsia="RWXLTG+TimesNewRoman" w:cs="RWXLTG+TimesNewRoman"/>
        </w:rPr>
        <w:t>K</w:t>
      </w:r>
      <w:r w:rsidR="00AD5544">
        <w:rPr>
          <w:rFonts w:eastAsia="RWXLTG+TimesNewRoman" w:cs="RWXLTG+TimesNewRoman"/>
        </w:rPr>
        <w:t>e květnu 2022</w:t>
      </w:r>
      <w:r w:rsidRPr="00D55574">
        <w:rPr>
          <w:rFonts w:eastAsia="RWXLTG+TimesNewRoman" w:cs="RWXLTG+TimesNewRoman"/>
        </w:rPr>
        <w:t xml:space="preserve"> </w:t>
      </w:r>
      <w:r w:rsidR="00AD5544" w:rsidRPr="0016563C">
        <w:rPr>
          <w:rFonts w:eastAsia="RWXLTG+TimesNewRoman" w:cs="RWXLTG+TimesNewRoman"/>
        </w:rPr>
        <w:t>nevykonává obec ze zákona činnost veřejného opatrovníka u žádné osoby, která má omezenou právní způsobilost</w:t>
      </w:r>
      <w:r w:rsidRPr="00D55574">
        <w:rPr>
          <w:rFonts w:eastAsia="RWXLTG+TimesNewRoman" w:cs="RWXLTG+TimesNewRoman"/>
        </w:rPr>
        <w:t>.</w:t>
      </w:r>
    </w:p>
    <w:p w14:paraId="3B62F8AE" w14:textId="2F978A65" w:rsidR="00C37C65" w:rsidRDefault="00C37C65" w:rsidP="00C37C65">
      <w:pPr>
        <w:spacing w:after="160" w:line="259" w:lineRule="auto"/>
        <w:jc w:val="both"/>
        <w:rPr>
          <w:rFonts w:eastAsia="RWXLTG+TimesNewRoman" w:cs="RWXLTG+TimesNewRoman"/>
        </w:rPr>
      </w:pPr>
      <w:r w:rsidRPr="003D1948">
        <w:rPr>
          <w:rFonts w:eastAsia="RWXLTG+TimesNewRoman" w:cs="RWXLTG+TimesNewRoman"/>
        </w:rPr>
        <w:t xml:space="preserve">Nejbližší domov pro seniory je </w:t>
      </w:r>
      <w:r w:rsidR="0010246F">
        <w:rPr>
          <w:rFonts w:eastAsia="RWXLTG+TimesNewRoman" w:cs="RWXLTG+TimesNewRoman"/>
        </w:rPr>
        <w:t xml:space="preserve">v </w:t>
      </w:r>
      <w:r w:rsidR="00AD5544">
        <w:rPr>
          <w:rFonts w:eastAsia="RWXLTG+TimesNewRoman" w:cs="RWXLTG+TimesNewRoman"/>
        </w:rPr>
        <w:t>Pilníkově</w:t>
      </w:r>
      <w:r>
        <w:rPr>
          <w:rFonts w:eastAsia="RWXLTG+TimesNewRoman" w:cs="RWXLTG+TimesNewRoman"/>
        </w:rPr>
        <w:t>.</w:t>
      </w:r>
    </w:p>
    <w:p w14:paraId="592AF0D0" w14:textId="6B7675DE" w:rsidR="00972BE2" w:rsidRDefault="00F22C46" w:rsidP="00C37C65">
      <w:pPr>
        <w:spacing w:after="160" w:line="259" w:lineRule="auto"/>
        <w:jc w:val="both"/>
        <w:rPr>
          <w:rFonts w:eastAsia="RWXLTG+TimesNewRoman" w:cs="RWXLTG+TimesNewRoman"/>
          <w:b/>
        </w:rPr>
      </w:pPr>
      <w:r>
        <w:rPr>
          <w:rFonts w:eastAsia="RWXLTG+TimesNewRoman" w:cs="RWXLTG+TimesNewRoman"/>
        </w:rPr>
        <w:t>Pokud chtějí obyvatelé obce využít služeb dalších zařízení (vyjma pečovatelské služby a osobní asistence), která poskytují sociální služby, musí navštívit okolní města/obce, především Trutnov (nízkoprahové zařízení pro děti a mládež, stacionář pro zdravotně oslabené a tělesně postižené, azylový dům pro ženy, odborné sociální poradenství atd.).</w:t>
      </w:r>
    </w:p>
    <w:p w14:paraId="5F654609" w14:textId="53A5727F" w:rsidR="00B00CBF" w:rsidRDefault="00B00CBF" w:rsidP="00C1246A">
      <w:pPr>
        <w:spacing w:after="160" w:line="259" w:lineRule="auto"/>
        <w:jc w:val="both"/>
        <w:rPr>
          <w:rFonts w:eastAsia="RWXLTG+TimesNewRoman" w:cs="RWXLTG+TimesNewRoman"/>
          <w:b/>
        </w:rPr>
      </w:pPr>
    </w:p>
    <w:p w14:paraId="4B3CA561" w14:textId="77777777" w:rsidR="008147E6" w:rsidRDefault="008147E6" w:rsidP="00814D5A">
      <w:pPr>
        <w:pStyle w:val="Nadpis4"/>
      </w:pPr>
      <w:bookmarkStart w:id="304" w:name="_Toc413418376"/>
      <w:bookmarkStart w:id="305" w:name="_Toc440566355"/>
      <w:bookmarkStart w:id="306" w:name="_Toc441227506"/>
      <w:bookmarkStart w:id="307" w:name="_Toc32580127"/>
      <w:bookmarkStart w:id="308" w:name="_Toc120652152"/>
      <w:r>
        <w:t>2.1.5.</w:t>
      </w:r>
      <w:r w:rsidRPr="00FB15D4">
        <w:t>5 Kultura</w:t>
      </w:r>
      <w:bookmarkEnd w:id="304"/>
      <w:bookmarkEnd w:id="305"/>
      <w:bookmarkEnd w:id="306"/>
      <w:bookmarkEnd w:id="307"/>
      <w:bookmarkEnd w:id="308"/>
    </w:p>
    <w:p w14:paraId="35676F42" w14:textId="30CEB78D" w:rsidR="007B5302" w:rsidRDefault="007B5302" w:rsidP="007B5302">
      <w:pPr>
        <w:spacing w:after="160" w:line="259" w:lineRule="auto"/>
        <w:jc w:val="both"/>
      </w:pPr>
      <w:r w:rsidRPr="00A87E15">
        <w:t xml:space="preserve">Kultura a kulturní činnost je pro </w:t>
      </w:r>
      <w:r>
        <w:t>obec</w:t>
      </w:r>
      <w:r w:rsidRPr="00A87E15">
        <w:t xml:space="preserve"> významnou záležitostí. V</w:t>
      </w:r>
      <w:r>
        <w:t xml:space="preserve"> obci </w:t>
      </w:r>
      <w:r w:rsidRPr="00A87E15">
        <w:t xml:space="preserve">je během kalendářního roku pořádána řada kulturních akcí, např. </w:t>
      </w:r>
      <w:r w:rsidR="00D9144C">
        <w:t>Obecní ples, Dětský den, Poslední leč</w:t>
      </w:r>
      <w:r w:rsidRPr="00A87E15">
        <w:t xml:space="preserve"> atd. Popis a přehled akcí pořádaných </w:t>
      </w:r>
      <w:r>
        <w:t>v obci</w:t>
      </w:r>
      <w:r w:rsidRPr="00A87E15">
        <w:t xml:space="preserve">, včetně těch kulturních, je již poměrně detailně popsán v kap. 2.1.2.3 Život </w:t>
      </w:r>
      <w:r>
        <w:t xml:space="preserve">v obci </w:t>
      </w:r>
      <w:r w:rsidRPr="00A87E15">
        <w:t xml:space="preserve">– akce a události pořádané v </w:t>
      </w:r>
      <w:r>
        <w:t>obci</w:t>
      </w:r>
      <w:r w:rsidRPr="00A87E15">
        <w:t>.</w:t>
      </w:r>
    </w:p>
    <w:p w14:paraId="5C24117D" w14:textId="53F177A7" w:rsidR="007B5302" w:rsidRPr="003E41E3" w:rsidRDefault="007B5302" w:rsidP="007B5302">
      <w:pPr>
        <w:spacing w:after="160" w:line="259" w:lineRule="auto"/>
        <w:jc w:val="both"/>
        <w:rPr>
          <w:rFonts w:cstheme="minorHAnsi"/>
          <w:color w:val="202121"/>
          <w:shd w:val="clear" w:color="auto" w:fill="FFFFFF"/>
        </w:rPr>
      </w:pPr>
      <w:r>
        <w:t xml:space="preserve">Občanům </w:t>
      </w:r>
      <w:r w:rsidR="00C776AA">
        <w:t>byla dříve</w:t>
      </w:r>
      <w:r>
        <w:t xml:space="preserve"> k dispozici </w:t>
      </w:r>
      <w:r w:rsidR="0040295D" w:rsidRPr="00C776AA">
        <w:t>o</w:t>
      </w:r>
      <w:r w:rsidR="007A066F" w:rsidRPr="00C776AA">
        <w:t>becní knihovna</w:t>
      </w:r>
      <w:r>
        <w:t xml:space="preserve">, </w:t>
      </w:r>
      <w:r w:rsidR="00C776AA">
        <w:t>jejíž činnost však byla odchodem knihovnice do definitivního důchodu prakticky ukončena. Do té doby byla návštěvnost velmi sporadická až nulová.</w:t>
      </w:r>
    </w:p>
    <w:p w14:paraId="061D73AB" w14:textId="29FCAE81" w:rsidR="008F63E7" w:rsidRDefault="008F63E7" w:rsidP="008C6B00">
      <w:pPr>
        <w:spacing w:after="60" w:line="259" w:lineRule="auto"/>
        <w:jc w:val="both"/>
      </w:pPr>
    </w:p>
    <w:p w14:paraId="4C156100" w14:textId="797B3141" w:rsidR="008C6B00" w:rsidRDefault="007B5302" w:rsidP="008C6B00">
      <w:pPr>
        <w:spacing w:after="60" w:line="259" w:lineRule="auto"/>
        <w:jc w:val="both"/>
      </w:pPr>
      <w:r>
        <w:lastRenderedPageBreak/>
        <w:t>Na území obce se nachází několik kulturně-historických staveb a památek</w:t>
      </w:r>
      <w:r w:rsidR="00E14493">
        <w:rPr>
          <w:rStyle w:val="Znakapoznpodarou"/>
        </w:rPr>
        <w:footnoteReference w:id="34"/>
      </w:r>
      <w:r>
        <w:t>. Jedná se např. o</w:t>
      </w:r>
      <w:r w:rsidR="008C6B00">
        <w:t>:</w:t>
      </w:r>
    </w:p>
    <w:p w14:paraId="33963515" w14:textId="13472C1B" w:rsidR="008C6B00" w:rsidRPr="008C6B00" w:rsidRDefault="00CD2A77">
      <w:pPr>
        <w:pStyle w:val="Odstavecseseznamem"/>
        <w:numPr>
          <w:ilvl w:val="0"/>
          <w:numId w:val="13"/>
        </w:numPr>
        <w:spacing w:after="120"/>
        <w:ind w:left="425" w:hanging="357"/>
        <w:contextualSpacing w:val="0"/>
        <w:jc w:val="both"/>
      </w:pPr>
      <w:r>
        <w:rPr>
          <w:b/>
        </w:rPr>
        <w:t>Kostel sv. Anny</w:t>
      </w:r>
      <w:r w:rsidR="00790857">
        <w:t xml:space="preserve"> –</w:t>
      </w:r>
      <w:r>
        <w:t xml:space="preserve"> </w:t>
      </w:r>
      <w:r w:rsidRPr="00CD2A77">
        <w:t>gotický kostel</w:t>
      </w:r>
      <w:r>
        <w:t xml:space="preserve"> ze 14. století</w:t>
      </w:r>
      <w:r w:rsidRPr="00CD2A77">
        <w:t xml:space="preserve"> s unikátně dochovanými středověkými omítkami</w:t>
      </w:r>
      <w:r w:rsidR="00790857">
        <w:t>.</w:t>
      </w:r>
      <w:r>
        <w:t xml:space="preserve"> V okolí kostela je </w:t>
      </w:r>
      <w:r w:rsidRPr="00CD2A77">
        <w:t>řada náhrobníků z doby kolem r</w:t>
      </w:r>
      <w:r>
        <w:t>oku</w:t>
      </w:r>
      <w:r w:rsidRPr="00CD2A77">
        <w:t xml:space="preserve"> 1600 a empirových z počátku 17. století</w:t>
      </w:r>
      <w:r>
        <w:t>.</w:t>
      </w:r>
    </w:p>
    <w:p w14:paraId="6EBFD26E" w14:textId="49F4FEED" w:rsidR="007B5302" w:rsidRPr="008C6B00" w:rsidRDefault="00667000">
      <w:pPr>
        <w:pStyle w:val="Odstavecseseznamem"/>
        <w:numPr>
          <w:ilvl w:val="0"/>
          <w:numId w:val="13"/>
        </w:numPr>
        <w:spacing w:after="120"/>
        <w:ind w:left="425" w:hanging="357"/>
        <w:contextualSpacing w:val="0"/>
        <w:jc w:val="both"/>
      </w:pPr>
      <w:r>
        <w:rPr>
          <w:b/>
          <w:bCs/>
        </w:rPr>
        <w:t>Socha sv. Jana Nepomuckého na podstavě</w:t>
      </w:r>
      <w:r w:rsidR="00DC5962">
        <w:t xml:space="preserve"> – </w:t>
      </w:r>
      <w:r>
        <w:t>v</w:t>
      </w:r>
      <w:r w:rsidRPr="00667000">
        <w:t>rcholně barokní socha zemského patrona v typickém postoji a oděvu</w:t>
      </w:r>
      <w:r w:rsidR="00DC5962">
        <w:t>.</w:t>
      </w:r>
    </w:p>
    <w:p w14:paraId="6D912C15" w14:textId="40C8A40E" w:rsidR="0089568A" w:rsidRPr="0089568A" w:rsidRDefault="008C6B00">
      <w:pPr>
        <w:pStyle w:val="Odstavecseseznamem"/>
        <w:numPr>
          <w:ilvl w:val="0"/>
          <w:numId w:val="13"/>
        </w:numPr>
        <w:spacing w:after="160"/>
        <w:ind w:left="425" w:hanging="357"/>
        <w:contextualSpacing w:val="0"/>
        <w:jc w:val="both"/>
      </w:pPr>
      <w:bookmarkStart w:id="309" w:name="_Hlk83907382"/>
      <w:r>
        <w:rPr>
          <w:b/>
        </w:rPr>
        <w:t>P</w:t>
      </w:r>
      <w:r w:rsidRPr="00BE35A1">
        <w:rPr>
          <w:b/>
        </w:rPr>
        <w:t xml:space="preserve">omník </w:t>
      </w:r>
      <w:bookmarkEnd w:id="309"/>
      <w:r w:rsidR="00E64872" w:rsidRPr="00E64872">
        <w:rPr>
          <w:b/>
        </w:rPr>
        <w:t xml:space="preserve">obětem </w:t>
      </w:r>
      <w:r w:rsidR="00E64872">
        <w:rPr>
          <w:b/>
        </w:rPr>
        <w:t>2</w:t>
      </w:r>
      <w:r w:rsidR="00E64872" w:rsidRPr="00E64872">
        <w:rPr>
          <w:b/>
        </w:rPr>
        <w:t>. světové války</w:t>
      </w:r>
      <w:r w:rsidR="00E64872">
        <w:rPr>
          <w:b/>
        </w:rPr>
        <w:t xml:space="preserve"> </w:t>
      </w:r>
      <w:r w:rsidR="0089568A">
        <w:rPr>
          <w:bCs/>
        </w:rPr>
        <w:t xml:space="preserve">– pomník </w:t>
      </w:r>
      <w:r w:rsidR="00E64872">
        <w:rPr>
          <w:bCs/>
        </w:rPr>
        <w:t>na památku občanů Starých Buků padlých ve 2. světové válce.</w:t>
      </w:r>
    </w:p>
    <w:p w14:paraId="44D68DDC" w14:textId="0DC674E9" w:rsidR="008C6B00" w:rsidRDefault="006B2734" w:rsidP="00E14493">
      <w:pPr>
        <w:spacing w:after="160" w:line="259" w:lineRule="auto"/>
        <w:jc w:val="both"/>
      </w:pPr>
      <w:r>
        <w:t xml:space="preserve">Opomenout nelze ani </w:t>
      </w:r>
      <w:bookmarkStart w:id="310" w:name="_Hlk83907611"/>
      <w:r w:rsidR="00744F1B">
        <w:t xml:space="preserve">dvě </w:t>
      </w:r>
      <w:r w:rsidR="0086505D">
        <w:t xml:space="preserve">kapličky a </w:t>
      </w:r>
      <w:r w:rsidR="00744F1B">
        <w:t xml:space="preserve">řadu </w:t>
      </w:r>
      <w:r>
        <w:t>křížk</w:t>
      </w:r>
      <w:r w:rsidR="00744F1B">
        <w:t>ů</w:t>
      </w:r>
      <w:r>
        <w:t xml:space="preserve"> </w:t>
      </w:r>
      <w:bookmarkEnd w:id="310"/>
      <w:r>
        <w:t>na území obce</w:t>
      </w:r>
      <w:r w:rsidR="00744F1B">
        <w:t>.</w:t>
      </w:r>
    </w:p>
    <w:p w14:paraId="350BAB53" w14:textId="77777777" w:rsidR="00FD6A48" w:rsidRDefault="00FD6A48" w:rsidP="007B5302">
      <w:pPr>
        <w:spacing w:after="160" w:line="259" w:lineRule="auto"/>
        <w:jc w:val="both"/>
        <w:rPr>
          <w:rFonts w:eastAsia="RWXLTG+TimesNewRoman" w:cs="RWXLTG+TimesNewRoman"/>
          <w:shd w:val="clear" w:color="auto" w:fill="FFFFFF" w:themeFill="background1"/>
        </w:rPr>
      </w:pPr>
    </w:p>
    <w:p w14:paraId="4FF8C6FD" w14:textId="51C008F2" w:rsidR="007B5302" w:rsidRPr="00855E07" w:rsidRDefault="007B5302" w:rsidP="007B5302">
      <w:pPr>
        <w:spacing w:after="160" w:line="259" w:lineRule="auto"/>
        <w:jc w:val="both"/>
      </w:pPr>
      <w:r w:rsidRPr="00E243C5">
        <w:rPr>
          <w:rFonts w:eastAsia="RWXLTG+TimesNewRoman" w:cs="RWXLTG+TimesNewRoman"/>
          <w:shd w:val="clear" w:color="auto" w:fill="FFFFFF" w:themeFill="background1"/>
        </w:rPr>
        <w:t>Pro pořádání kulturních</w:t>
      </w:r>
      <w:r w:rsidR="00075A54">
        <w:rPr>
          <w:rFonts w:eastAsia="RWXLTG+TimesNewRoman" w:cs="RWXLTG+TimesNewRoman"/>
          <w:shd w:val="clear" w:color="auto" w:fill="FFFFFF" w:themeFill="background1"/>
        </w:rPr>
        <w:t xml:space="preserve"> a </w:t>
      </w:r>
      <w:r w:rsidRPr="00E243C5">
        <w:rPr>
          <w:rFonts w:eastAsia="RWXLTG+TimesNewRoman" w:cs="RWXLTG+TimesNewRoman"/>
          <w:shd w:val="clear" w:color="auto" w:fill="FFFFFF" w:themeFill="background1"/>
        </w:rPr>
        <w:t>společenských akcí je v obci</w:t>
      </w:r>
      <w:r>
        <w:rPr>
          <w:rFonts w:eastAsia="RWXLTG+TimesNewRoman" w:cs="RWXLTG+TimesNewRoman"/>
          <w:shd w:val="clear" w:color="auto" w:fill="FFFFFF" w:themeFill="background1"/>
        </w:rPr>
        <w:t xml:space="preserve"> možné využít </w:t>
      </w:r>
      <w:r w:rsidR="00075A54">
        <w:rPr>
          <w:rFonts w:eastAsia="RWXLTG+TimesNewRoman" w:cs="RWXLTG+TimesNewRoman"/>
          <w:b/>
          <w:bCs/>
          <w:shd w:val="clear" w:color="auto" w:fill="FFFFFF" w:themeFill="background1"/>
        </w:rPr>
        <w:t>multifunkční</w:t>
      </w:r>
      <w:r w:rsidRPr="00EE2D18">
        <w:rPr>
          <w:rFonts w:eastAsia="RWXLTG+TimesNewRoman" w:cs="RWXLTG+TimesNewRoman"/>
          <w:b/>
          <w:bCs/>
          <w:shd w:val="clear" w:color="auto" w:fill="FFFFFF" w:themeFill="background1"/>
        </w:rPr>
        <w:t xml:space="preserve"> sál</w:t>
      </w:r>
      <w:r w:rsidR="00884B3C">
        <w:rPr>
          <w:rFonts w:eastAsia="RWXLTG+TimesNewRoman" w:cs="RWXLTG+TimesNewRoman"/>
          <w:shd w:val="clear" w:color="auto" w:fill="FFFFFF" w:themeFill="background1"/>
        </w:rPr>
        <w:t>, který se nachází v</w:t>
      </w:r>
      <w:r w:rsidR="00FD6A48">
        <w:rPr>
          <w:rFonts w:eastAsia="RWXLTG+TimesNewRoman" w:cs="RWXLTG+TimesNewRoman"/>
          <w:shd w:val="clear" w:color="auto" w:fill="FFFFFF" w:themeFill="background1"/>
        </w:rPr>
        <w:t> hospodě U Smrku (</w:t>
      </w:r>
      <w:r w:rsidR="00FD6A48" w:rsidRPr="0040295D">
        <w:t xml:space="preserve">Prostřední Staré Buky </w:t>
      </w:r>
      <w:r w:rsidR="00FD6A48">
        <w:t xml:space="preserve">č. p. </w:t>
      </w:r>
      <w:r w:rsidR="00FD6A48" w:rsidRPr="0040295D">
        <w:t>5</w:t>
      </w:r>
      <w:r w:rsidR="00FD6A48">
        <w:t>9)</w:t>
      </w:r>
      <w:r w:rsidR="00884B3C">
        <w:rPr>
          <w:rFonts w:eastAsia="RWXLTG+TimesNewRoman" w:cs="RWXLTG+TimesNewRoman"/>
          <w:shd w:val="clear" w:color="auto" w:fill="FFFFFF" w:themeFill="background1"/>
        </w:rPr>
        <w:t>.</w:t>
      </w:r>
    </w:p>
    <w:p w14:paraId="15F6A9A9" w14:textId="77777777" w:rsidR="007B5302" w:rsidRPr="00D67FF5" w:rsidRDefault="007B5302" w:rsidP="007B5302">
      <w:pPr>
        <w:pStyle w:val="Normlnweb"/>
        <w:shd w:val="clear" w:color="auto" w:fill="FFFFFF"/>
        <w:spacing w:before="0" w:beforeAutospacing="0" w:after="160" w:afterAutospacing="0" w:line="259" w:lineRule="auto"/>
        <w:jc w:val="both"/>
        <w:rPr>
          <w:rFonts w:asciiTheme="minorHAnsi" w:hAnsiTheme="minorHAnsi" w:cstheme="minorHAnsi"/>
          <w:color w:val="202121"/>
          <w:sz w:val="22"/>
          <w:szCs w:val="22"/>
        </w:rPr>
      </w:pPr>
    </w:p>
    <w:p w14:paraId="169A17EA" w14:textId="038CA665" w:rsidR="00451514" w:rsidRDefault="007B5302" w:rsidP="007B5302">
      <w:pPr>
        <w:spacing w:after="160" w:line="259" w:lineRule="auto"/>
        <w:jc w:val="both"/>
      </w:pPr>
      <w:r>
        <w:t xml:space="preserve">Seznam objektů, které jsou vedeny jako nemovité kulturní památky v rámci ústředního seznamu kulturních památek České republiky, shrnuje </w:t>
      </w:r>
      <w:r w:rsidRPr="00A9073A">
        <w:t>tabulka</w:t>
      </w:r>
      <w:r>
        <w:t xml:space="preserve"> </w:t>
      </w:r>
      <w:r w:rsidR="00DE585D">
        <w:t>19</w:t>
      </w:r>
      <w:r>
        <w:t>.</w:t>
      </w:r>
    </w:p>
    <w:p w14:paraId="309424F4" w14:textId="45D83028" w:rsidR="0061707E" w:rsidRDefault="0061707E" w:rsidP="000404B1">
      <w:pPr>
        <w:spacing w:after="160" w:line="259" w:lineRule="auto"/>
        <w:jc w:val="both"/>
      </w:pPr>
    </w:p>
    <w:p w14:paraId="3E5A8047" w14:textId="17ABE4C6" w:rsidR="00451514" w:rsidRPr="001C696E" w:rsidRDefault="00451514" w:rsidP="00451514">
      <w:pPr>
        <w:pStyle w:val="TABULKA0"/>
      </w:pPr>
      <w:bookmarkStart w:id="311" w:name="_Toc441221927"/>
      <w:bookmarkStart w:id="312" w:name="_Toc32577800"/>
      <w:bookmarkStart w:id="313" w:name="_Toc120651941"/>
      <w:r w:rsidRPr="00A9073A">
        <w:t>Tabulka</w:t>
      </w:r>
      <w:r w:rsidR="00BC670E">
        <w:t xml:space="preserve"> </w:t>
      </w:r>
      <w:r w:rsidR="00DE585D">
        <w:t>19</w:t>
      </w:r>
      <w:r w:rsidRPr="00A9073A">
        <w:t>:</w:t>
      </w:r>
      <w:r w:rsidRPr="00530D49">
        <w:t xml:space="preserve"> Seznam nemovitých kulturních památek na území </w:t>
      </w:r>
      <w:r>
        <w:t xml:space="preserve">obce </w:t>
      </w:r>
      <w:bookmarkEnd w:id="311"/>
      <w:r w:rsidR="00BC6634">
        <w:t>Staré Buky</w:t>
      </w:r>
      <w:r w:rsidRPr="00C33E4E">
        <w:t xml:space="preserve"> </w:t>
      </w:r>
      <w:r w:rsidR="000404B1">
        <w:t>(k</w:t>
      </w:r>
      <w:r w:rsidR="00BC6634">
        <w:t xml:space="preserve">e květnu </w:t>
      </w:r>
      <w:r w:rsidR="00D74438">
        <w:t>202</w:t>
      </w:r>
      <w:r w:rsidR="00BC6634">
        <w:t>2</w:t>
      </w:r>
      <w:r w:rsidR="000404B1">
        <w:t>)</w:t>
      </w:r>
      <w:bookmarkEnd w:id="312"/>
      <w:bookmarkEnd w:id="313"/>
    </w:p>
    <w:tbl>
      <w:tblPr>
        <w:tblW w:w="4729"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2373"/>
        <w:gridCol w:w="3080"/>
        <w:gridCol w:w="992"/>
        <w:gridCol w:w="889"/>
        <w:gridCol w:w="1379"/>
      </w:tblGrid>
      <w:tr w:rsidR="00B63C78" w:rsidRPr="002E7089" w14:paraId="11F1FE3D" w14:textId="77777777" w:rsidTr="00D74C55">
        <w:trPr>
          <w:trHeight w:val="135"/>
          <w:jc w:val="center"/>
        </w:trPr>
        <w:tc>
          <w:tcPr>
            <w:tcW w:w="2373" w:type="dxa"/>
            <w:tcBorders>
              <w:top w:val="single" w:sz="18" w:space="0" w:color="auto"/>
              <w:bottom w:val="single" w:sz="12" w:space="0" w:color="auto"/>
            </w:tcBorders>
            <w:shd w:val="clear" w:color="auto" w:fill="FFC000"/>
            <w:noWrap/>
            <w:vAlign w:val="center"/>
            <w:hideMark/>
          </w:tcPr>
          <w:p w14:paraId="4389528D" w14:textId="77777777" w:rsidR="002D2FA2" w:rsidRPr="00957A74" w:rsidRDefault="002D2FA2" w:rsidP="00B63C78">
            <w:pPr>
              <w:jc w:val="center"/>
              <w:rPr>
                <w:rFonts w:ascii="Calibri" w:eastAsia="Times New Roman" w:hAnsi="Calibri" w:cs="Times New Roman"/>
                <w:b/>
                <w:bCs/>
                <w:color w:val="000000"/>
                <w:sz w:val="19"/>
                <w:szCs w:val="19"/>
                <w:lang w:eastAsia="cs-CZ"/>
              </w:rPr>
            </w:pPr>
            <w:r w:rsidRPr="00957A74">
              <w:rPr>
                <w:rFonts w:ascii="Calibri" w:eastAsia="Times New Roman" w:hAnsi="Calibri" w:cs="Times New Roman"/>
                <w:b/>
                <w:bCs/>
                <w:color w:val="000000"/>
                <w:sz w:val="19"/>
                <w:szCs w:val="19"/>
                <w:lang w:eastAsia="cs-CZ"/>
              </w:rPr>
              <w:t>Název památky</w:t>
            </w:r>
          </w:p>
        </w:tc>
        <w:tc>
          <w:tcPr>
            <w:tcW w:w="3080" w:type="dxa"/>
            <w:tcBorders>
              <w:top w:val="single" w:sz="18" w:space="0" w:color="auto"/>
              <w:bottom w:val="single" w:sz="12" w:space="0" w:color="auto"/>
            </w:tcBorders>
            <w:shd w:val="clear" w:color="auto" w:fill="FFC000"/>
            <w:noWrap/>
            <w:vAlign w:val="center"/>
            <w:hideMark/>
          </w:tcPr>
          <w:p w14:paraId="0630C55E" w14:textId="77777777" w:rsidR="002D2FA2" w:rsidRPr="00957A74" w:rsidRDefault="002D2FA2" w:rsidP="00B63C78">
            <w:pPr>
              <w:jc w:val="center"/>
              <w:rPr>
                <w:rFonts w:ascii="Calibri" w:eastAsia="Times New Roman" w:hAnsi="Calibri" w:cs="Times New Roman"/>
                <w:b/>
                <w:bCs/>
                <w:color w:val="000000"/>
                <w:sz w:val="19"/>
                <w:szCs w:val="19"/>
                <w:lang w:eastAsia="cs-CZ"/>
              </w:rPr>
            </w:pPr>
            <w:r w:rsidRPr="00957A74">
              <w:rPr>
                <w:rFonts w:ascii="Calibri" w:eastAsia="Times New Roman" w:hAnsi="Calibri" w:cs="Times New Roman"/>
                <w:b/>
                <w:bCs/>
                <w:color w:val="000000"/>
                <w:sz w:val="19"/>
                <w:szCs w:val="19"/>
                <w:lang w:eastAsia="cs-CZ"/>
              </w:rPr>
              <w:t>Lokalizace</w:t>
            </w:r>
          </w:p>
        </w:tc>
        <w:tc>
          <w:tcPr>
            <w:tcW w:w="992" w:type="dxa"/>
            <w:tcBorders>
              <w:top w:val="single" w:sz="18" w:space="0" w:color="auto"/>
              <w:bottom w:val="single" w:sz="12" w:space="0" w:color="auto"/>
            </w:tcBorders>
            <w:shd w:val="clear" w:color="auto" w:fill="FFC000"/>
            <w:noWrap/>
            <w:vAlign w:val="center"/>
            <w:hideMark/>
          </w:tcPr>
          <w:p w14:paraId="181047F8" w14:textId="77777777" w:rsidR="002D2FA2" w:rsidRPr="00957A74" w:rsidRDefault="002D2FA2" w:rsidP="00B63C78">
            <w:pPr>
              <w:jc w:val="center"/>
              <w:rPr>
                <w:rFonts w:ascii="Calibri" w:eastAsia="Times New Roman" w:hAnsi="Calibri" w:cs="Times New Roman"/>
                <w:b/>
                <w:bCs/>
                <w:color w:val="000000"/>
                <w:sz w:val="19"/>
                <w:szCs w:val="19"/>
                <w:lang w:eastAsia="cs-CZ"/>
              </w:rPr>
            </w:pPr>
            <w:r w:rsidRPr="00957A74">
              <w:rPr>
                <w:rFonts w:ascii="Calibri" w:eastAsia="Times New Roman" w:hAnsi="Calibri" w:cs="Times New Roman"/>
                <w:b/>
                <w:bCs/>
                <w:color w:val="000000"/>
                <w:sz w:val="19"/>
                <w:szCs w:val="19"/>
                <w:lang w:eastAsia="cs-CZ"/>
              </w:rPr>
              <w:t>Kategorie</w:t>
            </w:r>
          </w:p>
        </w:tc>
        <w:tc>
          <w:tcPr>
            <w:tcW w:w="889" w:type="dxa"/>
            <w:tcBorders>
              <w:top w:val="single" w:sz="18" w:space="0" w:color="auto"/>
              <w:bottom w:val="single" w:sz="12" w:space="0" w:color="auto"/>
            </w:tcBorders>
            <w:shd w:val="clear" w:color="auto" w:fill="FFC000"/>
            <w:vAlign w:val="center"/>
          </w:tcPr>
          <w:p w14:paraId="43A5BE00" w14:textId="77777777" w:rsidR="002D2FA2" w:rsidRPr="00957A74" w:rsidRDefault="002D2FA2" w:rsidP="00B63C78">
            <w:pPr>
              <w:jc w:val="center"/>
              <w:rPr>
                <w:rFonts w:ascii="Calibri" w:eastAsia="Times New Roman" w:hAnsi="Calibri" w:cs="Times New Roman"/>
                <w:b/>
                <w:bCs/>
                <w:color w:val="000000"/>
                <w:sz w:val="19"/>
                <w:szCs w:val="19"/>
                <w:lang w:eastAsia="cs-CZ"/>
              </w:rPr>
            </w:pPr>
            <w:r w:rsidRPr="00957A74">
              <w:rPr>
                <w:rFonts w:ascii="Calibri" w:eastAsia="Times New Roman" w:hAnsi="Calibri" w:cs="Times New Roman"/>
                <w:b/>
                <w:bCs/>
                <w:color w:val="000000"/>
                <w:sz w:val="19"/>
                <w:szCs w:val="19"/>
                <w:lang w:eastAsia="cs-CZ"/>
              </w:rPr>
              <w:t>Typ</w:t>
            </w:r>
          </w:p>
        </w:tc>
        <w:tc>
          <w:tcPr>
            <w:tcW w:w="1379" w:type="dxa"/>
            <w:tcBorders>
              <w:top w:val="single" w:sz="18" w:space="0" w:color="auto"/>
              <w:bottom w:val="single" w:sz="12" w:space="0" w:color="auto"/>
            </w:tcBorders>
            <w:shd w:val="clear" w:color="auto" w:fill="FFC000"/>
            <w:noWrap/>
            <w:vAlign w:val="center"/>
            <w:hideMark/>
          </w:tcPr>
          <w:p w14:paraId="4876D5B9" w14:textId="77777777" w:rsidR="002D2FA2" w:rsidRPr="00957A74" w:rsidRDefault="002D2FA2" w:rsidP="00B63C78">
            <w:pPr>
              <w:jc w:val="center"/>
              <w:rPr>
                <w:rFonts w:ascii="Calibri" w:eastAsia="Times New Roman" w:hAnsi="Calibri" w:cs="Times New Roman"/>
                <w:b/>
                <w:bCs/>
                <w:color w:val="000000"/>
                <w:sz w:val="19"/>
                <w:szCs w:val="19"/>
                <w:lang w:eastAsia="cs-CZ"/>
              </w:rPr>
            </w:pPr>
            <w:r w:rsidRPr="00957A74">
              <w:rPr>
                <w:rFonts w:ascii="Calibri" w:eastAsia="Times New Roman" w:hAnsi="Calibri" w:cs="Times New Roman"/>
                <w:b/>
                <w:bCs/>
                <w:color w:val="000000"/>
                <w:sz w:val="19"/>
                <w:szCs w:val="19"/>
                <w:lang w:eastAsia="cs-CZ"/>
              </w:rPr>
              <w:t>Památkou od:</w:t>
            </w:r>
          </w:p>
        </w:tc>
      </w:tr>
      <w:tr w:rsidR="00957A74" w:rsidRPr="002E7089" w14:paraId="3FFFB26D" w14:textId="77777777" w:rsidTr="00D74C55">
        <w:trPr>
          <w:trHeight w:val="170"/>
          <w:jc w:val="center"/>
        </w:trPr>
        <w:tc>
          <w:tcPr>
            <w:tcW w:w="2373" w:type="dxa"/>
            <w:tcBorders>
              <w:top w:val="single" w:sz="12" w:space="0" w:color="auto"/>
              <w:bottom w:val="single" w:sz="6" w:space="0" w:color="auto"/>
            </w:tcBorders>
            <w:shd w:val="clear" w:color="auto" w:fill="D9D9D9" w:themeFill="background1" w:themeFillShade="D9"/>
            <w:noWrap/>
            <w:vAlign w:val="center"/>
          </w:tcPr>
          <w:p w14:paraId="0BB33072" w14:textId="0D80AD72" w:rsidR="002E7089" w:rsidRPr="00957A74" w:rsidRDefault="006B1E89" w:rsidP="002E7089">
            <w:pPr>
              <w:rPr>
                <w:rFonts w:eastAsia="Times New Roman" w:cstheme="minorHAnsi"/>
                <w:color w:val="000000"/>
                <w:sz w:val="19"/>
                <w:szCs w:val="19"/>
                <w:lang w:eastAsia="cs-CZ"/>
              </w:rPr>
            </w:pPr>
            <w:r w:rsidRPr="006B1E89">
              <w:rPr>
                <w:rFonts w:eastAsia="Times New Roman" w:cstheme="minorHAnsi"/>
                <w:color w:val="000000"/>
                <w:sz w:val="19"/>
                <w:szCs w:val="19"/>
                <w:lang w:eastAsia="cs-CZ"/>
              </w:rPr>
              <w:t>Kostel sv. Anny</w:t>
            </w:r>
          </w:p>
        </w:tc>
        <w:tc>
          <w:tcPr>
            <w:tcW w:w="3080" w:type="dxa"/>
            <w:tcBorders>
              <w:top w:val="single" w:sz="12" w:space="0" w:color="auto"/>
              <w:bottom w:val="single" w:sz="6" w:space="0" w:color="auto"/>
            </w:tcBorders>
            <w:shd w:val="clear" w:color="auto" w:fill="auto"/>
            <w:noWrap/>
            <w:vAlign w:val="center"/>
          </w:tcPr>
          <w:p w14:paraId="7456476C" w14:textId="337FB333" w:rsidR="002E7089" w:rsidRPr="00957A74" w:rsidRDefault="00975223" w:rsidP="002E7089">
            <w:pPr>
              <w:rPr>
                <w:rFonts w:eastAsia="Times New Roman" w:cstheme="minorHAnsi"/>
                <w:color w:val="000000"/>
                <w:sz w:val="19"/>
                <w:szCs w:val="19"/>
                <w:lang w:eastAsia="cs-CZ"/>
              </w:rPr>
            </w:pPr>
            <w:r>
              <w:rPr>
                <w:rFonts w:eastAsia="Times New Roman" w:cstheme="minorHAnsi"/>
                <w:color w:val="000000"/>
                <w:sz w:val="19"/>
                <w:szCs w:val="19"/>
                <w:lang w:eastAsia="cs-CZ"/>
              </w:rPr>
              <w:t>parcel</w:t>
            </w:r>
            <w:r w:rsidR="001F437C">
              <w:rPr>
                <w:rFonts w:eastAsia="Times New Roman" w:cstheme="minorHAnsi"/>
                <w:color w:val="000000"/>
                <w:sz w:val="19"/>
                <w:szCs w:val="19"/>
                <w:lang w:eastAsia="cs-CZ"/>
              </w:rPr>
              <w:t>y</w:t>
            </w:r>
            <w:r>
              <w:rPr>
                <w:rFonts w:eastAsia="Times New Roman" w:cstheme="minorHAnsi"/>
                <w:color w:val="000000"/>
                <w:sz w:val="19"/>
                <w:szCs w:val="19"/>
                <w:lang w:eastAsia="cs-CZ"/>
              </w:rPr>
              <w:t xml:space="preserve"> KN </w:t>
            </w:r>
            <w:r w:rsidR="001F437C">
              <w:rPr>
                <w:rFonts w:eastAsia="Times New Roman" w:cstheme="minorHAnsi"/>
                <w:color w:val="000000"/>
                <w:sz w:val="19"/>
                <w:szCs w:val="19"/>
                <w:lang w:eastAsia="cs-CZ"/>
              </w:rPr>
              <w:t>st. 6, KN 682, KN 2397</w:t>
            </w:r>
            <w:r>
              <w:rPr>
                <w:rFonts w:eastAsia="Times New Roman" w:cstheme="minorHAnsi"/>
                <w:color w:val="000000"/>
                <w:sz w:val="19"/>
                <w:szCs w:val="19"/>
                <w:lang w:eastAsia="cs-CZ"/>
              </w:rPr>
              <w:t xml:space="preserve"> </w:t>
            </w:r>
            <w:r w:rsidR="00D74C55">
              <w:rPr>
                <w:rFonts w:eastAsia="Times New Roman" w:cstheme="minorHAnsi"/>
                <w:color w:val="000000"/>
                <w:sz w:val="19"/>
                <w:szCs w:val="19"/>
                <w:lang w:eastAsia="cs-CZ"/>
              </w:rPr>
              <w:br/>
            </w:r>
            <w:r>
              <w:rPr>
                <w:rFonts w:eastAsia="Times New Roman" w:cstheme="minorHAnsi"/>
                <w:color w:val="000000"/>
                <w:sz w:val="19"/>
                <w:szCs w:val="19"/>
                <w:lang w:eastAsia="cs-CZ"/>
              </w:rPr>
              <w:t>(</w:t>
            </w:r>
            <w:r w:rsidR="001F437C">
              <w:rPr>
                <w:rFonts w:eastAsia="Times New Roman" w:cstheme="minorHAnsi"/>
                <w:color w:val="000000"/>
                <w:sz w:val="19"/>
                <w:szCs w:val="19"/>
                <w:lang w:eastAsia="cs-CZ"/>
              </w:rPr>
              <w:t>k. ú. Prostřední Staré Buky</w:t>
            </w:r>
            <w:r>
              <w:rPr>
                <w:rFonts w:eastAsia="Times New Roman" w:cstheme="minorHAnsi"/>
                <w:color w:val="000000"/>
                <w:sz w:val="19"/>
                <w:szCs w:val="19"/>
                <w:lang w:eastAsia="cs-CZ"/>
              </w:rPr>
              <w:t>)</w:t>
            </w:r>
          </w:p>
        </w:tc>
        <w:tc>
          <w:tcPr>
            <w:tcW w:w="992" w:type="dxa"/>
            <w:tcBorders>
              <w:top w:val="single" w:sz="12" w:space="0" w:color="auto"/>
              <w:bottom w:val="single" w:sz="6" w:space="0" w:color="auto"/>
            </w:tcBorders>
            <w:shd w:val="clear" w:color="auto" w:fill="auto"/>
            <w:noWrap/>
            <w:vAlign w:val="center"/>
          </w:tcPr>
          <w:p w14:paraId="2CFEFB6A" w14:textId="29CEB1C7" w:rsidR="002E7089" w:rsidRPr="00957A74" w:rsidRDefault="001F437C" w:rsidP="002E7089">
            <w:pPr>
              <w:jc w:val="center"/>
              <w:rPr>
                <w:rFonts w:eastAsia="Times New Roman" w:cstheme="minorHAnsi"/>
                <w:color w:val="000000"/>
                <w:sz w:val="19"/>
                <w:szCs w:val="19"/>
                <w:lang w:eastAsia="cs-CZ"/>
              </w:rPr>
            </w:pPr>
            <w:r>
              <w:rPr>
                <w:rFonts w:eastAsia="Times New Roman" w:cstheme="minorHAnsi"/>
                <w:color w:val="000000"/>
                <w:sz w:val="19"/>
                <w:szCs w:val="19"/>
                <w:lang w:eastAsia="cs-CZ"/>
              </w:rPr>
              <w:t>areál</w:t>
            </w:r>
          </w:p>
        </w:tc>
        <w:tc>
          <w:tcPr>
            <w:tcW w:w="889" w:type="dxa"/>
            <w:tcBorders>
              <w:top w:val="single" w:sz="12" w:space="0" w:color="auto"/>
              <w:bottom w:val="single" w:sz="6" w:space="0" w:color="auto"/>
            </w:tcBorders>
            <w:vAlign w:val="center"/>
          </w:tcPr>
          <w:p w14:paraId="4CFFCAAD" w14:textId="368314B1" w:rsidR="002E7089" w:rsidRPr="00957A74" w:rsidRDefault="001F437C" w:rsidP="002E7089">
            <w:pPr>
              <w:jc w:val="center"/>
              <w:rPr>
                <w:rFonts w:eastAsia="Times New Roman" w:cstheme="minorHAnsi"/>
                <w:color w:val="000000"/>
                <w:sz w:val="19"/>
                <w:szCs w:val="19"/>
                <w:lang w:eastAsia="cs-CZ"/>
              </w:rPr>
            </w:pPr>
            <w:r>
              <w:rPr>
                <w:rFonts w:eastAsia="Times New Roman" w:cstheme="minorHAnsi"/>
                <w:color w:val="000000"/>
                <w:sz w:val="19"/>
                <w:szCs w:val="19"/>
                <w:lang w:eastAsia="cs-CZ"/>
              </w:rPr>
              <w:t>kostel</w:t>
            </w:r>
          </w:p>
        </w:tc>
        <w:tc>
          <w:tcPr>
            <w:tcW w:w="1379" w:type="dxa"/>
            <w:tcBorders>
              <w:top w:val="single" w:sz="12" w:space="0" w:color="auto"/>
              <w:bottom w:val="single" w:sz="6" w:space="0" w:color="auto"/>
            </w:tcBorders>
            <w:shd w:val="clear" w:color="auto" w:fill="auto"/>
            <w:noWrap/>
            <w:vAlign w:val="center"/>
          </w:tcPr>
          <w:p w14:paraId="0C0F3F65" w14:textId="6BD10CA6" w:rsidR="002E7089" w:rsidRPr="00957A74" w:rsidRDefault="00975223" w:rsidP="002E7089">
            <w:pPr>
              <w:jc w:val="right"/>
              <w:rPr>
                <w:rFonts w:eastAsia="Times New Roman" w:cstheme="minorHAnsi"/>
                <w:color w:val="000000"/>
                <w:sz w:val="19"/>
                <w:szCs w:val="19"/>
                <w:lang w:eastAsia="cs-CZ"/>
              </w:rPr>
            </w:pPr>
            <w:r>
              <w:rPr>
                <w:rFonts w:eastAsia="Times New Roman" w:cstheme="minorHAnsi"/>
                <w:color w:val="000000"/>
                <w:sz w:val="19"/>
                <w:szCs w:val="19"/>
                <w:lang w:eastAsia="cs-CZ"/>
              </w:rPr>
              <w:t>3. 5. 1958</w:t>
            </w:r>
          </w:p>
        </w:tc>
      </w:tr>
      <w:tr w:rsidR="00975223" w:rsidRPr="002E7089" w14:paraId="3EE089A2" w14:textId="77777777" w:rsidTr="00D74C55">
        <w:trPr>
          <w:trHeight w:val="60"/>
          <w:jc w:val="center"/>
        </w:trPr>
        <w:tc>
          <w:tcPr>
            <w:tcW w:w="2373" w:type="dxa"/>
            <w:tcBorders>
              <w:top w:val="single" w:sz="6" w:space="0" w:color="auto"/>
              <w:bottom w:val="single" w:sz="18" w:space="0" w:color="auto"/>
            </w:tcBorders>
            <w:shd w:val="clear" w:color="auto" w:fill="D9D9D9" w:themeFill="background1" w:themeFillShade="D9"/>
            <w:noWrap/>
            <w:vAlign w:val="center"/>
          </w:tcPr>
          <w:p w14:paraId="7999EBED" w14:textId="0F5183E8" w:rsidR="00975223" w:rsidRPr="00957A74" w:rsidRDefault="006B1E89" w:rsidP="00975223">
            <w:pPr>
              <w:rPr>
                <w:rFonts w:eastAsia="Times New Roman" w:cstheme="minorHAnsi"/>
                <w:color w:val="000000"/>
                <w:sz w:val="19"/>
                <w:szCs w:val="19"/>
                <w:lang w:eastAsia="cs-CZ"/>
              </w:rPr>
            </w:pPr>
            <w:r w:rsidRPr="006B1E89">
              <w:rPr>
                <w:rFonts w:eastAsia="Times New Roman" w:cstheme="minorHAnsi"/>
                <w:color w:val="000000"/>
                <w:sz w:val="19"/>
                <w:szCs w:val="19"/>
                <w:lang w:eastAsia="cs-CZ"/>
              </w:rPr>
              <w:t>Socha sv. Jana Nepomuckého na podstavě</w:t>
            </w:r>
          </w:p>
        </w:tc>
        <w:tc>
          <w:tcPr>
            <w:tcW w:w="3080" w:type="dxa"/>
            <w:tcBorders>
              <w:top w:val="single" w:sz="6" w:space="0" w:color="auto"/>
              <w:bottom w:val="single" w:sz="18" w:space="0" w:color="auto"/>
            </w:tcBorders>
            <w:shd w:val="clear" w:color="auto" w:fill="auto"/>
            <w:noWrap/>
            <w:vAlign w:val="center"/>
          </w:tcPr>
          <w:p w14:paraId="20FCD54A" w14:textId="450A8990" w:rsidR="00975223" w:rsidRPr="00957A74" w:rsidRDefault="00975223" w:rsidP="00975223">
            <w:pPr>
              <w:rPr>
                <w:rFonts w:eastAsia="Times New Roman" w:cstheme="minorHAnsi"/>
                <w:color w:val="000000"/>
                <w:sz w:val="19"/>
                <w:szCs w:val="19"/>
                <w:lang w:eastAsia="cs-CZ"/>
              </w:rPr>
            </w:pPr>
            <w:r>
              <w:rPr>
                <w:rFonts w:eastAsia="Times New Roman" w:cstheme="minorHAnsi"/>
                <w:color w:val="000000"/>
                <w:sz w:val="19"/>
                <w:szCs w:val="19"/>
                <w:lang w:eastAsia="cs-CZ"/>
              </w:rPr>
              <w:t xml:space="preserve">parcela KN </w:t>
            </w:r>
            <w:r w:rsidR="001F437C">
              <w:rPr>
                <w:rFonts w:eastAsia="Times New Roman" w:cstheme="minorHAnsi"/>
                <w:color w:val="000000"/>
                <w:sz w:val="19"/>
                <w:szCs w:val="19"/>
                <w:lang w:eastAsia="cs-CZ"/>
              </w:rPr>
              <w:t>1035</w:t>
            </w:r>
            <w:r>
              <w:rPr>
                <w:rFonts w:eastAsia="Times New Roman" w:cstheme="minorHAnsi"/>
                <w:color w:val="000000"/>
                <w:sz w:val="19"/>
                <w:szCs w:val="19"/>
                <w:lang w:eastAsia="cs-CZ"/>
              </w:rPr>
              <w:t xml:space="preserve"> </w:t>
            </w:r>
            <w:r w:rsidR="00D74C55">
              <w:rPr>
                <w:rFonts w:eastAsia="Times New Roman" w:cstheme="minorHAnsi"/>
                <w:color w:val="000000"/>
                <w:sz w:val="19"/>
                <w:szCs w:val="19"/>
                <w:lang w:eastAsia="cs-CZ"/>
              </w:rPr>
              <w:br/>
            </w:r>
            <w:r>
              <w:rPr>
                <w:rFonts w:eastAsia="Times New Roman" w:cstheme="minorHAnsi"/>
                <w:color w:val="000000"/>
                <w:sz w:val="19"/>
                <w:szCs w:val="19"/>
                <w:lang w:eastAsia="cs-CZ"/>
              </w:rPr>
              <w:t xml:space="preserve">(k. ú. </w:t>
            </w:r>
            <w:r w:rsidR="001F437C">
              <w:rPr>
                <w:rFonts w:eastAsia="Times New Roman" w:cstheme="minorHAnsi"/>
                <w:color w:val="000000"/>
                <w:sz w:val="19"/>
                <w:szCs w:val="19"/>
                <w:lang w:eastAsia="cs-CZ"/>
              </w:rPr>
              <w:t>Prostřední Staré Buky</w:t>
            </w:r>
            <w:r>
              <w:rPr>
                <w:rFonts w:eastAsia="Times New Roman" w:cstheme="minorHAnsi"/>
                <w:color w:val="000000"/>
                <w:sz w:val="19"/>
                <w:szCs w:val="19"/>
                <w:lang w:eastAsia="cs-CZ"/>
              </w:rPr>
              <w:t>)</w:t>
            </w:r>
          </w:p>
        </w:tc>
        <w:tc>
          <w:tcPr>
            <w:tcW w:w="992" w:type="dxa"/>
            <w:tcBorders>
              <w:top w:val="single" w:sz="6" w:space="0" w:color="auto"/>
              <w:bottom w:val="single" w:sz="18" w:space="0" w:color="auto"/>
            </w:tcBorders>
            <w:shd w:val="clear" w:color="auto" w:fill="auto"/>
            <w:noWrap/>
            <w:vAlign w:val="center"/>
          </w:tcPr>
          <w:p w14:paraId="1E8F4AD5" w14:textId="0265BDB4" w:rsidR="00975223" w:rsidRPr="00957A74" w:rsidRDefault="00975223" w:rsidP="00975223">
            <w:pPr>
              <w:jc w:val="center"/>
              <w:rPr>
                <w:rFonts w:eastAsia="Times New Roman" w:cstheme="minorHAnsi"/>
                <w:color w:val="000000"/>
                <w:sz w:val="19"/>
                <w:szCs w:val="19"/>
                <w:lang w:eastAsia="cs-CZ"/>
              </w:rPr>
            </w:pPr>
            <w:r>
              <w:rPr>
                <w:rFonts w:eastAsia="Times New Roman" w:cstheme="minorHAnsi"/>
                <w:color w:val="000000"/>
                <w:sz w:val="19"/>
                <w:szCs w:val="19"/>
                <w:lang w:eastAsia="cs-CZ"/>
              </w:rPr>
              <w:t>objekt</w:t>
            </w:r>
          </w:p>
        </w:tc>
        <w:tc>
          <w:tcPr>
            <w:tcW w:w="889" w:type="dxa"/>
            <w:tcBorders>
              <w:top w:val="single" w:sz="6" w:space="0" w:color="auto"/>
              <w:bottom w:val="single" w:sz="18" w:space="0" w:color="auto"/>
            </w:tcBorders>
            <w:vAlign w:val="center"/>
          </w:tcPr>
          <w:p w14:paraId="7A3683C6" w14:textId="3F7BAA21" w:rsidR="00975223" w:rsidRPr="00957A74" w:rsidRDefault="0087407F" w:rsidP="00975223">
            <w:pPr>
              <w:jc w:val="center"/>
              <w:rPr>
                <w:rFonts w:eastAsia="Times New Roman" w:cstheme="minorHAnsi"/>
                <w:color w:val="000000"/>
                <w:sz w:val="19"/>
                <w:szCs w:val="19"/>
                <w:lang w:eastAsia="cs-CZ"/>
              </w:rPr>
            </w:pPr>
            <w:r w:rsidRPr="0087407F">
              <w:rPr>
                <w:rFonts w:eastAsia="Times New Roman" w:cstheme="minorHAnsi"/>
                <w:color w:val="000000"/>
                <w:sz w:val="19"/>
                <w:szCs w:val="19"/>
                <w:lang w:eastAsia="cs-CZ"/>
              </w:rPr>
              <w:t>sloup se sochou</w:t>
            </w:r>
          </w:p>
        </w:tc>
        <w:tc>
          <w:tcPr>
            <w:tcW w:w="1379" w:type="dxa"/>
            <w:tcBorders>
              <w:top w:val="single" w:sz="6" w:space="0" w:color="auto"/>
              <w:bottom w:val="single" w:sz="18" w:space="0" w:color="auto"/>
            </w:tcBorders>
            <w:shd w:val="clear" w:color="auto" w:fill="auto"/>
            <w:noWrap/>
            <w:vAlign w:val="center"/>
          </w:tcPr>
          <w:p w14:paraId="186A3E31" w14:textId="1BDF23EE" w:rsidR="00975223" w:rsidRPr="00957A74" w:rsidRDefault="0087407F" w:rsidP="00975223">
            <w:pPr>
              <w:jc w:val="right"/>
              <w:rPr>
                <w:rFonts w:eastAsia="Times New Roman" w:cstheme="minorHAnsi"/>
                <w:color w:val="000000"/>
                <w:sz w:val="19"/>
                <w:szCs w:val="19"/>
                <w:lang w:eastAsia="cs-CZ"/>
              </w:rPr>
            </w:pPr>
            <w:r>
              <w:rPr>
                <w:rFonts w:eastAsia="Times New Roman" w:cstheme="minorHAnsi"/>
                <w:color w:val="000000"/>
                <w:sz w:val="19"/>
                <w:szCs w:val="19"/>
                <w:lang w:eastAsia="cs-CZ"/>
              </w:rPr>
              <w:t>11</w:t>
            </w:r>
            <w:r w:rsidR="00975223">
              <w:rPr>
                <w:rFonts w:eastAsia="Times New Roman" w:cstheme="minorHAnsi"/>
                <w:color w:val="000000"/>
                <w:sz w:val="19"/>
                <w:szCs w:val="19"/>
                <w:lang w:eastAsia="cs-CZ"/>
              </w:rPr>
              <w:t xml:space="preserve">. </w:t>
            </w:r>
            <w:r>
              <w:rPr>
                <w:rFonts w:eastAsia="Times New Roman" w:cstheme="minorHAnsi"/>
                <w:color w:val="000000"/>
                <w:sz w:val="19"/>
                <w:szCs w:val="19"/>
                <w:lang w:eastAsia="cs-CZ"/>
              </w:rPr>
              <w:t>8</w:t>
            </w:r>
            <w:r w:rsidR="00975223">
              <w:rPr>
                <w:rFonts w:eastAsia="Times New Roman" w:cstheme="minorHAnsi"/>
                <w:color w:val="000000"/>
                <w:sz w:val="19"/>
                <w:szCs w:val="19"/>
                <w:lang w:eastAsia="cs-CZ"/>
              </w:rPr>
              <w:t xml:space="preserve">. </w:t>
            </w:r>
            <w:r>
              <w:rPr>
                <w:rFonts w:eastAsia="Times New Roman" w:cstheme="minorHAnsi"/>
                <w:color w:val="000000"/>
                <w:sz w:val="19"/>
                <w:szCs w:val="19"/>
                <w:lang w:eastAsia="cs-CZ"/>
              </w:rPr>
              <w:t>2008</w:t>
            </w:r>
          </w:p>
        </w:tc>
      </w:tr>
    </w:tbl>
    <w:p w14:paraId="44465F65" w14:textId="77777777" w:rsidR="002D2FA2" w:rsidRPr="00DE4FA2" w:rsidRDefault="002D2FA2" w:rsidP="002D2FA2">
      <w:pPr>
        <w:jc w:val="both"/>
        <w:rPr>
          <w:sz w:val="20"/>
          <w:szCs w:val="20"/>
        </w:rPr>
      </w:pPr>
      <w:r>
        <w:rPr>
          <w:b/>
          <w:sz w:val="20"/>
          <w:szCs w:val="20"/>
        </w:rPr>
        <w:t>Vysvětlivky:</w:t>
      </w:r>
      <w:r>
        <w:rPr>
          <w:sz w:val="20"/>
          <w:szCs w:val="20"/>
        </w:rPr>
        <w:t xml:space="preserve"> KN = katastr nemovitostí</w:t>
      </w:r>
    </w:p>
    <w:p w14:paraId="3A562BBE" w14:textId="5AC68B4B" w:rsidR="00451514" w:rsidRPr="00C81881" w:rsidRDefault="002D2FA2" w:rsidP="002D2FA2">
      <w:pPr>
        <w:spacing w:after="160"/>
        <w:jc w:val="both"/>
      </w:pPr>
      <w:r w:rsidRPr="00530D49">
        <w:rPr>
          <w:b/>
          <w:sz w:val="20"/>
          <w:szCs w:val="20"/>
        </w:rPr>
        <w:t>Zdroj:</w:t>
      </w:r>
      <w:r w:rsidRPr="00530D49">
        <w:rPr>
          <w:sz w:val="20"/>
          <w:szCs w:val="20"/>
        </w:rPr>
        <w:t xml:space="preserve"> </w:t>
      </w:r>
      <w:r w:rsidRPr="002D52AB">
        <w:rPr>
          <w:sz w:val="20"/>
          <w:szCs w:val="20"/>
        </w:rPr>
        <w:t xml:space="preserve">Systém evidence památek Památkový katalog </w:t>
      </w:r>
      <w:hyperlink r:id="rId84" w:history="1">
        <w:r w:rsidRPr="009569CD">
          <w:rPr>
            <w:rStyle w:val="Hypertextovodkaz"/>
            <w:sz w:val="20"/>
            <w:szCs w:val="20"/>
          </w:rPr>
          <w:t>https://www.pamatkovykatalog.cz/</w:t>
        </w:r>
      </w:hyperlink>
      <w:r w:rsidR="00451514">
        <w:t xml:space="preserve"> </w:t>
      </w:r>
      <w:r w:rsidR="00451514" w:rsidRPr="00530D49">
        <w:t xml:space="preserve"> </w:t>
      </w:r>
    </w:p>
    <w:p w14:paraId="16D8F490" w14:textId="77777777" w:rsidR="00451514" w:rsidRDefault="00451514" w:rsidP="00451514">
      <w:pPr>
        <w:spacing w:after="160" w:line="259" w:lineRule="auto"/>
        <w:jc w:val="both"/>
      </w:pPr>
    </w:p>
    <w:p w14:paraId="015673DA" w14:textId="0D3873D5" w:rsidR="00B63C78" w:rsidRDefault="00B63C78" w:rsidP="00B63C78">
      <w:pPr>
        <w:spacing w:after="160" w:line="259" w:lineRule="auto"/>
        <w:jc w:val="both"/>
        <w:rPr>
          <w:rFonts w:eastAsia="RWXLTG+TimesNewRoman" w:cs="RWXLTG+TimesNewRoman"/>
        </w:rPr>
      </w:pPr>
      <w:r w:rsidRPr="00F928CC">
        <w:t>Z</w:t>
      </w:r>
      <w:r>
        <w:t xml:space="preserve"> </w:t>
      </w:r>
      <w:r w:rsidRPr="00F928CC">
        <w:t xml:space="preserve">tabulky </w:t>
      </w:r>
      <w:r w:rsidR="00975223">
        <w:t>19</w:t>
      </w:r>
      <w:r>
        <w:t xml:space="preserve"> </w:t>
      </w:r>
      <w:r w:rsidRPr="00F928CC">
        <w:t xml:space="preserve">vyplývá, že na území </w:t>
      </w:r>
      <w:r>
        <w:t xml:space="preserve">obce </w:t>
      </w:r>
      <w:r w:rsidR="003946E6">
        <w:t>Staré Buky</w:t>
      </w:r>
      <w:r w:rsidRPr="00F928CC">
        <w:t xml:space="preserve"> j</w:t>
      </w:r>
      <w:r w:rsidR="00975223">
        <w:t xml:space="preserve">sou </w:t>
      </w:r>
      <w:r w:rsidRPr="00F928CC">
        <w:t>k</w:t>
      </w:r>
      <w:r w:rsidR="003946E6">
        <w:t>e květnu 2022</w:t>
      </w:r>
      <w:r w:rsidRPr="00F928CC">
        <w:t xml:space="preserve"> evidován</w:t>
      </w:r>
      <w:r w:rsidR="00975223">
        <w:t>y</w:t>
      </w:r>
      <w:r w:rsidRPr="00F928CC">
        <w:t xml:space="preserve"> celkem </w:t>
      </w:r>
      <w:r w:rsidR="00975223">
        <w:t>2</w:t>
      </w:r>
      <w:r w:rsidRPr="00F928CC">
        <w:t xml:space="preserve"> nemovit</w:t>
      </w:r>
      <w:r w:rsidR="00975223">
        <w:t>é</w:t>
      </w:r>
      <w:r w:rsidRPr="00F928CC">
        <w:t xml:space="preserve"> kulturní památ</w:t>
      </w:r>
      <w:r w:rsidR="00975223">
        <w:t>ky</w:t>
      </w:r>
      <w:r w:rsidRPr="00F928CC">
        <w:t xml:space="preserve">. </w:t>
      </w:r>
      <w:r w:rsidR="00975223">
        <w:t>Jedná se o výše zmiňovan</w:t>
      </w:r>
      <w:r w:rsidR="003946E6">
        <w:t>ý</w:t>
      </w:r>
      <w:r w:rsidR="00975223">
        <w:t xml:space="preserve"> </w:t>
      </w:r>
      <w:r w:rsidR="00EC12A9">
        <w:t>K</w:t>
      </w:r>
      <w:r w:rsidR="003946E6" w:rsidRPr="003946E6">
        <w:t xml:space="preserve">ostel sv. Anny </w:t>
      </w:r>
      <w:r w:rsidR="003946E6">
        <w:t>a s</w:t>
      </w:r>
      <w:r w:rsidR="003946E6" w:rsidRPr="003946E6">
        <w:t>och</w:t>
      </w:r>
      <w:r w:rsidR="003946E6">
        <w:t>u</w:t>
      </w:r>
      <w:r w:rsidR="003946E6" w:rsidRPr="003946E6">
        <w:t xml:space="preserve"> sv. Jana Nepomuckého na podstavě</w:t>
      </w:r>
      <w:r w:rsidR="00975223">
        <w:t>.</w:t>
      </w:r>
    </w:p>
    <w:p w14:paraId="00A3C11F" w14:textId="6D77CD96" w:rsidR="00F50BA7" w:rsidRDefault="00EC12A9" w:rsidP="00F50BA7">
      <w:pPr>
        <w:spacing w:after="160" w:line="259" w:lineRule="auto"/>
        <w:jc w:val="both"/>
        <w:rPr>
          <w:rFonts w:eastAsia="RWXLTG+TimesNewRoman" w:cs="RWXLTG+TimesNewRoman"/>
        </w:rPr>
      </w:pPr>
      <w:r>
        <w:rPr>
          <w:rFonts w:eastAsia="RWXLTG+TimesNewRoman" w:cs="RWXLTG+TimesNewRoman"/>
        </w:rPr>
        <w:t xml:space="preserve">Na území obce se nachází </w:t>
      </w:r>
      <w:r>
        <w:rPr>
          <w:rFonts w:eastAsia="RWXLTG+TimesNewRoman" w:cs="RWXLTG+TimesNewRoman"/>
          <w:b/>
          <w:bCs/>
        </w:rPr>
        <w:t>jeden</w:t>
      </w:r>
      <w:r>
        <w:rPr>
          <w:rFonts w:eastAsia="RWXLTG+TimesNewRoman" w:cs="RWXLTG+TimesNewRoman"/>
        </w:rPr>
        <w:t xml:space="preserve"> </w:t>
      </w:r>
      <w:r w:rsidRPr="0062526B">
        <w:rPr>
          <w:rFonts w:eastAsia="RWXLTG+TimesNewRoman" w:cs="RWXLTG+TimesNewRoman"/>
          <w:b/>
          <w:bCs/>
        </w:rPr>
        <w:t>hřbito</w:t>
      </w:r>
      <w:r>
        <w:rPr>
          <w:rFonts w:eastAsia="RWXLTG+TimesNewRoman" w:cs="RWXLTG+TimesNewRoman"/>
          <w:b/>
          <w:bCs/>
        </w:rPr>
        <w:t>v</w:t>
      </w:r>
      <w:r>
        <w:rPr>
          <w:rFonts w:eastAsia="RWXLTG+TimesNewRoman" w:cs="RWXLTG+TimesNewRoman"/>
        </w:rPr>
        <w:t xml:space="preserve">, konkrétně v okolí Kostela </w:t>
      </w:r>
      <w:r w:rsidRPr="00994062">
        <w:rPr>
          <w:rFonts w:eastAsia="RWXLTG+TimesNewRoman" w:cs="RWXLTG+TimesNewRoman"/>
        </w:rPr>
        <w:t xml:space="preserve">sv. </w:t>
      </w:r>
      <w:r>
        <w:rPr>
          <w:rFonts w:eastAsia="RWXLTG+TimesNewRoman" w:cs="RWXLTG+TimesNewRoman"/>
        </w:rPr>
        <w:t>Anny.</w:t>
      </w:r>
    </w:p>
    <w:p w14:paraId="64969F64" w14:textId="77777777" w:rsidR="00471252" w:rsidRDefault="00471252" w:rsidP="00827CB8">
      <w:pPr>
        <w:spacing w:after="160" w:line="259" w:lineRule="auto"/>
        <w:jc w:val="both"/>
        <w:rPr>
          <w:rFonts w:eastAsia="RWXLTG+TimesNewRoman" w:cs="RWXLTG+TimesNewRoman"/>
        </w:rPr>
      </w:pPr>
    </w:p>
    <w:p w14:paraId="05699350" w14:textId="77777777" w:rsidR="00451514" w:rsidRDefault="00451514" w:rsidP="00451514">
      <w:pPr>
        <w:pStyle w:val="Nadpis4"/>
      </w:pPr>
      <w:bookmarkStart w:id="314" w:name="_Toc413418377"/>
      <w:bookmarkStart w:id="315" w:name="_Toc440566356"/>
      <w:bookmarkStart w:id="316" w:name="_Toc441227507"/>
      <w:bookmarkStart w:id="317" w:name="_Toc32580128"/>
      <w:bookmarkStart w:id="318" w:name="_Toc120652153"/>
      <w:r>
        <w:t>2.1.5.6 Sport a tělovýchova</w:t>
      </w:r>
      <w:bookmarkEnd w:id="314"/>
      <w:bookmarkEnd w:id="315"/>
      <w:bookmarkEnd w:id="316"/>
      <w:bookmarkEnd w:id="317"/>
      <w:bookmarkEnd w:id="318"/>
    </w:p>
    <w:p w14:paraId="1FDDC9ED" w14:textId="1130DF49" w:rsidR="00BA1D54" w:rsidRDefault="00BA1D54" w:rsidP="00B44EF3">
      <w:pPr>
        <w:spacing w:after="160" w:line="259" w:lineRule="auto"/>
        <w:jc w:val="both"/>
        <w:rPr>
          <w:rFonts w:eastAsia="RWXLTG+TimesNewRoman" w:cs="RWXLTG+TimesNewRoman"/>
        </w:rPr>
      </w:pPr>
      <w:r w:rsidRPr="00AA6098">
        <w:rPr>
          <w:rFonts w:eastAsia="RWXLTG+TimesNewRoman" w:cs="RWXLTG+TimesNewRoman"/>
        </w:rPr>
        <w:t xml:space="preserve">V obci působí </w:t>
      </w:r>
      <w:r w:rsidR="001F4DD3" w:rsidRPr="001F4DD3">
        <w:rPr>
          <w:rFonts w:eastAsia="RWXLTG+TimesNewRoman" w:cs="RWXLTG+TimesNewRoman"/>
        </w:rPr>
        <w:t>Tělovýchovná jednota Sokol Staré Buky, z.s.</w:t>
      </w:r>
      <w:r>
        <w:rPr>
          <w:rFonts w:eastAsia="RWXLTG+TimesNewRoman" w:cs="RWXLTG+TimesNewRoman"/>
        </w:rPr>
        <w:t>, kter</w:t>
      </w:r>
      <w:r w:rsidR="001F4DD3">
        <w:rPr>
          <w:rFonts w:eastAsia="RWXLTG+TimesNewRoman" w:cs="RWXLTG+TimesNewRoman"/>
        </w:rPr>
        <w:t>á</w:t>
      </w:r>
      <w:r>
        <w:rPr>
          <w:rFonts w:eastAsia="RWXLTG+TimesNewRoman" w:cs="RWXLTG+TimesNewRoman"/>
        </w:rPr>
        <w:t xml:space="preserve"> se zabýv</w:t>
      </w:r>
      <w:r w:rsidR="001F4DD3">
        <w:rPr>
          <w:rFonts w:eastAsia="RWXLTG+TimesNewRoman" w:cs="RWXLTG+TimesNewRoman"/>
        </w:rPr>
        <w:t>á</w:t>
      </w:r>
      <w:r>
        <w:rPr>
          <w:rFonts w:eastAsia="RWXLTG+TimesNewRoman" w:cs="RWXLTG+TimesNewRoman"/>
        </w:rPr>
        <w:t xml:space="preserve"> sportovní činnost</w:t>
      </w:r>
      <w:r w:rsidR="001F4DD3">
        <w:rPr>
          <w:rFonts w:eastAsia="RWXLTG+TimesNewRoman" w:cs="RWXLTG+TimesNewRoman"/>
        </w:rPr>
        <w:t xml:space="preserve">í </w:t>
      </w:r>
      <w:r>
        <w:rPr>
          <w:rFonts w:eastAsia="RWXLTG+TimesNewRoman" w:cs="RWXLTG+TimesNewRoman"/>
        </w:rPr>
        <w:t>(blíže viz kap. 2.1.2.3 Život v obci).</w:t>
      </w:r>
    </w:p>
    <w:p w14:paraId="47E70F68" w14:textId="008B07EC" w:rsidR="00B44EF3" w:rsidRDefault="00B44EF3" w:rsidP="00B44EF3">
      <w:pPr>
        <w:spacing w:after="160" w:line="259" w:lineRule="auto"/>
        <w:jc w:val="both"/>
        <w:rPr>
          <w:rFonts w:eastAsia="RWXLTG+TimesNewRoman" w:cs="RWXLTG+TimesNewRoman"/>
        </w:rPr>
      </w:pPr>
      <w:r w:rsidRPr="0038270F">
        <w:rPr>
          <w:rFonts w:eastAsia="RWXLTG+TimesNewRoman" w:cs="RWXLTG+TimesNewRoman"/>
        </w:rPr>
        <w:t xml:space="preserve">Obec </w:t>
      </w:r>
      <w:r w:rsidR="001A234E">
        <w:rPr>
          <w:rFonts w:eastAsia="RWXLTG+TimesNewRoman" w:cs="RWXLTG+TimesNewRoman"/>
        </w:rPr>
        <w:t>Staré buky</w:t>
      </w:r>
      <w:r w:rsidRPr="0038270F">
        <w:rPr>
          <w:rFonts w:eastAsia="RWXLTG+TimesNewRoman" w:cs="RWXLTG+TimesNewRoman"/>
        </w:rPr>
        <w:t xml:space="preserve"> disponuje</w:t>
      </w:r>
      <w:r w:rsidR="002033DA">
        <w:rPr>
          <w:rFonts w:eastAsia="RWXLTG+TimesNewRoman" w:cs="RWXLTG+TimesNewRoman"/>
        </w:rPr>
        <w:t xml:space="preserve"> určitými </w:t>
      </w:r>
      <w:r w:rsidRPr="0038270F">
        <w:rPr>
          <w:rFonts w:eastAsia="RWXLTG+TimesNewRoman" w:cs="RWXLTG+TimesNewRoman"/>
        </w:rPr>
        <w:t>sportovní</w:t>
      </w:r>
      <w:r w:rsidR="002033DA">
        <w:rPr>
          <w:rFonts w:eastAsia="RWXLTG+TimesNewRoman" w:cs="RWXLTG+TimesNewRoman"/>
        </w:rPr>
        <w:t>mi</w:t>
      </w:r>
      <w:r w:rsidRPr="0038270F">
        <w:rPr>
          <w:rFonts w:eastAsia="RWXLTG+TimesNewRoman" w:cs="RWXLTG+TimesNewRoman"/>
        </w:rPr>
        <w:t xml:space="preserve"> zařízení</w:t>
      </w:r>
      <w:r w:rsidR="002033DA">
        <w:rPr>
          <w:rFonts w:eastAsia="RWXLTG+TimesNewRoman" w:cs="RWXLTG+TimesNewRoman"/>
        </w:rPr>
        <w:t>mi</w:t>
      </w:r>
      <w:r w:rsidRPr="0038270F">
        <w:rPr>
          <w:rFonts w:eastAsia="RWXLTG+TimesNewRoman" w:cs="RWXLTG+TimesNewRoman"/>
        </w:rPr>
        <w:t xml:space="preserve">. </w:t>
      </w:r>
    </w:p>
    <w:p w14:paraId="4F48C9D7" w14:textId="3D2025DF" w:rsidR="003F2F3D" w:rsidRDefault="003F2F3D" w:rsidP="00B44EF3">
      <w:pPr>
        <w:spacing w:after="160" w:line="259" w:lineRule="auto"/>
        <w:jc w:val="both"/>
        <w:rPr>
          <w:rFonts w:eastAsia="RWXLTG+TimesNewRoman" w:cs="RWXLTG+TimesNewRoman"/>
        </w:rPr>
      </w:pPr>
      <w:r>
        <w:rPr>
          <w:rFonts w:eastAsia="RWXLTG+TimesNewRoman" w:cs="RWXLTG+TimesNewRoman"/>
        </w:rPr>
        <w:t xml:space="preserve">Na parcele KN </w:t>
      </w:r>
      <w:r w:rsidR="001A234E">
        <w:rPr>
          <w:rFonts w:eastAsia="RWXLTG+TimesNewRoman" w:cs="RWXLTG+TimesNewRoman"/>
        </w:rPr>
        <w:t>2144 (k. ú. Prostřední Staré Buky)</w:t>
      </w:r>
      <w:r>
        <w:rPr>
          <w:rFonts w:eastAsia="RWXLTG+TimesNewRoman" w:cs="RWXLTG+TimesNewRoman"/>
        </w:rPr>
        <w:t xml:space="preserve"> se nacház</w:t>
      </w:r>
      <w:r w:rsidR="001A234E">
        <w:rPr>
          <w:rFonts w:eastAsia="RWXLTG+TimesNewRoman" w:cs="RWXLTG+TimesNewRoman"/>
        </w:rPr>
        <w:t xml:space="preserve">í </w:t>
      </w:r>
      <w:r w:rsidR="001A234E">
        <w:rPr>
          <w:b/>
        </w:rPr>
        <w:t>hřiště se štěrkovým povrchem</w:t>
      </w:r>
      <w:r w:rsidR="009634CB">
        <w:rPr>
          <w:bCs/>
        </w:rPr>
        <w:t xml:space="preserve"> (obrázek </w:t>
      </w:r>
      <w:r w:rsidR="00BF57D8">
        <w:rPr>
          <w:bCs/>
        </w:rPr>
        <w:t>9</w:t>
      </w:r>
      <w:r w:rsidR="009634CB">
        <w:rPr>
          <w:bCs/>
        </w:rPr>
        <w:t>)</w:t>
      </w:r>
      <w:r w:rsidR="001A234E">
        <w:rPr>
          <w:bCs/>
        </w:rPr>
        <w:t>, které je ovšem na řadě míst zarostlé trávou</w:t>
      </w:r>
      <w:r w:rsidR="00E9322D">
        <w:rPr>
          <w:bCs/>
        </w:rPr>
        <w:t>.</w:t>
      </w:r>
      <w:r>
        <w:rPr>
          <w:rFonts w:eastAsia="RWXLTG+TimesNewRoman" w:cs="RWXLTG+TimesNewRoman"/>
        </w:rPr>
        <w:t xml:space="preserve"> </w:t>
      </w:r>
      <w:r w:rsidR="008327CC">
        <w:rPr>
          <w:rFonts w:eastAsia="RWXLTG+TimesNewRoman" w:cs="RWXLTG+TimesNewRoman"/>
        </w:rPr>
        <w:t xml:space="preserve">Hřiště je ve vlastnictví obce Staré </w:t>
      </w:r>
      <w:r w:rsidR="00B055B0">
        <w:rPr>
          <w:rFonts w:eastAsia="RWXLTG+TimesNewRoman" w:cs="RWXLTG+TimesNewRoman"/>
        </w:rPr>
        <w:t>B</w:t>
      </w:r>
      <w:r w:rsidR="008327CC">
        <w:rPr>
          <w:rFonts w:eastAsia="RWXLTG+TimesNewRoman" w:cs="RWXLTG+TimesNewRoman"/>
        </w:rPr>
        <w:t xml:space="preserve">uky. </w:t>
      </w:r>
      <w:r w:rsidR="00E9322D" w:rsidRPr="00E9322D">
        <w:rPr>
          <w:rFonts w:eastAsia="RWXLTG+TimesNewRoman" w:cs="RWXLTG+TimesNewRoman"/>
        </w:rPr>
        <w:t xml:space="preserve">Hřiště by si bezpochyby </w:t>
      </w:r>
      <w:r w:rsidR="00E9322D">
        <w:rPr>
          <w:rFonts w:eastAsia="RWXLTG+TimesNewRoman" w:cs="RWXLTG+TimesNewRoman"/>
        </w:rPr>
        <w:t>zasloužilo větší údržbu.</w:t>
      </w:r>
    </w:p>
    <w:p w14:paraId="2B4F3B11" w14:textId="2EA7D21A" w:rsidR="009634CB" w:rsidRDefault="009634CB" w:rsidP="009634CB">
      <w:pPr>
        <w:pStyle w:val="OBRZEK0"/>
      </w:pPr>
      <w:bookmarkStart w:id="319" w:name="_Toc104473130"/>
      <w:bookmarkStart w:id="320" w:name="_Toc120652028"/>
      <w:r>
        <w:lastRenderedPageBreak/>
        <w:t xml:space="preserve">Obrázek </w:t>
      </w:r>
      <w:r w:rsidR="00BF57D8">
        <w:t>9</w:t>
      </w:r>
      <w:r>
        <w:t>: Obecní hřiště se štěrkovým povrchem</w:t>
      </w:r>
      <w:r w:rsidRPr="003D2736">
        <w:t xml:space="preserve"> </w:t>
      </w:r>
      <w:r>
        <w:t>– stav ke květnu 2022</w:t>
      </w:r>
      <w:bookmarkEnd w:id="319"/>
      <w:bookmarkEnd w:id="320"/>
    </w:p>
    <w:p w14:paraId="1999D28B" w14:textId="1A22F4B1" w:rsidR="009634CB" w:rsidRDefault="001C07E0" w:rsidP="009634CB">
      <w:pPr>
        <w:spacing w:line="259" w:lineRule="auto"/>
        <w:jc w:val="center"/>
        <w:rPr>
          <w:rFonts w:eastAsia="RWXLTG+TimesNewRoman" w:cs="RWXLTG+TimesNewRoman"/>
          <w:bCs/>
        </w:rPr>
      </w:pPr>
      <w:r>
        <w:rPr>
          <w:rFonts w:eastAsia="RWXLTG+TimesNewRoman" w:cs="RWXLTG+TimesNewRoman"/>
          <w:bCs/>
          <w:noProof/>
        </w:rPr>
        <w:drawing>
          <wp:inline distT="0" distB="0" distL="0" distR="0" wp14:anchorId="4A11F8C0" wp14:editId="35C199C9">
            <wp:extent cx="4366260" cy="2491637"/>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80469" cy="2499746"/>
                    </a:xfrm>
                    <a:prstGeom prst="rect">
                      <a:avLst/>
                    </a:prstGeom>
                  </pic:spPr>
                </pic:pic>
              </a:graphicData>
            </a:graphic>
          </wp:inline>
        </w:drawing>
      </w:r>
    </w:p>
    <w:p w14:paraId="0FE3A575" w14:textId="3D2EF065" w:rsidR="009634CB" w:rsidRPr="00E9322D" w:rsidRDefault="009634CB" w:rsidP="009634CB">
      <w:pPr>
        <w:spacing w:after="160" w:line="259" w:lineRule="auto"/>
        <w:jc w:val="both"/>
        <w:rPr>
          <w:rFonts w:eastAsia="RWXLTG+TimesNewRoman" w:cs="RWXLTG+TimesNewRoman"/>
        </w:rPr>
      </w:pPr>
      <w:r w:rsidRPr="004D2394">
        <w:rPr>
          <w:rFonts w:eastAsia="RWXLTG+TimesNewRoman" w:cs="RWXLTG+TimesNewRoman"/>
          <w:b/>
          <w:sz w:val="20"/>
          <w:szCs w:val="20"/>
        </w:rPr>
        <w:t>Zdroj:</w:t>
      </w:r>
      <w:r w:rsidRPr="004D2394">
        <w:rPr>
          <w:rFonts w:eastAsia="RWXLTG+TimesNewRoman" w:cs="RWXLTG+TimesNewRoman"/>
          <w:bCs/>
          <w:sz w:val="20"/>
          <w:szCs w:val="20"/>
        </w:rPr>
        <w:t xml:space="preserve"> vlastní průzkum</w:t>
      </w:r>
    </w:p>
    <w:p w14:paraId="00BE79CD" w14:textId="77777777" w:rsidR="009634CB" w:rsidRDefault="009634CB" w:rsidP="00B44EF3">
      <w:pPr>
        <w:spacing w:after="160" w:line="259" w:lineRule="auto"/>
        <w:jc w:val="both"/>
        <w:rPr>
          <w:rFonts w:eastAsia="RWXLTG+TimesNewRoman" w:cs="RWXLTG+TimesNewRoman"/>
        </w:rPr>
      </w:pPr>
    </w:p>
    <w:p w14:paraId="764C987D" w14:textId="28C9B7B4" w:rsidR="005C1CF0" w:rsidRDefault="008327CC" w:rsidP="00B44EF3">
      <w:pPr>
        <w:spacing w:after="160" w:line="259" w:lineRule="auto"/>
        <w:jc w:val="both"/>
        <w:rPr>
          <w:rFonts w:eastAsia="RWXLTG+TimesNewRoman" w:cs="RWXLTG+TimesNewRoman"/>
        </w:rPr>
      </w:pPr>
      <w:r>
        <w:rPr>
          <w:rFonts w:eastAsia="RWXLTG+TimesNewRoman" w:cs="RWXLTG+TimesNewRoman"/>
        </w:rPr>
        <w:t xml:space="preserve">Na parcele KN 2052 (k. ú. Prostřední Staré Buky) se nachází </w:t>
      </w:r>
      <w:r w:rsidRPr="00972C9B">
        <w:rPr>
          <w:rFonts w:eastAsia="RWXLTG+TimesNewRoman" w:cs="RWXLTG+TimesNewRoman"/>
          <w:b/>
          <w:bCs/>
        </w:rPr>
        <w:t>fotbalové hřiště</w:t>
      </w:r>
      <w:r>
        <w:rPr>
          <w:rFonts w:eastAsia="RWXLTG+TimesNewRoman" w:cs="RWXLTG+TimesNewRoman"/>
        </w:rPr>
        <w:t xml:space="preserve">, které je ve vlastnictví </w:t>
      </w:r>
      <w:r w:rsidRPr="008327CC">
        <w:rPr>
          <w:rFonts w:eastAsia="RWXLTG+TimesNewRoman" w:cs="RWXLTG+TimesNewRoman"/>
        </w:rPr>
        <w:t>Tělovýchovn</w:t>
      </w:r>
      <w:r>
        <w:rPr>
          <w:rFonts w:eastAsia="RWXLTG+TimesNewRoman" w:cs="RWXLTG+TimesNewRoman"/>
        </w:rPr>
        <w:t>é</w:t>
      </w:r>
      <w:r w:rsidRPr="008327CC">
        <w:rPr>
          <w:rFonts w:eastAsia="RWXLTG+TimesNewRoman" w:cs="RWXLTG+TimesNewRoman"/>
        </w:rPr>
        <w:t xml:space="preserve"> jednot</w:t>
      </w:r>
      <w:r>
        <w:rPr>
          <w:rFonts w:eastAsia="RWXLTG+TimesNewRoman" w:cs="RWXLTG+TimesNewRoman"/>
        </w:rPr>
        <w:t>y</w:t>
      </w:r>
      <w:r w:rsidRPr="008327CC">
        <w:rPr>
          <w:rFonts w:eastAsia="RWXLTG+TimesNewRoman" w:cs="RWXLTG+TimesNewRoman"/>
        </w:rPr>
        <w:t xml:space="preserve"> Sokol Staré Buky, z.s.</w:t>
      </w:r>
      <w:r>
        <w:rPr>
          <w:rFonts w:eastAsia="RWXLTG+TimesNewRoman" w:cs="RWXLTG+TimesNewRoman"/>
        </w:rPr>
        <w:t xml:space="preserve"> Hřiště je ve velmi dobrém stavu, udržované a </w:t>
      </w:r>
      <w:r w:rsidR="00972C9B">
        <w:rPr>
          <w:rFonts w:eastAsia="RWXLTG+TimesNewRoman" w:cs="RWXLTG+TimesNewRoman"/>
        </w:rPr>
        <w:t>využíváno pro potřeby místních fotbalistů.</w:t>
      </w:r>
      <w:r w:rsidR="00E36DC5">
        <w:rPr>
          <w:rFonts w:eastAsia="RWXLTG+TimesNewRoman" w:cs="RWXLTG+TimesNewRoman"/>
        </w:rPr>
        <w:t xml:space="preserve"> Hřiště není přístupné široké veřejnosti.</w:t>
      </w:r>
    </w:p>
    <w:p w14:paraId="580213A1" w14:textId="4B4B2728" w:rsidR="002127A5" w:rsidRDefault="002127A5" w:rsidP="00B44EF3">
      <w:pPr>
        <w:spacing w:after="160" w:line="259" w:lineRule="auto"/>
        <w:jc w:val="both"/>
        <w:rPr>
          <w:rFonts w:eastAsia="RWXLTG+TimesNewRoman" w:cs="RWXLTG+TimesNewRoman"/>
        </w:rPr>
      </w:pPr>
      <w:r>
        <w:rPr>
          <w:rFonts w:eastAsia="RWXLTG+TimesNewRoman" w:cs="RWXLTG+TimesNewRoman"/>
        </w:rPr>
        <w:t xml:space="preserve">Na parcele KN 79 (k. ú. Prostřední Staré Buky) </w:t>
      </w:r>
      <w:r w:rsidR="00387A54">
        <w:rPr>
          <w:rFonts w:eastAsia="RWXLTG+TimesNewRoman" w:cs="RWXLTG+TimesNewRoman"/>
        </w:rPr>
        <w:t>poblíž autobusové zastávky „</w:t>
      </w:r>
      <w:r w:rsidR="00387A54" w:rsidRPr="00387A54">
        <w:rPr>
          <w:rFonts w:eastAsia="RWXLTG+TimesNewRoman" w:cs="RWXLTG+TimesNewRoman"/>
        </w:rPr>
        <w:t>Staré Buky, Prostř</w:t>
      </w:r>
      <w:r w:rsidR="00387A54">
        <w:rPr>
          <w:rFonts w:eastAsia="RWXLTG+TimesNewRoman" w:cs="RWXLTG+TimesNewRoman"/>
        </w:rPr>
        <w:t xml:space="preserve">ední </w:t>
      </w:r>
      <w:r w:rsidR="00387A54" w:rsidRPr="00387A54">
        <w:rPr>
          <w:rFonts w:eastAsia="RWXLTG+TimesNewRoman" w:cs="RWXLTG+TimesNewRoman"/>
        </w:rPr>
        <w:t>Staré Buky</w:t>
      </w:r>
      <w:r w:rsidR="00387A54">
        <w:rPr>
          <w:rFonts w:eastAsia="RWXLTG+TimesNewRoman" w:cs="RWXLTG+TimesNewRoman"/>
        </w:rPr>
        <w:t>“</w:t>
      </w:r>
      <w:r>
        <w:rPr>
          <w:rFonts w:eastAsia="RWXLTG+TimesNewRoman" w:cs="RWXLTG+TimesNewRoman"/>
        </w:rPr>
        <w:t xml:space="preserve"> je lokalizováno </w:t>
      </w:r>
      <w:r w:rsidRPr="00162F9B">
        <w:rPr>
          <w:rFonts w:eastAsia="RWXLTG+TimesNewRoman" w:cs="RWXLTG+TimesNewRoman"/>
          <w:b/>
          <w:bCs/>
        </w:rPr>
        <w:t>dětské hřiště</w:t>
      </w:r>
      <w:r w:rsidR="00256EE0" w:rsidRPr="00256EE0">
        <w:rPr>
          <w:rFonts w:eastAsia="RWXLTG+TimesNewRoman" w:cs="RWXLTG+TimesNewRoman"/>
          <w:b/>
          <w:bCs/>
        </w:rPr>
        <w:t xml:space="preserve"> </w:t>
      </w:r>
      <w:r w:rsidR="00256EE0" w:rsidRPr="00CA11FE">
        <w:rPr>
          <w:rFonts w:eastAsia="RWXLTG+TimesNewRoman" w:cs="RWXLTG+TimesNewRoman"/>
          <w:b/>
          <w:bCs/>
        </w:rPr>
        <w:t>s několika herními prvky</w:t>
      </w:r>
      <w:r w:rsidR="00162F9B">
        <w:rPr>
          <w:rFonts w:eastAsia="RWXLTG+TimesNewRoman" w:cs="RWXLTG+TimesNewRoman"/>
        </w:rPr>
        <w:t>.</w:t>
      </w:r>
      <w:r w:rsidR="00B055B0" w:rsidRPr="00B055B0">
        <w:rPr>
          <w:rFonts w:eastAsia="RWXLTG+TimesNewRoman" w:cs="RWXLTG+TimesNewRoman"/>
        </w:rPr>
        <w:t xml:space="preserve"> </w:t>
      </w:r>
      <w:r w:rsidR="00B055B0">
        <w:rPr>
          <w:rFonts w:eastAsia="RWXLTG+TimesNewRoman" w:cs="RWXLTG+TimesNewRoman"/>
        </w:rPr>
        <w:t>Hřiště je ve vlastnictví obce Staré Buky.</w:t>
      </w:r>
    </w:p>
    <w:p w14:paraId="1D2A167B" w14:textId="25432C7C" w:rsidR="00256EE0" w:rsidRDefault="002A61E8" w:rsidP="00B44EF3">
      <w:pPr>
        <w:spacing w:after="160" w:line="259" w:lineRule="auto"/>
        <w:jc w:val="both"/>
        <w:rPr>
          <w:rFonts w:eastAsia="RWXLTG+TimesNewRoman" w:cs="RWXLTG+TimesNewRoman"/>
        </w:rPr>
      </w:pPr>
      <w:r>
        <w:rPr>
          <w:rFonts w:eastAsia="RWXLTG+TimesNewRoman" w:cs="RWXLTG+TimesNewRoman"/>
        </w:rPr>
        <w:t>Na území obce</w:t>
      </w:r>
      <w:r w:rsidR="00A26B5F">
        <w:rPr>
          <w:rFonts w:eastAsia="RWXLTG+TimesNewRoman" w:cs="RWXLTG+TimesNewRoman"/>
        </w:rPr>
        <w:t>, konkrétně na parcele KN 1003 (k. ú. Dolní Staré Buky)</w:t>
      </w:r>
      <w:r>
        <w:rPr>
          <w:rFonts w:eastAsia="RWXLTG+TimesNewRoman" w:cs="RWXLTG+TimesNewRoman"/>
        </w:rPr>
        <w:t xml:space="preserve"> se nachází </w:t>
      </w:r>
      <w:r w:rsidR="00A26B5F">
        <w:rPr>
          <w:rFonts w:eastAsia="RWXLTG+TimesNewRoman" w:cs="RWXLTG+TimesNewRoman"/>
        </w:rPr>
        <w:t xml:space="preserve">i </w:t>
      </w:r>
      <w:r w:rsidR="00A26B5F" w:rsidRPr="00780B17">
        <w:rPr>
          <w:rFonts w:eastAsia="RWXLTG+TimesNewRoman" w:cs="RWXLTG+TimesNewRoman"/>
          <w:b/>
          <w:bCs/>
        </w:rPr>
        <w:t>dva tenisové kurty</w:t>
      </w:r>
      <w:r w:rsidR="00A26B5F">
        <w:rPr>
          <w:rFonts w:eastAsia="RWXLTG+TimesNewRoman" w:cs="RWXLTG+TimesNewRoman"/>
        </w:rPr>
        <w:t xml:space="preserve"> a </w:t>
      </w:r>
      <w:r w:rsidR="00A26B5F" w:rsidRPr="00780B17">
        <w:rPr>
          <w:rFonts w:eastAsia="RWXLTG+TimesNewRoman" w:cs="RWXLTG+TimesNewRoman"/>
          <w:b/>
          <w:bCs/>
        </w:rPr>
        <w:t>jeden volejbalový/nohejbalový kurt</w:t>
      </w:r>
      <w:r w:rsidR="00A26B5F">
        <w:rPr>
          <w:rFonts w:eastAsia="RWXLTG+TimesNewRoman" w:cs="RWXLTG+TimesNewRoman"/>
        </w:rPr>
        <w:t>.</w:t>
      </w:r>
      <w:r w:rsidR="00780B17">
        <w:rPr>
          <w:rFonts w:eastAsia="RWXLTG+TimesNewRoman" w:cs="RWXLTG+TimesNewRoman"/>
        </w:rPr>
        <w:t xml:space="preserve"> Jihovýchodně od těchto kurtů se na sousední parcele KN 1006 (k. ú. Dolní Staré Buky) nachází </w:t>
      </w:r>
      <w:r w:rsidR="00780B17" w:rsidRPr="00780B17">
        <w:rPr>
          <w:rFonts w:eastAsia="RWXLTG+TimesNewRoman" w:cs="RWXLTG+TimesNewRoman"/>
          <w:b/>
          <w:bCs/>
        </w:rPr>
        <w:t>minigolf</w:t>
      </w:r>
      <w:r w:rsidR="00780B17">
        <w:rPr>
          <w:rFonts w:eastAsia="RWXLTG+TimesNewRoman" w:cs="RWXLTG+TimesNewRoman"/>
        </w:rPr>
        <w:t xml:space="preserve">. </w:t>
      </w:r>
      <w:r w:rsidR="00EB4AD8">
        <w:rPr>
          <w:rFonts w:eastAsia="RWXLTG+TimesNewRoman" w:cs="RWXLTG+TimesNewRoman"/>
        </w:rPr>
        <w:t>Jedná se o vybavenost související s areálem kempu Dolce. Uvedené parcely jsou ve vlastnictví města Trutnova.</w:t>
      </w:r>
    </w:p>
    <w:p w14:paraId="54B9B7C3" w14:textId="73CB9638" w:rsidR="008F63E7" w:rsidRDefault="008F63E7" w:rsidP="00B44EF3">
      <w:pPr>
        <w:spacing w:after="160" w:line="259" w:lineRule="auto"/>
        <w:jc w:val="both"/>
        <w:rPr>
          <w:rFonts w:eastAsia="RWXLTG+TimesNewRoman" w:cs="RWXLTG+TimesNewRoman"/>
        </w:rPr>
      </w:pPr>
    </w:p>
    <w:p w14:paraId="2265F361" w14:textId="5B4DBE32" w:rsidR="001B02DE" w:rsidRDefault="00B44EF3" w:rsidP="00B44EF3">
      <w:pPr>
        <w:spacing w:after="160" w:line="259" w:lineRule="auto"/>
        <w:jc w:val="both"/>
      </w:pPr>
      <w:bookmarkStart w:id="321" w:name="_Hlk77088497"/>
      <w:r>
        <w:t xml:space="preserve">Přes území obce prochází </w:t>
      </w:r>
      <w:r w:rsidR="002B71E9" w:rsidRPr="00657DBD">
        <w:rPr>
          <w:b/>
          <w:bCs/>
        </w:rPr>
        <w:t>tři</w:t>
      </w:r>
      <w:r w:rsidR="00CD56E8" w:rsidRPr="00657DBD">
        <w:rPr>
          <w:b/>
          <w:bCs/>
        </w:rPr>
        <w:t xml:space="preserve"> značen</w:t>
      </w:r>
      <w:r w:rsidR="002B71E9" w:rsidRPr="00657DBD">
        <w:rPr>
          <w:b/>
          <w:bCs/>
        </w:rPr>
        <w:t>é</w:t>
      </w:r>
      <w:r w:rsidR="00CD56E8">
        <w:t xml:space="preserve"> </w:t>
      </w:r>
      <w:r w:rsidR="00CD56E8" w:rsidRPr="0068524A">
        <w:rPr>
          <w:b/>
          <w:bCs/>
        </w:rPr>
        <w:t>cyklotras</w:t>
      </w:r>
      <w:r w:rsidR="002B71E9">
        <w:rPr>
          <w:b/>
          <w:bCs/>
        </w:rPr>
        <w:t>y –</w:t>
      </w:r>
      <w:r w:rsidR="00CD56E8" w:rsidRPr="0068524A">
        <w:rPr>
          <w:b/>
          <w:bCs/>
        </w:rPr>
        <w:t xml:space="preserve"> č. </w:t>
      </w:r>
      <w:r w:rsidR="002B71E9">
        <w:rPr>
          <w:b/>
          <w:bCs/>
        </w:rPr>
        <w:t xml:space="preserve">4138, č. 4211, č. 4323. </w:t>
      </w:r>
      <w:r>
        <w:t>Bližší informace k </w:t>
      </w:r>
      <w:r w:rsidR="00657DBD">
        <w:t>nim</w:t>
      </w:r>
      <w:r>
        <w:t xml:space="preserve"> jsou uvedeny v kap. 2.1.4.1 Dopravní infrastruktura – cykloturistická síť. </w:t>
      </w:r>
      <w:bookmarkStart w:id="322" w:name="_Hlk77088911"/>
    </w:p>
    <w:p w14:paraId="4FF186C2" w14:textId="48FB6AC9" w:rsidR="00B44EF3" w:rsidRDefault="003F3C21" w:rsidP="00B44EF3">
      <w:pPr>
        <w:spacing w:after="160" w:line="259" w:lineRule="auto"/>
        <w:jc w:val="both"/>
      </w:pPr>
      <w:r>
        <w:t xml:space="preserve">Dále přes území obce prochází </w:t>
      </w:r>
      <w:r w:rsidR="00AF0867">
        <w:rPr>
          <w:b/>
          <w:bCs/>
        </w:rPr>
        <w:t>jedna</w:t>
      </w:r>
      <w:r w:rsidRPr="003F3C21">
        <w:rPr>
          <w:b/>
          <w:bCs/>
        </w:rPr>
        <w:t xml:space="preserve"> značen</w:t>
      </w:r>
      <w:r w:rsidR="00AF0867">
        <w:rPr>
          <w:b/>
          <w:bCs/>
        </w:rPr>
        <w:t>á</w:t>
      </w:r>
      <w:r w:rsidRPr="003F3C21">
        <w:rPr>
          <w:b/>
          <w:bCs/>
        </w:rPr>
        <w:t xml:space="preserve"> turistick</w:t>
      </w:r>
      <w:r w:rsidR="00AF0867">
        <w:rPr>
          <w:b/>
          <w:bCs/>
        </w:rPr>
        <w:t>á</w:t>
      </w:r>
      <w:r w:rsidRPr="003F3C21">
        <w:rPr>
          <w:b/>
          <w:bCs/>
        </w:rPr>
        <w:t xml:space="preserve"> tras</w:t>
      </w:r>
      <w:r w:rsidR="00AF0867">
        <w:rPr>
          <w:b/>
          <w:bCs/>
        </w:rPr>
        <w:t>a</w:t>
      </w:r>
      <w:r>
        <w:t xml:space="preserve"> – modře značená č. </w:t>
      </w:r>
      <w:r w:rsidRPr="00DB3674">
        <w:rPr>
          <w:b/>
          <w:bCs/>
        </w:rPr>
        <w:t>18</w:t>
      </w:r>
      <w:r w:rsidR="00AF0867">
        <w:rPr>
          <w:b/>
          <w:bCs/>
        </w:rPr>
        <w:t>20</w:t>
      </w:r>
      <w:r w:rsidR="000E63C3" w:rsidRPr="000C1C18">
        <w:rPr>
          <w:rStyle w:val="Znakapoznpodarou"/>
        </w:rPr>
        <w:footnoteReference w:id="35"/>
      </w:r>
      <w:r w:rsidRPr="000C1C18">
        <w:t>.</w:t>
      </w:r>
      <w:bookmarkEnd w:id="322"/>
    </w:p>
    <w:bookmarkEnd w:id="321"/>
    <w:p w14:paraId="7FCBAB78" w14:textId="00471AFD" w:rsidR="00B44EF3" w:rsidRDefault="002C447C" w:rsidP="00B44EF3">
      <w:pPr>
        <w:spacing w:after="160" w:line="259" w:lineRule="auto"/>
        <w:jc w:val="both"/>
      </w:pPr>
      <w:r>
        <w:t xml:space="preserve">Přes území obce prochází i </w:t>
      </w:r>
      <w:r w:rsidRPr="00651210">
        <w:rPr>
          <w:b/>
          <w:bCs/>
        </w:rPr>
        <w:t>naučná stezka Po stopách války 1866 na Trutnovsku</w:t>
      </w:r>
      <w:r>
        <w:t xml:space="preserve">, která </w:t>
      </w:r>
      <w:r w:rsidRPr="002C447C">
        <w:t xml:space="preserve">připomíná průběh, souvislosti a památky prusko-rakouské války v roce 1866 na našem území, </w:t>
      </w:r>
      <w:r>
        <w:t xml:space="preserve">v tomto případě </w:t>
      </w:r>
      <w:r w:rsidRPr="002C447C">
        <w:t>konkrétně v oblasti mezi Trutnovem a Dvorem Králové nad Labem</w:t>
      </w:r>
      <w:r>
        <w:t>. Na území obce se nachází stanoviště č. 24</w:t>
      </w:r>
      <w:r w:rsidR="00651210">
        <w:t xml:space="preserve"> (na parcele KN 25/1 v k. ú. </w:t>
      </w:r>
      <w:r w:rsidR="00651210">
        <w:rPr>
          <w:rFonts w:eastAsia="RWXLTG+TimesNewRoman" w:cs="RWXLTG+TimesNewRoman"/>
        </w:rPr>
        <w:t>Prostřední Staré Buky)</w:t>
      </w:r>
      <w:r w:rsidR="00C63E7D" w:rsidRPr="000C1C18">
        <w:rPr>
          <w:rStyle w:val="Znakapoznpodarou"/>
        </w:rPr>
        <w:footnoteReference w:id="36"/>
      </w:r>
      <w:r>
        <w:t>.</w:t>
      </w:r>
    </w:p>
    <w:p w14:paraId="5E3615BE" w14:textId="77777777" w:rsidR="00C63E7D" w:rsidRPr="00224F64" w:rsidRDefault="00C63E7D" w:rsidP="00B44EF3">
      <w:pPr>
        <w:spacing w:after="160" w:line="259" w:lineRule="auto"/>
        <w:jc w:val="both"/>
      </w:pPr>
    </w:p>
    <w:p w14:paraId="437E297B" w14:textId="29F7F481" w:rsidR="00B44EF3" w:rsidRDefault="00B44EF3" w:rsidP="00B44EF3">
      <w:pPr>
        <w:spacing w:after="160" w:line="259" w:lineRule="auto"/>
        <w:jc w:val="both"/>
        <w:rPr>
          <w:rFonts w:eastAsia="RWXLTG+TimesNewRoman" w:cs="RWXLTG+TimesNewRoman"/>
        </w:rPr>
      </w:pPr>
      <w:r>
        <w:t xml:space="preserve">V zimním období je možné v případě dobrých sněhových podmínek vyrazit na </w:t>
      </w:r>
      <w:r w:rsidRPr="00232005">
        <w:rPr>
          <w:b/>
          <w:bCs/>
        </w:rPr>
        <w:t>běžky</w:t>
      </w:r>
      <w:r w:rsidRPr="007D0A58">
        <w:t>.</w:t>
      </w:r>
      <w:r w:rsidR="00490EE2">
        <w:t xml:space="preserve"> V letním období je naopak se </w:t>
      </w:r>
      <w:r w:rsidR="00490EE2" w:rsidRPr="00490EE2">
        <w:rPr>
          <w:b/>
          <w:bCs/>
        </w:rPr>
        <w:t>možné vykoupat v nádrži Dolce III</w:t>
      </w:r>
      <w:r w:rsidR="00490EE2">
        <w:t>.</w:t>
      </w:r>
    </w:p>
    <w:p w14:paraId="607FBE74" w14:textId="77777777" w:rsidR="008147E6" w:rsidRDefault="008147E6" w:rsidP="00814D5A">
      <w:pPr>
        <w:pStyle w:val="Nadpis3"/>
      </w:pPr>
      <w:bookmarkStart w:id="324" w:name="_Toc413418378"/>
      <w:bookmarkStart w:id="325" w:name="_Toc440566357"/>
      <w:bookmarkStart w:id="326" w:name="_Toc441227508"/>
      <w:bookmarkStart w:id="327" w:name="_Toc32580129"/>
      <w:bookmarkStart w:id="328" w:name="_Toc120652154"/>
      <w:r>
        <w:lastRenderedPageBreak/>
        <w:t>2.1.6 Životní prostředí</w:t>
      </w:r>
      <w:bookmarkEnd w:id="324"/>
      <w:bookmarkEnd w:id="325"/>
      <w:bookmarkEnd w:id="326"/>
      <w:bookmarkEnd w:id="327"/>
      <w:bookmarkEnd w:id="328"/>
    </w:p>
    <w:p w14:paraId="1FBA3FE2" w14:textId="77777777" w:rsidR="008147E6" w:rsidRPr="00AB785E" w:rsidRDefault="008147E6" w:rsidP="00AB785E">
      <w:pPr>
        <w:pStyle w:val="Nadpis4"/>
      </w:pPr>
      <w:bookmarkStart w:id="329" w:name="_Toc413418379"/>
      <w:bookmarkStart w:id="330" w:name="_Toc440566358"/>
      <w:bookmarkStart w:id="331" w:name="_Toc441227509"/>
      <w:bookmarkStart w:id="332" w:name="_Toc32580130"/>
      <w:bookmarkStart w:id="333" w:name="_Toc120652155"/>
      <w:r w:rsidRPr="00AB785E">
        <w:t>2.1.6.1 Současný stav životního prostředí</w:t>
      </w:r>
      <w:bookmarkEnd w:id="329"/>
      <w:bookmarkEnd w:id="330"/>
      <w:bookmarkEnd w:id="331"/>
      <w:bookmarkEnd w:id="332"/>
      <w:bookmarkEnd w:id="333"/>
    </w:p>
    <w:p w14:paraId="47318F7A" w14:textId="0111FB80" w:rsidR="00954060" w:rsidRDefault="00954060" w:rsidP="00EB77E0">
      <w:pPr>
        <w:spacing w:after="160" w:line="259" w:lineRule="auto"/>
        <w:jc w:val="both"/>
      </w:pPr>
      <w:r w:rsidRPr="00D90E6E">
        <w:t>Na území obce</w:t>
      </w:r>
      <w:r w:rsidR="00717FB0">
        <w:t>, konkrétně ve východní části území obce,</w:t>
      </w:r>
      <w:r w:rsidRPr="00D90E6E">
        <w:t xml:space="preserve"> se nachází </w:t>
      </w:r>
      <w:r w:rsidR="00717FB0">
        <w:rPr>
          <w:b/>
        </w:rPr>
        <w:t>s</w:t>
      </w:r>
      <w:r w:rsidR="00717FB0" w:rsidRPr="00717FB0">
        <w:rPr>
          <w:b/>
        </w:rPr>
        <w:t>vahové nestability přírodního původu</w:t>
      </w:r>
      <w:r w:rsidR="00717FB0" w:rsidRPr="00717FB0">
        <w:rPr>
          <w:b/>
        </w:rPr>
        <w:tab/>
      </w:r>
      <w:r w:rsidR="00772C84" w:rsidRPr="00D90E6E">
        <w:rPr>
          <w:b/>
        </w:rPr>
        <w:t xml:space="preserve">. </w:t>
      </w:r>
      <w:r w:rsidR="00717FB0">
        <w:t>Z pohledu aktivity se jedná o uklidněné svahové nestability</w:t>
      </w:r>
      <w:r w:rsidR="00992760">
        <w:rPr>
          <w:rStyle w:val="Znakapoznpodarou"/>
        </w:rPr>
        <w:footnoteReference w:id="37"/>
      </w:r>
      <w:r w:rsidR="00992760">
        <w:t>.</w:t>
      </w:r>
    </w:p>
    <w:p w14:paraId="5CA5CBF0" w14:textId="44FC1384" w:rsidR="00F52EFA" w:rsidRDefault="007A52B3" w:rsidP="00630CE4">
      <w:pPr>
        <w:spacing w:after="160" w:line="259" w:lineRule="auto"/>
        <w:jc w:val="both"/>
      </w:pPr>
      <w:r>
        <w:t xml:space="preserve">Do území obce </w:t>
      </w:r>
      <w:r w:rsidR="00F52EFA">
        <w:t>Staré Buky</w:t>
      </w:r>
      <w:r>
        <w:t xml:space="preserve"> </w:t>
      </w:r>
      <w:r w:rsidRPr="00BD1F62">
        <w:rPr>
          <w:b/>
        </w:rPr>
        <w:t>ne</w:t>
      </w:r>
      <w:r w:rsidRPr="00E26814">
        <w:rPr>
          <w:b/>
        </w:rPr>
        <w:t>zasahuje chráněná oblast přirozené akumulace vod</w:t>
      </w:r>
      <w:r w:rsidR="00921D32">
        <w:rPr>
          <w:rStyle w:val="Znakapoznpodarou"/>
        </w:rPr>
        <w:footnoteReference w:id="38"/>
      </w:r>
      <w:r>
        <w:rPr>
          <w:b/>
        </w:rPr>
        <w:t>.</w:t>
      </w:r>
      <w:r w:rsidRPr="00BD1F62">
        <w:t xml:space="preserve"> </w:t>
      </w:r>
    </w:p>
    <w:p w14:paraId="0D043BE5" w14:textId="6B112379" w:rsidR="00977BE6" w:rsidRDefault="007A52B3" w:rsidP="00630CE4">
      <w:pPr>
        <w:spacing w:after="160" w:line="259" w:lineRule="auto"/>
        <w:jc w:val="both"/>
      </w:pPr>
      <w:r>
        <w:t xml:space="preserve">Do území obce </w:t>
      </w:r>
      <w:r w:rsidRPr="00344107">
        <w:rPr>
          <w:b/>
        </w:rPr>
        <w:t>zasahuj</w:t>
      </w:r>
      <w:r w:rsidR="00F52EFA">
        <w:rPr>
          <w:b/>
        </w:rPr>
        <w:t>e</w:t>
      </w:r>
      <w:r w:rsidRPr="00344107">
        <w:rPr>
          <w:b/>
        </w:rPr>
        <w:t xml:space="preserve"> ochrann</w:t>
      </w:r>
      <w:r w:rsidR="00F52EFA">
        <w:rPr>
          <w:b/>
        </w:rPr>
        <w:t>é</w:t>
      </w:r>
      <w:r w:rsidRPr="00344107">
        <w:rPr>
          <w:b/>
        </w:rPr>
        <w:t xml:space="preserve"> pásm</w:t>
      </w:r>
      <w:r w:rsidR="00F52EFA">
        <w:rPr>
          <w:b/>
        </w:rPr>
        <w:t>o</w:t>
      </w:r>
      <w:r w:rsidRPr="00344107">
        <w:rPr>
          <w:b/>
        </w:rPr>
        <w:t xml:space="preserve"> </w:t>
      </w:r>
      <w:r w:rsidR="00F52EFA" w:rsidRPr="00630CE4">
        <w:rPr>
          <w:b/>
          <w:bCs/>
        </w:rPr>
        <w:t>vodní</w:t>
      </w:r>
      <w:r w:rsidR="00F52EFA">
        <w:rPr>
          <w:b/>
          <w:bCs/>
        </w:rPr>
        <w:t>ho</w:t>
      </w:r>
      <w:r w:rsidR="00F52EFA" w:rsidRPr="00630CE4">
        <w:rPr>
          <w:b/>
          <w:bCs/>
        </w:rPr>
        <w:t xml:space="preserve"> zdroj</w:t>
      </w:r>
      <w:r w:rsidR="00F52EFA">
        <w:rPr>
          <w:b/>
          <w:bCs/>
        </w:rPr>
        <w:t>e</w:t>
      </w:r>
      <w:r w:rsidR="00F52EFA" w:rsidRPr="00630CE4">
        <w:rPr>
          <w:b/>
          <w:bCs/>
        </w:rPr>
        <w:t xml:space="preserve"> II. stupně</w:t>
      </w:r>
      <w:r w:rsidR="00F52EFA">
        <w:t xml:space="preserve"> – v jihozápadní části území obce při hranicích s obcemi Hajnice a Pilníkov se jedná o podzemní zdroj </w:t>
      </w:r>
      <w:r w:rsidR="00F52EFA" w:rsidRPr="00F52EFA">
        <w:rPr>
          <w:i/>
          <w:iCs/>
        </w:rPr>
        <w:t>Pilníkov prameniště</w:t>
      </w:r>
      <w:r w:rsidR="00977BE6">
        <w:rPr>
          <w:rStyle w:val="Znakapoznpodarou"/>
        </w:rPr>
        <w:footnoteReference w:id="39"/>
      </w:r>
      <w:r w:rsidR="00630CE4">
        <w:t>.</w:t>
      </w:r>
    </w:p>
    <w:p w14:paraId="70B61E3F" w14:textId="77777777" w:rsidR="003A06EB" w:rsidRDefault="003A06EB" w:rsidP="00760716">
      <w:pPr>
        <w:spacing w:after="160" w:line="259" w:lineRule="auto"/>
        <w:jc w:val="both"/>
      </w:pPr>
      <w:r w:rsidRPr="00A62719">
        <w:rPr>
          <w:b/>
        </w:rPr>
        <w:t>Na území obce se nenacházejí důlní díla a nezasahují do něj ani poddolované plochy</w:t>
      </w:r>
      <w:r>
        <w:t>.</w:t>
      </w:r>
      <w:r w:rsidRPr="00D72EDC">
        <w:t xml:space="preserve"> </w:t>
      </w:r>
    </w:p>
    <w:p w14:paraId="6DCCF2C9" w14:textId="4448A835" w:rsidR="00114FC5" w:rsidRPr="00442B63" w:rsidRDefault="004932A1" w:rsidP="00760716">
      <w:pPr>
        <w:spacing w:after="160" w:line="259" w:lineRule="auto"/>
        <w:jc w:val="both"/>
        <w:rPr>
          <w:bCs/>
        </w:rPr>
      </w:pPr>
      <w:r>
        <w:t xml:space="preserve">Na území obce </w:t>
      </w:r>
      <w:r w:rsidR="00442B63">
        <w:t>Staré Buky</w:t>
      </w:r>
      <w:r>
        <w:t xml:space="preserve"> </w:t>
      </w:r>
      <w:r w:rsidR="00442B63">
        <w:t xml:space="preserve">není evidována </w:t>
      </w:r>
      <w:r w:rsidR="00442B63" w:rsidRPr="000D7CF4">
        <w:rPr>
          <w:b/>
        </w:rPr>
        <w:t>lokalita považovaná za starou ekologickou zátěž</w:t>
      </w:r>
      <w:r w:rsidR="00BA7B48" w:rsidRPr="00AB5A17">
        <w:rPr>
          <w:vertAlign w:val="superscript"/>
        </w:rPr>
        <w:footnoteReference w:id="40"/>
      </w:r>
      <w:r w:rsidR="00BA7B48" w:rsidRPr="00442B63">
        <w:rPr>
          <w:bCs/>
        </w:rPr>
        <w:t>.</w:t>
      </w:r>
    </w:p>
    <w:p w14:paraId="242849F2" w14:textId="0399C9B3" w:rsidR="005E0FCF" w:rsidRDefault="00977BE6" w:rsidP="00760716">
      <w:pPr>
        <w:spacing w:after="160" w:line="259" w:lineRule="auto"/>
        <w:jc w:val="both"/>
      </w:pPr>
      <w:r w:rsidRPr="00114FC5">
        <w:rPr>
          <w:rFonts w:ascii="Calibri" w:eastAsia="Calibri" w:hAnsi="Calibri" w:cs="Times New Roman"/>
        </w:rPr>
        <w:t xml:space="preserve">Jak již bylo uvedeno v kap. 2.1.3.1 Ekonomická situace – charakter hospodářství a charakteristika klíčových subjektů, </w:t>
      </w:r>
      <w:r w:rsidR="003D5859">
        <w:rPr>
          <w:b/>
        </w:rPr>
        <w:t>n</w:t>
      </w:r>
      <w:r w:rsidR="003D5859" w:rsidRPr="004657DB">
        <w:rPr>
          <w:b/>
        </w:rPr>
        <w:t xml:space="preserve">a území </w:t>
      </w:r>
      <w:r w:rsidR="003D5859">
        <w:rPr>
          <w:b/>
        </w:rPr>
        <w:t xml:space="preserve">obce </w:t>
      </w:r>
      <w:r w:rsidR="00760716">
        <w:rPr>
          <w:b/>
        </w:rPr>
        <w:t>Staré Buky</w:t>
      </w:r>
      <w:r w:rsidR="003D5859" w:rsidRPr="004657DB">
        <w:rPr>
          <w:b/>
        </w:rPr>
        <w:t xml:space="preserve"> není evidován žádný tzv. „brownfield“, </w:t>
      </w:r>
      <w:r w:rsidR="003D5859" w:rsidRPr="004657DB">
        <w:t>který by byl veden v národní databázi brownfieldů</w:t>
      </w:r>
      <w:r w:rsidR="003D5859">
        <w:t>.</w:t>
      </w:r>
    </w:p>
    <w:p w14:paraId="5F42439B" w14:textId="77777777" w:rsidR="00760716" w:rsidRPr="00114FC5" w:rsidRDefault="00760716" w:rsidP="00760716">
      <w:pPr>
        <w:spacing w:after="160" w:line="259" w:lineRule="auto"/>
        <w:jc w:val="both"/>
        <w:rPr>
          <w:rFonts w:ascii="Calibri" w:eastAsia="Calibri" w:hAnsi="Calibri" w:cs="Times New Roman"/>
        </w:rPr>
      </w:pPr>
    </w:p>
    <w:p w14:paraId="5844B1D0" w14:textId="38A9962A" w:rsidR="00954060" w:rsidRPr="00D24AA4" w:rsidRDefault="00954060" w:rsidP="00EB77E0">
      <w:pPr>
        <w:spacing w:after="160" w:line="259" w:lineRule="auto"/>
        <w:jc w:val="both"/>
        <w:rPr>
          <w:rFonts w:eastAsia="RWXLTG+TimesNewRoman" w:cs="RWXLTG+TimesNewRoman"/>
          <w:u w:val="single"/>
        </w:rPr>
      </w:pPr>
      <w:r w:rsidRPr="00D24AA4">
        <w:rPr>
          <w:rFonts w:eastAsia="RWXLTG+TimesNewRoman" w:cs="RWXLTG+TimesNewRoman"/>
          <w:u w:val="single"/>
        </w:rPr>
        <w:t>Zemědělský půdní fond a jeho ochrana</w:t>
      </w:r>
    </w:p>
    <w:p w14:paraId="5E666C07" w14:textId="4294004E" w:rsidR="00954060" w:rsidRDefault="00954060" w:rsidP="00EB77E0">
      <w:pPr>
        <w:spacing w:after="160" w:line="259" w:lineRule="auto"/>
        <w:jc w:val="both"/>
      </w:pPr>
      <w:r>
        <w:t xml:space="preserve">Zemědělský půdní fond (ZPF) </w:t>
      </w:r>
      <w:r w:rsidRPr="00AC05EF">
        <w:t>tvoří poz</w:t>
      </w:r>
      <w:r>
        <w:t>emky zemědělsky obhospodařované (</w:t>
      </w:r>
      <w:r w:rsidRPr="00AC05EF">
        <w:t>orná půda, chmelnice, vinice, zahrad</w:t>
      </w:r>
      <w:r>
        <w:t>y, ovocné sady, louky, pastviny)</w:t>
      </w:r>
      <w:r w:rsidRPr="00AC05EF">
        <w:t xml:space="preserve"> a půda, která byla a má být nadále zemědělsky obhospodařován</w:t>
      </w:r>
      <w:r>
        <w:t>a, ale dočasně obdělávána není</w:t>
      </w:r>
      <w:r>
        <w:rPr>
          <w:rStyle w:val="Znakapoznpodarou"/>
        </w:rPr>
        <w:footnoteReference w:id="41"/>
      </w:r>
      <w:r>
        <w:t xml:space="preserve">. </w:t>
      </w:r>
      <w:r w:rsidRPr="008A3981">
        <w:t xml:space="preserve">Následující tabulka </w:t>
      </w:r>
      <w:r w:rsidR="008A3981" w:rsidRPr="008A3981">
        <w:t>2</w:t>
      </w:r>
      <w:r w:rsidR="0069551F">
        <w:t>0</w:t>
      </w:r>
      <w:r w:rsidRPr="008A3981">
        <w:t xml:space="preserve"> obsahuje</w:t>
      </w:r>
      <w:r>
        <w:t xml:space="preserve"> informace týkající se zastoupení ZPF a nezemědělské půdy v obci </w:t>
      </w:r>
      <w:r w:rsidR="009C0179">
        <w:t>Staré Buky</w:t>
      </w:r>
      <w:r>
        <w:t>.</w:t>
      </w:r>
    </w:p>
    <w:p w14:paraId="2F6183A3" w14:textId="55131C56" w:rsidR="005F3736" w:rsidRDefault="005F3736" w:rsidP="009C0179">
      <w:pPr>
        <w:spacing w:after="160" w:line="259" w:lineRule="auto"/>
        <w:jc w:val="both"/>
      </w:pPr>
    </w:p>
    <w:p w14:paraId="4B03E2B3" w14:textId="0E35736A" w:rsidR="009C0179" w:rsidRDefault="009C0179" w:rsidP="009C0179">
      <w:pPr>
        <w:pStyle w:val="TABULKA0"/>
      </w:pPr>
      <w:bookmarkStart w:id="334" w:name="_Toc450153495"/>
      <w:bookmarkStart w:id="335" w:name="_Toc32577802"/>
      <w:bookmarkStart w:id="336" w:name="_Toc100690524"/>
      <w:bookmarkStart w:id="337" w:name="_Toc120651942"/>
      <w:r w:rsidRPr="008A3981">
        <w:t>Tabulka 2</w:t>
      </w:r>
      <w:r>
        <w:t>0</w:t>
      </w:r>
      <w:r w:rsidRPr="00285819">
        <w:t>: Zastoupení ZPF a nezemědělské půdy v jednotlivých katastrá</w:t>
      </w:r>
      <w:r>
        <w:t>lních územích obce Staré Buky (</w:t>
      </w:r>
      <w:r w:rsidRPr="00674DE0">
        <w:t>k </w:t>
      </w:r>
      <w:r w:rsidR="005F3736">
        <w:t>8</w:t>
      </w:r>
      <w:r w:rsidRPr="00674DE0">
        <w:t xml:space="preserve">. </w:t>
      </w:r>
      <w:r w:rsidR="005F3736">
        <w:t>5</w:t>
      </w:r>
      <w:r w:rsidRPr="00674DE0">
        <w:t>. 202</w:t>
      </w:r>
      <w:r>
        <w:t>2</w:t>
      </w:r>
      <w:r w:rsidRPr="00285819">
        <w:t>)</w:t>
      </w:r>
      <w:bookmarkEnd w:id="334"/>
      <w:bookmarkEnd w:id="335"/>
      <w:bookmarkEnd w:id="336"/>
      <w:bookmarkEnd w:id="337"/>
    </w:p>
    <w:tbl>
      <w:tblPr>
        <w:tblW w:w="4347"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1769"/>
        <w:gridCol w:w="1277"/>
        <w:gridCol w:w="1418"/>
        <w:gridCol w:w="1701"/>
        <w:gridCol w:w="1844"/>
      </w:tblGrid>
      <w:tr w:rsidR="009C0179" w:rsidRPr="00934F8B" w14:paraId="7B37F163" w14:textId="77777777" w:rsidTr="005F3736">
        <w:trPr>
          <w:trHeight w:val="300"/>
          <w:jc w:val="center"/>
        </w:trPr>
        <w:tc>
          <w:tcPr>
            <w:tcW w:w="1105" w:type="pct"/>
            <w:tcBorders>
              <w:bottom w:val="single" w:sz="12" w:space="0" w:color="auto"/>
            </w:tcBorders>
            <w:shd w:val="clear" w:color="auto" w:fill="FFC000"/>
            <w:noWrap/>
            <w:vAlign w:val="center"/>
            <w:hideMark/>
          </w:tcPr>
          <w:p w14:paraId="6F1CC8BD" w14:textId="77777777" w:rsidR="009C0179" w:rsidRPr="00934F8B" w:rsidRDefault="009C0179" w:rsidP="00566E46">
            <w:pPr>
              <w:jc w:val="center"/>
              <w:rPr>
                <w:rFonts w:ascii="Calibri" w:eastAsia="Times New Roman" w:hAnsi="Calibri" w:cs="Times New Roman"/>
                <w:b/>
                <w:bCs/>
                <w:color w:val="000000"/>
                <w:sz w:val="19"/>
                <w:szCs w:val="19"/>
                <w:lang w:eastAsia="cs-CZ"/>
              </w:rPr>
            </w:pPr>
            <w:r w:rsidRPr="00934F8B">
              <w:rPr>
                <w:rFonts w:ascii="Calibri" w:eastAsia="Times New Roman" w:hAnsi="Calibri" w:cs="Times New Roman"/>
                <w:b/>
                <w:bCs/>
                <w:color w:val="000000"/>
                <w:sz w:val="19"/>
                <w:szCs w:val="19"/>
                <w:lang w:eastAsia="cs-CZ"/>
              </w:rPr>
              <w:t>Katastrální území</w:t>
            </w:r>
          </w:p>
        </w:tc>
        <w:tc>
          <w:tcPr>
            <w:tcW w:w="797" w:type="pct"/>
            <w:tcBorders>
              <w:bottom w:val="single" w:sz="12" w:space="0" w:color="auto"/>
            </w:tcBorders>
            <w:shd w:val="clear" w:color="auto" w:fill="FFC000"/>
            <w:noWrap/>
            <w:vAlign w:val="center"/>
          </w:tcPr>
          <w:p w14:paraId="3E4DE116" w14:textId="568E26F0" w:rsidR="009C0179" w:rsidRPr="00934F8B" w:rsidRDefault="005F3736" w:rsidP="00566E46">
            <w:pPr>
              <w:jc w:val="center"/>
              <w:rPr>
                <w:rFonts w:ascii="Calibri" w:eastAsia="Times New Roman" w:hAnsi="Calibri" w:cs="Times New Roman"/>
                <w:b/>
                <w:bCs/>
                <w:color w:val="000000"/>
                <w:sz w:val="19"/>
                <w:szCs w:val="19"/>
                <w:lang w:eastAsia="cs-CZ"/>
              </w:rPr>
            </w:pPr>
            <w:r>
              <w:rPr>
                <w:rFonts w:ascii="Calibri" w:eastAsia="Times New Roman" w:hAnsi="Calibri" w:cs="Times New Roman"/>
                <w:b/>
                <w:bCs/>
                <w:color w:val="000000"/>
                <w:sz w:val="19"/>
                <w:szCs w:val="19"/>
                <w:lang w:eastAsia="cs-CZ"/>
              </w:rPr>
              <w:t>Dolní Staré Buky</w:t>
            </w:r>
          </w:p>
        </w:tc>
        <w:tc>
          <w:tcPr>
            <w:tcW w:w="885" w:type="pct"/>
            <w:tcBorders>
              <w:bottom w:val="single" w:sz="12" w:space="0" w:color="auto"/>
            </w:tcBorders>
            <w:shd w:val="clear" w:color="auto" w:fill="FFC000"/>
            <w:noWrap/>
            <w:vAlign w:val="center"/>
          </w:tcPr>
          <w:p w14:paraId="4CC0EE85" w14:textId="01FE0045" w:rsidR="009C0179" w:rsidRPr="00934F8B" w:rsidRDefault="005F3736" w:rsidP="00566E46">
            <w:pPr>
              <w:jc w:val="center"/>
              <w:rPr>
                <w:rFonts w:ascii="Calibri" w:eastAsia="Times New Roman" w:hAnsi="Calibri" w:cs="Times New Roman"/>
                <w:b/>
                <w:bCs/>
                <w:color w:val="000000"/>
                <w:sz w:val="19"/>
                <w:szCs w:val="19"/>
                <w:lang w:eastAsia="cs-CZ"/>
              </w:rPr>
            </w:pPr>
            <w:r>
              <w:rPr>
                <w:rFonts w:ascii="Calibri" w:eastAsia="Times New Roman" w:hAnsi="Calibri" w:cs="Times New Roman"/>
                <w:b/>
                <w:bCs/>
                <w:color w:val="000000"/>
                <w:sz w:val="19"/>
                <w:szCs w:val="19"/>
                <w:lang w:eastAsia="cs-CZ"/>
              </w:rPr>
              <w:t>Horní Staré Buky</w:t>
            </w:r>
          </w:p>
        </w:tc>
        <w:tc>
          <w:tcPr>
            <w:tcW w:w="1062" w:type="pct"/>
            <w:tcBorders>
              <w:bottom w:val="single" w:sz="12" w:space="0" w:color="auto"/>
            </w:tcBorders>
            <w:shd w:val="clear" w:color="auto" w:fill="FFC000"/>
            <w:vAlign w:val="center"/>
          </w:tcPr>
          <w:p w14:paraId="208B42E1" w14:textId="2664B639" w:rsidR="009C0179" w:rsidRPr="00934F8B" w:rsidRDefault="005F3736" w:rsidP="00566E46">
            <w:pPr>
              <w:jc w:val="center"/>
              <w:rPr>
                <w:rFonts w:ascii="Calibri" w:eastAsia="Times New Roman" w:hAnsi="Calibri" w:cs="Times New Roman"/>
                <w:b/>
                <w:bCs/>
                <w:color w:val="000000"/>
                <w:sz w:val="19"/>
                <w:szCs w:val="19"/>
                <w:lang w:eastAsia="cs-CZ"/>
              </w:rPr>
            </w:pPr>
            <w:r>
              <w:rPr>
                <w:rFonts w:ascii="Calibri" w:eastAsia="Times New Roman" w:hAnsi="Calibri" w:cs="Times New Roman"/>
                <w:b/>
                <w:bCs/>
                <w:color w:val="000000"/>
                <w:sz w:val="19"/>
                <w:szCs w:val="19"/>
                <w:lang w:eastAsia="cs-CZ"/>
              </w:rPr>
              <w:t>Prostřední Staré Buky</w:t>
            </w:r>
          </w:p>
        </w:tc>
        <w:tc>
          <w:tcPr>
            <w:tcW w:w="1151" w:type="pct"/>
            <w:tcBorders>
              <w:bottom w:val="single" w:sz="12" w:space="0" w:color="auto"/>
            </w:tcBorders>
            <w:shd w:val="clear" w:color="auto" w:fill="FFC000"/>
            <w:noWrap/>
            <w:vAlign w:val="center"/>
            <w:hideMark/>
          </w:tcPr>
          <w:p w14:paraId="19916E0F" w14:textId="5F304C74" w:rsidR="009C0179" w:rsidRPr="00934F8B" w:rsidRDefault="009C0179" w:rsidP="00566E46">
            <w:pPr>
              <w:jc w:val="center"/>
              <w:rPr>
                <w:rFonts w:ascii="Calibri" w:eastAsia="Times New Roman" w:hAnsi="Calibri" w:cs="Times New Roman"/>
                <w:b/>
                <w:bCs/>
                <w:color w:val="000000"/>
                <w:sz w:val="19"/>
                <w:szCs w:val="19"/>
                <w:lang w:eastAsia="cs-CZ"/>
              </w:rPr>
            </w:pPr>
            <w:r w:rsidRPr="00934F8B">
              <w:rPr>
                <w:rFonts w:ascii="Calibri" w:eastAsia="Times New Roman" w:hAnsi="Calibri" w:cs="Times New Roman"/>
                <w:b/>
                <w:bCs/>
                <w:color w:val="000000"/>
                <w:sz w:val="19"/>
                <w:szCs w:val="19"/>
                <w:lang w:eastAsia="cs-CZ"/>
              </w:rPr>
              <w:t xml:space="preserve">Obec </w:t>
            </w:r>
            <w:r w:rsidR="005F3736">
              <w:rPr>
                <w:rFonts w:ascii="Calibri" w:eastAsia="Times New Roman" w:hAnsi="Calibri" w:cs="Times New Roman"/>
                <w:b/>
                <w:bCs/>
                <w:color w:val="000000"/>
                <w:sz w:val="19"/>
                <w:szCs w:val="19"/>
                <w:lang w:eastAsia="cs-CZ"/>
              </w:rPr>
              <w:t>Staré Buky</w:t>
            </w:r>
            <w:r w:rsidRPr="00934F8B">
              <w:rPr>
                <w:rFonts w:ascii="Calibri" w:eastAsia="Times New Roman" w:hAnsi="Calibri" w:cs="Times New Roman"/>
                <w:b/>
                <w:bCs/>
                <w:color w:val="000000"/>
                <w:sz w:val="19"/>
                <w:szCs w:val="19"/>
                <w:lang w:eastAsia="cs-CZ"/>
              </w:rPr>
              <w:t xml:space="preserve"> celkem</w:t>
            </w:r>
          </w:p>
        </w:tc>
      </w:tr>
      <w:tr w:rsidR="009C0179" w:rsidRPr="00934F8B" w14:paraId="729925AC" w14:textId="77777777" w:rsidTr="00566E46">
        <w:trPr>
          <w:trHeight w:val="38"/>
          <w:jc w:val="center"/>
        </w:trPr>
        <w:tc>
          <w:tcPr>
            <w:tcW w:w="5000" w:type="pct"/>
            <w:gridSpan w:val="5"/>
            <w:tcBorders>
              <w:top w:val="single" w:sz="12" w:space="0" w:color="auto"/>
              <w:bottom w:val="single" w:sz="12" w:space="0" w:color="auto"/>
            </w:tcBorders>
            <w:shd w:val="clear" w:color="auto" w:fill="92D050"/>
          </w:tcPr>
          <w:p w14:paraId="2C346F28" w14:textId="77777777" w:rsidR="009C0179" w:rsidRPr="00934F8B" w:rsidRDefault="009C0179" w:rsidP="00566E46">
            <w:pPr>
              <w:jc w:val="center"/>
              <w:rPr>
                <w:rFonts w:ascii="Calibri" w:eastAsia="Times New Roman" w:hAnsi="Calibri" w:cs="Times New Roman"/>
                <w:b/>
                <w:color w:val="000000"/>
                <w:sz w:val="19"/>
                <w:szCs w:val="19"/>
                <w:lang w:eastAsia="cs-CZ"/>
              </w:rPr>
            </w:pPr>
            <w:r w:rsidRPr="00934F8B">
              <w:rPr>
                <w:rFonts w:ascii="Calibri" w:eastAsia="Times New Roman" w:hAnsi="Calibri" w:cs="Times New Roman"/>
                <w:b/>
                <w:color w:val="000000"/>
                <w:sz w:val="19"/>
                <w:szCs w:val="19"/>
                <w:lang w:eastAsia="cs-CZ"/>
              </w:rPr>
              <w:t>Výměra ha</w:t>
            </w:r>
          </w:p>
        </w:tc>
      </w:tr>
      <w:tr w:rsidR="009C0179" w:rsidRPr="00934F8B" w14:paraId="12CB2778" w14:textId="77777777" w:rsidTr="00566E46">
        <w:trPr>
          <w:trHeight w:val="300"/>
          <w:jc w:val="center"/>
        </w:trPr>
        <w:tc>
          <w:tcPr>
            <w:tcW w:w="1105" w:type="pct"/>
            <w:tcBorders>
              <w:top w:val="single" w:sz="12" w:space="0" w:color="auto"/>
            </w:tcBorders>
            <w:shd w:val="clear" w:color="auto" w:fill="D9D9D9" w:themeFill="background1" w:themeFillShade="D9"/>
            <w:noWrap/>
            <w:vAlign w:val="center"/>
            <w:hideMark/>
          </w:tcPr>
          <w:p w14:paraId="78473702" w14:textId="77777777" w:rsidR="009C0179" w:rsidRPr="00934F8B" w:rsidRDefault="009C0179" w:rsidP="00566E46">
            <w:pPr>
              <w:jc w:val="center"/>
              <w:rPr>
                <w:rFonts w:ascii="Calibri" w:eastAsia="Times New Roman" w:hAnsi="Calibri" w:cs="Times New Roman"/>
                <w:b/>
                <w:color w:val="000000"/>
                <w:sz w:val="19"/>
                <w:szCs w:val="19"/>
                <w:lang w:eastAsia="cs-CZ"/>
              </w:rPr>
            </w:pPr>
            <w:r w:rsidRPr="00934F8B">
              <w:rPr>
                <w:rFonts w:ascii="Calibri" w:eastAsia="Times New Roman" w:hAnsi="Calibri" w:cs="Times New Roman"/>
                <w:b/>
                <w:color w:val="000000"/>
                <w:sz w:val="19"/>
                <w:szCs w:val="19"/>
                <w:lang w:eastAsia="cs-CZ"/>
              </w:rPr>
              <w:t>ZPF</w:t>
            </w:r>
          </w:p>
        </w:tc>
        <w:tc>
          <w:tcPr>
            <w:tcW w:w="797" w:type="pct"/>
            <w:tcBorders>
              <w:top w:val="single" w:sz="12" w:space="0" w:color="auto"/>
            </w:tcBorders>
            <w:shd w:val="clear" w:color="auto" w:fill="auto"/>
            <w:noWrap/>
            <w:vAlign w:val="center"/>
          </w:tcPr>
          <w:p w14:paraId="5F164DEC" w14:textId="13ABFEF4" w:rsidR="009C0179" w:rsidRPr="00385A76" w:rsidRDefault="000A0E57" w:rsidP="00566E46">
            <w:pPr>
              <w:jc w:val="right"/>
              <w:rPr>
                <w:rFonts w:ascii="Calibri" w:hAnsi="Calibri" w:cs="Calibri"/>
                <w:color w:val="000000"/>
                <w:sz w:val="20"/>
                <w:szCs w:val="20"/>
              </w:rPr>
            </w:pPr>
            <w:r>
              <w:rPr>
                <w:rFonts w:ascii="Calibri" w:hAnsi="Calibri" w:cs="Calibri"/>
                <w:color w:val="000000"/>
                <w:sz w:val="20"/>
                <w:szCs w:val="20"/>
              </w:rPr>
              <w:t>228,4</w:t>
            </w:r>
          </w:p>
        </w:tc>
        <w:tc>
          <w:tcPr>
            <w:tcW w:w="885" w:type="pct"/>
            <w:tcBorders>
              <w:top w:val="single" w:sz="12" w:space="0" w:color="auto"/>
            </w:tcBorders>
            <w:shd w:val="clear" w:color="auto" w:fill="auto"/>
            <w:noWrap/>
            <w:vAlign w:val="center"/>
          </w:tcPr>
          <w:p w14:paraId="75B83CDC" w14:textId="628B5063" w:rsidR="009C0179" w:rsidRPr="00385A76" w:rsidRDefault="000A0E57" w:rsidP="00566E46">
            <w:pPr>
              <w:jc w:val="right"/>
              <w:rPr>
                <w:rFonts w:ascii="Calibri" w:hAnsi="Calibri" w:cs="Calibri"/>
                <w:color w:val="000000"/>
                <w:sz w:val="20"/>
                <w:szCs w:val="20"/>
              </w:rPr>
            </w:pPr>
            <w:r>
              <w:rPr>
                <w:rFonts w:ascii="Calibri" w:hAnsi="Calibri" w:cs="Calibri"/>
                <w:color w:val="000000"/>
                <w:sz w:val="20"/>
                <w:szCs w:val="20"/>
              </w:rPr>
              <w:t>368,5</w:t>
            </w:r>
          </w:p>
        </w:tc>
        <w:tc>
          <w:tcPr>
            <w:tcW w:w="1062" w:type="pct"/>
            <w:tcBorders>
              <w:top w:val="single" w:sz="12" w:space="0" w:color="auto"/>
            </w:tcBorders>
            <w:vAlign w:val="center"/>
          </w:tcPr>
          <w:p w14:paraId="3803B3DE" w14:textId="0CE16454" w:rsidR="009C0179" w:rsidRPr="00385A76" w:rsidRDefault="000A0E57" w:rsidP="00566E46">
            <w:pPr>
              <w:jc w:val="right"/>
              <w:rPr>
                <w:rFonts w:ascii="Calibri" w:hAnsi="Calibri" w:cs="Calibri"/>
                <w:color w:val="000000"/>
                <w:sz w:val="20"/>
                <w:szCs w:val="20"/>
              </w:rPr>
            </w:pPr>
            <w:r>
              <w:rPr>
                <w:rFonts w:ascii="Calibri" w:hAnsi="Calibri" w:cs="Calibri"/>
                <w:color w:val="000000"/>
                <w:sz w:val="20"/>
                <w:szCs w:val="20"/>
              </w:rPr>
              <w:t>269,4</w:t>
            </w:r>
          </w:p>
        </w:tc>
        <w:tc>
          <w:tcPr>
            <w:tcW w:w="1151" w:type="pct"/>
            <w:tcBorders>
              <w:top w:val="single" w:sz="12" w:space="0" w:color="auto"/>
            </w:tcBorders>
            <w:shd w:val="clear" w:color="auto" w:fill="auto"/>
            <w:noWrap/>
            <w:vAlign w:val="center"/>
          </w:tcPr>
          <w:p w14:paraId="01180D84" w14:textId="5D7300F5" w:rsidR="009C0179" w:rsidRPr="00385A76" w:rsidRDefault="00012C88" w:rsidP="00566E46">
            <w:pPr>
              <w:jc w:val="right"/>
              <w:rPr>
                <w:rFonts w:ascii="Calibri" w:hAnsi="Calibri" w:cs="Calibri"/>
                <w:color w:val="000000"/>
                <w:sz w:val="20"/>
                <w:szCs w:val="20"/>
              </w:rPr>
            </w:pPr>
            <w:r>
              <w:rPr>
                <w:rFonts w:ascii="Calibri" w:hAnsi="Calibri" w:cs="Calibri"/>
                <w:color w:val="000000"/>
                <w:sz w:val="20"/>
                <w:szCs w:val="20"/>
              </w:rPr>
              <w:t>866,3</w:t>
            </w:r>
          </w:p>
        </w:tc>
      </w:tr>
      <w:tr w:rsidR="009C0179" w:rsidRPr="00934F8B" w14:paraId="04F9046F" w14:textId="77777777" w:rsidTr="00566E46">
        <w:trPr>
          <w:trHeight w:val="300"/>
          <w:jc w:val="center"/>
        </w:trPr>
        <w:tc>
          <w:tcPr>
            <w:tcW w:w="1105" w:type="pct"/>
            <w:tcBorders>
              <w:bottom w:val="single" w:sz="12" w:space="0" w:color="auto"/>
            </w:tcBorders>
            <w:shd w:val="clear" w:color="auto" w:fill="D9D9D9" w:themeFill="background1" w:themeFillShade="D9"/>
            <w:noWrap/>
            <w:vAlign w:val="center"/>
            <w:hideMark/>
          </w:tcPr>
          <w:p w14:paraId="16B5E803" w14:textId="77777777" w:rsidR="009C0179" w:rsidRPr="00934F8B" w:rsidRDefault="009C0179" w:rsidP="00566E46">
            <w:pPr>
              <w:jc w:val="center"/>
              <w:rPr>
                <w:rFonts w:ascii="Calibri" w:eastAsia="Times New Roman" w:hAnsi="Calibri" w:cs="Times New Roman"/>
                <w:b/>
                <w:color w:val="000000"/>
                <w:sz w:val="19"/>
                <w:szCs w:val="19"/>
                <w:lang w:eastAsia="cs-CZ"/>
              </w:rPr>
            </w:pPr>
            <w:r w:rsidRPr="00934F8B">
              <w:rPr>
                <w:rFonts w:ascii="Calibri" w:eastAsia="Times New Roman" w:hAnsi="Calibri" w:cs="Times New Roman"/>
                <w:b/>
                <w:color w:val="000000"/>
                <w:sz w:val="19"/>
                <w:szCs w:val="19"/>
                <w:lang w:eastAsia="cs-CZ"/>
              </w:rPr>
              <w:t>Nezemědělská půda</w:t>
            </w:r>
          </w:p>
        </w:tc>
        <w:tc>
          <w:tcPr>
            <w:tcW w:w="797" w:type="pct"/>
            <w:tcBorders>
              <w:bottom w:val="single" w:sz="12" w:space="0" w:color="auto"/>
            </w:tcBorders>
            <w:shd w:val="clear" w:color="auto" w:fill="auto"/>
            <w:noWrap/>
            <w:vAlign w:val="center"/>
          </w:tcPr>
          <w:p w14:paraId="5B9269A8" w14:textId="7372B692" w:rsidR="009C0179" w:rsidRPr="00385A76" w:rsidRDefault="000A0E57" w:rsidP="00566E46">
            <w:pPr>
              <w:jc w:val="right"/>
              <w:rPr>
                <w:rFonts w:ascii="Calibri" w:hAnsi="Calibri" w:cs="Calibri"/>
                <w:color w:val="000000"/>
                <w:sz w:val="20"/>
                <w:szCs w:val="20"/>
              </w:rPr>
            </w:pPr>
            <w:r>
              <w:rPr>
                <w:rFonts w:ascii="Calibri" w:hAnsi="Calibri" w:cs="Calibri"/>
                <w:color w:val="000000"/>
                <w:sz w:val="20"/>
                <w:szCs w:val="20"/>
              </w:rPr>
              <w:t>130,5</w:t>
            </w:r>
          </w:p>
        </w:tc>
        <w:tc>
          <w:tcPr>
            <w:tcW w:w="885" w:type="pct"/>
            <w:tcBorders>
              <w:bottom w:val="single" w:sz="12" w:space="0" w:color="auto"/>
            </w:tcBorders>
            <w:shd w:val="clear" w:color="auto" w:fill="auto"/>
            <w:noWrap/>
            <w:vAlign w:val="center"/>
          </w:tcPr>
          <w:p w14:paraId="1AEC3AD2" w14:textId="78576331" w:rsidR="009C0179" w:rsidRPr="00385A76" w:rsidRDefault="000A0E57" w:rsidP="00566E46">
            <w:pPr>
              <w:jc w:val="right"/>
              <w:rPr>
                <w:rFonts w:ascii="Calibri" w:hAnsi="Calibri" w:cs="Calibri"/>
                <w:color w:val="000000"/>
                <w:sz w:val="20"/>
                <w:szCs w:val="20"/>
              </w:rPr>
            </w:pPr>
            <w:r>
              <w:rPr>
                <w:rFonts w:ascii="Calibri" w:hAnsi="Calibri" w:cs="Calibri"/>
                <w:color w:val="000000"/>
                <w:sz w:val="20"/>
                <w:szCs w:val="20"/>
              </w:rPr>
              <w:t>455,3</w:t>
            </w:r>
          </w:p>
        </w:tc>
        <w:tc>
          <w:tcPr>
            <w:tcW w:w="1062" w:type="pct"/>
            <w:tcBorders>
              <w:bottom w:val="single" w:sz="12" w:space="0" w:color="auto"/>
            </w:tcBorders>
            <w:vAlign w:val="center"/>
          </w:tcPr>
          <w:p w14:paraId="739951EB" w14:textId="043BE286" w:rsidR="009C0179" w:rsidRPr="00385A76" w:rsidRDefault="000A0E57" w:rsidP="00566E46">
            <w:pPr>
              <w:jc w:val="right"/>
              <w:rPr>
                <w:rFonts w:ascii="Calibri" w:hAnsi="Calibri" w:cs="Calibri"/>
                <w:color w:val="000000"/>
                <w:sz w:val="20"/>
                <w:szCs w:val="20"/>
              </w:rPr>
            </w:pPr>
            <w:r>
              <w:rPr>
                <w:rFonts w:ascii="Calibri" w:hAnsi="Calibri" w:cs="Calibri"/>
                <w:color w:val="000000"/>
                <w:sz w:val="20"/>
                <w:szCs w:val="20"/>
              </w:rPr>
              <w:t>337,6</w:t>
            </w:r>
          </w:p>
        </w:tc>
        <w:tc>
          <w:tcPr>
            <w:tcW w:w="1151" w:type="pct"/>
            <w:tcBorders>
              <w:bottom w:val="single" w:sz="12" w:space="0" w:color="auto"/>
            </w:tcBorders>
            <w:shd w:val="clear" w:color="auto" w:fill="auto"/>
            <w:noWrap/>
            <w:vAlign w:val="center"/>
          </w:tcPr>
          <w:p w14:paraId="5BE89716" w14:textId="0F2BED32" w:rsidR="009C0179" w:rsidRPr="00385A76" w:rsidRDefault="00012C88" w:rsidP="00566E46">
            <w:pPr>
              <w:jc w:val="right"/>
              <w:rPr>
                <w:rFonts w:ascii="Calibri" w:hAnsi="Calibri" w:cs="Calibri"/>
                <w:color w:val="000000"/>
                <w:sz w:val="20"/>
                <w:szCs w:val="20"/>
              </w:rPr>
            </w:pPr>
            <w:r>
              <w:rPr>
                <w:rFonts w:ascii="Calibri" w:hAnsi="Calibri" w:cs="Calibri"/>
                <w:color w:val="000000"/>
                <w:sz w:val="20"/>
                <w:szCs w:val="20"/>
              </w:rPr>
              <w:t>923,3</w:t>
            </w:r>
          </w:p>
        </w:tc>
      </w:tr>
      <w:tr w:rsidR="009C0179" w:rsidRPr="00934F8B" w14:paraId="08124FDE" w14:textId="77777777" w:rsidTr="00566E46">
        <w:trPr>
          <w:trHeight w:val="38"/>
          <w:jc w:val="center"/>
        </w:trPr>
        <w:tc>
          <w:tcPr>
            <w:tcW w:w="5000" w:type="pct"/>
            <w:gridSpan w:val="5"/>
            <w:tcBorders>
              <w:top w:val="single" w:sz="12" w:space="0" w:color="auto"/>
              <w:bottom w:val="single" w:sz="12" w:space="0" w:color="auto"/>
            </w:tcBorders>
            <w:shd w:val="clear" w:color="auto" w:fill="92D050"/>
          </w:tcPr>
          <w:p w14:paraId="602BB6D7" w14:textId="77777777" w:rsidR="009C0179" w:rsidRPr="00934F8B" w:rsidRDefault="009C0179" w:rsidP="00566E46">
            <w:pPr>
              <w:jc w:val="center"/>
              <w:rPr>
                <w:rFonts w:ascii="Calibri" w:eastAsia="Times New Roman" w:hAnsi="Calibri" w:cs="Times New Roman"/>
                <w:color w:val="000000"/>
                <w:sz w:val="19"/>
                <w:szCs w:val="19"/>
                <w:lang w:eastAsia="cs-CZ"/>
              </w:rPr>
            </w:pPr>
            <w:r w:rsidRPr="00934F8B">
              <w:rPr>
                <w:rFonts w:ascii="Calibri" w:eastAsia="Times New Roman" w:hAnsi="Calibri" w:cs="Times New Roman"/>
                <w:b/>
                <w:bCs/>
                <w:color w:val="000000"/>
                <w:sz w:val="19"/>
                <w:szCs w:val="19"/>
                <w:lang w:eastAsia="cs-CZ"/>
              </w:rPr>
              <w:t>Procentuální podíl zastoupení</w:t>
            </w:r>
          </w:p>
        </w:tc>
      </w:tr>
      <w:tr w:rsidR="009C0179" w:rsidRPr="00934F8B" w14:paraId="4DD018AD" w14:textId="77777777" w:rsidTr="00566E46">
        <w:trPr>
          <w:trHeight w:val="300"/>
          <w:jc w:val="center"/>
        </w:trPr>
        <w:tc>
          <w:tcPr>
            <w:tcW w:w="1105" w:type="pct"/>
            <w:tcBorders>
              <w:top w:val="single" w:sz="12" w:space="0" w:color="auto"/>
            </w:tcBorders>
            <w:shd w:val="clear" w:color="auto" w:fill="D9D9D9" w:themeFill="background1" w:themeFillShade="D9"/>
            <w:noWrap/>
            <w:vAlign w:val="center"/>
            <w:hideMark/>
          </w:tcPr>
          <w:p w14:paraId="418EB17E" w14:textId="77777777" w:rsidR="009C0179" w:rsidRPr="00934F8B" w:rsidRDefault="009C0179" w:rsidP="00566E46">
            <w:pPr>
              <w:jc w:val="center"/>
              <w:rPr>
                <w:rFonts w:ascii="Calibri" w:eastAsia="Times New Roman" w:hAnsi="Calibri" w:cs="Times New Roman"/>
                <w:b/>
                <w:color w:val="000000"/>
                <w:sz w:val="19"/>
                <w:szCs w:val="19"/>
                <w:lang w:eastAsia="cs-CZ"/>
              </w:rPr>
            </w:pPr>
            <w:r w:rsidRPr="00934F8B">
              <w:rPr>
                <w:rFonts w:ascii="Calibri" w:eastAsia="Times New Roman" w:hAnsi="Calibri" w:cs="Times New Roman"/>
                <w:b/>
                <w:color w:val="000000"/>
                <w:sz w:val="19"/>
                <w:szCs w:val="19"/>
                <w:lang w:eastAsia="cs-CZ"/>
              </w:rPr>
              <w:t>ZPF</w:t>
            </w:r>
          </w:p>
        </w:tc>
        <w:tc>
          <w:tcPr>
            <w:tcW w:w="797" w:type="pct"/>
            <w:tcBorders>
              <w:top w:val="single" w:sz="12" w:space="0" w:color="auto"/>
            </w:tcBorders>
            <w:shd w:val="clear" w:color="auto" w:fill="auto"/>
            <w:noWrap/>
            <w:vAlign w:val="center"/>
          </w:tcPr>
          <w:p w14:paraId="1A3C114F" w14:textId="4B57064C" w:rsidR="009C0179" w:rsidRPr="00385A76" w:rsidRDefault="00012C88" w:rsidP="00566E46">
            <w:pPr>
              <w:jc w:val="right"/>
              <w:rPr>
                <w:rFonts w:ascii="Calibri" w:hAnsi="Calibri" w:cs="Calibri"/>
                <w:color w:val="000000"/>
                <w:sz w:val="20"/>
                <w:szCs w:val="20"/>
              </w:rPr>
            </w:pPr>
            <w:r>
              <w:rPr>
                <w:rFonts w:ascii="Calibri" w:hAnsi="Calibri" w:cs="Calibri"/>
                <w:color w:val="000000"/>
                <w:sz w:val="20"/>
                <w:szCs w:val="20"/>
              </w:rPr>
              <w:t>63,6</w:t>
            </w:r>
          </w:p>
        </w:tc>
        <w:tc>
          <w:tcPr>
            <w:tcW w:w="885" w:type="pct"/>
            <w:tcBorders>
              <w:top w:val="single" w:sz="12" w:space="0" w:color="auto"/>
            </w:tcBorders>
            <w:shd w:val="clear" w:color="auto" w:fill="auto"/>
            <w:noWrap/>
            <w:vAlign w:val="center"/>
          </w:tcPr>
          <w:p w14:paraId="0D70B1B5" w14:textId="66524625" w:rsidR="009C0179" w:rsidRPr="00385A76" w:rsidRDefault="00012C88" w:rsidP="00566E46">
            <w:pPr>
              <w:jc w:val="right"/>
              <w:rPr>
                <w:rFonts w:ascii="Calibri" w:hAnsi="Calibri" w:cs="Calibri"/>
                <w:color w:val="000000"/>
                <w:sz w:val="20"/>
                <w:szCs w:val="20"/>
              </w:rPr>
            </w:pPr>
            <w:r>
              <w:rPr>
                <w:rFonts w:ascii="Calibri" w:hAnsi="Calibri" w:cs="Calibri"/>
                <w:color w:val="000000"/>
                <w:sz w:val="20"/>
                <w:szCs w:val="20"/>
              </w:rPr>
              <w:t>44,7</w:t>
            </w:r>
          </w:p>
        </w:tc>
        <w:tc>
          <w:tcPr>
            <w:tcW w:w="1062" w:type="pct"/>
            <w:tcBorders>
              <w:top w:val="single" w:sz="12" w:space="0" w:color="auto"/>
            </w:tcBorders>
            <w:vAlign w:val="center"/>
          </w:tcPr>
          <w:p w14:paraId="375E3476" w14:textId="39BDA3FB" w:rsidR="009C0179" w:rsidRPr="00385A76" w:rsidRDefault="00012C88" w:rsidP="00566E46">
            <w:pPr>
              <w:jc w:val="right"/>
              <w:rPr>
                <w:rFonts w:ascii="Calibri" w:hAnsi="Calibri" w:cs="Calibri"/>
                <w:color w:val="000000"/>
                <w:sz w:val="20"/>
                <w:szCs w:val="20"/>
              </w:rPr>
            </w:pPr>
            <w:r>
              <w:rPr>
                <w:rFonts w:ascii="Calibri" w:hAnsi="Calibri" w:cs="Calibri"/>
                <w:color w:val="000000"/>
                <w:sz w:val="20"/>
                <w:szCs w:val="20"/>
              </w:rPr>
              <w:t>44,4</w:t>
            </w:r>
          </w:p>
        </w:tc>
        <w:tc>
          <w:tcPr>
            <w:tcW w:w="1151" w:type="pct"/>
            <w:tcBorders>
              <w:top w:val="single" w:sz="12" w:space="0" w:color="auto"/>
            </w:tcBorders>
            <w:shd w:val="clear" w:color="auto" w:fill="auto"/>
            <w:noWrap/>
            <w:vAlign w:val="center"/>
          </w:tcPr>
          <w:p w14:paraId="340F6630" w14:textId="7FC145DA" w:rsidR="009C0179" w:rsidRPr="00385A76" w:rsidRDefault="00012C88" w:rsidP="00566E46">
            <w:pPr>
              <w:jc w:val="right"/>
              <w:rPr>
                <w:rFonts w:ascii="Calibri" w:hAnsi="Calibri" w:cs="Calibri"/>
                <w:color w:val="000000"/>
                <w:sz w:val="20"/>
                <w:szCs w:val="20"/>
              </w:rPr>
            </w:pPr>
            <w:r>
              <w:rPr>
                <w:rFonts w:ascii="Calibri" w:hAnsi="Calibri" w:cs="Calibri"/>
                <w:color w:val="000000"/>
                <w:sz w:val="20"/>
                <w:szCs w:val="20"/>
              </w:rPr>
              <w:t>48,4</w:t>
            </w:r>
          </w:p>
        </w:tc>
      </w:tr>
      <w:tr w:rsidR="009C0179" w:rsidRPr="00934F8B" w14:paraId="36EF0ED1" w14:textId="77777777" w:rsidTr="00566E46">
        <w:trPr>
          <w:trHeight w:val="300"/>
          <w:jc w:val="center"/>
        </w:trPr>
        <w:tc>
          <w:tcPr>
            <w:tcW w:w="1105" w:type="pct"/>
            <w:shd w:val="clear" w:color="auto" w:fill="D9D9D9" w:themeFill="background1" w:themeFillShade="D9"/>
            <w:noWrap/>
            <w:vAlign w:val="center"/>
            <w:hideMark/>
          </w:tcPr>
          <w:p w14:paraId="434F8B80" w14:textId="77777777" w:rsidR="009C0179" w:rsidRPr="00934F8B" w:rsidRDefault="009C0179" w:rsidP="00566E46">
            <w:pPr>
              <w:jc w:val="center"/>
              <w:rPr>
                <w:rFonts w:ascii="Calibri" w:eastAsia="Times New Roman" w:hAnsi="Calibri" w:cs="Times New Roman"/>
                <w:b/>
                <w:color w:val="000000"/>
                <w:sz w:val="19"/>
                <w:szCs w:val="19"/>
                <w:lang w:eastAsia="cs-CZ"/>
              </w:rPr>
            </w:pPr>
            <w:r w:rsidRPr="00934F8B">
              <w:rPr>
                <w:rFonts w:ascii="Calibri" w:eastAsia="Times New Roman" w:hAnsi="Calibri" w:cs="Times New Roman"/>
                <w:b/>
                <w:color w:val="000000"/>
                <w:sz w:val="19"/>
                <w:szCs w:val="19"/>
                <w:lang w:eastAsia="cs-CZ"/>
              </w:rPr>
              <w:t>Nezemědělská půda</w:t>
            </w:r>
          </w:p>
        </w:tc>
        <w:tc>
          <w:tcPr>
            <w:tcW w:w="797" w:type="pct"/>
            <w:shd w:val="clear" w:color="auto" w:fill="auto"/>
            <w:noWrap/>
            <w:vAlign w:val="center"/>
          </w:tcPr>
          <w:p w14:paraId="5DA7817E" w14:textId="77FF82C8" w:rsidR="009C0179" w:rsidRPr="00385A76" w:rsidRDefault="00012C88" w:rsidP="00566E46">
            <w:pPr>
              <w:jc w:val="right"/>
              <w:rPr>
                <w:rFonts w:ascii="Calibri" w:hAnsi="Calibri" w:cs="Calibri"/>
                <w:color w:val="000000"/>
                <w:sz w:val="20"/>
                <w:szCs w:val="20"/>
              </w:rPr>
            </w:pPr>
            <w:r>
              <w:rPr>
                <w:rFonts w:ascii="Calibri" w:hAnsi="Calibri" w:cs="Calibri"/>
                <w:color w:val="000000"/>
                <w:sz w:val="20"/>
                <w:szCs w:val="20"/>
              </w:rPr>
              <w:t>36,4</w:t>
            </w:r>
          </w:p>
        </w:tc>
        <w:tc>
          <w:tcPr>
            <w:tcW w:w="885" w:type="pct"/>
            <w:shd w:val="clear" w:color="auto" w:fill="auto"/>
            <w:noWrap/>
            <w:vAlign w:val="center"/>
          </w:tcPr>
          <w:p w14:paraId="7E1FB05C" w14:textId="191D84EF" w:rsidR="009C0179" w:rsidRPr="00385A76" w:rsidRDefault="00012C88" w:rsidP="00566E46">
            <w:pPr>
              <w:jc w:val="right"/>
              <w:rPr>
                <w:rFonts w:ascii="Calibri" w:hAnsi="Calibri" w:cs="Calibri"/>
                <w:color w:val="000000"/>
                <w:sz w:val="20"/>
                <w:szCs w:val="20"/>
              </w:rPr>
            </w:pPr>
            <w:r>
              <w:rPr>
                <w:rFonts w:ascii="Calibri" w:hAnsi="Calibri" w:cs="Calibri"/>
                <w:color w:val="000000"/>
                <w:sz w:val="20"/>
                <w:szCs w:val="20"/>
              </w:rPr>
              <w:t>55,3</w:t>
            </w:r>
          </w:p>
        </w:tc>
        <w:tc>
          <w:tcPr>
            <w:tcW w:w="1062" w:type="pct"/>
            <w:vAlign w:val="center"/>
          </w:tcPr>
          <w:p w14:paraId="20BDC7B7" w14:textId="6E6D692E" w:rsidR="009C0179" w:rsidRPr="00385A76" w:rsidRDefault="00012C88" w:rsidP="00566E46">
            <w:pPr>
              <w:jc w:val="right"/>
              <w:rPr>
                <w:rFonts w:ascii="Calibri" w:hAnsi="Calibri" w:cs="Calibri"/>
                <w:color w:val="000000"/>
                <w:sz w:val="20"/>
                <w:szCs w:val="20"/>
              </w:rPr>
            </w:pPr>
            <w:r>
              <w:rPr>
                <w:rFonts w:ascii="Calibri" w:hAnsi="Calibri" w:cs="Calibri"/>
                <w:color w:val="000000"/>
                <w:sz w:val="20"/>
                <w:szCs w:val="20"/>
              </w:rPr>
              <w:t>55,6</w:t>
            </w:r>
          </w:p>
        </w:tc>
        <w:tc>
          <w:tcPr>
            <w:tcW w:w="1151" w:type="pct"/>
            <w:shd w:val="clear" w:color="auto" w:fill="auto"/>
            <w:noWrap/>
            <w:vAlign w:val="center"/>
          </w:tcPr>
          <w:p w14:paraId="2BA3688F" w14:textId="174E89F0" w:rsidR="009C0179" w:rsidRPr="00385A76" w:rsidRDefault="00012C88" w:rsidP="00566E46">
            <w:pPr>
              <w:jc w:val="right"/>
              <w:rPr>
                <w:rFonts w:ascii="Calibri" w:hAnsi="Calibri" w:cs="Calibri"/>
                <w:color w:val="000000"/>
                <w:sz w:val="20"/>
                <w:szCs w:val="20"/>
              </w:rPr>
            </w:pPr>
            <w:r>
              <w:rPr>
                <w:rFonts w:ascii="Calibri" w:hAnsi="Calibri" w:cs="Calibri"/>
                <w:color w:val="000000"/>
                <w:sz w:val="20"/>
                <w:szCs w:val="20"/>
              </w:rPr>
              <w:t>51,6</w:t>
            </w:r>
          </w:p>
        </w:tc>
      </w:tr>
    </w:tbl>
    <w:p w14:paraId="0C182BBD" w14:textId="6BAAD2AF" w:rsidR="009C0179" w:rsidRPr="00FC6368" w:rsidRDefault="009C0179" w:rsidP="009C0179">
      <w:pPr>
        <w:jc w:val="both"/>
        <w:rPr>
          <w:sz w:val="20"/>
          <w:szCs w:val="20"/>
        </w:rPr>
      </w:pPr>
      <w:r>
        <w:rPr>
          <w:b/>
          <w:sz w:val="20"/>
          <w:szCs w:val="20"/>
        </w:rPr>
        <w:t xml:space="preserve">Poznámky: </w:t>
      </w:r>
      <w:r>
        <w:rPr>
          <w:sz w:val="20"/>
          <w:szCs w:val="20"/>
        </w:rPr>
        <w:t>Do ZPF byly zařazeny druhy pozemků: orná půda, zahrada</w:t>
      </w:r>
      <w:r w:rsidR="00A00956">
        <w:rPr>
          <w:sz w:val="20"/>
          <w:szCs w:val="20"/>
        </w:rPr>
        <w:t xml:space="preserve"> </w:t>
      </w:r>
      <w:r>
        <w:rPr>
          <w:sz w:val="20"/>
          <w:szCs w:val="20"/>
        </w:rPr>
        <w:t>a trvalý travní porost. Zařazen</w:t>
      </w:r>
      <w:r w:rsidR="00A00956">
        <w:rPr>
          <w:sz w:val="20"/>
          <w:szCs w:val="20"/>
        </w:rPr>
        <w:t>y</w:t>
      </w:r>
      <w:r>
        <w:rPr>
          <w:sz w:val="20"/>
          <w:szCs w:val="20"/>
        </w:rPr>
        <w:t xml:space="preserve"> by byl</w:t>
      </w:r>
      <w:r w:rsidR="00A00956">
        <w:rPr>
          <w:sz w:val="20"/>
          <w:szCs w:val="20"/>
        </w:rPr>
        <w:t>y</w:t>
      </w:r>
      <w:r>
        <w:rPr>
          <w:sz w:val="20"/>
          <w:szCs w:val="20"/>
        </w:rPr>
        <w:t xml:space="preserve"> i druh</w:t>
      </w:r>
      <w:r w:rsidR="00A00956">
        <w:rPr>
          <w:sz w:val="20"/>
          <w:szCs w:val="20"/>
        </w:rPr>
        <w:t>y</w:t>
      </w:r>
      <w:r>
        <w:rPr>
          <w:sz w:val="20"/>
          <w:szCs w:val="20"/>
        </w:rPr>
        <w:t xml:space="preserve"> pozemku </w:t>
      </w:r>
      <w:r w:rsidR="00A00956">
        <w:rPr>
          <w:sz w:val="20"/>
          <w:szCs w:val="20"/>
        </w:rPr>
        <w:t xml:space="preserve">„ovocný sad“ a </w:t>
      </w:r>
      <w:r>
        <w:rPr>
          <w:sz w:val="20"/>
          <w:szCs w:val="20"/>
        </w:rPr>
        <w:t>„chmelnice a vinice“, t</w:t>
      </w:r>
      <w:r w:rsidR="00A00956">
        <w:rPr>
          <w:sz w:val="20"/>
          <w:szCs w:val="20"/>
        </w:rPr>
        <w:t>y</w:t>
      </w:r>
      <w:r>
        <w:rPr>
          <w:sz w:val="20"/>
          <w:szCs w:val="20"/>
        </w:rPr>
        <w:t xml:space="preserve"> se však na území obce </w:t>
      </w:r>
      <w:r w:rsidR="00A00956">
        <w:rPr>
          <w:sz w:val="20"/>
          <w:szCs w:val="20"/>
        </w:rPr>
        <w:t>Staré Buky</w:t>
      </w:r>
      <w:r w:rsidRPr="00ED4205">
        <w:rPr>
          <w:sz w:val="20"/>
          <w:szCs w:val="20"/>
        </w:rPr>
        <w:t xml:space="preserve"> </w:t>
      </w:r>
      <w:r>
        <w:rPr>
          <w:sz w:val="20"/>
          <w:szCs w:val="20"/>
        </w:rPr>
        <w:t>nevyskytuj</w:t>
      </w:r>
      <w:r w:rsidR="00A00956">
        <w:rPr>
          <w:sz w:val="20"/>
          <w:szCs w:val="20"/>
        </w:rPr>
        <w:t>í</w:t>
      </w:r>
      <w:r>
        <w:rPr>
          <w:sz w:val="20"/>
          <w:szCs w:val="20"/>
        </w:rPr>
        <w:t xml:space="preserve">. </w:t>
      </w:r>
      <w:r>
        <w:rPr>
          <w:sz w:val="20"/>
          <w:szCs w:val="20"/>
        </w:rPr>
        <w:br/>
        <w:t>Do nezemědělské půdy byly zařazeny druhy pozemků: lesní pozemek, vodní plocha, zastavěná plocha a nádvoří a ostatní plocha.</w:t>
      </w:r>
    </w:p>
    <w:p w14:paraId="1652B3E6" w14:textId="77777777" w:rsidR="009C0179" w:rsidRPr="00285819" w:rsidRDefault="009C0179" w:rsidP="009C0179">
      <w:pPr>
        <w:spacing w:after="160"/>
        <w:jc w:val="both"/>
        <w:rPr>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86" w:history="1">
        <w:r w:rsidRPr="00BE7DBF">
          <w:rPr>
            <w:rStyle w:val="Hypertextovodkaz"/>
            <w:rFonts w:eastAsia="TimesNewRoman" w:cs="TimesNewRoman"/>
            <w:sz w:val="20"/>
            <w:szCs w:val="20"/>
          </w:rPr>
          <w:t>https://nahlizenidokn.cuzk.cz/</w:t>
        </w:r>
      </w:hyperlink>
    </w:p>
    <w:p w14:paraId="20EF88D1" w14:textId="515BA977" w:rsidR="009C0179" w:rsidRDefault="009C0179" w:rsidP="009C0179">
      <w:pPr>
        <w:spacing w:after="160" w:line="259" w:lineRule="auto"/>
        <w:jc w:val="both"/>
      </w:pPr>
      <w:r>
        <w:lastRenderedPageBreak/>
        <w:t>Z této tabulky vyplývá, že k</w:t>
      </w:r>
      <w:r w:rsidR="00EB7927">
        <w:t>e květnu</w:t>
      </w:r>
      <w:r>
        <w:t xml:space="preserve"> 2022 byl v obci poměr ZPF a nezemědělské půdy téměř vyrovnaný.</w:t>
      </w:r>
      <w:r w:rsidRPr="000633F1">
        <w:t xml:space="preserve"> </w:t>
      </w:r>
      <w:r>
        <w:t xml:space="preserve">Jednotlivá k.ú. se mezi sebou </w:t>
      </w:r>
      <w:r w:rsidR="00EB7927">
        <w:t>částečně</w:t>
      </w:r>
      <w:r>
        <w:t xml:space="preserve"> liší. V případě k.ú. </w:t>
      </w:r>
      <w:r w:rsidR="00EB7927" w:rsidRPr="00EB7927">
        <w:t xml:space="preserve">Horní Staré Buky </w:t>
      </w:r>
      <w:r>
        <w:t xml:space="preserve">a </w:t>
      </w:r>
      <w:r w:rsidR="00EB7927" w:rsidRPr="00EB7927">
        <w:t>Prostřední Staré Buky</w:t>
      </w:r>
      <w:r w:rsidRPr="00B426CD">
        <w:t xml:space="preserve"> </w:t>
      </w:r>
      <w:r>
        <w:t xml:space="preserve">převažovala nezemědělská půda nad ZPF. V případě k.ú. </w:t>
      </w:r>
      <w:r w:rsidR="00EB7927" w:rsidRPr="00EB7927">
        <w:t xml:space="preserve">Dolní Staré Buky </w:t>
      </w:r>
      <w:r>
        <w:t>naopak výrazně převažoval ZPF nad nezemědělskou půdou.</w:t>
      </w:r>
    </w:p>
    <w:p w14:paraId="20608561" w14:textId="4E12C9DD" w:rsidR="009C0179" w:rsidRDefault="009C0179" w:rsidP="009C0179">
      <w:pPr>
        <w:spacing w:after="160" w:line="259" w:lineRule="auto"/>
        <w:jc w:val="both"/>
      </w:pPr>
      <w:r>
        <w:t xml:space="preserve">Pro přehlednost rozdělení zemědělské a nezemědělské půdy na území obce </w:t>
      </w:r>
      <w:r w:rsidR="00EB7927">
        <w:t>Staré Buky</w:t>
      </w:r>
      <w:r>
        <w:t xml:space="preserve"> podle procentuálního zastoupení jednotlivých druhů pozemků </w:t>
      </w:r>
      <w:r w:rsidRPr="000F6BD6">
        <w:t>znázorňují grafy 1</w:t>
      </w:r>
      <w:r>
        <w:t>0</w:t>
      </w:r>
      <w:r w:rsidRPr="000F6BD6">
        <w:t xml:space="preserve"> a 1</w:t>
      </w:r>
      <w:r>
        <w:t>1</w:t>
      </w:r>
      <w:r w:rsidRPr="000F6BD6">
        <w:t>.</w:t>
      </w:r>
    </w:p>
    <w:p w14:paraId="3CA13363" w14:textId="75ECC5A7" w:rsidR="002361B1" w:rsidRDefault="002361B1" w:rsidP="00954060">
      <w:pPr>
        <w:spacing w:after="160" w:line="259" w:lineRule="auto"/>
        <w:jc w:val="both"/>
      </w:pPr>
    </w:p>
    <w:p w14:paraId="0F3D2978" w14:textId="52381473" w:rsidR="00954060" w:rsidRPr="00CE72A0" w:rsidRDefault="00954060" w:rsidP="00954060">
      <w:pPr>
        <w:pStyle w:val="GRAF0"/>
      </w:pPr>
      <w:bookmarkStart w:id="338" w:name="_Toc450153544"/>
      <w:bookmarkStart w:id="339" w:name="_Toc32577912"/>
      <w:bookmarkStart w:id="340" w:name="_Toc104472755"/>
      <w:bookmarkStart w:id="341" w:name="_Toc120651989"/>
      <w:r w:rsidRPr="000F6BD6">
        <w:t xml:space="preserve">Graf </w:t>
      </w:r>
      <w:r w:rsidR="00EA0C32">
        <w:t>10</w:t>
      </w:r>
      <w:r w:rsidRPr="000F6BD6">
        <w:t>:</w:t>
      </w:r>
      <w:r w:rsidRPr="00EB77E0">
        <w:t xml:space="preserve"> Zemědělská</w:t>
      </w:r>
      <w:r w:rsidRPr="00CE72A0">
        <w:t xml:space="preserve"> půda na území </w:t>
      </w:r>
      <w:r>
        <w:t xml:space="preserve">obce </w:t>
      </w:r>
      <w:r w:rsidR="00EA0C32">
        <w:t>Staré Buky</w:t>
      </w:r>
      <w:r w:rsidRPr="00CE72A0">
        <w:t xml:space="preserve"> podle zastoupení jednotlivých druhů pozemků </w:t>
      </w:r>
      <w:r w:rsidR="00AD7F2F">
        <w:br/>
      </w:r>
      <w:r w:rsidRPr="00CE72A0">
        <w:t>(v %)</w:t>
      </w:r>
      <w:bookmarkEnd w:id="338"/>
      <w:bookmarkEnd w:id="339"/>
      <w:bookmarkEnd w:id="340"/>
      <w:bookmarkEnd w:id="341"/>
    </w:p>
    <w:p w14:paraId="386CA587" w14:textId="300DEFE7" w:rsidR="00954060" w:rsidRDefault="003D5778" w:rsidP="00EB77E0">
      <w:pPr>
        <w:spacing w:line="360" w:lineRule="auto"/>
        <w:jc w:val="center"/>
      </w:pPr>
      <w:r>
        <w:rPr>
          <w:noProof/>
        </w:rPr>
        <w:drawing>
          <wp:inline distT="0" distB="0" distL="0" distR="0" wp14:anchorId="21B943DE" wp14:editId="3D48173D">
            <wp:extent cx="4457700" cy="2430780"/>
            <wp:effectExtent l="0" t="0" r="0" b="0"/>
            <wp:docPr id="224" name="Graf 224">
              <a:extLst xmlns:a="http://schemas.openxmlformats.org/drawingml/2006/main">
                <a:ext uri="{FF2B5EF4-FFF2-40B4-BE49-F238E27FC236}">
                  <a16:creationId xmlns:a16="http://schemas.microsoft.com/office/drawing/2014/main" id="{0EF70BB1-F7C4-4FF4-BD9F-FFC4C21046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B170A14" w14:textId="290503D2" w:rsidR="00954060" w:rsidRDefault="00954060" w:rsidP="00954060">
      <w:pPr>
        <w:spacing w:after="160"/>
        <w:jc w:val="both"/>
        <w:rPr>
          <w:rStyle w:val="Hypertextovodkaz"/>
          <w:rFonts w:eastAsia="TimesNewRoman" w:cs="TimesNewRoman"/>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88" w:history="1">
        <w:r w:rsidR="002361B1" w:rsidRPr="00BE7DBF">
          <w:rPr>
            <w:rStyle w:val="Hypertextovodkaz"/>
            <w:rFonts w:eastAsia="TimesNewRoman" w:cs="TimesNewRoman"/>
            <w:sz w:val="20"/>
            <w:szCs w:val="20"/>
          </w:rPr>
          <w:t>https://nahlizenidokn.cuzk.cz/</w:t>
        </w:r>
      </w:hyperlink>
    </w:p>
    <w:p w14:paraId="40706588" w14:textId="77777777" w:rsidR="00EA0C32" w:rsidRDefault="00EA0C32" w:rsidP="00954060">
      <w:pPr>
        <w:spacing w:after="160"/>
        <w:jc w:val="both"/>
        <w:rPr>
          <w:rStyle w:val="Hypertextovodkaz"/>
          <w:rFonts w:eastAsia="TimesNewRoman" w:cs="TimesNewRoman"/>
          <w:sz w:val="20"/>
          <w:szCs w:val="20"/>
        </w:rPr>
      </w:pPr>
    </w:p>
    <w:p w14:paraId="27452F33" w14:textId="7C03634A" w:rsidR="00954060" w:rsidRPr="00CE72A0" w:rsidRDefault="00954060" w:rsidP="00954060">
      <w:pPr>
        <w:pStyle w:val="GRAF0"/>
      </w:pPr>
      <w:bookmarkStart w:id="342" w:name="_Toc450153545"/>
      <w:bookmarkStart w:id="343" w:name="_Toc32577913"/>
      <w:bookmarkStart w:id="344" w:name="_Toc104472756"/>
      <w:bookmarkStart w:id="345" w:name="_Toc120651990"/>
      <w:r w:rsidRPr="000F6BD6">
        <w:t xml:space="preserve">Graf </w:t>
      </w:r>
      <w:r w:rsidR="000F6BD6" w:rsidRPr="000F6BD6">
        <w:t>1</w:t>
      </w:r>
      <w:r w:rsidR="00EA0C32">
        <w:t>1</w:t>
      </w:r>
      <w:r w:rsidRPr="00EB77E0">
        <w:t>: Nezemědělská</w:t>
      </w:r>
      <w:r w:rsidRPr="00CE72A0">
        <w:t xml:space="preserve"> půda na území </w:t>
      </w:r>
      <w:r>
        <w:t xml:space="preserve">obce </w:t>
      </w:r>
      <w:r w:rsidR="00EA0C32">
        <w:t>Staré Buky</w:t>
      </w:r>
      <w:r w:rsidRPr="00CE72A0">
        <w:t xml:space="preserve"> podle zastoupení jednotlivých druhů pozemků (v %)</w:t>
      </w:r>
      <w:bookmarkEnd w:id="342"/>
      <w:bookmarkEnd w:id="343"/>
      <w:bookmarkEnd w:id="344"/>
      <w:bookmarkEnd w:id="345"/>
    </w:p>
    <w:p w14:paraId="24307472" w14:textId="4FF30A9E" w:rsidR="00954060" w:rsidRDefault="003D5778" w:rsidP="00954060">
      <w:pPr>
        <w:spacing w:line="360" w:lineRule="auto"/>
        <w:jc w:val="center"/>
      </w:pPr>
      <w:r>
        <w:rPr>
          <w:noProof/>
        </w:rPr>
        <w:drawing>
          <wp:inline distT="0" distB="0" distL="0" distR="0" wp14:anchorId="39EB38AD" wp14:editId="01214B3A">
            <wp:extent cx="4503420" cy="2628900"/>
            <wp:effectExtent l="0" t="0" r="0" b="0"/>
            <wp:docPr id="228" name="Graf 228">
              <a:extLst xmlns:a="http://schemas.openxmlformats.org/drawingml/2006/main">
                <a:ext uri="{FF2B5EF4-FFF2-40B4-BE49-F238E27FC236}">
                  <a16:creationId xmlns:a16="http://schemas.microsoft.com/office/drawing/2014/main" id="{29FF8166-2F21-4019-AACE-EBAEB44E6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1F006BD" w14:textId="77777777" w:rsidR="00954060" w:rsidRPr="00B44003" w:rsidRDefault="00954060" w:rsidP="00954060">
      <w:pPr>
        <w:spacing w:after="160"/>
        <w:jc w:val="both"/>
        <w:rPr>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90" w:history="1">
        <w:r w:rsidR="002361B1" w:rsidRPr="00BE7DBF">
          <w:rPr>
            <w:rStyle w:val="Hypertextovodkaz"/>
            <w:rFonts w:eastAsia="TimesNewRoman" w:cs="TimesNewRoman"/>
            <w:sz w:val="20"/>
            <w:szCs w:val="20"/>
          </w:rPr>
          <w:t>https://nahlizenidokn.cuzk.cz/</w:t>
        </w:r>
      </w:hyperlink>
    </w:p>
    <w:p w14:paraId="3C1DEFB9" w14:textId="77777777" w:rsidR="00271498" w:rsidRDefault="00271498" w:rsidP="00EB77E0">
      <w:pPr>
        <w:spacing w:after="160" w:line="259" w:lineRule="auto"/>
        <w:jc w:val="both"/>
      </w:pPr>
    </w:p>
    <w:p w14:paraId="3C1A943E" w14:textId="01B39C6A" w:rsidR="00954060" w:rsidRDefault="003521F5" w:rsidP="00EB77E0">
      <w:pPr>
        <w:spacing w:after="160" w:line="259" w:lineRule="auto"/>
        <w:jc w:val="both"/>
      </w:pPr>
      <w:r>
        <w:lastRenderedPageBreak/>
        <w:t xml:space="preserve">Z těchto grafů vyplývá, že </w:t>
      </w:r>
      <w:r w:rsidR="0053357D">
        <w:t>více než</w:t>
      </w:r>
      <w:r>
        <w:t xml:space="preserve"> </w:t>
      </w:r>
      <w:r w:rsidR="002B1E2F">
        <w:t xml:space="preserve">½ </w:t>
      </w:r>
      <w:r>
        <w:t xml:space="preserve">zemědělské půdy na území obce </w:t>
      </w:r>
      <w:r w:rsidR="002B1E2F">
        <w:t>Staré Buky</w:t>
      </w:r>
      <w:r>
        <w:t xml:space="preserve"> je tvořena </w:t>
      </w:r>
      <w:r w:rsidR="002B1E2F">
        <w:t>trvalými travními porosty</w:t>
      </w:r>
      <w:r>
        <w:t>, následu</w:t>
      </w:r>
      <w:r w:rsidR="002B1E2F">
        <w:t>je orná půda</w:t>
      </w:r>
      <w:r>
        <w:t> </w:t>
      </w:r>
      <w:r w:rsidR="002B1E2F">
        <w:t>(necelých 42</w:t>
      </w:r>
      <w:r>
        <w:t xml:space="preserve"> %</w:t>
      </w:r>
      <w:r w:rsidR="002B1E2F">
        <w:t>)</w:t>
      </w:r>
      <w:r>
        <w:t xml:space="preserve"> a zbývající malý podíl připadá na zahrady</w:t>
      </w:r>
      <w:r w:rsidR="00954060">
        <w:t xml:space="preserve">. </w:t>
      </w:r>
      <w:r w:rsidR="002B1E2F">
        <w:t>Téměř 83 %</w:t>
      </w:r>
      <w:r w:rsidR="0053357D">
        <w:t xml:space="preserve"> </w:t>
      </w:r>
      <w:r w:rsidR="00954060">
        <w:t xml:space="preserve">nezemědělské půdy </w:t>
      </w:r>
      <w:r>
        <w:t>je</w:t>
      </w:r>
      <w:r w:rsidR="00954060">
        <w:t xml:space="preserve"> na území obce tvořen</w:t>
      </w:r>
      <w:r>
        <w:t>o</w:t>
      </w:r>
      <w:r w:rsidR="00954060">
        <w:t xml:space="preserve"> </w:t>
      </w:r>
      <w:r w:rsidR="00D47CFF">
        <w:t>lesními pozemky</w:t>
      </w:r>
      <w:r w:rsidR="00954060">
        <w:t>.</w:t>
      </w:r>
    </w:p>
    <w:p w14:paraId="4C54F144" w14:textId="77777777" w:rsidR="0088236C" w:rsidRDefault="0088236C" w:rsidP="00EB77E0">
      <w:pPr>
        <w:spacing w:after="160" w:line="259" w:lineRule="auto"/>
        <w:jc w:val="both"/>
      </w:pPr>
    </w:p>
    <w:p w14:paraId="62B5F1E0" w14:textId="1A290A55" w:rsidR="00954060" w:rsidRDefault="00954060" w:rsidP="00EB77E0">
      <w:pPr>
        <w:spacing w:after="160" w:line="259" w:lineRule="auto"/>
        <w:jc w:val="both"/>
      </w:pPr>
      <w:r>
        <w:t>Ochrana ZPF souvisí s hodnocením kvality půd, která se hodnotí pomocí tzv. bonitovaných půdně ekologických jednotek (BPEJ)</w:t>
      </w:r>
      <w:r>
        <w:rPr>
          <w:rStyle w:val="Znakapoznpodarou"/>
        </w:rPr>
        <w:footnoteReference w:id="42"/>
      </w:r>
      <w:r>
        <w:t>. Ochrana půd se dělí celkem do pěti tříd</w:t>
      </w:r>
      <w:r w:rsidRPr="007E1322">
        <w:rPr>
          <w:rStyle w:val="Znakapoznpodarou"/>
        </w:rPr>
        <w:footnoteReference w:id="43"/>
      </w:r>
      <w:r w:rsidRPr="007E1322">
        <w:t xml:space="preserve">. Na území obce </w:t>
      </w:r>
      <w:r w:rsidR="009F1727">
        <w:t>Staré Buky</w:t>
      </w:r>
      <w:r w:rsidRPr="007E1322">
        <w:t xml:space="preserve"> </w:t>
      </w:r>
      <w:r w:rsidR="00EB77E0" w:rsidRPr="007E1322">
        <w:br/>
      </w:r>
      <w:r w:rsidRPr="007E1322">
        <w:t xml:space="preserve">se nacházejí půdy se </w:t>
      </w:r>
      <w:r w:rsidR="00476912" w:rsidRPr="007E1322">
        <w:t>všemi</w:t>
      </w:r>
      <w:r w:rsidRPr="007E1322">
        <w:t xml:space="preserve"> třídami ochrany </w:t>
      </w:r>
      <w:r w:rsidRPr="001345DD">
        <w:t xml:space="preserve">(obrázek </w:t>
      </w:r>
      <w:r w:rsidR="00BF57D8">
        <w:t>10</w:t>
      </w:r>
      <w:r w:rsidRPr="007E1322">
        <w:t xml:space="preserve">). </w:t>
      </w:r>
      <w:r w:rsidR="00C05C7D" w:rsidRPr="007E1322">
        <w:t>Bonitně nejcennější půdy</w:t>
      </w:r>
      <w:r w:rsidR="00C05C7D">
        <w:t xml:space="preserve"> (vyznačeny červenou barvou) se na území obce </w:t>
      </w:r>
      <w:r w:rsidR="009D17B4">
        <w:t xml:space="preserve">nacházejí </w:t>
      </w:r>
      <w:r w:rsidR="007E1322">
        <w:t xml:space="preserve">především </w:t>
      </w:r>
      <w:r w:rsidR="009F1727">
        <w:t>v severní</w:t>
      </w:r>
      <w:r w:rsidR="007E1322">
        <w:t xml:space="preserve"> části</w:t>
      </w:r>
      <w:r w:rsidR="009D17B4">
        <w:t xml:space="preserve"> </w:t>
      </w:r>
      <w:r w:rsidR="007E1322">
        <w:t>území obce</w:t>
      </w:r>
      <w:r w:rsidR="009F1727">
        <w:t>, dále ostrůvkovitě v dalších částí území obce</w:t>
      </w:r>
      <w:r w:rsidR="00C05C7D">
        <w:t xml:space="preserve">. </w:t>
      </w:r>
      <w:bookmarkStart w:id="347" w:name="_Hlk77196575"/>
      <w:r w:rsidR="00C05C7D">
        <w:t>Nadprůměrně produkční</w:t>
      </w:r>
      <w:r>
        <w:t xml:space="preserve"> půdy (vyznačeny béžovou barvou) se vyskytují </w:t>
      </w:r>
      <w:bookmarkEnd w:id="347"/>
      <w:r>
        <w:t xml:space="preserve">především </w:t>
      </w:r>
      <w:r w:rsidR="00172500">
        <w:t>v</w:t>
      </w:r>
      <w:r w:rsidR="009F1727">
        <w:t>e východní až centrální</w:t>
      </w:r>
      <w:r>
        <w:t xml:space="preserve"> části území obce.</w:t>
      </w:r>
    </w:p>
    <w:p w14:paraId="790D1908" w14:textId="575B10A7" w:rsidR="00172500" w:rsidRDefault="00172500" w:rsidP="00EB77E0">
      <w:pPr>
        <w:spacing w:after="160" w:line="259" w:lineRule="auto"/>
        <w:jc w:val="both"/>
      </w:pPr>
      <w:r>
        <w:br w:type="page"/>
      </w:r>
    </w:p>
    <w:p w14:paraId="06862F03" w14:textId="5249267E" w:rsidR="00954060" w:rsidRPr="003C6B64" w:rsidRDefault="00954060" w:rsidP="00954060">
      <w:pPr>
        <w:pStyle w:val="OBRZEK0"/>
      </w:pPr>
      <w:bookmarkStart w:id="348" w:name="_Toc441222016"/>
      <w:bookmarkStart w:id="349" w:name="_Toc480751886"/>
      <w:bookmarkStart w:id="350" w:name="_Toc507022270"/>
      <w:bookmarkStart w:id="351" w:name="_Toc32578396"/>
      <w:bookmarkStart w:id="352" w:name="_Toc104473131"/>
      <w:bookmarkStart w:id="353" w:name="_Toc120652029"/>
      <w:r w:rsidRPr="001345DD">
        <w:lastRenderedPageBreak/>
        <w:t xml:space="preserve">Obrázek </w:t>
      </w:r>
      <w:r w:rsidR="00BF57D8">
        <w:t>10</w:t>
      </w:r>
      <w:r w:rsidRPr="001345DD">
        <w:t>: Ochrana</w:t>
      </w:r>
      <w:r w:rsidRPr="003C6B64">
        <w:t xml:space="preserve"> ZPF na území </w:t>
      </w:r>
      <w:r>
        <w:t xml:space="preserve">obce </w:t>
      </w:r>
      <w:r w:rsidR="00C10945">
        <w:t>Staré Buky</w:t>
      </w:r>
      <w:r w:rsidRPr="003C6B64">
        <w:t xml:space="preserve"> (k</w:t>
      </w:r>
      <w:r w:rsidR="00C10945">
        <w:t xml:space="preserve">e květnu </w:t>
      </w:r>
      <w:r w:rsidR="00172500">
        <w:t>202</w:t>
      </w:r>
      <w:r w:rsidR="00C10945">
        <w:t>2</w:t>
      </w:r>
      <w:r w:rsidRPr="003C6B64">
        <w:t>)</w:t>
      </w:r>
      <w:bookmarkEnd w:id="348"/>
      <w:bookmarkEnd w:id="349"/>
      <w:bookmarkEnd w:id="350"/>
      <w:bookmarkEnd w:id="351"/>
      <w:bookmarkEnd w:id="352"/>
      <w:bookmarkEnd w:id="353"/>
      <w:r w:rsidRPr="003C6B64">
        <w:t xml:space="preserve"> </w:t>
      </w:r>
    </w:p>
    <w:p w14:paraId="64C6372A" w14:textId="00CE49EC" w:rsidR="00954060" w:rsidRDefault="00C10945" w:rsidP="00954060">
      <w:pPr>
        <w:jc w:val="center"/>
      </w:pPr>
      <w:r>
        <w:rPr>
          <w:noProof/>
        </w:rPr>
        <w:drawing>
          <wp:inline distT="0" distB="0" distL="0" distR="0" wp14:anchorId="04F6A559" wp14:editId="06CAB1C6">
            <wp:extent cx="5760720" cy="7167880"/>
            <wp:effectExtent l="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Obrázek 229"/>
                    <pic:cNvPicPr/>
                  </pic:nvPicPr>
                  <pic:blipFill>
                    <a:blip r:embed="rId91">
                      <a:extLst>
                        <a:ext uri="{28A0092B-C50C-407E-A947-70E740481C1C}">
                          <a14:useLocalDpi xmlns:a14="http://schemas.microsoft.com/office/drawing/2010/main" val="0"/>
                        </a:ext>
                      </a:extLst>
                    </a:blip>
                    <a:stretch>
                      <a:fillRect/>
                    </a:stretch>
                  </pic:blipFill>
                  <pic:spPr>
                    <a:xfrm>
                      <a:off x="0" y="0"/>
                      <a:ext cx="5760720" cy="7167880"/>
                    </a:xfrm>
                    <a:prstGeom prst="rect">
                      <a:avLst/>
                    </a:prstGeom>
                  </pic:spPr>
                </pic:pic>
              </a:graphicData>
            </a:graphic>
          </wp:inline>
        </w:drawing>
      </w:r>
    </w:p>
    <w:p w14:paraId="233F457D" w14:textId="77777777" w:rsidR="00954060" w:rsidRPr="00995E44" w:rsidRDefault="00954060" w:rsidP="00954060">
      <w:pPr>
        <w:jc w:val="both"/>
        <w:rPr>
          <w:sz w:val="20"/>
          <w:szCs w:val="20"/>
        </w:rPr>
      </w:pPr>
      <w:r w:rsidRPr="00995E44">
        <w:rPr>
          <w:b/>
          <w:sz w:val="20"/>
          <w:szCs w:val="20"/>
        </w:rPr>
        <w:t>Zdroj:</w:t>
      </w:r>
      <w:r w:rsidRPr="00995E44">
        <w:rPr>
          <w:sz w:val="20"/>
          <w:szCs w:val="20"/>
        </w:rPr>
        <w:t xml:space="preserve"> Geoportál SOWAC-GIS </w:t>
      </w:r>
      <w:hyperlink r:id="rId92" w:history="1">
        <w:r w:rsidR="005A2E2D" w:rsidRPr="00BE7DBF">
          <w:rPr>
            <w:rStyle w:val="Hypertextovodkaz"/>
            <w:sz w:val="20"/>
            <w:szCs w:val="20"/>
          </w:rPr>
          <w:t>https://geoportal.vumop.cz/</w:t>
        </w:r>
      </w:hyperlink>
      <w:r w:rsidRPr="00995E44">
        <w:rPr>
          <w:sz w:val="20"/>
          <w:szCs w:val="20"/>
        </w:rPr>
        <w:t xml:space="preserve"> </w:t>
      </w:r>
    </w:p>
    <w:p w14:paraId="00581CEE" w14:textId="77777777" w:rsidR="00673088" w:rsidRDefault="00673088" w:rsidP="00EB77E0">
      <w:pPr>
        <w:spacing w:after="160" w:line="259" w:lineRule="auto"/>
        <w:jc w:val="both"/>
      </w:pPr>
    </w:p>
    <w:p w14:paraId="4D599038" w14:textId="7FD232F6" w:rsidR="00EB77E0" w:rsidRDefault="00954060" w:rsidP="00EB77E0">
      <w:pPr>
        <w:spacing w:after="160" w:line="259" w:lineRule="auto"/>
        <w:jc w:val="both"/>
        <w:rPr>
          <w:b/>
        </w:rPr>
      </w:pPr>
      <w:bookmarkStart w:id="354" w:name="_Hlk77196657"/>
      <w:r>
        <w:t xml:space="preserve">Ohroženost půd vodní erozí na území obce </w:t>
      </w:r>
      <w:r w:rsidR="009F1727">
        <w:t>Staré Buky</w:t>
      </w:r>
      <w:r>
        <w:t xml:space="preserve"> je </w:t>
      </w:r>
      <w:r w:rsidRPr="00EB77E0">
        <w:t xml:space="preserve">znázorněna </w:t>
      </w:r>
      <w:r w:rsidRPr="001345DD">
        <w:t xml:space="preserve">na obrázku </w:t>
      </w:r>
      <w:r w:rsidR="00BF57D8">
        <w:t>11</w:t>
      </w:r>
      <w:r w:rsidRPr="00EB77E0">
        <w:t>.</w:t>
      </w:r>
      <w:bookmarkEnd w:id="354"/>
      <w:r w:rsidRPr="00EB77E0">
        <w:t xml:space="preserve"> </w:t>
      </w:r>
    </w:p>
    <w:p w14:paraId="7FFE9CF1" w14:textId="2A946F3B" w:rsidR="0042197B" w:rsidRDefault="0042197B" w:rsidP="00EB77E0">
      <w:pPr>
        <w:spacing w:after="160" w:line="259" w:lineRule="auto"/>
        <w:jc w:val="both"/>
        <w:rPr>
          <w:b/>
        </w:rPr>
      </w:pPr>
      <w:r>
        <w:rPr>
          <w:b/>
        </w:rPr>
        <w:br w:type="page"/>
      </w:r>
    </w:p>
    <w:p w14:paraId="65D7B944" w14:textId="53EE0F84" w:rsidR="00954060" w:rsidRDefault="00954060" w:rsidP="00954060">
      <w:pPr>
        <w:pStyle w:val="OBRZEK0"/>
      </w:pPr>
      <w:bookmarkStart w:id="355" w:name="_Toc441222017"/>
      <w:bookmarkStart w:id="356" w:name="_Toc480751887"/>
      <w:bookmarkStart w:id="357" w:name="_Toc507022271"/>
      <w:bookmarkStart w:id="358" w:name="_Toc32578397"/>
      <w:bookmarkStart w:id="359" w:name="_Toc104473132"/>
      <w:bookmarkStart w:id="360" w:name="_Toc120652030"/>
      <w:r w:rsidRPr="001345DD">
        <w:lastRenderedPageBreak/>
        <w:t xml:space="preserve">Obrázek </w:t>
      </w:r>
      <w:r w:rsidR="00BF57D8">
        <w:t>11</w:t>
      </w:r>
      <w:r w:rsidRPr="001345DD">
        <w:t>:</w:t>
      </w:r>
      <w:r w:rsidRPr="00221029">
        <w:t xml:space="preserve"> Ohroženost</w:t>
      </w:r>
      <w:r w:rsidRPr="00CF15ED">
        <w:t xml:space="preserve"> půd vodní erozí </w:t>
      </w:r>
      <w:r>
        <w:t>na území</w:t>
      </w:r>
      <w:r w:rsidRPr="00CF15ED">
        <w:t xml:space="preserve"> </w:t>
      </w:r>
      <w:r>
        <w:t xml:space="preserve">obce </w:t>
      </w:r>
      <w:r w:rsidR="0042469E">
        <w:t>Staré Buky</w:t>
      </w:r>
      <w:r>
        <w:t xml:space="preserve"> (</w:t>
      </w:r>
      <w:r w:rsidR="0042469E">
        <w:t>ke květnu 2022</w:t>
      </w:r>
      <w:r>
        <w:t>)</w:t>
      </w:r>
      <w:bookmarkEnd w:id="355"/>
      <w:bookmarkEnd w:id="356"/>
      <w:bookmarkEnd w:id="357"/>
      <w:bookmarkEnd w:id="358"/>
      <w:bookmarkEnd w:id="359"/>
      <w:bookmarkEnd w:id="360"/>
    </w:p>
    <w:p w14:paraId="1FEB5F50" w14:textId="70CDDCBE" w:rsidR="00954060" w:rsidRDefault="0004597D" w:rsidP="00954060">
      <w:pPr>
        <w:jc w:val="center"/>
        <w:rPr>
          <w:b/>
        </w:rPr>
      </w:pPr>
      <w:r>
        <w:rPr>
          <w:b/>
          <w:noProof/>
        </w:rPr>
        <w:drawing>
          <wp:inline distT="0" distB="0" distL="0" distR="0" wp14:anchorId="249A6AC6" wp14:editId="132C40B5">
            <wp:extent cx="3817620" cy="458796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Obrázek 230"/>
                    <pic:cNvPicPr/>
                  </pic:nvPicPr>
                  <pic:blipFill>
                    <a:blip r:embed="rId93">
                      <a:extLst>
                        <a:ext uri="{28A0092B-C50C-407E-A947-70E740481C1C}">
                          <a14:useLocalDpi xmlns:a14="http://schemas.microsoft.com/office/drawing/2010/main" val="0"/>
                        </a:ext>
                      </a:extLst>
                    </a:blip>
                    <a:stretch>
                      <a:fillRect/>
                    </a:stretch>
                  </pic:blipFill>
                  <pic:spPr>
                    <a:xfrm>
                      <a:off x="0" y="0"/>
                      <a:ext cx="3819916" cy="4590719"/>
                    </a:xfrm>
                    <a:prstGeom prst="rect">
                      <a:avLst/>
                    </a:prstGeom>
                  </pic:spPr>
                </pic:pic>
              </a:graphicData>
            </a:graphic>
          </wp:inline>
        </w:drawing>
      </w:r>
    </w:p>
    <w:p w14:paraId="23B45256" w14:textId="2F46239F" w:rsidR="00954060" w:rsidRPr="00D64FB6" w:rsidRDefault="00954060" w:rsidP="00954060">
      <w:pPr>
        <w:contextualSpacing/>
        <w:jc w:val="both"/>
        <w:rPr>
          <w:sz w:val="20"/>
          <w:szCs w:val="20"/>
        </w:rPr>
      </w:pPr>
      <w:r w:rsidRPr="00A95500">
        <w:rPr>
          <w:b/>
          <w:sz w:val="20"/>
          <w:szCs w:val="20"/>
        </w:rPr>
        <w:t>Zdroj:</w:t>
      </w:r>
      <w:r w:rsidRPr="00A95500">
        <w:rPr>
          <w:sz w:val="20"/>
          <w:szCs w:val="20"/>
        </w:rPr>
        <w:t xml:space="preserve"> Geoportál SOWAC-GIS </w:t>
      </w:r>
      <w:hyperlink r:id="rId94" w:history="1">
        <w:r w:rsidR="00573636" w:rsidRPr="00BE7DBF">
          <w:rPr>
            <w:rStyle w:val="Hypertextovodkaz"/>
            <w:sz w:val="20"/>
            <w:szCs w:val="20"/>
          </w:rPr>
          <w:t>https://geoportal.vumop.cz/</w:t>
        </w:r>
      </w:hyperlink>
    </w:p>
    <w:p w14:paraId="57C771A7" w14:textId="77777777" w:rsidR="00954060" w:rsidRDefault="00954060" w:rsidP="00EB77E0">
      <w:pPr>
        <w:spacing w:after="160" w:line="259" w:lineRule="auto"/>
        <w:jc w:val="both"/>
      </w:pPr>
    </w:p>
    <w:p w14:paraId="4B096DC7" w14:textId="6B17154D" w:rsidR="00286A88" w:rsidRDefault="00286A88" w:rsidP="00286A88">
      <w:pPr>
        <w:spacing w:after="160" w:line="259" w:lineRule="auto"/>
        <w:jc w:val="both"/>
        <w:rPr>
          <w:b/>
        </w:rPr>
      </w:pPr>
      <w:bookmarkStart w:id="361" w:name="_Toc441222018"/>
      <w:bookmarkStart w:id="362" w:name="_Toc480751888"/>
      <w:bookmarkStart w:id="363" w:name="_Toc507022272"/>
      <w:bookmarkStart w:id="364" w:name="_Toc32578398"/>
      <w:r w:rsidRPr="001345DD">
        <w:t xml:space="preserve">Z obrázku </w:t>
      </w:r>
      <w:r w:rsidR="00BF57D8">
        <w:t>11</w:t>
      </w:r>
      <w:r>
        <w:t xml:space="preserve"> vyplývá, </w:t>
      </w:r>
      <w:bookmarkStart w:id="365" w:name="_Hlk77196731"/>
      <w:r>
        <w:t xml:space="preserve">že </w:t>
      </w:r>
      <w:r w:rsidRPr="00002581">
        <w:rPr>
          <w:b/>
        </w:rPr>
        <w:t>silně erozně ohrožené</w:t>
      </w:r>
      <w:r>
        <w:t xml:space="preserve"> </w:t>
      </w:r>
      <w:r w:rsidRPr="00816A7F">
        <w:rPr>
          <w:b/>
        </w:rPr>
        <w:t xml:space="preserve">půdy </w:t>
      </w:r>
      <w:r>
        <w:rPr>
          <w:b/>
        </w:rPr>
        <w:t xml:space="preserve">se nacházejí především </w:t>
      </w:r>
      <w:r w:rsidR="00097DAD">
        <w:rPr>
          <w:b/>
        </w:rPr>
        <w:t>centrální části</w:t>
      </w:r>
      <w:r>
        <w:rPr>
          <w:b/>
        </w:rPr>
        <w:t xml:space="preserve"> území obce</w:t>
      </w:r>
      <w:r w:rsidR="00097DAD">
        <w:rPr>
          <w:b/>
        </w:rPr>
        <w:t xml:space="preserve"> a dále ostrůvkovitě i v dalších částech obce</w:t>
      </w:r>
      <w:r>
        <w:t xml:space="preserve"> (červená barva)</w:t>
      </w:r>
      <w:r w:rsidRPr="00E302FC">
        <w:rPr>
          <w:bCs/>
        </w:rPr>
        <w:t>.</w:t>
      </w:r>
      <w:r>
        <w:rPr>
          <w:b/>
        </w:rPr>
        <w:t xml:space="preserve"> Mírně erozně ohrožené půdy jsou zastoupeny již větší rozlohou, nejvíce v</w:t>
      </w:r>
      <w:r w:rsidR="00097DAD">
        <w:rPr>
          <w:b/>
        </w:rPr>
        <w:t> centrální a východní</w:t>
      </w:r>
      <w:r>
        <w:rPr>
          <w:b/>
        </w:rPr>
        <w:t xml:space="preserve"> části</w:t>
      </w:r>
      <w:r w:rsidR="00EB408C">
        <w:rPr>
          <w:b/>
        </w:rPr>
        <w:t xml:space="preserve"> území</w:t>
      </w:r>
      <w:r>
        <w:rPr>
          <w:b/>
        </w:rPr>
        <w:t xml:space="preserve"> obce </w:t>
      </w:r>
      <w:r>
        <w:t>(žlutá barva).</w:t>
      </w:r>
      <w:bookmarkEnd w:id="365"/>
    </w:p>
    <w:p w14:paraId="48C51026" w14:textId="77777777" w:rsidR="00286A88" w:rsidRDefault="00286A88" w:rsidP="0030697A">
      <w:pPr>
        <w:spacing w:after="160" w:line="259" w:lineRule="auto"/>
        <w:jc w:val="both"/>
        <w:rPr>
          <w:b/>
          <w:bCs/>
        </w:rPr>
      </w:pPr>
    </w:p>
    <w:p w14:paraId="36EE082F" w14:textId="571E8444" w:rsidR="0030697A" w:rsidRDefault="0030697A" w:rsidP="0030697A">
      <w:pPr>
        <w:spacing w:after="160" w:line="259" w:lineRule="auto"/>
        <w:jc w:val="both"/>
        <w:rPr>
          <w:b/>
          <w:bCs/>
        </w:rPr>
      </w:pPr>
      <w:bookmarkStart w:id="366" w:name="_Hlk77196827"/>
      <w:r w:rsidRPr="00283F10">
        <w:rPr>
          <w:b/>
          <w:bCs/>
        </w:rPr>
        <w:t xml:space="preserve">Území </w:t>
      </w:r>
      <w:r>
        <w:rPr>
          <w:b/>
          <w:bCs/>
        </w:rPr>
        <w:t>obce</w:t>
      </w:r>
      <w:r w:rsidRPr="00283F10">
        <w:rPr>
          <w:b/>
          <w:bCs/>
        </w:rPr>
        <w:t xml:space="preserve"> má pouze zanedbatelnou míru rizika ohrožení ZPF větrnou erozí</w:t>
      </w:r>
      <w:r w:rsidRPr="0088236C">
        <w:rPr>
          <w:rStyle w:val="Znakapoznpodarou"/>
        </w:rPr>
        <w:footnoteReference w:id="44"/>
      </w:r>
      <w:r w:rsidRPr="0088236C">
        <w:t xml:space="preserve">. </w:t>
      </w:r>
      <w:bookmarkEnd w:id="366"/>
    </w:p>
    <w:p w14:paraId="2992630A" w14:textId="77777777" w:rsidR="00A30347" w:rsidRDefault="00A30347" w:rsidP="00A30347">
      <w:pPr>
        <w:spacing w:after="160" w:line="259" w:lineRule="auto"/>
        <w:jc w:val="both"/>
        <w:rPr>
          <w:b/>
        </w:rPr>
      </w:pPr>
      <w:bookmarkStart w:id="367" w:name="_Hlk52198225"/>
      <w:bookmarkEnd w:id="361"/>
      <w:bookmarkEnd w:id="362"/>
      <w:bookmarkEnd w:id="363"/>
      <w:bookmarkEnd w:id="364"/>
    </w:p>
    <w:p w14:paraId="34DCCA79" w14:textId="2E5E0EF3" w:rsidR="00A30347" w:rsidRDefault="00A30347" w:rsidP="00A30347">
      <w:pPr>
        <w:spacing w:after="160" w:line="259" w:lineRule="auto"/>
        <w:jc w:val="both"/>
      </w:pPr>
      <w:r w:rsidRPr="006266EB">
        <w:rPr>
          <w:b/>
        </w:rPr>
        <w:t xml:space="preserve">V k.ú. </w:t>
      </w:r>
      <w:r>
        <w:rPr>
          <w:b/>
        </w:rPr>
        <w:t>obce</w:t>
      </w:r>
      <w:r w:rsidRPr="006266EB">
        <w:rPr>
          <w:b/>
        </w:rPr>
        <w:t xml:space="preserve"> </w:t>
      </w:r>
      <w:r>
        <w:rPr>
          <w:b/>
        </w:rPr>
        <w:t>nebyly</w:t>
      </w:r>
      <w:r w:rsidRPr="006266EB">
        <w:rPr>
          <w:b/>
        </w:rPr>
        <w:t xml:space="preserve"> </w:t>
      </w:r>
      <w:r>
        <w:rPr>
          <w:b/>
        </w:rPr>
        <w:t>realizovány</w:t>
      </w:r>
      <w:r w:rsidRPr="006266EB">
        <w:rPr>
          <w:b/>
        </w:rPr>
        <w:t xml:space="preserve"> komplexní pozemkové úpravy</w:t>
      </w:r>
      <w:r>
        <w:rPr>
          <w:b/>
        </w:rPr>
        <w:t xml:space="preserve"> </w:t>
      </w:r>
      <w:r w:rsidRPr="00465F3F">
        <w:t>(K</w:t>
      </w:r>
      <w:r>
        <w:t>o</w:t>
      </w:r>
      <w:r w:rsidRPr="00465F3F">
        <w:t>PÚ)</w:t>
      </w:r>
      <w:r>
        <w:rPr>
          <w:rStyle w:val="Znakapoznpodarou"/>
        </w:rPr>
        <w:footnoteReference w:id="45"/>
      </w:r>
      <w:r>
        <w:t>.</w:t>
      </w:r>
      <w:bookmarkEnd w:id="367"/>
      <w:r w:rsidR="00D75556">
        <w:t xml:space="preserve"> Pouze </w:t>
      </w:r>
      <w:r w:rsidR="00B353DD">
        <w:t>v letech 2006 až 2009</w:t>
      </w:r>
      <w:r w:rsidR="00D75556">
        <w:t xml:space="preserve"> proběhla </w:t>
      </w:r>
      <w:r w:rsidR="00B353DD">
        <w:t>v k. ú. Dolní Staré Buky a v letech 2006 až 2012 v k. ú. Prostřední Staré Buky jednoduchá pozemková úprava</w:t>
      </w:r>
      <w:r w:rsidR="00D75556">
        <w:t xml:space="preserve"> </w:t>
      </w:r>
      <w:r w:rsidR="00B353DD">
        <w:t>za účelem ř</w:t>
      </w:r>
      <w:r w:rsidR="00B353DD" w:rsidRPr="00B353DD">
        <w:t>ešení přídělů</w:t>
      </w:r>
      <w:r w:rsidR="00D75556">
        <w:rPr>
          <w:rStyle w:val="Znakapoznpodarou"/>
        </w:rPr>
        <w:footnoteReference w:id="46"/>
      </w:r>
      <w:r w:rsidR="00D75556">
        <w:t>.</w:t>
      </w:r>
    </w:p>
    <w:p w14:paraId="17991705" w14:textId="77777777" w:rsidR="00954060" w:rsidRPr="00AA3D38" w:rsidRDefault="00954060" w:rsidP="00EB77E0">
      <w:pPr>
        <w:spacing w:after="160" w:line="259" w:lineRule="auto"/>
        <w:jc w:val="both"/>
        <w:rPr>
          <w:u w:val="single"/>
        </w:rPr>
      </w:pPr>
      <w:r w:rsidRPr="00AA3D38">
        <w:rPr>
          <w:u w:val="single"/>
        </w:rPr>
        <w:lastRenderedPageBreak/>
        <w:t>Kvalita ovzduší</w:t>
      </w:r>
    </w:p>
    <w:p w14:paraId="02CCDD73" w14:textId="77777777" w:rsidR="00CB15B7" w:rsidRPr="00E86A66" w:rsidRDefault="00CB15B7" w:rsidP="00CB15B7">
      <w:pPr>
        <w:spacing w:after="160" w:line="259" w:lineRule="auto"/>
        <w:jc w:val="both"/>
        <w:rPr>
          <w:rFonts w:ascii="Calibri" w:eastAsia="Calibri" w:hAnsi="Calibri" w:cs="Times New Roman"/>
        </w:rPr>
      </w:pPr>
      <w:r w:rsidRPr="00E86A66">
        <w:rPr>
          <w:rFonts w:ascii="Calibri" w:eastAsia="Calibri" w:hAnsi="Calibri" w:cs="Times New Roman"/>
        </w:rPr>
        <w:t xml:space="preserve">Znečištění ovzduší představuje problém, jehož důsledky jsou široké. Jedná se např. o přímé negativní účinky látek znečišťujících ovzduší na zdraví obyvatel, zvířat, rostlin, půdu či materiály, dále vliv </w:t>
      </w:r>
      <w:r w:rsidRPr="00E86A66">
        <w:rPr>
          <w:rFonts w:ascii="Calibri" w:eastAsia="Calibri" w:hAnsi="Calibri" w:cs="Times New Roman"/>
        </w:rPr>
        <w:br/>
        <w:t xml:space="preserve">na strukturu a funkci ekosystémů atd. </w:t>
      </w:r>
    </w:p>
    <w:p w14:paraId="0858442C" w14:textId="77777777" w:rsidR="00CB15B7" w:rsidRPr="00E86A66" w:rsidRDefault="00CB15B7" w:rsidP="00CB15B7">
      <w:pPr>
        <w:spacing w:after="160" w:line="259" w:lineRule="auto"/>
        <w:jc w:val="both"/>
        <w:rPr>
          <w:rFonts w:ascii="Calibri" w:eastAsia="Calibri" w:hAnsi="Calibri" w:cs="Times New Roman"/>
        </w:rPr>
      </w:pPr>
      <w:r w:rsidRPr="00E86A66">
        <w:rPr>
          <w:rFonts w:ascii="Calibri" w:eastAsia="Calibri" w:hAnsi="Calibri" w:cs="Times New Roman"/>
        </w:rPr>
        <w:t xml:space="preserve">Na úvod je nutné vysvětlit dva pojmy – emise a imise. </w:t>
      </w:r>
      <w:r w:rsidRPr="00E86A66">
        <w:rPr>
          <w:rFonts w:ascii="Calibri" w:eastAsia="Calibri" w:hAnsi="Calibri" w:cs="Times New Roman"/>
          <w:b/>
        </w:rPr>
        <w:t>Emise</w:t>
      </w:r>
      <w:r w:rsidRPr="00E86A66">
        <w:rPr>
          <w:rFonts w:ascii="Calibri" w:eastAsia="Calibri" w:hAnsi="Calibri" w:cs="Times New Roman"/>
        </w:rPr>
        <w:t xml:space="preserve"> v oblasti ekologie a životního prostředí vyjadřuje uvolňování znečišťujících látek do ovzduší. </w:t>
      </w:r>
      <w:r w:rsidRPr="00E86A66">
        <w:rPr>
          <w:rFonts w:ascii="Calibri" w:eastAsia="Calibri" w:hAnsi="Calibri" w:cs="Times New Roman"/>
          <w:b/>
        </w:rPr>
        <w:t>Imise</w:t>
      </w:r>
      <w:r w:rsidRPr="00E86A66">
        <w:rPr>
          <w:rFonts w:ascii="Calibri" w:eastAsia="Calibri" w:hAnsi="Calibri" w:cs="Times New Roman"/>
        </w:rPr>
        <w:t xml:space="preserve"> jsou emise, které se dostaly do styku </w:t>
      </w:r>
      <w:r w:rsidRPr="00E86A66">
        <w:rPr>
          <w:rFonts w:ascii="Calibri" w:eastAsia="Calibri" w:hAnsi="Calibri" w:cs="Times New Roman"/>
        </w:rPr>
        <w:br/>
        <w:t>se životním prostředím a jsou nahromaděny např. ve vodě, půdě, organizmech. Imise jsou následkem emisí</w:t>
      </w:r>
      <w:r w:rsidRPr="00E86A66">
        <w:rPr>
          <w:rFonts w:ascii="Calibri" w:eastAsia="Calibri" w:hAnsi="Calibri" w:cs="Times New Roman"/>
          <w:vertAlign w:val="superscript"/>
        </w:rPr>
        <w:footnoteReference w:id="47"/>
      </w:r>
      <w:r w:rsidRPr="00E86A66">
        <w:rPr>
          <w:rFonts w:ascii="Calibri" w:eastAsia="Calibri" w:hAnsi="Calibri" w:cs="Times New Roman"/>
        </w:rPr>
        <w:t>.</w:t>
      </w:r>
      <w:r w:rsidRPr="00E86A66">
        <w:rPr>
          <w:rFonts w:ascii="Arial" w:eastAsia="Calibri" w:hAnsi="Arial" w:cs="Arial"/>
          <w:color w:val="000000"/>
          <w:sz w:val="19"/>
          <w:szCs w:val="19"/>
          <w:shd w:val="clear" w:color="auto" w:fill="FFFFFF"/>
        </w:rPr>
        <w:t xml:space="preserve"> </w:t>
      </w:r>
      <w:r w:rsidRPr="00E86A66">
        <w:rPr>
          <w:rFonts w:ascii="Calibri" w:eastAsia="Calibri" w:hAnsi="Calibri" w:cs="Times New Roman"/>
        </w:rPr>
        <w:t xml:space="preserve">Jen velmi málo uvolněných znečišťujících látek si zachovává stále svou chemickou identitu </w:t>
      </w:r>
      <w:r w:rsidRPr="00E86A66">
        <w:rPr>
          <w:rFonts w:ascii="Calibri" w:eastAsia="Calibri" w:hAnsi="Calibri" w:cs="Times New Roman"/>
        </w:rPr>
        <w:br/>
        <w:t>po vstupu do ovzduší. Proto se pro účely hodnocení znečištění ovzduší měří imisní hodnoty.</w:t>
      </w:r>
    </w:p>
    <w:p w14:paraId="3D3BF2BA" w14:textId="77777777" w:rsidR="00CB15B7" w:rsidRPr="00E86A66" w:rsidRDefault="00CB15B7" w:rsidP="00CB15B7">
      <w:pPr>
        <w:spacing w:after="160" w:line="259" w:lineRule="auto"/>
        <w:jc w:val="both"/>
        <w:rPr>
          <w:rFonts w:ascii="Calibri" w:eastAsia="Calibri" w:hAnsi="Calibri" w:cs="Times New Roman"/>
        </w:rPr>
      </w:pPr>
      <w:r w:rsidRPr="00E86A66">
        <w:rPr>
          <w:rFonts w:ascii="Calibri" w:eastAsia="Calibri" w:hAnsi="Calibri" w:cs="Times New Roman"/>
        </w:rPr>
        <w:t xml:space="preserve">Látek znečišťujících ovzduší, u kterých se sleduje překročení imisních limitů, je řada, např. </w:t>
      </w:r>
      <w:r w:rsidRPr="00E86A66">
        <w:rPr>
          <w:rFonts w:ascii="Calibri" w:eastAsia="Calibri" w:hAnsi="Calibri" w:cs="Times New Roman"/>
          <w:b/>
        </w:rPr>
        <w:t>oxid siřičitý</w:t>
      </w:r>
      <w:r w:rsidRPr="00E86A66">
        <w:rPr>
          <w:rFonts w:ascii="Calibri" w:eastAsia="Calibri" w:hAnsi="Calibri" w:cs="Times New Roman"/>
        </w:rPr>
        <w:t xml:space="preserve"> (SO</w:t>
      </w:r>
      <w:r w:rsidRPr="00E86A66">
        <w:rPr>
          <w:rFonts w:ascii="Calibri" w:eastAsia="Calibri" w:hAnsi="Calibri" w:cs="Times New Roman"/>
          <w:vertAlign w:val="subscript"/>
        </w:rPr>
        <w:t>2</w:t>
      </w:r>
      <w:r w:rsidRPr="00E86A66">
        <w:rPr>
          <w:rFonts w:ascii="Calibri" w:eastAsia="Calibri" w:hAnsi="Calibri" w:cs="Times New Roman"/>
        </w:rPr>
        <w:t xml:space="preserve">), </w:t>
      </w:r>
      <w:r w:rsidRPr="00E86A66">
        <w:rPr>
          <w:rFonts w:ascii="Calibri" w:eastAsia="Calibri" w:hAnsi="Calibri" w:cs="Times New Roman"/>
          <w:b/>
        </w:rPr>
        <w:t>suspendované částice (prach) o velikosti 10 mikrometrů</w:t>
      </w:r>
      <w:r w:rsidRPr="00E86A66">
        <w:rPr>
          <w:rFonts w:ascii="Calibri" w:eastAsia="Calibri" w:hAnsi="Calibri" w:cs="Times New Roman"/>
        </w:rPr>
        <w:t xml:space="preserve"> (PM</w:t>
      </w:r>
      <w:r w:rsidRPr="00E86A66">
        <w:rPr>
          <w:rFonts w:ascii="Calibri" w:eastAsia="Calibri" w:hAnsi="Calibri" w:cs="Times New Roman"/>
          <w:vertAlign w:val="subscript"/>
        </w:rPr>
        <w:t>10</w:t>
      </w:r>
      <w:r w:rsidRPr="00E86A66">
        <w:rPr>
          <w:rFonts w:ascii="Calibri" w:eastAsia="Calibri" w:hAnsi="Calibri" w:cs="Times New Roman"/>
        </w:rPr>
        <w:t xml:space="preserve">), </w:t>
      </w:r>
      <w:r w:rsidRPr="00E86A66">
        <w:rPr>
          <w:rFonts w:ascii="Calibri" w:eastAsia="Calibri" w:hAnsi="Calibri" w:cs="Times New Roman"/>
          <w:b/>
        </w:rPr>
        <w:t>oxid dusičitý</w:t>
      </w:r>
      <w:r w:rsidRPr="00E86A66">
        <w:rPr>
          <w:rFonts w:ascii="Calibri" w:eastAsia="Calibri" w:hAnsi="Calibri" w:cs="Times New Roman"/>
        </w:rPr>
        <w:t xml:space="preserve"> (NO</w:t>
      </w:r>
      <w:r w:rsidRPr="00E86A66">
        <w:rPr>
          <w:rFonts w:ascii="Calibri" w:eastAsia="Calibri" w:hAnsi="Calibri" w:cs="Times New Roman"/>
          <w:vertAlign w:val="subscript"/>
        </w:rPr>
        <w:t>2</w:t>
      </w:r>
      <w:r w:rsidRPr="00E86A66">
        <w:rPr>
          <w:rFonts w:ascii="Calibri" w:eastAsia="Calibri" w:hAnsi="Calibri" w:cs="Times New Roman"/>
        </w:rPr>
        <w:t xml:space="preserve">), </w:t>
      </w:r>
      <w:r w:rsidRPr="00E86A66">
        <w:rPr>
          <w:rFonts w:ascii="Calibri" w:eastAsia="Calibri" w:hAnsi="Calibri" w:cs="Times New Roman"/>
          <w:b/>
        </w:rPr>
        <w:t>benzen</w:t>
      </w:r>
      <w:r w:rsidRPr="00E86A66">
        <w:rPr>
          <w:rFonts w:ascii="Calibri" w:eastAsia="Calibri" w:hAnsi="Calibri" w:cs="Times New Roman"/>
        </w:rPr>
        <w:t xml:space="preserve"> atd.</w:t>
      </w:r>
      <w:r w:rsidRPr="00E86A66">
        <w:rPr>
          <w:rFonts w:ascii="Calibri" w:eastAsia="Calibri" w:hAnsi="Calibri" w:cs="Times New Roman"/>
          <w:vertAlign w:val="superscript"/>
        </w:rPr>
        <w:footnoteReference w:id="48"/>
      </w:r>
    </w:p>
    <w:p w14:paraId="3FDB9085" w14:textId="5E7F78AE" w:rsidR="00CB15B7" w:rsidRPr="00E86A66" w:rsidRDefault="00CB15B7" w:rsidP="00CB15B7">
      <w:pPr>
        <w:spacing w:after="160" w:line="259" w:lineRule="auto"/>
        <w:jc w:val="both"/>
        <w:rPr>
          <w:rFonts w:ascii="Calibri" w:eastAsia="Calibri" w:hAnsi="Calibri" w:cs="Times New Roman"/>
        </w:rPr>
      </w:pPr>
      <w:r w:rsidRPr="00E86A66">
        <w:rPr>
          <w:rFonts w:ascii="Calibri" w:eastAsia="Calibri" w:hAnsi="Calibri" w:cs="Times New Roman"/>
        </w:rPr>
        <w:t xml:space="preserve">Následující </w:t>
      </w:r>
      <w:r w:rsidRPr="001345DD">
        <w:rPr>
          <w:rFonts w:ascii="Calibri" w:eastAsia="Calibri" w:hAnsi="Calibri" w:cs="Times New Roman"/>
        </w:rPr>
        <w:t xml:space="preserve">obrázek </w:t>
      </w:r>
      <w:r w:rsidR="001345DD" w:rsidRPr="001345DD">
        <w:rPr>
          <w:rFonts w:ascii="Calibri" w:eastAsia="Calibri" w:hAnsi="Calibri" w:cs="Times New Roman"/>
        </w:rPr>
        <w:t>1</w:t>
      </w:r>
      <w:r w:rsidR="00BF57D8">
        <w:rPr>
          <w:rFonts w:ascii="Calibri" w:eastAsia="Calibri" w:hAnsi="Calibri" w:cs="Times New Roman"/>
        </w:rPr>
        <w:t>2</w:t>
      </w:r>
      <w:r w:rsidRPr="001345DD">
        <w:rPr>
          <w:rFonts w:ascii="Calibri" w:eastAsia="Calibri" w:hAnsi="Calibri" w:cs="Times New Roman"/>
        </w:rPr>
        <w:t xml:space="preserve"> znázorňuje</w:t>
      </w:r>
      <w:r w:rsidRPr="00E86A66">
        <w:rPr>
          <w:rFonts w:ascii="Calibri" w:eastAsia="Calibri" w:hAnsi="Calibri" w:cs="Times New Roman"/>
        </w:rPr>
        <w:t>, jak na tom byl</w:t>
      </w:r>
      <w:r>
        <w:rPr>
          <w:rFonts w:ascii="Calibri" w:eastAsia="Calibri" w:hAnsi="Calibri" w:cs="Times New Roman"/>
        </w:rPr>
        <w:t xml:space="preserve">a obec </w:t>
      </w:r>
      <w:r w:rsidR="00254EF2">
        <w:rPr>
          <w:rFonts w:ascii="Calibri" w:eastAsia="Calibri" w:hAnsi="Calibri" w:cs="Times New Roman"/>
        </w:rPr>
        <w:t>Staré Buky</w:t>
      </w:r>
      <w:r>
        <w:rPr>
          <w:rFonts w:ascii="Calibri" w:eastAsia="Calibri" w:hAnsi="Calibri" w:cs="Times New Roman"/>
        </w:rPr>
        <w:t xml:space="preserve"> </w:t>
      </w:r>
      <w:r w:rsidRPr="00E86A66">
        <w:rPr>
          <w:rFonts w:ascii="Calibri" w:eastAsia="Calibri" w:hAnsi="Calibri" w:cs="Times New Roman"/>
        </w:rPr>
        <w:t>z hlediska množství polétavého prachu o velikosti 10 mikrometrů v ovzduší v roce 201</w:t>
      </w:r>
      <w:r w:rsidR="00254EF2">
        <w:rPr>
          <w:rFonts w:ascii="Calibri" w:eastAsia="Calibri" w:hAnsi="Calibri" w:cs="Times New Roman"/>
        </w:rPr>
        <w:t>9</w:t>
      </w:r>
      <w:r w:rsidRPr="00E86A66">
        <w:rPr>
          <w:rFonts w:ascii="Calibri" w:eastAsia="Calibri" w:hAnsi="Calibri" w:cs="Times New Roman"/>
        </w:rPr>
        <w:t>.</w:t>
      </w:r>
    </w:p>
    <w:p w14:paraId="65440965" w14:textId="4274140B" w:rsidR="002147E9" w:rsidRDefault="002147E9" w:rsidP="00254EF2">
      <w:pPr>
        <w:spacing w:after="60" w:line="259" w:lineRule="auto"/>
        <w:jc w:val="both"/>
        <w:rPr>
          <w:rFonts w:ascii="Calibri" w:eastAsia="Calibri" w:hAnsi="Calibri" w:cs="Times New Roman"/>
        </w:rPr>
      </w:pPr>
    </w:p>
    <w:p w14:paraId="7E2941AD" w14:textId="19DC5E0C" w:rsidR="00CB15B7" w:rsidRPr="00E86A66" w:rsidRDefault="00CB15B7" w:rsidP="00254EF2">
      <w:pPr>
        <w:pStyle w:val="OBRZEK0"/>
      </w:pPr>
      <w:bookmarkStart w:id="368" w:name="_Toc441222019"/>
      <w:bookmarkStart w:id="369" w:name="_Toc480751889"/>
      <w:bookmarkStart w:id="370" w:name="_Toc104473133"/>
      <w:bookmarkStart w:id="371" w:name="_Toc120652031"/>
      <w:r w:rsidRPr="001345DD">
        <w:t xml:space="preserve">Obrázek </w:t>
      </w:r>
      <w:r w:rsidR="001345DD" w:rsidRPr="001345DD">
        <w:t>1</w:t>
      </w:r>
      <w:r w:rsidR="00BF57D8">
        <w:t>2</w:t>
      </w:r>
      <w:r w:rsidRPr="001345DD">
        <w:t>:</w:t>
      </w:r>
      <w:r w:rsidRPr="00E86A66">
        <w:t xml:space="preserve"> Průměrná imisní koncentrace PM</w:t>
      </w:r>
      <w:r w:rsidRPr="00E86A66">
        <w:rPr>
          <w:vertAlign w:val="subscript"/>
        </w:rPr>
        <w:t>10</w:t>
      </w:r>
      <w:r w:rsidRPr="00E86A66">
        <w:t xml:space="preserve"> v ovzduší na území </w:t>
      </w:r>
      <w:r>
        <w:t xml:space="preserve">obce </w:t>
      </w:r>
      <w:r w:rsidR="00254EF2">
        <w:t>Staré Buky</w:t>
      </w:r>
      <w:r w:rsidRPr="00E86A66">
        <w:t xml:space="preserve"> v roce 201</w:t>
      </w:r>
      <w:bookmarkEnd w:id="368"/>
      <w:bookmarkEnd w:id="369"/>
      <w:r w:rsidR="00254EF2">
        <w:t>9</w:t>
      </w:r>
      <w:bookmarkEnd w:id="370"/>
      <w:bookmarkEnd w:id="371"/>
    </w:p>
    <w:p w14:paraId="0FC98FD3" w14:textId="7C262011" w:rsidR="00CB15B7" w:rsidRPr="00E86A66" w:rsidRDefault="00254EF2" w:rsidP="00CB15B7">
      <w:pPr>
        <w:jc w:val="center"/>
        <w:rPr>
          <w:rFonts w:ascii="Calibri" w:eastAsia="Calibri" w:hAnsi="Calibri" w:cs="Times New Roman"/>
        </w:rPr>
      </w:pPr>
      <w:r>
        <w:rPr>
          <w:rFonts w:ascii="Calibri" w:eastAsia="Calibri" w:hAnsi="Calibri" w:cs="Times New Roman"/>
          <w:noProof/>
        </w:rPr>
        <w:drawing>
          <wp:inline distT="0" distB="0" distL="0" distR="0" wp14:anchorId="5DA926E8" wp14:editId="2E104D59">
            <wp:extent cx="2118360" cy="2798919"/>
            <wp:effectExtent l="0" t="0" r="0"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Obrázek 231"/>
                    <pic:cNvPicPr/>
                  </pic:nvPicPr>
                  <pic:blipFill>
                    <a:blip r:embed="rId95">
                      <a:extLst>
                        <a:ext uri="{28A0092B-C50C-407E-A947-70E740481C1C}">
                          <a14:useLocalDpi xmlns:a14="http://schemas.microsoft.com/office/drawing/2010/main" val="0"/>
                        </a:ext>
                      </a:extLst>
                    </a:blip>
                    <a:stretch>
                      <a:fillRect/>
                    </a:stretch>
                  </pic:blipFill>
                  <pic:spPr>
                    <a:xfrm>
                      <a:off x="0" y="0"/>
                      <a:ext cx="2121498" cy="2803066"/>
                    </a:xfrm>
                    <a:prstGeom prst="rect">
                      <a:avLst/>
                    </a:prstGeom>
                  </pic:spPr>
                </pic:pic>
              </a:graphicData>
            </a:graphic>
          </wp:inline>
        </w:drawing>
      </w:r>
    </w:p>
    <w:p w14:paraId="429F3C70" w14:textId="77777777" w:rsidR="00CB15B7" w:rsidRPr="00E86A66" w:rsidRDefault="00CB15B7" w:rsidP="00CB15B7">
      <w:pPr>
        <w:spacing w:after="160"/>
        <w:contextualSpacing/>
        <w:jc w:val="both"/>
        <w:rPr>
          <w:rFonts w:ascii="Calibri" w:eastAsia="Calibri" w:hAnsi="Calibri" w:cs="Times New Roman"/>
          <w:sz w:val="20"/>
          <w:szCs w:val="20"/>
        </w:rPr>
      </w:pPr>
      <w:r w:rsidRPr="00E86A66">
        <w:rPr>
          <w:rFonts w:ascii="Calibri" w:eastAsia="Calibri" w:hAnsi="Calibri" w:cs="Times New Roman"/>
          <w:b/>
          <w:sz w:val="20"/>
          <w:szCs w:val="20"/>
        </w:rPr>
        <w:t>Vysvětlivky:</w:t>
      </w:r>
      <w:r w:rsidRPr="00E86A66">
        <w:rPr>
          <w:rFonts w:ascii="Calibri" w:eastAsia="Calibri" w:hAnsi="Calibri" w:cs="Times New Roman"/>
          <w:sz w:val="20"/>
          <w:szCs w:val="20"/>
        </w:rPr>
        <w:t xml:space="preserve"> PM</w:t>
      </w:r>
      <w:r w:rsidRPr="00E86A66">
        <w:rPr>
          <w:rFonts w:ascii="Calibri" w:eastAsia="Calibri" w:hAnsi="Calibri" w:cs="Times New Roman"/>
          <w:sz w:val="20"/>
          <w:szCs w:val="20"/>
          <w:vertAlign w:val="subscript"/>
        </w:rPr>
        <w:t xml:space="preserve">10 </w:t>
      </w:r>
      <w:r w:rsidRPr="00E86A66">
        <w:rPr>
          <w:rFonts w:ascii="Calibri" w:eastAsia="Calibri" w:hAnsi="Calibri" w:cs="Times New Roman"/>
          <w:sz w:val="20"/>
          <w:szCs w:val="20"/>
        </w:rPr>
        <w:t>= suspendované částice (prach) o velikosti 10 mikrometrů; ug/m</w:t>
      </w:r>
      <w:r w:rsidRPr="00E86A66">
        <w:rPr>
          <w:rFonts w:ascii="Calibri" w:eastAsia="Calibri" w:hAnsi="Calibri" w:cs="Times New Roman"/>
          <w:sz w:val="20"/>
          <w:szCs w:val="20"/>
          <w:vertAlign w:val="superscript"/>
        </w:rPr>
        <w:t>3</w:t>
      </w:r>
      <w:r w:rsidRPr="00E86A66">
        <w:rPr>
          <w:rFonts w:ascii="Calibri" w:eastAsia="Calibri" w:hAnsi="Calibri" w:cs="Times New Roman"/>
          <w:sz w:val="20"/>
          <w:szCs w:val="20"/>
        </w:rPr>
        <w:t xml:space="preserve"> = mikrogramy na metr krychlový</w:t>
      </w:r>
    </w:p>
    <w:p w14:paraId="71DE63A9" w14:textId="2CC12E32" w:rsidR="00CB15B7" w:rsidRPr="00E86A66" w:rsidRDefault="00CB15B7" w:rsidP="00CB15B7">
      <w:pPr>
        <w:spacing w:after="160"/>
        <w:contextualSpacing/>
        <w:jc w:val="both"/>
        <w:rPr>
          <w:rFonts w:ascii="Calibri" w:eastAsia="Calibri" w:hAnsi="Calibri" w:cs="Times New Roman"/>
          <w:sz w:val="20"/>
          <w:szCs w:val="20"/>
        </w:rPr>
      </w:pPr>
      <w:r w:rsidRPr="00E86A66">
        <w:rPr>
          <w:rFonts w:ascii="Calibri" w:eastAsia="Calibri" w:hAnsi="Calibri" w:cs="Times New Roman"/>
          <w:b/>
          <w:sz w:val="20"/>
          <w:szCs w:val="20"/>
        </w:rPr>
        <w:t>Poznámky:</w:t>
      </w:r>
      <w:r w:rsidRPr="00E86A66">
        <w:rPr>
          <w:rFonts w:ascii="Calibri" w:eastAsia="Calibri" w:hAnsi="Calibri" w:cs="Times New Roman"/>
          <w:sz w:val="20"/>
          <w:szCs w:val="20"/>
        </w:rPr>
        <w:t xml:space="preserve"> Výsledky měření byly prováděny v lokalitách o velikosti 1x1 km. Pro celé území </w:t>
      </w:r>
      <w:r>
        <w:rPr>
          <w:rFonts w:ascii="Calibri" w:eastAsia="Calibri" w:hAnsi="Calibri" w:cs="Times New Roman"/>
          <w:sz w:val="20"/>
          <w:szCs w:val="20"/>
        </w:rPr>
        <w:t xml:space="preserve">obce </w:t>
      </w:r>
      <w:r w:rsidR="00254EF2">
        <w:rPr>
          <w:rFonts w:ascii="Calibri" w:eastAsia="Calibri" w:hAnsi="Calibri" w:cs="Times New Roman"/>
          <w:sz w:val="20"/>
          <w:szCs w:val="20"/>
        </w:rPr>
        <w:t>Staré Buky</w:t>
      </w:r>
      <w:r w:rsidRPr="00E86A66">
        <w:rPr>
          <w:rFonts w:ascii="Calibri" w:eastAsia="Calibri" w:hAnsi="Calibri" w:cs="Times New Roman"/>
          <w:sz w:val="20"/>
          <w:szCs w:val="20"/>
        </w:rPr>
        <w:t xml:space="preserve"> platí interval „</w:t>
      </w:r>
      <w:r w:rsidR="00254EF2">
        <w:rPr>
          <w:rFonts w:ascii="Calibri" w:eastAsia="Calibri" w:hAnsi="Calibri" w:cs="Calibri"/>
          <w:sz w:val="20"/>
          <w:szCs w:val="20"/>
        </w:rPr>
        <w:t>&lt;</w:t>
      </w:r>
      <w:r w:rsidR="00254EF2">
        <w:rPr>
          <w:rFonts w:ascii="Calibri" w:eastAsia="Calibri" w:hAnsi="Calibri" w:cs="Times New Roman"/>
          <w:sz w:val="20"/>
          <w:szCs w:val="20"/>
        </w:rPr>
        <w:t>=</w:t>
      </w:r>
      <w:r w:rsidR="002147E9">
        <w:rPr>
          <w:rFonts w:ascii="Calibri" w:eastAsia="Calibri" w:hAnsi="Calibri" w:cs="Times New Roman"/>
          <w:sz w:val="20"/>
          <w:szCs w:val="20"/>
        </w:rPr>
        <w:t xml:space="preserve"> </w:t>
      </w:r>
      <w:r w:rsidR="002147E9">
        <w:rPr>
          <w:rFonts w:ascii="Calibri" w:eastAsia="Calibri" w:hAnsi="Calibri" w:cs="Calibri"/>
          <w:sz w:val="20"/>
          <w:szCs w:val="20"/>
          <w:lang w:val="en-US"/>
        </w:rPr>
        <w:t>20</w:t>
      </w:r>
      <w:r w:rsidRPr="00E86A66">
        <w:rPr>
          <w:rFonts w:ascii="Calibri" w:eastAsia="Calibri" w:hAnsi="Calibri" w:cs="Times New Roman"/>
          <w:sz w:val="20"/>
          <w:szCs w:val="20"/>
        </w:rPr>
        <w:t>“.</w:t>
      </w:r>
    </w:p>
    <w:p w14:paraId="7BA23577" w14:textId="77777777" w:rsidR="00CB15B7" w:rsidRPr="00E86A66" w:rsidRDefault="00CB15B7" w:rsidP="00CB15B7">
      <w:pPr>
        <w:spacing w:after="160"/>
        <w:jc w:val="both"/>
        <w:rPr>
          <w:rFonts w:ascii="Calibri" w:eastAsia="Calibri" w:hAnsi="Calibri" w:cs="Times New Roman"/>
          <w:sz w:val="20"/>
          <w:szCs w:val="20"/>
        </w:rPr>
      </w:pPr>
      <w:r w:rsidRPr="00E86A66">
        <w:rPr>
          <w:rFonts w:ascii="Calibri" w:eastAsia="Calibri" w:hAnsi="Calibri" w:cs="Times New Roman"/>
          <w:b/>
          <w:sz w:val="20"/>
          <w:szCs w:val="20"/>
        </w:rPr>
        <w:t>Zdroj:</w:t>
      </w:r>
      <w:r w:rsidRPr="00E86A66">
        <w:rPr>
          <w:rFonts w:ascii="Calibri" w:eastAsia="Calibri" w:hAnsi="Calibri" w:cs="Times New Roman"/>
          <w:sz w:val="20"/>
          <w:szCs w:val="20"/>
        </w:rPr>
        <w:t xml:space="preserve"> Internetové stránky Národního geoportálu INSPIRE </w:t>
      </w:r>
      <w:hyperlink r:id="rId96" w:history="1">
        <w:r w:rsidRPr="00E86A66">
          <w:rPr>
            <w:rFonts w:ascii="Calibri" w:eastAsia="Calibri" w:hAnsi="Calibri" w:cs="Times New Roman"/>
            <w:color w:val="0563C1"/>
            <w:sz w:val="20"/>
            <w:szCs w:val="20"/>
            <w:u w:val="single"/>
          </w:rPr>
          <w:t>https://geoportal.gov.cz/</w:t>
        </w:r>
      </w:hyperlink>
      <w:r w:rsidRPr="00E86A66">
        <w:rPr>
          <w:rFonts w:ascii="Calibri" w:eastAsia="Calibri" w:hAnsi="Calibri" w:cs="Times New Roman"/>
          <w:sz w:val="20"/>
          <w:szCs w:val="20"/>
        </w:rPr>
        <w:t xml:space="preserve"> </w:t>
      </w:r>
    </w:p>
    <w:p w14:paraId="18EA05CD" w14:textId="464831D0" w:rsidR="00CB15B7" w:rsidRPr="00E86A66" w:rsidRDefault="00CB15B7" w:rsidP="00CB15B7">
      <w:pPr>
        <w:spacing w:after="160" w:line="259" w:lineRule="auto"/>
        <w:jc w:val="both"/>
        <w:rPr>
          <w:rFonts w:ascii="Calibri" w:eastAsia="Calibri" w:hAnsi="Calibri" w:cs="Times New Roman"/>
        </w:rPr>
      </w:pPr>
      <w:r w:rsidRPr="00E86A66">
        <w:rPr>
          <w:rFonts w:ascii="Calibri" w:eastAsia="Calibri" w:hAnsi="Calibri" w:cs="Times New Roman"/>
        </w:rPr>
        <w:lastRenderedPageBreak/>
        <w:t xml:space="preserve">Z tohoto obrázku vyplývá, že na celém území </w:t>
      </w:r>
      <w:r>
        <w:rPr>
          <w:rFonts w:ascii="Calibri" w:eastAsia="Calibri" w:hAnsi="Calibri" w:cs="Times New Roman"/>
        </w:rPr>
        <w:t>obce</w:t>
      </w:r>
      <w:r w:rsidRPr="00E86A66">
        <w:rPr>
          <w:rFonts w:ascii="Calibri" w:eastAsia="Calibri" w:hAnsi="Calibri" w:cs="Times New Roman"/>
        </w:rPr>
        <w:t xml:space="preserve"> byla v roce 201</w:t>
      </w:r>
      <w:r w:rsidR="008F414C">
        <w:rPr>
          <w:rFonts w:ascii="Calibri" w:eastAsia="Calibri" w:hAnsi="Calibri" w:cs="Times New Roman"/>
        </w:rPr>
        <w:t>9</w:t>
      </w:r>
      <w:r w:rsidRPr="00E86A66">
        <w:rPr>
          <w:rFonts w:ascii="Calibri" w:eastAsia="Calibri" w:hAnsi="Calibri" w:cs="Times New Roman"/>
        </w:rPr>
        <w:t xml:space="preserve"> průměrná koncentrace PM</w:t>
      </w:r>
      <w:r w:rsidRPr="00E86A66">
        <w:rPr>
          <w:rFonts w:ascii="Calibri" w:eastAsia="Calibri" w:hAnsi="Calibri" w:cs="Times New Roman"/>
          <w:vertAlign w:val="subscript"/>
        </w:rPr>
        <w:t>10</w:t>
      </w:r>
      <w:r w:rsidRPr="00E86A66">
        <w:rPr>
          <w:rFonts w:ascii="Calibri" w:eastAsia="Calibri" w:hAnsi="Calibri" w:cs="Times New Roman"/>
        </w:rPr>
        <w:t xml:space="preserve"> v ovzduší </w:t>
      </w:r>
      <w:r w:rsidR="008F414C">
        <w:rPr>
          <w:rFonts w:ascii="Calibri" w:eastAsia="Calibri" w:hAnsi="Calibri" w:cs="Times New Roman"/>
        </w:rPr>
        <w:t>menší či rovna</w:t>
      </w:r>
      <w:r w:rsidR="008F414C" w:rsidRPr="008F414C">
        <w:rPr>
          <w:rFonts w:ascii="Calibri" w:eastAsia="Calibri" w:hAnsi="Calibri" w:cs="Times New Roman"/>
        </w:rPr>
        <w:t xml:space="preserve"> 20</w:t>
      </w:r>
      <w:r w:rsidR="002147E9">
        <w:rPr>
          <w:rFonts w:ascii="Calibri" w:eastAsia="Calibri" w:hAnsi="Calibri" w:cs="Times New Roman"/>
        </w:rPr>
        <w:t xml:space="preserve"> </w:t>
      </w:r>
      <w:r w:rsidR="002147E9" w:rsidRPr="00E86A66">
        <w:rPr>
          <w:rFonts w:ascii="Calibri" w:eastAsia="Calibri" w:hAnsi="Calibri" w:cs="Times New Roman"/>
        </w:rPr>
        <w:t>ug/m</w:t>
      </w:r>
      <w:r w:rsidR="002147E9" w:rsidRPr="00E86A66">
        <w:rPr>
          <w:rFonts w:ascii="Calibri" w:eastAsia="Calibri" w:hAnsi="Calibri" w:cs="Times New Roman"/>
          <w:vertAlign w:val="superscript"/>
        </w:rPr>
        <w:t>3</w:t>
      </w:r>
      <w:r w:rsidR="002147E9" w:rsidRPr="006A203B">
        <w:rPr>
          <w:rFonts w:ascii="Calibri" w:eastAsia="Calibri" w:hAnsi="Calibri" w:cs="Times New Roman"/>
        </w:rPr>
        <w:t>.</w:t>
      </w:r>
      <w:r w:rsidR="002147E9">
        <w:rPr>
          <w:rFonts w:ascii="Calibri" w:eastAsia="Calibri" w:hAnsi="Calibri" w:cs="Times New Roman"/>
        </w:rPr>
        <w:t xml:space="preserve"> </w:t>
      </w:r>
      <w:r w:rsidRPr="00E86A66">
        <w:rPr>
          <w:rFonts w:ascii="Calibri" w:eastAsia="Calibri" w:hAnsi="Calibri" w:cs="Times New Roman"/>
        </w:rPr>
        <w:t xml:space="preserve">Imisní limit za jeden kalendářní rok pro tyto částice v ovzduší </w:t>
      </w:r>
      <w:r w:rsidRPr="00E86A66">
        <w:rPr>
          <w:rFonts w:ascii="Calibri" w:eastAsia="Calibri" w:hAnsi="Calibri" w:cs="Times New Roman"/>
        </w:rPr>
        <w:br/>
        <w:t>je 40 µg/m</w:t>
      </w:r>
      <w:r w:rsidRPr="00E86A66">
        <w:rPr>
          <w:rFonts w:ascii="Calibri" w:eastAsia="Calibri" w:hAnsi="Calibri" w:cs="Times New Roman"/>
          <w:vertAlign w:val="superscript"/>
        </w:rPr>
        <w:t>3</w:t>
      </w:r>
      <w:r w:rsidRPr="00E86A66">
        <w:rPr>
          <w:rFonts w:ascii="Calibri" w:eastAsia="Calibri" w:hAnsi="Calibri" w:cs="Times New Roman"/>
        </w:rPr>
        <w:t xml:space="preserve">. Z toho vyplývá, že </w:t>
      </w:r>
      <w:r w:rsidRPr="00E86A66">
        <w:rPr>
          <w:rFonts w:ascii="Calibri" w:eastAsia="Calibri" w:hAnsi="Calibri" w:cs="Times New Roman"/>
          <w:b/>
        </w:rPr>
        <w:t>roční limit pro látku PM</w:t>
      </w:r>
      <w:r w:rsidRPr="00E86A66">
        <w:rPr>
          <w:rFonts w:ascii="Calibri" w:eastAsia="Calibri" w:hAnsi="Calibri" w:cs="Times New Roman"/>
          <w:b/>
          <w:vertAlign w:val="subscript"/>
        </w:rPr>
        <w:t>10</w:t>
      </w:r>
      <w:r w:rsidRPr="00E86A66">
        <w:rPr>
          <w:rFonts w:ascii="Calibri" w:eastAsia="Calibri" w:hAnsi="Calibri" w:cs="Times New Roman"/>
          <w:b/>
        </w:rPr>
        <w:t xml:space="preserve"> byl v roce 201</w:t>
      </w:r>
      <w:r w:rsidR="008F414C">
        <w:rPr>
          <w:rFonts w:ascii="Calibri" w:eastAsia="Calibri" w:hAnsi="Calibri" w:cs="Times New Roman"/>
          <w:b/>
        </w:rPr>
        <w:t>9</w:t>
      </w:r>
      <w:r w:rsidRPr="00E86A66">
        <w:rPr>
          <w:rFonts w:ascii="Calibri" w:eastAsia="Calibri" w:hAnsi="Calibri" w:cs="Times New Roman"/>
          <w:b/>
        </w:rPr>
        <w:t xml:space="preserve"> dodržen</w:t>
      </w:r>
      <w:r w:rsidRPr="00E86A66">
        <w:rPr>
          <w:rFonts w:ascii="Calibri" w:eastAsia="Calibri" w:hAnsi="Calibri" w:cs="Times New Roman"/>
        </w:rPr>
        <w:t>.</w:t>
      </w:r>
    </w:p>
    <w:p w14:paraId="32740CE0" w14:textId="77777777" w:rsidR="00276C66" w:rsidRDefault="00276C66" w:rsidP="000534FC">
      <w:pPr>
        <w:spacing w:after="160" w:line="259" w:lineRule="auto"/>
        <w:jc w:val="both"/>
      </w:pPr>
    </w:p>
    <w:p w14:paraId="31B800E5" w14:textId="191CA1F4" w:rsidR="008704B7" w:rsidRPr="00276C66" w:rsidRDefault="001B5528" w:rsidP="000534FC">
      <w:pPr>
        <w:spacing w:after="160" w:line="259" w:lineRule="auto"/>
        <w:jc w:val="both"/>
        <w:rPr>
          <w:rFonts w:ascii="Calibri" w:eastAsia="Calibri" w:hAnsi="Calibri" w:cs="Times New Roman"/>
          <w:b/>
          <w:bCs/>
        </w:rPr>
      </w:pPr>
      <w:bookmarkStart w:id="372" w:name="_Hlk53081419"/>
      <w:r>
        <w:rPr>
          <w:b/>
          <w:bCs/>
        </w:rPr>
        <w:t>Roční i</w:t>
      </w:r>
      <w:r w:rsidR="00276C66" w:rsidRPr="00276C66">
        <w:rPr>
          <w:b/>
          <w:bCs/>
        </w:rPr>
        <w:t>misní limity byly</w:t>
      </w:r>
      <w:r>
        <w:rPr>
          <w:b/>
          <w:bCs/>
        </w:rPr>
        <w:t xml:space="preserve"> na území obce</w:t>
      </w:r>
      <w:r w:rsidR="00276C66" w:rsidRPr="00276C66">
        <w:rPr>
          <w:b/>
          <w:bCs/>
        </w:rPr>
        <w:t xml:space="preserve"> dodrženy i u </w:t>
      </w:r>
      <w:r>
        <w:rPr>
          <w:b/>
          <w:bCs/>
        </w:rPr>
        <w:t xml:space="preserve">výskytu </w:t>
      </w:r>
      <w:r w:rsidR="00276C66" w:rsidRPr="00276C66">
        <w:rPr>
          <w:b/>
          <w:bCs/>
        </w:rPr>
        <w:t xml:space="preserve">dalších </w:t>
      </w:r>
      <w:r w:rsidR="00276C66" w:rsidRPr="00276C66">
        <w:rPr>
          <w:rFonts w:ascii="Calibri" w:eastAsia="Calibri" w:hAnsi="Calibri" w:cs="Times New Roman"/>
          <w:b/>
          <w:bCs/>
        </w:rPr>
        <w:t>l</w:t>
      </w:r>
      <w:r w:rsidR="00276C66" w:rsidRPr="00E86A66">
        <w:rPr>
          <w:rFonts w:ascii="Calibri" w:eastAsia="Calibri" w:hAnsi="Calibri" w:cs="Times New Roman"/>
          <w:b/>
          <w:bCs/>
        </w:rPr>
        <w:t>átek znečišťujících ovzduší, u kterých se překročení</w:t>
      </w:r>
      <w:r w:rsidR="00276C66">
        <w:rPr>
          <w:rFonts w:ascii="Calibri" w:eastAsia="Calibri" w:hAnsi="Calibri" w:cs="Times New Roman"/>
          <w:b/>
          <w:bCs/>
        </w:rPr>
        <w:t xml:space="preserve"> či nepřekročení</w:t>
      </w:r>
      <w:r w:rsidR="00276C66" w:rsidRPr="00E86A66">
        <w:rPr>
          <w:rFonts w:ascii="Calibri" w:eastAsia="Calibri" w:hAnsi="Calibri" w:cs="Times New Roman"/>
          <w:b/>
          <w:bCs/>
        </w:rPr>
        <w:t xml:space="preserve"> </w:t>
      </w:r>
      <w:r w:rsidR="00276C66">
        <w:rPr>
          <w:rFonts w:ascii="Calibri" w:eastAsia="Calibri" w:hAnsi="Calibri" w:cs="Times New Roman"/>
          <w:b/>
          <w:bCs/>
        </w:rPr>
        <w:t xml:space="preserve">limitů </w:t>
      </w:r>
      <w:r w:rsidR="00276C66" w:rsidRPr="00276C66">
        <w:rPr>
          <w:rFonts w:ascii="Calibri" w:eastAsia="Calibri" w:hAnsi="Calibri" w:cs="Times New Roman"/>
          <w:b/>
          <w:bCs/>
        </w:rPr>
        <w:t xml:space="preserve">sleduje – </w:t>
      </w:r>
      <w:r w:rsidR="00276C66" w:rsidRPr="00E86A66">
        <w:rPr>
          <w:rFonts w:ascii="Calibri" w:eastAsia="Calibri" w:hAnsi="Calibri" w:cs="Times New Roman"/>
          <w:b/>
          <w:bCs/>
        </w:rPr>
        <w:t>oxid siřičitý</w:t>
      </w:r>
      <w:r w:rsidR="00276C66" w:rsidRPr="00276C66">
        <w:rPr>
          <w:rFonts w:ascii="Calibri" w:eastAsia="Calibri" w:hAnsi="Calibri" w:cs="Times New Roman"/>
          <w:b/>
          <w:bCs/>
        </w:rPr>
        <w:t xml:space="preserve">, </w:t>
      </w:r>
      <w:r w:rsidR="00276C66" w:rsidRPr="00E86A66">
        <w:rPr>
          <w:rFonts w:ascii="Calibri" w:eastAsia="Calibri" w:hAnsi="Calibri" w:cs="Times New Roman"/>
          <w:b/>
          <w:bCs/>
        </w:rPr>
        <w:t>oxid dusičitý</w:t>
      </w:r>
      <w:r w:rsidR="00276C66" w:rsidRPr="00276C66">
        <w:rPr>
          <w:rFonts w:ascii="Calibri" w:eastAsia="Calibri" w:hAnsi="Calibri" w:cs="Times New Roman"/>
          <w:b/>
          <w:bCs/>
        </w:rPr>
        <w:t>, benzen atd.</w:t>
      </w:r>
      <w:r w:rsidR="00E51FC0" w:rsidRPr="00D2131B">
        <w:rPr>
          <w:rStyle w:val="Znakapoznpodarou"/>
          <w:rFonts w:ascii="Calibri" w:eastAsia="Calibri" w:hAnsi="Calibri" w:cs="Times New Roman"/>
        </w:rPr>
        <w:footnoteReference w:id="49"/>
      </w:r>
    </w:p>
    <w:bookmarkEnd w:id="372"/>
    <w:p w14:paraId="6A318781" w14:textId="19D6BAE6" w:rsidR="00081C38" w:rsidRDefault="00081C38" w:rsidP="000534FC">
      <w:pPr>
        <w:spacing w:after="160" w:line="259" w:lineRule="auto"/>
        <w:jc w:val="both"/>
      </w:pPr>
    </w:p>
    <w:p w14:paraId="7B07136D" w14:textId="77777777" w:rsidR="008147E6" w:rsidRDefault="008147E6" w:rsidP="00814D5A">
      <w:pPr>
        <w:pStyle w:val="Nadpis4"/>
      </w:pPr>
      <w:bookmarkStart w:id="373" w:name="_Toc413418380"/>
      <w:bookmarkStart w:id="374" w:name="_Toc440566359"/>
      <w:bookmarkStart w:id="375" w:name="_Toc441227510"/>
      <w:bookmarkStart w:id="376" w:name="_Toc32580131"/>
      <w:bookmarkStart w:id="377" w:name="_Toc120652156"/>
      <w:r>
        <w:t>2.1.6.2 Ochrana životního prostředí</w:t>
      </w:r>
      <w:bookmarkEnd w:id="373"/>
      <w:bookmarkEnd w:id="374"/>
      <w:bookmarkEnd w:id="375"/>
      <w:bookmarkEnd w:id="376"/>
      <w:bookmarkEnd w:id="377"/>
    </w:p>
    <w:p w14:paraId="1ABFA56D" w14:textId="18CBE296" w:rsidR="004E5A82" w:rsidRDefault="00AF6B70" w:rsidP="004E5A82">
      <w:pPr>
        <w:spacing w:after="160" w:line="259" w:lineRule="auto"/>
        <w:jc w:val="both"/>
      </w:pPr>
      <w:r>
        <w:rPr>
          <w:b/>
        </w:rPr>
        <w:t>Ú</w:t>
      </w:r>
      <w:r w:rsidRPr="006B7197">
        <w:rPr>
          <w:b/>
        </w:rPr>
        <w:t xml:space="preserve">zemí obce </w:t>
      </w:r>
      <w:r w:rsidR="00DF3162">
        <w:rPr>
          <w:b/>
        </w:rPr>
        <w:t>Staré Buky</w:t>
      </w:r>
      <w:r w:rsidRPr="006B7197">
        <w:rPr>
          <w:b/>
        </w:rPr>
        <w:t xml:space="preserve"> nespadá do </w:t>
      </w:r>
      <w:r>
        <w:rPr>
          <w:b/>
        </w:rPr>
        <w:t xml:space="preserve">velkoplošného zvláště </w:t>
      </w:r>
      <w:r w:rsidRPr="006B7197">
        <w:rPr>
          <w:b/>
        </w:rPr>
        <w:t>chráněné</w:t>
      </w:r>
      <w:r>
        <w:rPr>
          <w:b/>
        </w:rPr>
        <w:t xml:space="preserve">ho území </w:t>
      </w:r>
      <w:r>
        <w:t>(národní park, chráněná</w:t>
      </w:r>
      <w:r w:rsidRPr="006B7197">
        <w:rPr>
          <w:b/>
        </w:rPr>
        <w:t xml:space="preserve"> </w:t>
      </w:r>
      <w:r w:rsidRPr="00762814">
        <w:t>krajinná oblast)</w:t>
      </w:r>
      <w:r>
        <w:t xml:space="preserve">, ani do </w:t>
      </w:r>
      <w:r w:rsidRPr="005935A0">
        <w:rPr>
          <w:rFonts w:eastAsia="RWXLTG+TimesNewRoman" w:cs="RWXLTG+TimesNewRoman"/>
          <w:b/>
        </w:rPr>
        <w:t>maloplošné</w:t>
      </w:r>
      <w:r>
        <w:rPr>
          <w:rFonts w:eastAsia="RWXLTG+TimesNewRoman" w:cs="RWXLTG+TimesNewRoman"/>
          <w:b/>
        </w:rPr>
        <w:t>ho</w:t>
      </w:r>
      <w:r w:rsidRPr="005935A0">
        <w:rPr>
          <w:rFonts w:eastAsia="RWXLTG+TimesNewRoman" w:cs="RWXLTG+TimesNewRoman"/>
          <w:b/>
        </w:rPr>
        <w:t xml:space="preserve"> zvláště chráněné</w:t>
      </w:r>
      <w:r>
        <w:rPr>
          <w:rFonts w:eastAsia="RWXLTG+TimesNewRoman" w:cs="RWXLTG+TimesNewRoman"/>
          <w:b/>
        </w:rPr>
        <w:t>ho</w:t>
      </w:r>
      <w:r w:rsidRPr="005935A0">
        <w:rPr>
          <w:rFonts w:eastAsia="RWXLTG+TimesNewRoman" w:cs="RWXLTG+TimesNewRoman"/>
          <w:b/>
        </w:rPr>
        <w:t xml:space="preserve"> území</w:t>
      </w:r>
      <w:r>
        <w:rPr>
          <w:rFonts w:eastAsia="RWXLTG+TimesNewRoman" w:cs="RWXLTG+TimesNewRoman"/>
        </w:rPr>
        <w:t xml:space="preserve"> (národní přírodní rezervace, národní přírodní památka, přírodní rezervace, přírodní památka)</w:t>
      </w:r>
      <w:r w:rsidRPr="0056338A">
        <w:rPr>
          <w:rStyle w:val="Znakapoznpodarou"/>
          <w:rFonts w:eastAsia="RWXLTG+TimesNewRoman" w:cs="RWXLTG+TimesNewRoman"/>
        </w:rPr>
        <w:footnoteReference w:id="50"/>
      </w:r>
      <w:r w:rsidRPr="0056338A">
        <w:t>.</w:t>
      </w:r>
      <w:r>
        <w:t xml:space="preserve"> Do území obce </w:t>
      </w:r>
      <w:r w:rsidRPr="006B7197">
        <w:rPr>
          <w:b/>
        </w:rPr>
        <w:t>nezasahuje ani soustava Natura 2000</w:t>
      </w:r>
      <w:r>
        <w:rPr>
          <w:rStyle w:val="Znakapoznpodarou"/>
          <w:rFonts w:eastAsia="RWXLTG+TimesNewRoman" w:cs="RWXLTG+TimesNewRoman"/>
        </w:rPr>
        <w:footnoteReference w:id="51"/>
      </w:r>
      <w:r w:rsidR="004E5A82" w:rsidRPr="0056338A">
        <w:t>.</w:t>
      </w:r>
    </w:p>
    <w:p w14:paraId="4B8DF2AC" w14:textId="57C6B0EE" w:rsidR="0020034A" w:rsidRDefault="0020034A" w:rsidP="0020034A">
      <w:pPr>
        <w:spacing w:after="160" w:line="259" w:lineRule="auto"/>
        <w:jc w:val="both"/>
        <w:rPr>
          <w:rFonts w:eastAsia="RWXLTG+TimesNewRoman" w:cs="RWXLTG+TimesNewRoman"/>
        </w:rPr>
      </w:pPr>
      <w:r>
        <w:t xml:space="preserve">Na území </w:t>
      </w:r>
      <w:r w:rsidRPr="007657E6">
        <w:t xml:space="preserve">obce </w:t>
      </w:r>
      <w:r w:rsidR="00AF6011">
        <w:t>Staré Buky</w:t>
      </w:r>
      <w:r>
        <w:t xml:space="preserve"> se nachází </w:t>
      </w:r>
      <w:r w:rsidR="007B4A78">
        <w:t>řada</w:t>
      </w:r>
      <w:r>
        <w:t xml:space="preserve"> prvků územního</w:t>
      </w:r>
      <w:r w:rsidRPr="00E12C15">
        <w:rPr>
          <w:rFonts w:eastAsia="RWXLTG+TimesNewRoman" w:cs="RWXLTG+TimesNewRoman"/>
        </w:rPr>
        <w:t xml:space="preserve"> </w:t>
      </w:r>
      <w:r>
        <w:rPr>
          <w:rFonts w:eastAsia="RWXLTG+TimesNewRoman" w:cs="RWXLTG+TimesNewRoman"/>
        </w:rPr>
        <w:t>systému ekologické stability (ÚSES). Skladebnými částmi ÚSES jsou biocentra, biokoridory a interakční prvky</w:t>
      </w:r>
      <w:r>
        <w:rPr>
          <w:rStyle w:val="Znakapoznpodarou"/>
          <w:rFonts w:eastAsia="RWXLTG+TimesNewRoman" w:cs="RWXLTG+TimesNewRoman"/>
        </w:rPr>
        <w:footnoteReference w:id="52"/>
      </w:r>
      <w:r>
        <w:rPr>
          <w:rFonts w:eastAsia="RWXLTG+TimesNewRoman" w:cs="RWXLTG+TimesNewRoman"/>
        </w:rPr>
        <w:t>. Podle biogeografického významu se dělí na nadregionální, regionální a lokální ÚSES.</w:t>
      </w:r>
    </w:p>
    <w:p w14:paraId="28FD5B7B" w14:textId="42BB002F" w:rsidR="00BE48E7" w:rsidRDefault="00BE48E7" w:rsidP="00175421">
      <w:pPr>
        <w:spacing w:line="259" w:lineRule="auto"/>
        <w:jc w:val="both"/>
        <w:rPr>
          <w:rFonts w:eastAsia="RWXLTG+TimesNewRoman" w:cs="RWXLTG+TimesNewRoman"/>
        </w:rPr>
      </w:pPr>
      <w:r>
        <w:rPr>
          <w:rFonts w:eastAsia="RWXLTG+TimesNewRoman" w:cs="RWXLTG+TimesNewRoman"/>
        </w:rPr>
        <w:br w:type="page"/>
      </w:r>
    </w:p>
    <w:p w14:paraId="5EDC10E2" w14:textId="37C813A4" w:rsidR="0020034A" w:rsidRDefault="0020034A" w:rsidP="0020034A">
      <w:pPr>
        <w:pStyle w:val="OBRZEK0"/>
      </w:pPr>
      <w:bookmarkStart w:id="379" w:name="_Toc480751891"/>
      <w:bookmarkStart w:id="380" w:name="_Toc507022275"/>
      <w:bookmarkStart w:id="381" w:name="_Toc32578401"/>
      <w:bookmarkStart w:id="382" w:name="_Toc104473134"/>
      <w:bookmarkStart w:id="383" w:name="_Toc120652032"/>
      <w:r w:rsidRPr="001345DD">
        <w:lastRenderedPageBreak/>
        <w:t xml:space="preserve">Obrázek </w:t>
      </w:r>
      <w:r w:rsidR="001345DD" w:rsidRPr="001345DD">
        <w:t>1</w:t>
      </w:r>
      <w:r w:rsidR="00BF57D8">
        <w:t>3</w:t>
      </w:r>
      <w:r w:rsidRPr="001345DD">
        <w:t>:</w:t>
      </w:r>
      <w:r w:rsidRPr="000534FC">
        <w:t xml:space="preserve"> Zásah</w:t>
      </w:r>
      <w:r w:rsidRPr="00986D70">
        <w:t xml:space="preserve"> územních</w:t>
      </w:r>
      <w:r>
        <w:t xml:space="preserve"> systémů ekologické stability nadregionálního a regionálního významu </w:t>
      </w:r>
      <w:r>
        <w:br/>
        <w:t>do území obc</w:t>
      </w:r>
      <w:r w:rsidRPr="00B624D5">
        <w:t xml:space="preserve">e </w:t>
      </w:r>
      <w:r w:rsidR="00AF6011">
        <w:t>Staré Buky</w:t>
      </w:r>
      <w:r w:rsidRPr="00B624D5">
        <w:t xml:space="preserve"> (</w:t>
      </w:r>
      <w:r w:rsidR="00AF6011">
        <w:t>ke květnu 2022</w:t>
      </w:r>
      <w:r w:rsidRPr="00B624D5">
        <w:t>)</w:t>
      </w:r>
      <w:bookmarkEnd w:id="379"/>
      <w:bookmarkEnd w:id="380"/>
      <w:bookmarkEnd w:id="381"/>
      <w:bookmarkEnd w:id="382"/>
      <w:bookmarkEnd w:id="383"/>
    </w:p>
    <w:p w14:paraId="3B80A816" w14:textId="75458AA2" w:rsidR="0020034A" w:rsidRDefault="00ED5EBF" w:rsidP="0020034A">
      <w:pPr>
        <w:jc w:val="center"/>
        <w:rPr>
          <w:rFonts w:eastAsia="RWXLTG+TimesNewRoman" w:cs="RWXLTG+TimesNewRoman"/>
        </w:rPr>
      </w:pPr>
      <w:r>
        <w:rPr>
          <w:rFonts w:eastAsia="RWXLTG+TimesNewRoman" w:cs="RWXLTG+TimesNewRoman"/>
          <w:noProof/>
        </w:rPr>
        <w:drawing>
          <wp:inline distT="0" distB="0" distL="0" distR="0" wp14:anchorId="07E45A73" wp14:editId="2153F29C">
            <wp:extent cx="4084320" cy="4191239"/>
            <wp:effectExtent l="0" t="0" r="0"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Obrázek 232"/>
                    <pic:cNvPicPr/>
                  </pic:nvPicPr>
                  <pic:blipFill>
                    <a:blip r:embed="rId97">
                      <a:extLst>
                        <a:ext uri="{28A0092B-C50C-407E-A947-70E740481C1C}">
                          <a14:useLocalDpi xmlns:a14="http://schemas.microsoft.com/office/drawing/2010/main" val="0"/>
                        </a:ext>
                      </a:extLst>
                    </a:blip>
                    <a:stretch>
                      <a:fillRect/>
                    </a:stretch>
                  </pic:blipFill>
                  <pic:spPr>
                    <a:xfrm>
                      <a:off x="0" y="0"/>
                      <a:ext cx="4086929" cy="4193916"/>
                    </a:xfrm>
                    <a:prstGeom prst="rect">
                      <a:avLst/>
                    </a:prstGeom>
                  </pic:spPr>
                </pic:pic>
              </a:graphicData>
            </a:graphic>
          </wp:inline>
        </w:drawing>
      </w:r>
    </w:p>
    <w:p w14:paraId="51BD22BE" w14:textId="12666A45" w:rsidR="0020034A" w:rsidRPr="00A04F3B" w:rsidRDefault="0020034A" w:rsidP="0020034A">
      <w:pPr>
        <w:contextualSpacing/>
        <w:jc w:val="both"/>
        <w:rPr>
          <w:rFonts w:eastAsia="RWXLTG+TimesNewRoman" w:cs="RWXLTG+TimesNewRoman"/>
          <w:sz w:val="20"/>
          <w:szCs w:val="20"/>
        </w:rPr>
      </w:pPr>
      <w:r w:rsidRPr="00B624D5">
        <w:rPr>
          <w:rFonts w:eastAsia="RWXLTG+TimesNewRoman" w:cs="RWXLTG+TimesNewRoman"/>
          <w:b/>
          <w:sz w:val="20"/>
          <w:szCs w:val="20"/>
        </w:rPr>
        <w:t>Vysvětlivky:</w:t>
      </w:r>
      <w:r w:rsidRPr="00B624D5">
        <w:rPr>
          <w:rFonts w:eastAsia="RWXLTG+TimesNewRoman" w:cs="RWXLTG+TimesNewRoman"/>
          <w:sz w:val="20"/>
          <w:szCs w:val="20"/>
        </w:rPr>
        <w:t xml:space="preserve"> </w:t>
      </w:r>
      <w:r w:rsidR="00EC78C1">
        <w:rPr>
          <w:rFonts w:eastAsia="RWXLTG+TimesNewRoman" w:cs="RWXLTG+TimesNewRoman"/>
          <w:sz w:val="20"/>
          <w:szCs w:val="20"/>
        </w:rPr>
        <w:t xml:space="preserve">RBK = regionální biokoridor, </w:t>
      </w:r>
      <w:r>
        <w:rPr>
          <w:rFonts w:eastAsia="RWXLTG+TimesNewRoman" w:cs="RWXLTG+TimesNewRoman"/>
          <w:sz w:val="20"/>
          <w:szCs w:val="20"/>
        </w:rPr>
        <w:t>RBC = regionální biocentrum</w:t>
      </w:r>
    </w:p>
    <w:p w14:paraId="5FEAA930" w14:textId="136B9F17" w:rsidR="0020034A" w:rsidRDefault="0020034A" w:rsidP="0020034A">
      <w:pPr>
        <w:spacing w:after="160" w:line="259" w:lineRule="auto"/>
        <w:jc w:val="both"/>
        <w:rPr>
          <w:rFonts w:eastAsia="RWXLTG+TimesNewRoman" w:cs="RWXLTG+TimesNewRoman"/>
        </w:rPr>
      </w:pPr>
      <w:r w:rsidRPr="00A04F3B">
        <w:rPr>
          <w:rFonts w:eastAsia="RWXLTG+TimesNewRoman" w:cs="RWXLTG+TimesNewRoman"/>
          <w:b/>
          <w:sz w:val="20"/>
          <w:szCs w:val="20"/>
        </w:rPr>
        <w:t>Zdroj:</w:t>
      </w:r>
      <w:r w:rsidRPr="00A04F3B">
        <w:rPr>
          <w:rFonts w:eastAsia="RWXLTG+TimesNewRoman" w:cs="RWXLTG+TimesNewRoman"/>
          <w:sz w:val="20"/>
          <w:szCs w:val="20"/>
        </w:rPr>
        <w:t xml:space="preserve"> </w:t>
      </w:r>
      <w:r>
        <w:rPr>
          <w:sz w:val="20"/>
          <w:szCs w:val="20"/>
        </w:rPr>
        <w:t xml:space="preserve">Mapový portál Královéhradeckého kraje </w:t>
      </w:r>
      <w:hyperlink r:id="rId98" w:history="1">
        <w:r w:rsidR="00E31110" w:rsidRPr="005A1DF2">
          <w:rPr>
            <w:rStyle w:val="Hypertextovodkaz"/>
            <w:sz w:val="20"/>
            <w:szCs w:val="20"/>
          </w:rPr>
          <w:t>https://gis.kr-kralovehradecky.cz/</w:t>
        </w:r>
      </w:hyperlink>
      <w:r>
        <w:rPr>
          <w:sz w:val="20"/>
          <w:szCs w:val="20"/>
        </w:rPr>
        <w:t xml:space="preserve">  </w:t>
      </w:r>
    </w:p>
    <w:p w14:paraId="59F90B13" w14:textId="77777777" w:rsidR="00ED5EBF" w:rsidRDefault="00ED5EBF" w:rsidP="00175421">
      <w:pPr>
        <w:spacing w:after="120" w:line="259" w:lineRule="auto"/>
        <w:jc w:val="both"/>
        <w:rPr>
          <w:rFonts w:eastAsia="RWXLTG+TimesNewRoman" w:cs="RWXLTG+TimesNewRoman"/>
        </w:rPr>
      </w:pPr>
    </w:p>
    <w:p w14:paraId="6C52BB80" w14:textId="313B89FF" w:rsidR="00394561" w:rsidRDefault="00394561" w:rsidP="00175421">
      <w:pPr>
        <w:spacing w:after="120" w:line="259" w:lineRule="auto"/>
        <w:jc w:val="both"/>
        <w:rPr>
          <w:rFonts w:eastAsia="RWXLTG+TimesNewRoman" w:cs="RWXLTG+TimesNewRoman"/>
        </w:rPr>
      </w:pPr>
      <w:r w:rsidRPr="001345DD">
        <w:rPr>
          <w:rFonts w:eastAsia="RWXLTG+TimesNewRoman" w:cs="RWXLTG+TimesNewRoman"/>
        </w:rPr>
        <w:t xml:space="preserve">Z obrázku </w:t>
      </w:r>
      <w:r w:rsidR="001345DD" w:rsidRPr="001345DD">
        <w:rPr>
          <w:rFonts w:eastAsia="RWXLTG+TimesNewRoman" w:cs="RWXLTG+TimesNewRoman"/>
        </w:rPr>
        <w:t>1</w:t>
      </w:r>
      <w:r w:rsidR="00BF57D8">
        <w:rPr>
          <w:rFonts w:eastAsia="RWXLTG+TimesNewRoman" w:cs="RWXLTG+TimesNewRoman"/>
        </w:rPr>
        <w:t>3</w:t>
      </w:r>
      <w:r w:rsidRPr="00943DF5">
        <w:rPr>
          <w:rFonts w:eastAsia="RWXLTG+TimesNewRoman" w:cs="RWXLTG+TimesNewRoman"/>
        </w:rPr>
        <w:t xml:space="preserve"> vyplývá, že do území obce </w:t>
      </w:r>
      <w:r w:rsidR="00E31110">
        <w:rPr>
          <w:rFonts w:eastAsia="RWXLTG+TimesNewRoman" w:cs="RWXLTG+TimesNewRoman"/>
          <w:b/>
        </w:rPr>
        <w:t>nezasahuje</w:t>
      </w:r>
      <w:r w:rsidRPr="008F0D9E">
        <w:rPr>
          <w:rFonts w:eastAsia="RWXLTG+TimesNewRoman" w:cs="RWXLTG+TimesNewRoman"/>
          <w:b/>
        </w:rPr>
        <w:t xml:space="preserve"> </w:t>
      </w:r>
      <w:r w:rsidR="00E31110">
        <w:rPr>
          <w:rFonts w:eastAsia="RWXLTG+TimesNewRoman" w:cs="RWXLTG+TimesNewRoman"/>
          <w:b/>
        </w:rPr>
        <w:t>žádný</w:t>
      </w:r>
      <w:r>
        <w:rPr>
          <w:rFonts w:eastAsia="RWXLTG+TimesNewRoman" w:cs="RWXLTG+TimesNewRoman"/>
          <w:b/>
        </w:rPr>
        <w:t xml:space="preserve"> prv</w:t>
      </w:r>
      <w:r w:rsidR="00E31110">
        <w:rPr>
          <w:rFonts w:eastAsia="RWXLTG+TimesNewRoman" w:cs="RWXLTG+TimesNewRoman"/>
          <w:b/>
        </w:rPr>
        <w:t>e</w:t>
      </w:r>
      <w:r>
        <w:rPr>
          <w:rFonts w:eastAsia="RWXLTG+TimesNewRoman" w:cs="RWXLTG+TimesNewRoman"/>
          <w:b/>
        </w:rPr>
        <w:t xml:space="preserve">k </w:t>
      </w:r>
      <w:r w:rsidRPr="008F0D9E">
        <w:rPr>
          <w:rFonts w:eastAsia="RWXLTG+TimesNewRoman" w:cs="RWXLTG+TimesNewRoman"/>
          <w:b/>
        </w:rPr>
        <w:t>ÚSES nadregionálního významu</w:t>
      </w:r>
      <w:r w:rsidR="00E31110">
        <w:rPr>
          <w:rFonts w:eastAsia="RWXLTG+TimesNewRoman" w:cs="RWXLTG+TimesNewRoman"/>
          <w:b/>
        </w:rPr>
        <w:t>.</w:t>
      </w:r>
      <w:r w:rsidR="00E31110">
        <w:rPr>
          <w:rFonts w:eastAsia="RWXLTG+TimesNewRoman" w:cs="RWXLTG+TimesNewRoman"/>
        </w:rPr>
        <w:t xml:space="preserve"> </w:t>
      </w:r>
      <w:r w:rsidRPr="00EF03C8">
        <w:rPr>
          <w:rFonts w:eastAsia="RWXLTG+TimesNewRoman" w:cs="RWXLTG+TimesNewRoman"/>
        </w:rPr>
        <w:t xml:space="preserve">Do území obce </w:t>
      </w:r>
      <w:r w:rsidRPr="00EF03C8">
        <w:rPr>
          <w:rFonts w:eastAsia="RWXLTG+TimesNewRoman" w:cs="RWXLTG+TimesNewRoman"/>
          <w:b/>
        </w:rPr>
        <w:t>zasahuj</w:t>
      </w:r>
      <w:r w:rsidR="00ED5EBF">
        <w:rPr>
          <w:rFonts w:eastAsia="RWXLTG+TimesNewRoman" w:cs="RWXLTG+TimesNewRoman"/>
          <w:b/>
        </w:rPr>
        <w:t>í</w:t>
      </w:r>
      <w:r w:rsidRPr="00EF03C8">
        <w:rPr>
          <w:rFonts w:eastAsia="RWXLTG+TimesNewRoman" w:cs="RWXLTG+TimesNewRoman"/>
          <w:b/>
        </w:rPr>
        <w:t xml:space="preserve"> v současné </w:t>
      </w:r>
      <w:r w:rsidR="00ED5EBF">
        <w:rPr>
          <w:rFonts w:eastAsia="RWXLTG+TimesNewRoman" w:cs="RWXLTG+TimesNewRoman"/>
          <w:b/>
        </w:rPr>
        <w:t>tři</w:t>
      </w:r>
      <w:r w:rsidRPr="00EF03C8">
        <w:rPr>
          <w:rFonts w:eastAsia="RWXLTG+TimesNewRoman" w:cs="RWXLTG+TimesNewRoman"/>
          <w:b/>
        </w:rPr>
        <w:t xml:space="preserve"> </w:t>
      </w:r>
      <w:r>
        <w:rPr>
          <w:rFonts w:eastAsia="RWXLTG+TimesNewRoman" w:cs="RWXLTG+TimesNewRoman"/>
          <w:b/>
        </w:rPr>
        <w:t>prvk</w:t>
      </w:r>
      <w:r w:rsidR="00ED5EBF">
        <w:rPr>
          <w:rFonts w:eastAsia="RWXLTG+TimesNewRoman" w:cs="RWXLTG+TimesNewRoman"/>
          <w:b/>
        </w:rPr>
        <w:t>y</w:t>
      </w:r>
      <w:r>
        <w:rPr>
          <w:rFonts w:eastAsia="RWXLTG+TimesNewRoman" w:cs="RWXLTG+TimesNewRoman"/>
          <w:b/>
        </w:rPr>
        <w:t xml:space="preserve"> </w:t>
      </w:r>
      <w:r w:rsidRPr="00EF03C8">
        <w:rPr>
          <w:rFonts w:eastAsia="RWXLTG+TimesNewRoman" w:cs="RWXLTG+TimesNewRoman"/>
          <w:b/>
        </w:rPr>
        <w:t>ÚSES regionálního významu</w:t>
      </w:r>
      <w:r w:rsidRPr="00EF03C8">
        <w:rPr>
          <w:rFonts w:eastAsia="RWXLTG+TimesNewRoman" w:cs="RWXLTG+TimesNewRoman"/>
        </w:rPr>
        <w:t xml:space="preserve">, konkrétně: </w:t>
      </w:r>
    </w:p>
    <w:p w14:paraId="53627A0F" w14:textId="00D53D1A" w:rsidR="00D15B08" w:rsidRDefault="00D15B08">
      <w:pPr>
        <w:pStyle w:val="Odstavecseseznamem"/>
        <w:numPr>
          <w:ilvl w:val="0"/>
          <w:numId w:val="10"/>
        </w:numPr>
        <w:spacing w:after="120"/>
        <w:ind w:left="426" w:hanging="357"/>
        <w:contextualSpacing w:val="0"/>
        <w:jc w:val="both"/>
        <w:rPr>
          <w:rFonts w:eastAsia="RWXLTG+TimesNewRoman" w:cs="RWXLTG+TimesNewRoman"/>
        </w:rPr>
      </w:pPr>
      <w:r w:rsidRPr="002844D9">
        <w:rPr>
          <w:rFonts w:eastAsia="RWXLTG+TimesNewRoman" w:cs="RWXLTG+TimesNewRoman"/>
          <w:b/>
          <w:bCs/>
        </w:rPr>
        <w:t>RBC č. H031</w:t>
      </w:r>
      <w:r w:rsidR="002844D9" w:rsidRPr="002844D9">
        <w:rPr>
          <w:rFonts w:eastAsia="RWXLTG+TimesNewRoman" w:cs="RWXLTG+TimesNewRoman"/>
          <w:b/>
          <w:bCs/>
        </w:rPr>
        <w:t xml:space="preserve"> Starobucké</w:t>
      </w:r>
      <w:r w:rsidR="002844D9">
        <w:rPr>
          <w:rFonts w:eastAsia="RWXLTG+TimesNewRoman" w:cs="RWXLTG+TimesNewRoman"/>
        </w:rPr>
        <w:t xml:space="preserve"> – rozkládá se v jihovýchodní části území obce při hranicích s městem Trutnov. </w:t>
      </w:r>
      <w:r w:rsidR="002844D9" w:rsidRPr="00EF03C8">
        <w:rPr>
          <w:rFonts w:eastAsia="RWXLTG+TimesNewRoman" w:cs="RWXLTG+TimesNewRoman"/>
        </w:rPr>
        <w:t>Cílovými ekosystémy jsou mezofilní bučinné ekosystémy</w:t>
      </w:r>
    </w:p>
    <w:p w14:paraId="27ED3EFB" w14:textId="472E5171" w:rsidR="00D15B08" w:rsidRPr="00D15B08" w:rsidRDefault="00D15B08">
      <w:pPr>
        <w:pStyle w:val="Odstavecseseznamem"/>
        <w:numPr>
          <w:ilvl w:val="0"/>
          <w:numId w:val="10"/>
        </w:numPr>
        <w:spacing w:after="120"/>
        <w:ind w:left="426" w:hanging="357"/>
        <w:contextualSpacing w:val="0"/>
        <w:jc w:val="both"/>
        <w:rPr>
          <w:rFonts w:eastAsia="RWXLTG+TimesNewRoman" w:cs="RWXLTG+TimesNewRoman"/>
        </w:rPr>
      </w:pPr>
      <w:r w:rsidRPr="00BE5C65">
        <w:rPr>
          <w:rFonts w:eastAsia="RWXLTG+TimesNewRoman" w:cs="RWXLTG+TimesNewRoman"/>
          <w:b/>
          <w:bCs/>
        </w:rPr>
        <w:t>RBK č. 749/1</w:t>
      </w:r>
      <w:r w:rsidR="003230F7">
        <w:rPr>
          <w:rFonts w:eastAsia="RWXLTG+TimesNewRoman" w:cs="RWXLTG+TimesNewRoman"/>
        </w:rPr>
        <w:t>, jehož osa prochází východní částí území obce.</w:t>
      </w:r>
      <w:r w:rsidR="003230F7" w:rsidRPr="003230F7">
        <w:rPr>
          <w:rFonts w:eastAsia="RWXLTG+TimesNewRoman" w:cs="RWXLTG+TimesNewRoman"/>
        </w:rPr>
        <w:t xml:space="preserve"> </w:t>
      </w:r>
      <w:r w:rsidR="003230F7">
        <w:rPr>
          <w:rFonts w:eastAsia="RWXLTG+TimesNewRoman" w:cs="RWXLTG+TimesNewRoman"/>
        </w:rPr>
        <w:t>Tento RBK propojuje RBC č. H031 Starobucké s RBC č.  1648 Houska.</w:t>
      </w:r>
      <w:r w:rsidR="003230F7" w:rsidRPr="009A020F">
        <w:rPr>
          <w:rFonts w:eastAsia="RWXLTG+TimesNewRoman" w:cs="RWXLTG+TimesNewRoman"/>
        </w:rPr>
        <w:t xml:space="preserve"> </w:t>
      </w:r>
      <w:r w:rsidR="003230F7" w:rsidRPr="00EF03C8">
        <w:rPr>
          <w:rFonts w:eastAsia="RWXLTG+TimesNewRoman" w:cs="RWXLTG+TimesNewRoman"/>
        </w:rPr>
        <w:t>Cílovými ekosystémy jsou mezofilní bučinné ekosystémy</w:t>
      </w:r>
      <w:r w:rsidR="003230F7">
        <w:rPr>
          <w:rFonts w:eastAsia="RWXLTG+TimesNewRoman" w:cs="RWXLTG+TimesNewRoman"/>
        </w:rPr>
        <w:t xml:space="preserve">, </w:t>
      </w:r>
      <w:r w:rsidR="00BD6864" w:rsidRPr="00BD6864">
        <w:rPr>
          <w:rFonts w:eastAsia="RWXLTG+TimesNewRoman" w:cs="RWXLTG+TimesNewRoman"/>
        </w:rPr>
        <w:t xml:space="preserve">v údolí Starobuckého potoka </w:t>
      </w:r>
      <w:r w:rsidR="00BD6864">
        <w:rPr>
          <w:rFonts w:eastAsia="RWXLTG+TimesNewRoman" w:cs="RWXLTG+TimesNewRoman"/>
        </w:rPr>
        <w:t>zřejmě</w:t>
      </w:r>
      <w:r w:rsidR="00BD6864" w:rsidRPr="00BD6864">
        <w:rPr>
          <w:rFonts w:eastAsia="RWXLTG+TimesNewRoman" w:cs="RWXLTG+TimesNewRoman"/>
        </w:rPr>
        <w:t xml:space="preserve"> i vodní a nivní</w:t>
      </w:r>
      <w:r w:rsidR="008140E8">
        <w:rPr>
          <w:rFonts w:eastAsia="RWXLTG+TimesNewRoman" w:cs="RWXLTG+TimesNewRoman"/>
        </w:rPr>
        <w:t xml:space="preserve"> ekosystémy.</w:t>
      </w:r>
    </w:p>
    <w:p w14:paraId="5E4986D5" w14:textId="50BD4C2A" w:rsidR="00394561" w:rsidRPr="009A020F" w:rsidRDefault="00394561">
      <w:pPr>
        <w:pStyle w:val="Odstavecseseznamem"/>
        <w:numPr>
          <w:ilvl w:val="0"/>
          <w:numId w:val="10"/>
        </w:numPr>
        <w:spacing w:after="120"/>
        <w:ind w:left="426" w:hanging="357"/>
        <w:contextualSpacing w:val="0"/>
        <w:jc w:val="both"/>
        <w:rPr>
          <w:rFonts w:eastAsia="RWXLTG+TimesNewRoman" w:cs="RWXLTG+TimesNewRoman"/>
        </w:rPr>
      </w:pPr>
      <w:r w:rsidRPr="009A020F">
        <w:rPr>
          <w:rFonts w:eastAsia="RWXLTG+TimesNewRoman" w:cs="RWXLTG+TimesNewRoman"/>
          <w:b/>
          <w:bCs/>
        </w:rPr>
        <w:t xml:space="preserve">RBK č. </w:t>
      </w:r>
      <w:r w:rsidR="00E31110">
        <w:rPr>
          <w:rFonts w:eastAsia="RWXLTG+TimesNewRoman" w:cs="RWXLTG+TimesNewRoman"/>
          <w:b/>
          <w:bCs/>
        </w:rPr>
        <w:t>7</w:t>
      </w:r>
      <w:r w:rsidR="00D15B08">
        <w:rPr>
          <w:rFonts w:eastAsia="RWXLTG+TimesNewRoman" w:cs="RWXLTG+TimesNewRoman"/>
          <w:b/>
          <w:bCs/>
        </w:rPr>
        <w:t>49</w:t>
      </w:r>
      <w:r w:rsidR="00E31110">
        <w:rPr>
          <w:rFonts w:eastAsia="RWXLTG+TimesNewRoman" w:cs="RWXLTG+TimesNewRoman"/>
          <w:b/>
          <w:bCs/>
        </w:rPr>
        <w:t>/2</w:t>
      </w:r>
      <w:r>
        <w:rPr>
          <w:rFonts w:eastAsia="RWXLTG+TimesNewRoman" w:cs="RWXLTG+TimesNewRoman"/>
        </w:rPr>
        <w:t xml:space="preserve">, jehož osa </w:t>
      </w:r>
      <w:r w:rsidR="001A0360">
        <w:rPr>
          <w:rFonts w:eastAsia="RWXLTG+TimesNewRoman" w:cs="RWXLTG+TimesNewRoman"/>
        </w:rPr>
        <w:t xml:space="preserve">prochází </w:t>
      </w:r>
      <w:r w:rsidR="00BE5C65">
        <w:rPr>
          <w:rFonts w:eastAsia="RWXLTG+TimesNewRoman" w:cs="RWXLTG+TimesNewRoman"/>
        </w:rPr>
        <w:t>jižní a jihozápadní</w:t>
      </w:r>
      <w:r w:rsidR="00E31110">
        <w:rPr>
          <w:rFonts w:eastAsia="RWXLTG+TimesNewRoman" w:cs="RWXLTG+TimesNewRoman"/>
        </w:rPr>
        <w:t xml:space="preserve"> částí území obce</w:t>
      </w:r>
      <w:r w:rsidR="001A0360">
        <w:rPr>
          <w:rFonts w:eastAsia="RWXLTG+TimesNewRoman" w:cs="RWXLTG+TimesNewRoman"/>
        </w:rPr>
        <w:t xml:space="preserve">. </w:t>
      </w:r>
      <w:r>
        <w:rPr>
          <w:rFonts w:eastAsia="RWXLTG+TimesNewRoman" w:cs="RWXLTG+TimesNewRoman"/>
        </w:rPr>
        <w:t xml:space="preserve">Tento RBK propojuje </w:t>
      </w:r>
      <w:r w:rsidR="003443A2">
        <w:rPr>
          <w:rFonts w:eastAsia="RWXLTG+TimesNewRoman" w:cs="RWXLTG+TimesNewRoman"/>
        </w:rPr>
        <w:t>RBC</w:t>
      </w:r>
      <w:r>
        <w:rPr>
          <w:rFonts w:eastAsia="RWXLTG+TimesNewRoman" w:cs="RWXLTG+TimesNewRoman"/>
        </w:rPr>
        <w:t xml:space="preserve"> č. </w:t>
      </w:r>
      <w:r w:rsidR="003443A2">
        <w:rPr>
          <w:rFonts w:eastAsia="RWXLTG+TimesNewRoman" w:cs="RWXLTG+TimesNewRoman"/>
        </w:rPr>
        <w:t>H0</w:t>
      </w:r>
      <w:r w:rsidR="00BE5C65">
        <w:rPr>
          <w:rFonts w:eastAsia="RWXLTG+TimesNewRoman" w:cs="RWXLTG+TimesNewRoman"/>
        </w:rPr>
        <w:t>31</w:t>
      </w:r>
      <w:r w:rsidR="003443A2">
        <w:rPr>
          <w:rFonts w:eastAsia="RWXLTG+TimesNewRoman" w:cs="RWXLTG+TimesNewRoman"/>
        </w:rPr>
        <w:t xml:space="preserve"> </w:t>
      </w:r>
      <w:r w:rsidR="00BE5C65">
        <w:rPr>
          <w:rFonts w:eastAsia="RWXLTG+TimesNewRoman" w:cs="RWXLTG+TimesNewRoman"/>
        </w:rPr>
        <w:t>Starobucké</w:t>
      </w:r>
      <w:r w:rsidR="00251C58">
        <w:rPr>
          <w:rFonts w:eastAsia="RWXLTG+TimesNewRoman" w:cs="RWXLTG+TimesNewRoman"/>
        </w:rPr>
        <w:t xml:space="preserve"> </w:t>
      </w:r>
      <w:r w:rsidR="00BE5C65">
        <w:rPr>
          <w:rFonts w:eastAsia="RWXLTG+TimesNewRoman" w:cs="RWXLTG+TimesNewRoman"/>
        </w:rPr>
        <w:t>s RBC č.  1195 Liškárna</w:t>
      </w:r>
      <w:r>
        <w:rPr>
          <w:rFonts w:eastAsia="RWXLTG+TimesNewRoman" w:cs="RWXLTG+TimesNewRoman"/>
        </w:rPr>
        <w:t>.</w:t>
      </w:r>
      <w:r w:rsidRPr="009A020F">
        <w:rPr>
          <w:rFonts w:eastAsia="RWXLTG+TimesNewRoman" w:cs="RWXLTG+TimesNewRoman"/>
        </w:rPr>
        <w:t xml:space="preserve"> </w:t>
      </w:r>
      <w:r w:rsidRPr="00EF03C8">
        <w:rPr>
          <w:rFonts w:eastAsia="RWXLTG+TimesNewRoman" w:cs="RWXLTG+TimesNewRoman"/>
        </w:rPr>
        <w:t>Cílovými ekosystémy jsou mezofilní bučinné ekosystémy</w:t>
      </w:r>
      <w:r>
        <w:rPr>
          <w:rStyle w:val="Znakapoznpodarou"/>
          <w:rFonts w:eastAsia="RWXLTG+TimesNewRoman" w:cs="RWXLTG+TimesNewRoman"/>
        </w:rPr>
        <w:footnoteReference w:id="53"/>
      </w:r>
      <w:r w:rsidRPr="009A020F">
        <w:rPr>
          <w:rFonts w:eastAsia="RWXLTG+TimesNewRoman" w:cs="RWXLTG+TimesNewRoman"/>
        </w:rPr>
        <w:t>.</w:t>
      </w:r>
    </w:p>
    <w:p w14:paraId="45C67DEF" w14:textId="77777777" w:rsidR="00394561" w:rsidRDefault="00394561" w:rsidP="00175421">
      <w:pPr>
        <w:spacing w:line="259" w:lineRule="auto"/>
        <w:jc w:val="both"/>
      </w:pPr>
    </w:p>
    <w:p w14:paraId="6ADA0A85" w14:textId="77777777" w:rsidR="00394561" w:rsidRDefault="00394561" w:rsidP="00394561">
      <w:pPr>
        <w:spacing w:after="160" w:line="259" w:lineRule="auto"/>
        <w:jc w:val="both"/>
      </w:pPr>
      <w:r>
        <w:t>Dále se na území obce nachází řada lokálních ÚSES. Jedná se o menší ekologicky významné krajinné celky.</w:t>
      </w:r>
    </w:p>
    <w:p w14:paraId="139EEA22" w14:textId="77777777" w:rsidR="00393238" w:rsidRDefault="0020034A" w:rsidP="00C0735D">
      <w:pPr>
        <w:spacing w:after="160" w:line="259" w:lineRule="auto"/>
        <w:jc w:val="both"/>
      </w:pPr>
      <w:r>
        <w:lastRenderedPageBreak/>
        <w:t xml:space="preserve">Rovnováhu a vyváženost krajiny lze hodnotit pomocí tzv. </w:t>
      </w:r>
      <w:r w:rsidRPr="004312CF">
        <w:rPr>
          <w:b/>
        </w:rPr>
        <w:t>koeficientu ekologické stability</w:t>
      </w:r>
      <w:r>
        <w:t xml:space="preserve"> (KES)</w:t>
      </w:r>
      <w:r>
        <w:rPr>
          <w:rStyle w:val="Znakapoznpodarou"/>
        </w:rPr>
        <w:footnoteReference w:id="54"/>
      </w:r>
      <w:r>
        <w:t>.</w:t>
      </w:r>
      <w:r w:rsidRPr="00AC10B7">
        <w:rPr>
          <w:rFonts w:ascii="Times New Roman" w:eastAsia="Times New Roman" w:hAnsi="Times New Roman" w:cs="Times New Roman"/>
          <w:szCs w:val="24"/>
          <w:lang w:eastAsia="cs-CZ"/>
        </w:rPr>
        <w:t xml:space="preserve"> </w:t>
      </w:r>
      <w:r w:rsidRPr="00AC10B7">
        <w:t>Ekologická stabilita představuje schopnost krajiny samovolnými vnitřními mechanismy vyrovnávat rušivé vlivy vnějších faktorů bez trvalého</w:t>
      </w:r>
      <w:r>
        <w:t xml:space="preserve"> narušení přírodních mechanismů. V podstatě </w:t>
      </w:r>
      <w:r w:rsidRPr="00AC10B7">
        <w:t>se systém brání změnám během působení cizího činitele zvenčí nebo se vrací po skončeném pů</w:t>
      </w:r>
      <w:r>
        <w:t>sobení cizího činitele k normálnímu stavu</w:t>
      </w:r>
      <w:r>
        <w:rPr>
          <w:rStyle w:val="Znakapoznpodarou"/>
        </w:rPr>
        <w:footnoteReference w:id="55"/>
      </w:r>
      <w:r w:rsidRPr="00AC10B7">
        <w:t>.</w:t>
      </w:r>
      <w:r>
        <w:t xml:space="preserve"> </w:t>
      </w:r>
    </w:p>
    <w:p w14:paraId="5288CAD4" w14:textId="5BEA261F" w:rsidR="00393238" w:rsidRPr="00D1226D" w:rsidRDefault="00393238" w:rsidP="00393238">
      <w:pPr>
        <w:spacing w:after="160" w:line="259" w:lineRule="auto"/>
        <w:jc w:val="both"/>
        <w:rPr>
          <w:b/>
        </w:rPr>
      </w:pPr>
      <w:r w:rsidRPr="00E83DB9">
        <w:t xml:space="preserve">Tabulka </w:t>
      </w:r>
      <w:r>
        <w:t>21</w:t>
      </w:r>
      <w:r w:rsidRPr="00474FF8">
        <w:t xml:space="preserve"> znázorňuje</w:t>
      </w:r>
      <w:r>
        <w:t xml:space="preserve"> hodnoty KES v obci </w:t>
      </w:r>
      <w:r w:rsidR="00141461">
        <w:t>Staré Buky</w:t>
      </w:r>
      <w:r>
        <w:t xml:space="preserve"> a jejích jednotlivých katastrálních územích </w:t>
      </w:r>
      <w:r w:rsidRPr="00674DE0">
        <w:t>k </w:t>
      </w:r>
      <w:r w:rsidR="00141461">
        <w:t>8</w:t>
      </w:r>
      <w:r w:rsidRPr="00674DE0">
        <w:t xml:space="preserve">. </w:t>
      </w:r>
      <w:r w:rsidR="00141461">
        <w:t>5</w:t>
      </w:r>
      <w:r w:rsidRPr="00674DE0">
        <w:t>. 202</w:t>
      </w:r>
      <w:r>
        <w:t>2.</w:t>
      </w:r>
      <w:r w:rsidRPr="00C65700">
        <w:t xml:space="preserve"> </w:t>
      </w:r>
      <w:r>
        <w:t xml:space="preserve">Z této tabulky vyplývá, že hodnota KES byla pro území obce </w:t>
      </w:r>
      <w:r w:rsidR="00FD7D82">
        <w:t>Staré Buky</w:t>
      </w:r>
      <w:r>
        <w:t xml:space="preserve"> k uvedenému datu 2,</w:t>
      </w:r>
      <w:r w:rsidR="00FD7D82">
        <w:t>64</w:t>
      </w:r>
      <w:r>
        <w:t xml:space="preserve">. Jedná se tedy o </w:t>
      </w:r>
      <w:r w:rsidRPr="004312CF">
        <w:rPr>
          <w:b/>
        </w:rPr>
        <w:t>území mírně stabilní, které je charakterizováno jako</w:t>
      </w:r>
      <w:r w:rsidRPr="004312CF">
        <w:rPr>
          <w:rFonts w:ascii="Times New Roman" w:eastAsia="Times New Roman" w:hAnsi="Times New Roman" w:cs="Times New Roman"/>
          <w:b/>
          <w:szCs w:val="24"/>
          <w:lang w:eastAsia="cs-CZ"/>
        </w:rPr>
        <w:t xml:space="preserve"> </w:t>
      </w:r>
      <w:r w:rsidRPr="004312CF">
        <w:rPr>
          <w:b/>
        </w:rPr>
        <w:t>běžná kulturní krajina (technické objekty jsou v relativním souladu s charakterem relativně přírodních prvků</w:t>
      </w:r>
      <w:r>
        <w:t>).</w:t>
      </w:r>
    </w:p>
    <w:p w14:paraId="64DA14DC" w14:textId="1A6F89F4" w:rsidR="00393238" w:rsidRDefault="00393238" w:rsidP="00393238">
      <w:pPr>
        <w:spacing w:after="160" w:line="259" w:lineRule="auto"/>
        <w:jc w:val="both"/>
      </w:pPr>
    </w:p>
    <w:p w14:paraId="1D5F20B4" w14:textId="72885BE5" w:rsidR="00393238" w:rsidRPr="00344E24" w:rsidRDefault="00393238" w:rsidP="00393238">
      <w:pPr>
        <w:pStyle w:val="TABULKA0"/>
      </w:pPr>
      <w:bookmarkStart w:id="386" w:name="_Toc465022166"/>
      <w:bookmarkStart w:id="387" w:name="_Toc480751605"/>
      <w:bookmarkStart w:id="388" w:name="_Toc507022060"/>
      <w:bookmarkStart w:id="389" w:name="_Toc32577803"/>
      <w:bookmarkStart w:id="390" w:name="_Toc100690525"/>
      <w:bookmarkStart w:id="391" w:name="_Toc120651943"/>
      <w:r w:rsidRPr="00E83DB9">
        <w:t xml:space="preserve">Tabulka </w:t>
      </w:r>
      <w:r>
        <w:t>21</w:t>
      </w:r>
      <w:r w:rsidRPr="00474FF8">
        <w:t>:</w:t>
      </w:r>
      <w:r>
        <w:t xml:space="preserve"> Hodnoty KES v obci Staré Buky a jejích</w:t>
      </w:r>
      <w:r w:rsidRPr="00344E24">
        <w:t xml:space="preserve"> jednotlivých katastrálních územích</w:t>
      </w:r>
      <w:r>
        <w:t xml:space="preserve"> (</w:t>
      </w:r>
      <w:r w:rsidRPr="00674DE0">
        <w:t>k </w:t>
      </w:r>
      <w:r>
        <w:t>8</w:t>
      </w:r>
      <w:r w:rsidRPr="00674DE0">
        <w:t xml:space="preserve">. </w:t>
      </w:r>
      <w:r>
        <w:t>5</w:t>
      </w:r>
      <w:r w:rsidRPr="00674DE0">
        <w:t>. 202</w:t>
      </w:r>
      <w:r>
        <w:t>2</w:t>
      </w:r>
      <w:r w:rsidRPr="00344E24">
        <w:t>)</w:t>
      </w:r>
      <w:bookmarkEnd w:id="386"/>
      <w:bookmarkEnd w:id="387"/>
      <w:bookmarkEnd w:id="388"/>
      <w:bookmarkEnd w:id="389"/>
      <w:bookmarkEnd w:id="390"/>
      <w:bookmarkEnd w:id="391"/>
    </w:p>
    <w:tbl>
      <w:tblPr>
        <w:tblW w:w="4212" w:type="pct"/>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984"/>
        <w:gridCol w:w="1419"/>
        <w:gridCol w:w="1276"/>
        <w:gridCol w:w="1276"/>
        <w:gridCol w:w="1805"/>
      </w:tblGrid>
      <w:tr w:rsidR="00393238" w:rsidRPr="003523AC" w14:paraId="2FEF2ED7" w14:textId="77777777" w:rsidTr="00F0237A">
        <w:trPr>
          <w:trHeight w:val="300"/>
          <w:jc w:val="center"/>
        </w:trPr>
        <w:tc>
          <w:tcPr>
            <w:tcW w:w="1279" w:type="pct"/>
            <w:shd w:val="clear" w:color="auto" w:fill="FFC000"/>
            <w:noWrap/>
            <w:vAlign w:val="center"/>
            <w:hideMark/>
          </w:tcPr>
          <w:p w14:paraId="657658A1" w14:textId="77777777" w:rsidR="00393238" w:rsidRPr="003523AC" w:rsidRDefault="00393238" w:rsidP="00566E46">
            <w:pPr>
              <w:jc w:val="center"/>
              <w:rPr>
                <w:rFonts w:ascii="Calibri" w:eastAsia="Times New Roman" w:hAnsi="Calibri" w:cs="Times New Roman"/>
                <w:b/>
                <w:bCs/>
                <w:color w:val="000000"/>
                <w:sz w:val="20"/>
                <w:szCs w:val="20"/>
                <w:lang w:eastAsia="cs-CZ"/>
              </w:rPr>
            </w:pPr>
            <w:r w:rsidRPr="003523AC">
              <w:rPr>
                <w:rFonts w:ascii="Calibri" w:eastAsia="Times New Roman" w:hAnsi="Calibri" w:cs="Times New Roman"/>
                <w:b/>
                <w:bCs/>
                <w:color w:val="000000"/>
                <w:sz w:val="20"/>
                <w:szCs w:val="20"/>
                <w:lang w:eastAsia="cs-CZ"/>
              </w:rPr>
              <w:t>Katastrální území</w:t>
            </w:r>
          </w:p>
        </w:tc>
        <w:tc>
          <w:tcPr>
            <w:tcW w:w="914" w:type="pct"/>
            <w:shd w:val="clear" w:color="auto" w:fill="FFC000"/>
            <w:noWrap/>
            <w:vAlign w:val="center"/>
            <w:hideMark/>
          </w:tcPr>
          <w:p w14:paraId="0832FE05" w14:textId="2636CD26" w:rsidR="00393238" w:rsidRPr="003523AC" w:rsidRDefault="006E690F" w:rsidP="00566E46">
            <w:pPr>
              <w:jc w:val="center"/>
              <w:rPr>
                <w:rFonts w:ascii="Calibri" w:eastAsia="Times New Roman" w:hAnsi="Calibri" w:cs="Times New Roman"/>
                <w:b/>
                <w:bCs/>
                <w:color w:val="000000"/>
                <w:sz w:val="20"/>
                <w:szCs w:val="20"/>
                <w:lang w:eastAsia="cs-CZ"/>
              </w:rPr>
            </w:pPr>
            <w:r>
              <w:rPr>
                <w:rFonts w:ascii="Calibri" w:hAnsi="Calibri"/>
                <w:b/>
                <w:bCs/>
                <w:color w:val="000000"/>
                <w:sz w:val="20"/>
                <w:szCs w:val="20"/>
              </w:rPr>
              <w:t>Dolní Staré Buky</w:t>
            </w:r>
          </w:p>
        </w:tc>
        <w:tc>
          <w:tcPr>
            <w:tcW w:w="822" w:type="pct"/>
            <w:shd w:val="clear" w:color="auto" w:fill="FFC000"/>
            <w:noWrap/>
            <w:vAlign w:val="center"/>
            <w:hideMark/>
          </w:tcPr>
          <w:p w14:paraId="2747BE04" w14:textId="2B415474" w:rsidR="00393238" w:rsidRPr="003523AC" w:rsidRDefault="006E690F" w:rsidP="00566E46">
            <w:pPr>
              <w:jc w:val="center"/>
              <w:rPr>
                <w:rFonts w:ascii="Calibri" w:eastAsia="Times New Roman" w:hAnsi="Calibri" w:cs="Times New Roman"/>
                <w:b/>
                <w:bCs/>
                <w:color w:val="000000"/>
                <w:sz w:val="20"/>
                <w:szCs w:val="20"/>
                <w:lang w:eastAsia="cs-CZ"/>
              </w:rPr>
            </w:pPr>
            <w:r>
              <w:rPr>
                <w:rFonts w:ascii="Calibri" w:hAnsi="Calibri"/>
                <w:b/>
                <w:bCs/>
                <w:color w:val="000000"/>
                <w:sz w:val="20"/>
                <w:szCs w:val="20"/>
              </w:rPr>
              <w:t>Horní Staré Buky</w:t>
            </w:r>
          </w:p>
        </w:tc>
        <w:tc>
          <w:tcPr>
            <w:tcW w:w="822" w:type="pct"/>
            <w:shd w:val="clear" w:color="auto" w:fill="FFC000"/>
            <w:vAlign w:val="center"/>
          </w:tcPr>
          <w:p w14:paraId="06515BC6" w14:textId="4437C7F1" w:rsidR="00393238" w:rsidRPr="003523AC" w:rsidRDefault="006E690F" w:rsidP="00566E46">
            <w:pPr>
              <w:jc w:val="center"/>
              <w:rPr>
                <w:rFonts w:ascii="Calibri" w:eastAsia="Times New Roman" w:hAnsi="Calibri" w:cs="Times New Roman"/>
                <w:b/>
                <w:bCs/>
                <w:color w:val="000000"/>
                <w:sz w:val="20"/>
                <w:szCs w:val="20"/>
                <w:lang w:eastAsia="cs-CZ"/>
              </w:rPr>
            </w:pPr>
            <w:r>
              <w:rPr>
                <w:rFonts w:ascii="Calibri" w:hAnsi="Calibri"/>
                <w:b/>
                <w:bCs/>
                <w:color w:val="000000"/>
                <w:sz w:val="20"/>
                <w:szCs w:val="20"/>
              </w:rPr>
              <w:t>Prostřední Staré Buky</w:t>
            </w:r>
          </w:p>
        </w:tc>
        <w:tc>
          <w:tcPr>
            <w:tcW w:w="1164" w:type="pct"/>
            <w:shd w:val="clear" w:color="auto" w:fill="FFC000"/>
            <w:vAlign w:val="center"/>
          </w:tcPr>
          <w:p w14:paraId="7A3A76DE" w14:textId="1FCAF031" w:rsidR="00393238" w:rsidRPr="003523AC" w:rsidRDefault="00393238" w:rsidP="00566E46">
            <w:pPr>
              <w:jc w:val="center"/>
              <w:rPr>
                <w:rFonts w:ascii="Calibri" w:eastAsia="Times New Roman" w:hAnsi="Calibri" w:cs="Times New Roman"/>
                <w:b/>
                <w:bCs/>
                <w:color w:val="000000"/>
                <w:sz w:val="20"/>
                <w:szCs w:val="20"/>
                <w:lang w:eastAsia="cs-CZ"/>
              </w:rPr>
            </w:pPr>
            <w:r w:rsidRPr="003523AC">
              <w:rPr>
                <w:rFonts w:ascii="Calibri" w:eastAsia="Times New Roman" w:hAnsi="Calibri" w:cs="Times New Roman"/>
                <w:b/>
                <w:bCs/>
                <w:color w:val="000000"/>
                <w:sz w:val="20"/>
                <w:szCs w:val="20"/>
                <w:lang w:eastAsia="cs-CZ"/>
              </w:rPr>
              <w:t xml:space="preserve">Obec </w:t>
            </w:r>
            <w:r w:rsidR="006E690F">
              <w:rPr>
                <w:rFonts w:ascii="Calibri" w:eastAsia="Times New Roman" w:hAnsi="Calibri" w:cs="Times New Roman"/>
                <w:b/>
                <w:bCs/>
                <w:color w:val="000000"/>
                <w:sz w:val="20"/>
                <w:szCs w:val="20"/>
                <w:lang w:eastAsia="cs-CZ"/>
              </w:rPr>
              <w:t>Staré Buky</w:t>
            </w:r>
            <w:r w:rsidRPr="003523AC">
              <w:rPr>
                <w:rFonts w:ascii="Calibri" w:eastAsia="Times New Roman" w:hAnsi="Calibri" w:cs="Times New Roman"/>
                <w:b/>
                <w:bCs/>
                <w:color w:val="000000"/>
                <w:sz w:val="20"/>
                <w:szCs w:val="20"/>
                <w:lang w:eastAsia="cs-CZ"/>
              </w:rPr>
              <w:t xml:space="preserve"> celkem</w:t>
            </w:r>
          </w:p>
        </w:tc>
      </w:tr>
      <w:tr w:rsidR="00393238" w:rsidRPr="003523AC" w14:paraId="2F1EEB28" w14:textId="77777777" w:rsidTr="00566E46">
        <w:trPr>
          <w:trHeight w:val="50"/>
          <w:jc w:val="center"/>
        </w:trPr>
        <w:tc>
          <w:tcPr>
            <w:tcW w:w="1279" w:type="pct"/>
            <w:shd w:val="clear" w:color="auto" w:fill="D9D9D9" w:themeFill="background1" w:themeFillShade="D9"/>
            <w:noWrap/>
            <w:vAlign w:val="center"/>
            <w:hideMark/>
          </w:tcPr>
          <w:p w14:paraId="05E4C241" w14:textId="77777777" w:rsidR="00393238" w:rsidRPr="003523AC" w:rsidRDefault="00393238" w:rsidP="00566E46">
            <w:pPr>
              <w:jc w:val="center"/>
              <w:rPr>
                <w:rFonts w:ascii="Calibri" w:eastAsia="Times New Roman" w:hAnsi="Calibri" w:cs="Times New Roman"/>
                <w:b/>
                <w:bCs/>
                <w:color w:val="000000"/>
                <w:sz w:val="20"/>
                <w:szCs w:val="20"/>
                <w:lang w:eastAsia="cs-CZ"/>
              </w:rPr>
            </w:pPr>
            <w:r w:rsidRPr="003523AC">
              <w:rPr>
                <w:rFonts w:ascii="Calibri" w:eastAsia="Times New Roman" w:hAnsi="Calibri" w:cs="Times New Roman"/>
                <w:b/>
                <w:bCs/>
                <w:color w:val="000000"/>
                <w:sz w:val="20"/>
                <w:szCs w:val="20"/>
                <w:lang w:eastAsia="cs-CZ"/>
              </w:rPr>
              <w:t>hodnota KES</w:t>
            </w:r>
          </w:p>
        </w:tc>
        <w:tc>
          <w:tcPr>
            <w:tcW w:w="914" w:type="pct"/>
            <w:shd w:val="clear" w:color="auto" w:fill="auto"/>
            <w:noWrap/>
            <w:vAlign w:val="center"/>
          </w:tcPr>
          <w:p w14:paraId="33FCEA6A" w14:textId="09B4516B" w:rsidR="00393238" w:rsidRPr="003523AC" w:rsidRDefault="00FD7D82" w:rsidP="00566E46">
            <w:pPr>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1,43</w:t>
            </w:r>
          </w:p>
        </w:tc>
        <w:tc>
          <w:tcPr>
            <w:tcW w:w="822" w:type="pct"/>
            <w:shd w:val="clear" w:color="auto" w:fill="auto"/>
            <w:noWrap/>
            <w:vAlign w:val="center"/>
          </w:tcPr>
          <w:p w14:paraId="08B9C432" w14:textId="67E9AAB5" w:rsidR="00393238" w:rsidRPr="003523AC" w:rsidRDefault="00FD7D82" w:rsidP="00566E46">
            <w:pPr>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4,03</w:t>
            </w:r>
          </w:p>
        </w:tc>
        <w:tc>
          <w:tcPr>
            <w:tcW w:w="822" w:type="pct"/>
            <w:vAlign w:val="center"/>
          </w:tcPr>
          <w:p w14:paraId="59A863EA" w14:textId="49AFD154" w:rsidR="00393238" w:rsidRPr="003523AC" w:rsidRDefault="00FD7D82" w:rsidP="00566E46">
            <w:pPr>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2,38</w:t>
            </w:r>
          </w:p>
        </w:tc>
        <w:tc>
          <w:tcPr>
            <w:tcW w:w="1164" w:type="pct"/>
            <w:vAlign w:val="center"/>
          </w:tcPr>
          <w:p w14:paraId="2C0DF93A" w14:textId="2B2EA66B" w:rsidR="00393238" w:rsidRPr="003523AC" w:rsidRDefault="00FD7D82" w:rsidP="00566E46">
            <w:pPr>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2,64</w:t>
            </w:r>
          </w:p>
        </w:tc>
      </w:tr>
    </w:tbl>
    <w:p w14:paraId="50302324" w14:textId="77777777" w:rsidR="00393238" w:rsidRPr="000A6C74" w:rsidRDefault="00393238" w:rsidP="00393238">
      <w:pPr>
        <w:contextualSpacing/>
        <w:jc w:val="both"/>
        <w:rPr>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99" w:history="1">
        <w:r w:rsidRPr="00BE7DBF">
          <w:rPr>
            <w:rStyle w:val="Hypertextovodkaz"/>
            <w:rFonts w:eastAsia="TimesNewRoman" w:cs="TimesNewRoman"/>
            <w:sz w:val="20"/>
            <w:szCs w:val="20"/>
          </w:rPr>
          <w:t>https://nahlizenidokn.cuzk.cz/</w:t>
        </w:r>
      </w:hyperlink>
    </w:p>
    <w:p w14:paraId="61C0EC1A" w14:textId="77777777" w:rsidR="00393238" w:rsidRDefault="00393238" w:rsidP="00393238">
      <w:pPr>
        <w:spacing w:after="160" w:line="259" w:lineRule="auto"/>
        <w:jc w:val="both"/>
      </w:pPr>
    </w:p>
    <w:p w14:paraId="412E7AFC" w14:textId="70DAA293" w:rsidR="00393238" w:rsidRDefault="00393238" w:rsidP="00393238">
      <w:pPr>
        <w:spacing w:after="160" w:line="259" w:lineRule="auto"/>
        <w:jc w:val="both"/>
      </w:pPr>
      <w:r>
        <w:t xml:space="preserve">Jednotlivá k.ú. se hodnotou KES mezi sebou liší. V případě k. ú. </w:t>
      </w:r>
      <w:r w:rsidR="00FD7D82">
        <w:t>Horní Staré Buky</w:t>
      </w:r>
      <w:r>
        <w:t xml:space="preserve"> (4,0</w:t>
      </w:r>
      <w:r w:rsidR="00FD7D82">
        <w:t>3</w:t>
      </w:r>
      <w:r>
        <w:t>) se jedná o území stabilní,</w:t>
      </w:r>
      <w:r w:rsidRPr="002C2813">
        <w:t xml:space="preserve"> </w:t>
      </w:r>
      <w:r w:rsidRPr="00AE19F8">
        <w:t>které je charakterizováno</w:t>
      </w:r>
      <w:r>
        <w:t xml:space="preserve"> </w:t>
      </w:r>
      <w:r w:rsidRPr="002C2813">
        <w:t>tak, že technické objekty jsou roztroušeny na malých plochách při převaze relativně přírodních prvků</w:t>
      </w:r>
      <w:r>
        <w:t xml:space="preserve">. V případě k. ú. </w:t>
      </w:r>
      <w:r w:rsidR="00CB0A5A">
        <w:t>Dolní Staré Buky</w:t>
      </w:r>
      <w:r>
        <w:t xml:space="preserve"> (</w:t>
      </w:r>
      <w:r w:rsidR="00CB0A5A">
        <w:t>1</w:t>
      </w:r>
      <w:r>
        <w:t>,</w:t>
      </w:r>
      <w:r w:rsidR="00CB0A5A">
        <w:t>43</w:t>
      </w:r>
      <w:r>
        <w:t>)</w:t>
      </w:r>
      <w:r w:rsidR="00CB0A5A">
        <w:t xml:space="preserve"> a k. ú. Prostřední Staré Buky (2,38)</w:t>
      </w:r>
      <w:r>
        <w:t xml:space="preserve"> se jedná o území mírně stabilní.</w:t>
      </w:r>
    </w:p>
    <w:p w14:paraId="23D96BF8" w14:textId="77777777" w:rsidR="002E61FF" w:rsidRDefault="002E61FF" w:rsidP="00E424D5">
      <w:pPr>
        <w:spacing w:after="160" w:line="259" w:lineRule="auto"/>
        <w:jc w:val="both"/>
      </w:pPr>
    </w:p>
    <w:p w14:paraId="375C4A50" w14:textId="67EFB53E" w:rsidR="003C1D07" w:rsidRDefault="003C1D07" w:rsidP="00E424D5">
      <w:pPr>
        <w:spacing w:after="160" w:line="259" w:lineRule="auto"/>
        <w:jc w:val="both"/>
      </w:pPr>
      <w:r w:rsidRPr="004346C2">
        <w:t>Na území obce se k</w:t>
      </w:r>
      <w:r w:rsidR="004B0379" w:rsidRPr="004346C2">
        <w:t>e květnu</w:t>
      </w:r>
      <w:r w:rsidRPr="004346C2">
        <w:t xml:space="preserve"> 202</w:t>
      </w:r>
      <w:r w:rsidR="004B0379" w:rsidRPr="004346C2">
        <w:t>2</w:t>
      </w:r>
      <w:r w:rsidRPr="00BC761D">
        <w:rPr>
          <w:b/>
          <w:bCs/>
        </w:rPr>
        <w:t xml:space="preserve"> </w:t>
      </w:r>
      <w:r w:rsidR="004B0379">
        <w:rPr>
          <w:b/>
          <w:bCs/>
        </w:rPr>
        <w:t>ne</w:t>
      </w:r>
      <w:r w:rsidRPr="00BC761D">
        <w:rPr>
          <w:b/>
          <w:bCs/>
        </w:rPr>
        <w:t xml:space="preserve">nachází </w:t>
      </w:r>
      <w:r w:rsidR="004B0379">
        <w:rPr>
          <w:b/>
          <w:bCs/>
        </w:rPr>
        <w:t>žádný</w:t>
      </w:r>
      <w:r w:rsidRPr="00BC761D">
        <w:rPr>
          <w:b/>
          <w:bCs/>
        </w:rPr>
        <w:t xml:space="preserve"> památn</w:t>
      </w:r>
      <w:r w:rsidR="004B0379">
        <w:rPr>
          <w:b/>
          <w:bCs/>
        </w:rPr>
        <w:t>ý</w:t>
      </w:r>
      <w:r w:rsidRPr="00BC761D">
        <w:rPr>
          <w:b/>
          <w:bCs/>
        </w:rPr>
        <w:t xml:space="preserve"> strom</w:t>
      </w:r>
      <w:r>
        <w:t>.</w:t>
      </w:r>
    </w:p>
    <w:p w14:paraId="19F9C95C" w14:textId="76148F6F" w:rsidR="00F0237A" w:rsidRDefault="00F0237A" w:rsidP="008147E6">
      <w:pPr>
        <w:spacing w:after="160" w:line="259" w:lineRule="auto"/>
        <w:jc w:val="both"/>
      </w:pPr>
      <w:r>
        <w:br w:type="page"/>
      </w:r>
    </w:p>
    <w:p w14:paraId="01E2C4EB" w14:textId="77777777" w:rsidR="008147E6" w:rsidRDefault="008147E6" w:rsidP="00814D5A">
      <w:pPr>
        <w:pStyle w:val="Nadpis3"/>
      </w:pPr>
      <w:bookmarkStart w:id="392" w:name="_Toc413418381"/>
      <w:bookmarkStart w:id="393" w:name="_Toc440566360"/>
      <w:bookmarkStart w:id="394" w:name="_Toc441227511"/>
      <w:bookmarkStart w:id="395" w:name="_Toc32580132"/>
      <w:bookmarkStart w:id="396" w:name="_Toc120652157"/>
      <w:r>
        <w:lastRenderedPageBreak/>
        <w:t>2.1.7 Správa obce</w:t>
      </w:r>
      <w:bookmarkEnd w:id="392"/>
      <w:bookmarkEnd w:id="393"/>
      <w:bookmarkEnd w:id="394"/>
      <w:bookmarkEnd w:id="395"/>
      <w:bookmarkEnd w:id="396"/>
    </w:p>
    <w:p w14:paraId="73A922F7" w14:textId="77777777" w:rsidR="008147E6" w:rsidRDefault="008147E6" w:rsidP="00814D5A">
      <w:pPr>
        <w:pStyle w:val="Nadpis4"/>
      </w:pPr>
      <w:bookmarkStart w:id="397" w:name="_Toc413418382"/>
      <w:bookmarkStart w:id="398" w:name="_Toc440566361"/>
      <w:bookmarkStart w:id="399" w:name="_Toc441227512"/>
      <w:bookmarkStart w:id="400" w:name="_Toc32580133"/>
      <w:bookmarkStart w:id="401" w:name="_Toc120652158"/>
      <w:r>
        <w:t>2.1.7.1 Obecní úřad a kompetence obce</w:t>
      </w:r>
      <w:bookmarkEnd w:id="397"/>
      <w:bookmarkEnd w:id="398"/>
      <w:bookmarkEnd w:id="399"/>
      <w:bookmarkEnd w:id="400"/>
      <w:bookmarkEnd w:id="401"/>
    </w:p>
    <w:p w14:paraId="4B1D4403" w14:textId="4921BCDE" w:rsidR="00224E70" w:rsidRDefault="00224E70" w:rsidP="00224E70">
      <w:pPr>
        <w:spacing w:after="160" w:line="259" w:lineRule="auto"/>
        <w:jc w:val="both"/>
      </w:pPr>
      <w:r w:rsidRPr="00D4026A">
        <w:t>V komunálních volbách, které</w:t>
      </w:r>
      <w:r>
        <w:t xml:space="preserve"> proběhly v roce 2018, bylo zvoleno </w:t>
      </w:r>
      <w:r w:rsidRPr="00010EE7">
        <w:t xml:space="preserve">celkem </w:t>
      </w:r>
      <w:r w:rsidR="0013675A">
        <w:t>7</w:t>
      </w:r>
      <w:r>
        <w:t xml:space="preserve"> zastupitelů. Zastupitelstvo zvolilo z řad svých členů </w:t>
      </w:r>
      <w:r w:rsidRPr="00D64B3E">
        <w:t>starost</w:t>
      </w:r>
      <w:r w:rsidR="0013675A">
        <w:t>o</w:t>
      </w:r>
      <w:r w:rsidRPr="00D64B3E">
        <w:t>u</w:t>
      </w:r>
      <w:r>
        <w:rPr>
          <w:b/>
        </w:rPr>
        <w:t xml:space="preserve"> pan</w:t>
      </w:r>
      <w:r w:rsidR="0013675A">
        <w:rPr>
          <w:b/>
        </w:rPr>
        <w:t>a Jiřího Bischofa</w:t>
      </w:r>
      <w:r>
        <w:t xml:space="preserve"> a </w:t>
      </w:r>
      <w:r w:rsidR="0013675A">
        <w:t xml:space="preserve">za </w:t>
      </w:r>
      <w:r w:rsidRPr="00D64B3E">
        <w:t>místostarost</w:t>
      </w:r>
      <w:r w:rsidR="00E701C7">
        <w:t>k</w:t>
      </w:r>
      <w:r w:rsidR="0013675A">
        <w:t>y</w:t>
      </w:r>
      <w:r>
        <w:t xml:space="preserve"> </w:t>
      </w:r>
      <w:r w:rsidRPr="00841696">
        <w:rPr>
          <w:b/>
          <w:bCs/>
        </w:rPr>
        <w:t>pan</w:t>
      </w:r>
      <w:r w:rsidR="00E701C7">
        <w:rPr>
          <w:b/>
          <w:bCs/>
        </w:rPr>
        <w:t>í</w:t>
      </w:r>
      <w:r w:rsidRPr="00841696">
        <w:rPr>
          <w:b/>
          <w:bCs/>
        </w:rPr>
        <w:t xml:space="preserve"> </w:t>
      </w:r>
      <w:r w:rsidR="0013675A">
        <w:rPr>
          <w:b/>
          <w:bCs/>
        </w:rPr>
        <w:t>Dagmar Houserovou</w:t>
      </w:r>
      <w:r w:rsidR="0013675A">
        <w:t xml:space="preserve"> a </w:t>
      </w:r>
      <w:r w:rsidR="0013675A">
        <w:rPr>
          <w:b/>
          <w:bCs/>
        </w:rPr>
        <w:t>paní Markétu Cimbotovou</w:t>
      </w:r>
      <w:r>
        <w:t>.</w:t>
      </w:r>
      <w:r w:rsidRPr="00D64B3E">
        <w:t xml:space="preserve"> </w:t>
      </w:r>
      <w:r w:rsidR="00302AED">
        <w:t>Starosta je pro výkon své funkce dlouhodobě uvolněn</w:t>
      </w:r>
      <w:r w:rsidR="00302AED">
        <w:rPr>
          <w:rStyle w:val="Znakapoznpodarou"/>
        </w:rPr>
        <w:footnoteReference w:id="56"/>
      </w:r>
      <w:r w:rsidR="00302AED">
        <w:t>. Zvolené místostarostky obce jsou pro výkon své funkce neuvolněny</w:t>
      </w:r>
      <w:r w:rsidR="00302AED">
        <w:rPr>
          <w:rStyle w:val="Znakapoznpodarou"/>
        </w:rPr>
        <w:footnoteReference w:id="57"/>
      </w:r>
      <w:r w:rsidR="00302AED">
        <w:t>. Funkce tajemníka není v obci Staré Buky zřízena.</w:t>
      </w:r>
    </w:p>
    <w:p w14:paraId="3CC7080C" w14:textId="44D7416E" w:rsidR="00224E70" w:rsidRPr="00162425" w:rsidRDefault="00224E70" w:rsidP="00224E70">
      <w:pPr>
        <w:spacing w:after="160" w:line="259" w:lineRule="auto"/>
        <w:jc w:val="both"/>
      </w:pPr>
      <w:r w:rsidRPr="00F62145">
        <w:rPr>
          <w:szCs w:val="24"/>
        </w:rPr>
        <w:t>Zastupitelstvo má řadu různorodých pravomocí</w:t>
      </w:r>
      <w:r>
        <w:rPr>
          <w:rStyle w:val="Znakapoznpodarou"/>
          <w:szCs w:val="24"/>
        </w:rPr>
        <w:footnoteReference w:id="58"/>
      </w:r>
      <w:r w:rsidRPr="00162425">
        <w:t>. Zastupitelé se schází dle potřeby, nejméně však jednou za 3 měsíce. Zasedání je vždy</w:t>
      </w:r>
      <w:r>
        <w:t xml:space="preserve"> veřejné</w:t>
      </w:r>
      <w:r w:rsidRPr="00162425">
        <w:t xml:space="preserve"> a svolává jej starosta </w:t>
      </w:r>
      <w:r>
        <w:t>obce</w:t>
      </w:r>
      <w:r w:rsidRPr="00162425">
        <w:t xml:space="preserve">. </w:t>
      </w:r>
      <w:r>
        <w:t>Na zasedání zastupitelstva jsou probírány a diskutovány věci týkající se obce a v případě nutnosti dochází také k hlasování</w:t>
      </w:r>
      <w:r w:rsidRPr="00F62145">
        <w:rPr>
          <w:szCs w:val="24"/>
        </w:rPr>
        <w:t>.</w:t>
      </w:r>
      <w:r>
        <w:t xml:space="preserve"> </w:t>
      </w:r>
      <w:r w:rsidRPr="00E17EAD">
        <w:t xml:space="preserve">Výkonná moc v oblasti samostatné působnosti přísluší radě obce, avšak ta není v obci zřízena, neboť zastupitelstvo obce je složeno z méně než 15 členů. </w:t>
      </w:r>
      <w:r w:rsidRPr="00E17EAD">
        <w:rPr>
          <w:szCs w:val="24"/>
        </w:rPr>
        <w:t>Pravomoci příslušející radě obce jsou rozděleny mezi z</w:t>
      </w:r>
      <w:r w:rsidRPr="00E17EAD">
        <w:rPr>
          <w:bCs/>
          <w:szCs w:val="24"/>
        </w:rPr>
        <w:t>astupitelstvo a starostu obce.</w:t>
      </w:r>
    </w:p>
    <w:p w14:paraId="3A8C8FD9" w14:textId="77777777" w:rsidR="00224E70" w:rsidRPr="00017CF5" w:rsidRDefault="00224E70" w:rsidP="00224E70">
      <w:pPr>
        <w:spacing w:after="160" w:line="259" w:lineRule="auto"/>
        <w:jc w:val="both"/>
      </w:pPr>
    </w:p>
    <w:p w14:paraId="0BFED41E" w14:textId="77777777" w:rsidR="00DE6552" w:rsidRDefault="00224E70" w:rsidP="00224E70">
      <w:pPr>
        <w:spacing w:after="160" w:line="259" w:lineRule="auto"/>
        <w:jc w:val="both"/>
        <w:rPr>
          <w:rFonts w:ascii="Calibri" w:eastAsia="Calibri" w:hAnsi="Calibri" w:cs="Times New Roman"/>
        </w:rPr>
      </w:pPr>
      <w:r w:rsidRPr="00A35164">
        <w:rPr>
          <w:rFonts w:ascii="Calibri" w:eastAsia="Calibri" w:hAnsi="Calibri" w:cs="Times New Roman"/>
          <w:b/>
          <w:bCs/>
        </w:rPr>
        <w:t>V</w:t>
      </w:r>
      <w:r>
        <w:rPr>
          <w:rFonts w:ascii="Calibri" w:eastAsia="Calibri" w:hAnsi="Calibri" w:cs="Times New Roman"/>
          <w:b/>
          <w:bCs/>
        </w:rPr>
        <w:t xml:space="preserve"> obci </w:t>
      </w:r>
      <w:r w:rsidRPr="00A35164">
        <w:rPr>
          <w:rFonts w:ascii="Calibri" w:eastAsia="Calibri" w:hAnsi="Calibri" w:cs="Times New Roman"/>
          <w:b/>
          <w:bCs/>
        </w:rPr>
        <w:t>jsou k</w:t>
      </w:r>
      <w:r w:rsidR="00F112FB">
        <w:rPr>
          <w:rFonts w:ascii="Calibri" w:eastAsia="Calibri" w:hAnsi="Calibri" w:cs="Times New Roman"/>
          <w:b/>
          <w:bCs/>
        </w:rPr>
        <w:t>e květnu 2022</w:t>
      </w:r>
      <w:r w:rsidRPr="00A35164">
        <w:rPr>
          <w:rFonts w:ascii="Calibri" w:eastAsia="Calibri" w:hAnsi="Calibri" w:cs="Times New Roman"/>
          <w:b/>
          <w:bCs/>
        </w:rPr>
        <w:t xml:space="preserve"> zřízeny </w:t>
      </w:r>
      <w:r w:rsidR="00664067">
        <w:rPr>
          <w:rFonts w:ascii="Calibri" w:eastAsia="Calibri" w:hAnsi="Calibri" w:cs="Times New Roman"/>
          <w:b/>
          <w:bCs/>
        </w:rPr>
        <w:t>čtyři</w:t>
      </w:r>
      <w:r w:rsidRPr="00A35164">
        <w:rPr>
          <w:rFonts w:ascii="Calibri" w:eastAsia="Calibri" w:hAnsi="Calibri" w:cs="Times New Roman"/>
          <w:b/>
          <w:bCs/>
        </w:rPr>
        <w:t xml:space="preserve"> výbory: finanční</w:t>
      </w:r>
      <w:r w:rsidR="008B0D64">
        <w:rPr>
          <w:rFonts w:ascii="Calibri" w:eastAsia="Calibri" w:hAnsi="Calibri" w:cs="Times New Roman"/>
          <w:b/>
          <w:bCs/>
        </w:rPr>
        <w:t xml:space="preserve">, </w:t>
      </w:r>
      <w:r w:rsidRPr="00A35164">
        <w:rPr>
          <w:rFonts w:ascii="Calibri" w:eastAsia="Calibri" w:hAnsi="Calibri" w:cs="Times New Roman"/>
          <w:b/>
          <w:bCs/>
        </w:rPr>
        <w:t>kontrolní</w:t>
      </w:r>
      <w:r w:rsidR="008B0D64">
        <w:rPr>
          <w:rFonts w:ascii="Calibri" w:eastAsia="Calibri" w:hAnsi="Calibri" w:cs="Times New Roman"/>
          <w:b/>
          <w:bCs/>
        </w:rPr>
        <w:t>, výbor kulturní a pro občanské záležitosti a výbor pro rozvoj obce a pro koordinaci spolků</w:t>
      </w:r>
      <w:r w:rsidRPr="00A35164">
        <w:rPr>
          <w:rFonts w:ascii="Calibri" w:eastAsia="Calibri" w:hAnsi="Calibri" w:cs="Times New Roman"/>
        </w:rPr>
        <w:t xml:space="preserve">. </w:t>
      </w:r>
      <w:r w:rsidR="00DE6552">
        <w:rPr>
          <w:rFonts w:ascii="Calibri" w:eastAsia="Calibri" w:hAnsi="Calibri" w:cs="Times New Roman"/>
        </w:rPr>
        <w:t xml:space="preserve">První dva jmenované </w:t>
      </w:r>
      <w:r w:rsidRPr="00A35164">
        <w:rPr>
          <w:rFonts w:ascii="Calibri" w:eastAsia="Calibri" w:hAnsi="Calibri" w:cs="Times New Roman"/>
        </w:rPr>
        <w:t>výbory musí obec zřídit vždy</w:t>
      </w:r>
      <w:r w:rsidRPr="00A35164">
        <w:rPr>
          <w:rFonts w:ascii="Calibri" w:eastAsia="Calibri" w:hAnsi="Calibri" w:cs="Times New Roman"/>
          <w:vertAlign w:val="superscript"/>
        </w:rPr>
        <w:footnoteReference w:id="59"/>
      </w:r>
      <w:r w:rsidRPr="00A35164">
        <w:rPr>
          <w:rFonts w:ascii="Calibri" w:eastAsia="Calibri" w:hAnsi="Calibri" w:cs="Times New Roman"/>
        </w:rPr>
        <w:t xml:space="preserve">. </w:t>
      </w:r>
    </w:p>
    <w:p w14:paraId="3AC5CB5D" w14:textId="77777777" w:rsidR="00DE6552" w:rsidRDefault="00224E70" w:rsidP="00224E70">
      <w:pPr>
        <w:spacing w:after="160" w:line="259" w:lineRule="auto"/>
        <w:jc w:val="both"/>
        <w:rPr>
          <w:rFonts w:ascii="Calibri" w:eastAsia="Calibri" w:hAnsi="Calibri" w:cs="Times New Roman"/>
        </w:rPr>
      </w:pPr>
      <w:r w:rsidRPr="00A35164">
        <w:rPr>
          <w:rFonts w:ascii="Calibri" w:eastAsia="Calibri" w:hAnsi="Calibri" w:cs="Times New Roman"/>
          <w:b/>
        </w:rPr>
        <w:t>Finanční výbor</w:t>
      </w:r>
      <w:r w:rsidRPr="00A35164">
        <w:rPr>
          <w:rFonts w:ascii="Calibri" w:eastAsia="Calibri" w:hAnsi="Calibri" w:cs="Times New Roman"/>
        </w:rPr>
        <w:t xml:space="preserve"> je jednak kontrolním orgánem zastupitelstva </w:t>
      </w:r>
      <w:r>
        <w:rPr>
          <w:rFonts w:ascii="Calibri" w:eastAsia="Calibri" w:hAnsi="Calibri" w:cs="Times New Roman"/>
        </w:rPr>
        <w:t>obce</w:t>
      </w:r>
      <w:r w:rsidRPr="00A35164">
        <w:rPr>
          <w:rFonts w:ascii="Calibri" w:eastAsia="Calibri" w:hAnsi="Calibri" w:cs="Times New Roman"/>
        </w:rPr>
        <w:t xml:space="preserve">, ale také současně iniciačním orgánem. Má především za úkol kontrolovat hospodaření s majetkem a finančními prostředky </w:t>
      </w:r>
      <w:r>
        <w:rPr>
          <w:rFonts w:ascii="Calibri" w:eastAsia="Calibri" w:hAnsi="Calibri" w:cs="Times New Roman"/>
        </w:rPr>
        <w:t>obce</w:t>
      </w:r>
      <w:r w:rsidRPr="00A35164">
        <w:rPr>
          <w:rFonts w:ascii="Calibri" w:eastAsia="Calibri" w:hAnsi="Calibri" w:cs="Times New Roman"/>
        </w:rPr>
        <w:t xml:space="preserve">, zároveň však může iniciativně navrhovat vhodné čerpání finančních prostředků. </w:t>
      </w:r>
    </w:p>
    <w:p w14:paraId="5F0F3CAC" w14:textId="5E545901" w:rsidR="00DE6552" w:rsidRDefault="00224E70" w:rsidP="00224E70">
      <w:pPr>
        <w:spacing w:after="160" w:line="259" w:lineRule="auto"/>
        <w:jc w:val="both"/>
        <w:rPr>
          <w:rFonts w:ascii="Calibri" w:eastAsia="Calibri" w:hAnsi="Calibri" w:cs="Times New Roman"/>
        </w:rPr>
      </w:pPr>
      <w:r w:rsidRPr="00A35164">
        <w:rPr>
          <w:rFonts w:ascii="Calibri" w:eastAsia="Calibri" w:hAnsi="Calibri" w:cs="Times New Roman"/>
          <w:b/>
        </w:rPr>
        <w:t>Kontrolní výbor</w:t>
      </w:r>
      <w:r w:rsidRPr="00A35164">
        <w:rPr>
          <w:rFonts w:ascii="Calibri" w:eastAsia="Calibri" w:hAnsi="Calibri" w:cs="Times New Roman"/>
        </w:rPr>
        <w:t xml:space="preserve"> </w:t>
      </w:r>
      <w:r w:rsidR="00A15B21" w:rsidRPr="006210DD">
        <w:t>kontroluje plnění usnesení zastupitelstva obce, dodržování právních předpisů obecním úřadem a ostatními výbory na úseku samostatné působnosti</w:t>
      </w:r>
      <w:r w:rsidRPr="00A35164">
        <w:rPr>
          <w:rFonts w:ascii="Calibri" w:eastAsia="Calibri" w:hAnsi="Calibri" w:cs="Times New Roman"/>
        </w:rPr>
        <w:t xml:space="preserve">. </w:t>
      </w:r>
    </w:p>
    <w:p w14:paraId="0BA838EB" w14:textId="4D28D325" w:rsidR="00DE6552" w:rsidRDefault="00DE6552" w:rsidP="00224E70">
      <w:pPr>
        <w:spacing w:after="160" w:line="259" w:lineRule="auto"/>
        <w:jc w:val="both"/>
      </w:pPr>
      <w:r>
        <w:rPr>
          <w:rFonts w:ascii="Calibri" w:eastAsia="Calibri" w:hAnsi="Calibri" w:cs="Times New Roman"/>
          <w:b/>
          <w:bCs/>
        </w:rPr>
        <w:t>Výbor kulturní a pro občanské záležitosti</w:t>
      </w:r>
      <w:bookmarkStart w:id="402" w:name="_Hlk77669703"/>
      <w:r w:rsidR="00065FF8" w:rsidRPr="00065FF8">
        <w:t xml:space="preserve"> </w:t>
      </w:r>
      <w:r w:rsidR="00065FF8">
        <w:t>má na starosti přípravu a organizaci řady společenských akcí, které se v obci v průběhu roku konají</w:t>
      </w:r>
      <w:bookmarkEnd w:id="402"/>
      <w:r w:rsidR="00675451">
        <w:t>.</w:t>
      </w:r>
    </w:p>
    <w:p w14:paraId="3239065D" w14:textId="3512867E" w:rsidR="00675451" w:rsidRDefault="006A04D2" w:rsidP="00224E70">
      <w:pPr>
        <w:spacing w:after="160" w:line="259" w:lineRule="auto"/>
        <w:jc w:val="both"/>
        <w:rPr>
          <w:rFonts w:ascii="Calibri" w:eastAsia="Calibri" w:hAnsi="Calibri" w:cs="Times New Roman"/>
        </w:rPr>
      </w:pPr>
      <w:r w:rsidRPr="006A04D2">
        <w:rPr>
          <w:rFonts w:ascii="Calibri" w:eastAsia="Calibri" w:hAnsi="Calibri" w:cs="Times New Roman"/>
        </w:rPr>
        <w:t>Činnost</w:t>
      </w:r>
      <w:r>
        <w:rPr>
          <w:rFonts w:ascii="Calibri" w:eastAsia="Calibri" w:hAnsi="Calibri" w:cs="Times New Roman"/>
          <w:b/>
          <w:bCs/>
        </w:rPr>
        <w:t xml:space="preserve"> v</w:t>
      </w:r>
      <w:r w:rsidR="00675451">
        <w:rPr>
          <w:rFonts w:ascii="Calibri" w:eastAsia="Calibri" w:hAnsi="Calibri" w:cs="Times New Roman"/>
          <w:b/>
          <w:bCs/>
        </w:rPr>
        <w:t>ýbor</w:t>
      </w:r>
      <w:r>
        <w:rPr>
          <w:rFonts w:ascii="Calibri" w:eastAsia="Calibri" w:hAnsi="Calibri" w:cs="Times New Roman"/>
          <w:b/>
          <w:bCs/>
        </w:rPr>
        <w:t>u</w:t>
      </w:r>
      <w:r w:rsidR="00675451">
        <w:rPr>
          <w:rFonts w:ascii="Calibri" w:eastAsia="Calibri" w:hAnsi="Calibri" w:cs="Times New Roman"/>
          <w:b/>
          <w:bCs/>
        </w:rPr>
        <w:t xml:space="preserve"> pro rozvoj obce a pro koordinaci spolků</w:t>
      </w:r>
      <w:r w:rsidRPr="006A04D2">
        <w:t xml:space="preserve"> </w:t>
      </w:r>
      <w:r>
        <w:t xml:space="preserve">je zaměřena na aktivity související s rozvojem obce a </w:t>
      </w:r>
      <w:r w:rsidR="00311DA6">
        <w:t>na koordinaci aktivit souvisejících s činností spolků.</w:t>
      </w:r>
    </w:p>
    <w:p w14:paraId="5CF4FD5D" w14:textId="25D63290" w:rsidR="00DE6552" w:rsidRDefault="007F5779" w:rsidP="00224E70">
      <w:pPr>
        <w:spacing w:after="160" w:line="259" w:lineRule="auto"/>
        <w:jc w:val="both"/>
        <w:rPr>
          <w:rFonts w:ascii="Calibri" w:eastAsia="Calibri" w:hAnsi="Calibri" w:cs="Times New Roman"/>
        </w:rPr>
      </w:pPr>
      <w:r>
        <w:rPr>
          <w:rFonts w:ascii="Calibri" w:eastAsia="Calibri" w:hAnsi="Calibri" w:cs="Times New Roman"/>
        </w:rPr>
        <w:t xml:space="preserve">První tři zmiňované výbory jsou tříčlenné, </w:t>
      </w:r>
      <w:r w:rsidRPr="007F5779">
        <w:rPr>
          <w:rFonts w:ascii="Calibri" w:eastAsia="Calibri" w:hAnsi="Calibri" w:cs="Times New Roman"/>
        </w:rPr>
        <w:t>výbor pro rozvoj obce a pro koordinaci spolků</w:t>
      </w:r>
      <w:r>
        <w:rPr>
          <w:rFonts w:ascii="Calibri" w:eastAsia="Calibri" w:hAnsi="Calibri" w:cs="Times New Roman"/>
        </w:rPr>
        <w:t xml:space="preserve"> je složen z pěti členů.</w:t>
      </w:r>
    </w:p>
    <w:p w14:paraId="136780F1" w14:textId="77777777" w:rsidR="00DE6552" w:rsidRDefault="00DE6552" w:rsidP="00224E70">
      <w:pPr>
        <w:spacing w:after="160" w:line="259" w:lineRule="auto"/>
        <w:jc w:val="both"/>
        <w:rPr>
          <w:rFonts w:ascii="Calibri" w:eastAsia="Calibri" w:hAnsi="Calibri" w:cs="Times New Roman"/>
        </w:rPr>
      </w:pPr>
    </w:p>
    <w:p w14:paraId="2445F383" w14:textId="67809F6B" w:rsidR="00224E70" w:rsidRDefault="00224E70" w:rsidP="00224E70">
      <w:pPr>
        <w:spacing w:after="160" w:line="259" w:lineRule="auto"/>
        <w:jc w:val="both"/>
      </w:pPr>
      <w:r>
        <w:t xml:space="preserve">Při obci dále funguje a je zřízena </w:t>
      </w:r>
      <w:r w:rsidRPr="0097682D">
        <w:rPr>
          <w:b/>
        </w:rPr>
        <w:t>povodňová komise</w:t>
      </w:r>
      <w:r>
        <w:t xml:space="preserve">, která má celkem </w:t>
      </w:r>
      <w:r w:rsidR="005F5964">
        <w:t>sedm</w:t>
      </w:r>
      <w:r>
        <w:t xml:space="preserve"> člen</w:t>
      </w:r>
      <w:r w:rsidR="004D225F">
        <w:t>ů</w:t>
      </w:r>
      <w:r>
        <w:rPr>
          <w:rStyle w:val="Znakapoznpodarou"/>
        </w:rPr>
        <w:footnoteReference w:id="60"/>
      </w:r>
      <w:r>
        <w:t xml:space="preserve">. </w:t>
      </w:r>
    </w:p>
    <w:p w14:paraId="2A9BBF0F" w14:textId="65D6C817" w:rsidR="00224E70" w:rsidRDefault="00224E70" w:rsidP="00224E70">
      <w:pPr>
        <w:spacing w:after="160" w:line="259" w:lineRule="auto"/>
        <w:jc w:val="both"/>
      </w:pPr>
      <w:r>
        <w:t xml:space="preserve">Obec </w:t>
      </w:r>
      <w:r w:rsidR="00632B89">
        <w:t>Staré Buky</w:t>
      </w:r>
      <w:r>
        <w:t xml:space="preserve"> k</w:t>
      </w:r>
      <w:r w:rsidR="00632B89">
        <w:t>e květnu</w:t>
      </w:r>
      <w:r>
        <w:t xml:space="preserve"> 202</w:t>
      </w:r>
      <w:r w:rsidR="00632B89">
        <w:t>2</w:t>
      </w:r>
      <w:r>
        <w:t xml:space="preserve"> </w:t>
      </w:r>
      <w:r w:rsidR="002A145B">
        <w:t>nezřizuje žádnou příspěvkovou organizaci.</w:t>
      </w:r>
    </w:p>
    <w:p w14:paraId="7A7089D1" w14:textId="77777777" w:rsidR="00224E70" w:rsidRPr="00A35164" w:rsidRDefault="00224E70" w:rsidP="00224E70">
      <w:pPr>
        <w:spacing w:after="160" w:line="259" w:lineRule="auto"/>
        <w:jc w:val="both"/>
        <w:rPr>
          <w:rFonts w:ascii="Calibri" w:eastAsia="Calibri" w:hAnsi="Calibri" w:cs="Times New Roman"/>
          <w:u w:val="single"/>
        </w:rPr>
      </w:pPr>
      <w:r w:rsidRPr="00A35164">
        <w:rPr>
          <w:rFonts w:ascii="Calibri" w:eastAsia="Calibri" w:hAnsi="Calibri" w:cs="Times New Roman"/>
          <w:u w:val="single"/>
        </w:rPr>
        <w:lastRenderedPageBreak/>
        <w:t>Oblast eGovernmentu</w:t>
      </w:r>
    </w:p>
    <w:p w14:paraId="4A640179" w14:textId="242EE8E0" w:rsidR="00224E70" w:rsidRPr="00A35164" w:rsidRDefault="00224E70" w:rsidP="00224E70">
      <w:pPr>
        <w:spacing w:after="160" w:line="259" w:lineRule="auto"/>
        <w:jc w:val="both"/>
        <w:rPr>
          <w:rFonts w:ascii="Calibri" w:eastAsia="Calibri" w:hAnsi="Calibri" w:cs="Times New Roman"/>
        </w:rPr>
      </w:pPr>
      <w:r w:rsidRPr="00A35164">
        <w:rPr>
          <w:rFonts w:ascii="Calibri" w:eastAsia="Calibri" w:hAnsi="Calibri" w:cs="Times New Roman"/>
        </w:rPr>
        <w:t>Myšlenkou tzv. eGovernmentu je správa věcí veřejných za využití moderních elektronických nástrojů, díky kterým bude veřejná správa k občanům přátelštější, dostupnější, efektivnější, rychlejší a levnější</w:t>
      </w:r>
      <w:r w:rsidRPr="00A35164">
        <w:rPr>
          <w:rFonts w:ascii="Calibri" w:eastAsia="Calibri" w:hAnsi="Calibri" w:cs="Times New Roman"/>
          <w:vertAlign w:val="superscript"/>
        </w:rPr>
        <w:footnoteReference w:id="61"/>
      </w:r>
      <w:r w:rsidRPr="00A35164">
        <w:rPr>
          <w:rFonts w:ascii="Calibri" w:eastAsia="Calibri" w:hAnsi="Calibri" w:cs="Times New Roman"/>
        </w:rPr>
        <w:t xml:space="preserve">. </w:t>
      </w:r>
      <w:r>
        <w:rPr>
          <w:rFonts w:ascii="Calibri" w:eastAsia="Calibri" w:hAnsi="Calibri" w:cs="Times New Roman"/>
        </w:rPr>
        <w:t xml:space="preserve">Obec </w:t>
      </w:r>
      <w:r w:rsidR="00D55ED5">
        <w:rPr>
          <w:rFonts w:ascii="Calibri" w:eastAsia="Calibri" w:hAnsi="Calibri" w:cs="Times New Roman"/>
        </w:rPr>
        <w:t>Staré Buky</w:t>
      </w:r>
      <w:r w:rsidRPr="00A35164">
        <w:rPr>
          <w:rFonts w:ascii="Calibri" w:eastAsia="Calibri" w:hAnsi="Calibri" w:cs="Times New Roman"/>
        </w:rPr>
        <w:t xml:space="preserve"> již určité služby, které by šly zařadit pod eGovernment, poskytuje, např. </w:t>
      </w:r>
      <w:r w:rsidR="00D55ED5">
        <w:rPr>
          <w:rFonts w:ascii="Calibri" w:eastAsia="Calibri" w:hAnsi="Calibri" w:cs="Times New Roman"/>
        </w:rPr>
        <w:t>služby Czech POINT</w:t>
      </w:r>
      <w:r w:rsidRPr="00A35164">
        <w:rPr>
          <w:rFonts w:ascii="Calibri" w:eastAsia="Calibri" w:hAnsi="Calibri" w:cs="Times New Roman"/>
        </w:rPr>
        <w:t>.</w:t>
      </w:r>
    </w:p>
    <w:p w14:paraId="7999642F" w14:textId="77777777" w:rsidR="00224E70" w:rsidRDefault="00224E70" w:rsidP="00224E70">
      <w:pPr>
        <w:spacing w:after="160" w:line="259" w:lineRule="auto"/>
        <w:jc w:val="both"/>
      </w:pPr>
      <w:r w:rsidRPr="00A35164">
        <w:rPr>
          <w:rFonts w:ascii="Calibri" w:eastAsia="Calibri" w:hAnsi="Calibri" w:cs="Times New Roman"/>
        </w:rPr>
        <w:t xml:space="preserve">Vzhledem k tomu, aby </w:t>
      </w:r>
      <w:r>
        <w:rPr>
          <w:rFonts w:ascii="Calibri" w:eastAsia="Calibri" w:hAnsi="Calibri" w:cs="Times New Roman"/>
        </w:rPr>
        <w:t>obec</w:t>
      </w:r>
      <w:r w:rsidRPr="00A35164">
        <w:rPr>
          <w:rFonts w:ascii="Calibri" w:eastAsia="Calibri" w:hAnsi="Calibri" w:cs="Times New Roman"/>
        </w:rPr>
        <w:t xml:space="preserve"> šl</w:t>
      </w:r>
      <w:r>
        <w:rPr>
          <w:rFonts w:ascii="Calibri" w:eastAsia="Calibri" w:hAnsi="Calibri" w:cs="Times New Roman"/>
        </w:rPr>
        <w:t>a</w:t>
      </w:r>
      <w:r w:rsidRPr="00A35164">
        <w:rPr>
          <w:rFonts w:ascii="Calibri" w:eastAsia="Calibri" w:hAnsi="Calibri" w:cs="Times New Roman"/>
        </w:rPr>
        <w:t xml:space="preserve"> stále tzv. „s dobou“, je důležité pokračovat v tomto trendu a posilovat jej, např. formou publikování dat veřejné správy jako OpenData, rozšiřovat propojený datový fond a všeobecně zvyšovat kvalitu, dostupnost a transparentnost veřejné správy.</w:t>
      </w:r>
    </w:p>
    <w:p w14:paraId="21DB48E4" w14:textId="4E990584" w:rsidR="00050E69" w:rsidRDefault="00050E69" w:rsidP="007C283B">
      <w:pPr>
        <w:spacing w:after="160" w:line="259" w:lineRule="auto"/>
        <w:jc w:val="both"/>
      </w:pPr>
    </w:p>
    <w:p w14:paraId="748811FD" w14:textId="77777777" w:rsidR="00385ADC" w:rsidRDefault="00385ADC" w:rsidP="00385ADC">
      <w:pPr>
        <w:pStyle w:val="Nadpis4"/>
      </w:pPr>
      <w:bookmarkStart w:id="404" w:name="_Toc413418383"/>
      <w:bookmarkStart w:id="405" w:name="_Toc440566362"/>
      <w:bookmarkStart w:id="406" w:name="_Toc441227513"/>
      <w:bookmarkStart w:id="407" w:name="_Toc32580134"/>
      <w:bookmarkStart w:id="408" w:name="_Toc120652159"/>
      <w:r>
        <w:t>2.1.7.2 Hospodaření a majetek obce</w:t>
      </w:r>
      <w:bookmarkEnd w:id="404"/>
      <w:bookmarkEnd w:id="405"/>
      <w:bookmarkEnd w:id="406"/>
      <w:bookmarkEnd w:id="407"/>
      <w:bookmarkEnd w:id="408"/>
    </w:p>
    <w:p w14:paraId="4CC76307" w14:textId="77777777" w:rsidR="0075053B" w:rsidRPr="003E48E5" w:rsidRDefault="0075053B" w:rsidP="0075053B">
      <w:pPr>
        <w:spacing w:after="160" w:line="259" w:lineRule="auto"/>
        <w:jc w:val="both"/>
        <w:rPr>
          <w:rFonts w:ascii="Calibri" w:eastAsia="Calibri" w:hAnsi="Calibri" w:cs="Times New Roman"/>
        </w:rPr>
      </w:pPr>
      <w:r w:rsidRPr="003E48E5">
        <w:rPr>
          <w:rFonts w:ascii="Calibri" w:eastAsia="Calibri" w:hAnsi="Calibri" w:cs="Times New Roman"/>
        </w:rPr>
        <w:t xml:space="preserve">Rozpočet </w:t>
      </w:r>
      <w:r>
        <w:rPr>
          <w:rFonts w:ascii="Calibri" w:eastAsia="Calibri" w:hAnsi="Calibri" w:cs="Times New Roman"/>
        </w:rPr>
        <w:t>obce</w:t>
      </w:r>
      <w:r w:rsidRPr="003E48E5">
        <w:rPr>
          <w:rFonts w:ascii="Calibri" w:eastAsia="Calibri" w:hAnsi="Calibri" w:cs="Times New Roman"/>
        </w:rPr>
        <w:t xml:space="preserve"> je podrobný finanční plán na jeden kalendářní rok. Sestavený rozpočet musí být předložen zastupitelstvu </w:t>
      </w:r>
      <w:r>
        <w:rPr>
          <w:rFonts w:ascii="Calibri" w:eastAsia="Calibri" w:hAnsi="Calibri" w:cs="Times New Roman"/>
        </w:rPr>
        <w:t>obce</w:t>
      </w:r>
      <w:r w:rsidRPr="003E48E5">
        <w:rPr>
          <w:rFonts w:ascii="Calibri" w:eastAsia="Calibri" w:hAnsi="Calibri" w:cs="Times New Roman"/>
        </w:rPr>
        <w:t>, které jej schvaluje. Rozpočet tvoří příjmová a výdajová část. Sestavený rozpočet musí být dlouhodobě vyrovnaný, to znamená příjmy = výdaje. Když se následně hodnotí rozpočet za uplynulý rok, skutečnost může být odlišná, tedy že příjmy byly větší než výdaje nebo naopak. Příjmovou a výdajovou stranu rozpočtu tvoří celá řada kapitol</w:t>
      </w:r>
      <w:r w:rsidRPr="003E48E5">
        <w:rPr>
          <w:rFonts w:ascii="Calibri" w:eastAsia="Calibri" w:hAnsi="Calibri" w:cs="Times New Roman"/>
          <w:vertAlign w:val="superscript"/>
        </w:rPr>
        <w:footnoteReference w:id="62"/>
      </w:r>
      <w:r w:rsidRPr="003E48E5">
        <w:rPr>
          <w:rFonts w:ascii="Calibri" w:eastAsia="Calibri" w:hAnsi="Calibri" w:cs="Times New Roman"/>
        </w:rPr>
        <w:t>.</w:t>
      </w:r>
    </w:p>
    <w:p w14:paraId="182ED238" w14:textId="0DFCB609" w:rsidR="0075053B" w:rsidRDefault="0075053B" w:rsidP="0075053B">
      <w:pPr>
        <w:spacing w:after="160" w:line="259" w:lineRule="auto"/>
        <w:jc w:val="both"/>
        <w:rPr>
          <w:rFonts w:ascii="Calibri" w:eastAsia="Calibri" w:hAnsi="Calibri" w:cs="Times New Roman"/>
        </w:rPr>
      </w:pPr>
      <w:r w:rsidRPr="003E48E5">
        <w:rPr>
          <w:rFonts w:ascii="Calibri" w:eastAsia="Calibri" w:hAnsi="Calibri" w:cs="Times New Roman"/>
        </w:rPr>
        <w:t xml:space="preserve">Rozpočet </w:t>
      </w:r>
      <w:r>
        <w:rPr>
          <w:rFonts w:ascii="Calibri" w:eastAsia="Calibri" w:hAnsi="Calibri" w:cs="Times New Roman"/>
        </w:rPr>
        <w:t xml:space="preserve">obce </w:t>
      </w:r>
      <w:r w:rsidR="00CE502D">
        <w:rPr>
          <w:rFonts w:ascii="Calibri" w:eastAsia="Calibri" w:hAnsi="Calibri" w:cs="Times New Roman"/>
        </w:rPr>
        <w:t>Staré Buky</w:t>
      </w:r>
      <w:r w:rsidRPr="003E48E5">
        <w:rPr>
          <w:rFonts w:ascii="Calibri" w:eastAsia="Calibri" w:hAnsi="Calibri" w:cs="Times New Roman"/>
        </w:rPr>
        <w:t xml:space="preserve"> na rok 202</w:t>
      </w:r>
      <w:r w:rsidR="00A330F0">
        <w:rPr>
          <w:rFonts w:ascii="Calibri" w:eastAsia="Calibri" w:hAnsi="Calibri" w:cs="Times New Roman"/>
        </w:rPr>
        <w:t>2</w:t>
      </w:r>
      <w:r w:rsidRPr="003E48E5">
        <w:rPr>
          <w:rFonts w:ascii="Calibri" w:eastAsia="Calibri" w:hAnsi="Calibri" w:cs="Times New Roman"/>
        </w:rPr>
        <w:t xml:space="preserve"> je plánovaný jako </w:t>
      </w:r>
      <w:r w:rsidR="005E147D">
        <w:rPr>
          <w:rFonts w:ascii="Calibri" w:eastAsia="Calibri" w:hAnsi="Calibri" w:cs="Times New Roman"/>
        </w:rPr>
        <w:t xml:space="preserve">schodkový ve výši </w:t>
      </w:r>
      <w:r w:rsidR="00A330F0">
        <w:rPr>
          <w:rFonts w:ascii="Calibri" w:eastAsia="Calibri" w:hAnsi="Calibri" w:cs="Times New Roman"/>
        </w:rPr>
        <w:t>15 264 500</w:t>
      </w:r>
      <w:r w:rsidR="005E147D">
        <w:rPr>
          <w:rFonts w:ascii="Calibri" w:eastAsia="Calibri" w:hAnsi="Calibri" w:cs="Times New Roman"/>
        </w:rPr>
        <w:t xml:space="preserve">,- Kč na příjmové stránce a ve výši </w:t>
      </w:r>
      <w:r w:rsidR="00A330F0">
        <w:rPr>
          <w:rFonts w:ascii="Calibri" w:eastAsia="Calibri" w:hAnsi="Calibri" w:cs="Times New Roman"/>
        </w:rPr>
        <w:t>20 518 700</w:t>
      </w:r>
      <w:r w:rsidR="005E147D">
        <w:rPr>
          <w:rFonts w:ascii="Calibri" w:eastAsia="Calibri" w:hAnsi="Calibri" w:cs="Times New Roman"/>
        </w:rPr>
        <w:t>,- Kč na výdajové stránce</w:t>
      </w:r>
      <w:r w:rsidRPr="003E48E5">
        <w:rPr>
          <w:rFonts w:ascii="Calibri" w:eastAsia="Calibri" w:hAnsi="Calibri" w:cs="Times New Roman"/>
        </w:rPr>
        <w:t>. Tabulka 2</w:t>
      </w:r>
      <w:r w:rsidR="00D4026A">
        <w:rPr>
          <w:rFonts w:ascii="Calibri" w:eastAsia="Calibri" w:hAnsi="Calibri" w:cs="Times New Roman"/>
        </w:rPr>
        <w:t>2</w:t>
      </w:r>
      <w:r w:rsidRPr="003E48E5">
        <w:rPr>
          <w:rFonts w:ascii="Calibri" w:eastAsia="Calibri" w:hAnsi="Calibri" w:cs="Times New Roman"/>
        </w:rPr>
        <w:t xml:space="preserve"> znázorňuje informace o tom, jak se plánovaný rozpočet liší se skutečností. Uvedeny jsou dále informace o struktuře příjmů a výdajů v procentuálním vyjádření.</w:t>
      </w:r>
    </w:p>
    <w:p w14:paraId="57437D8B" w14:textId="160EFA31" w:rsidR="0075053B" w:rsidRDefault="0075053B" w:rsidP="0075053B">
      <w:pPr>
        <w:spacing w:after="160" w:line="259" w:lineRule="auto"/>
        <w:jc w:val="both"/>
        <w:rPr>
          <w:rFonts w:ascii="Calibri" w:eastAsia="Calibri" w:hAnsi="Calibri" w:cs="Times New Roman"/>
        </w:rPr>
      </w:pPr>
    </w:p>
    <w:p w14:paraId="5334171C" w14:textId="4D1FCBC6" w:rsidR="0075053B" w:rsidRPr="003E48E5" w:rsidRDefault="0075053B" w:rsidP="0075053B">
      <w:pPr>
        <w:pStyle w:val="TABULKA0"/>
      </w:pPr>
      <w:bookmarkStart w:id="409" w:name="_Toc480751607"/>
      <w:bookmarkStart w:id="410" w:name="_Toc120651944"/>
      <w:r w:rsidRPr="003E48E5">
        <w:t>Tabulka 2</w:t>
      </w:r>
      <w:r w:rsidR="00D4026A">
        <w:t>2</w:t>
      </w:r>
      <w:r w:rsidRPr="003E48E5">
        <w:t xml:space="preserve">: Vývoj plánovaného a skutečného rozpočtu </w:t>
      </w:r>
      <w:r>
        <w:t xml:space="preserve">obce </w:t>
      </w:r>
      <w:r w:rsidR="00336E8F">
        <w:t>Staré Buky</w:t>
      </w:r>
      <w:r w:rsidRPr="003E48E5">
        <w:t xml:space="preserve"> v období 201</w:t>
      </w:r>
      <w:r w:rsidR="000A52DB">
        <w:t>6</w:t>
      </w:r>
      <w:r w:rsidRPr="003E48E5">
        <w:t xml:space="preserve"> až 20</w:t>
      </w:r>
      <w:bookmarkEnd w:id="409"/>
      <w:r w:rsidR="000A52DB">
        <w:t>2</w:t>
      </w:r>
      <w:r w:rsidR="00D4026A">
        <w:t>1</w:t>
      </w:r>
      <w:bookmarkEnd w:id="410"/>
    </w:p>
    <w:tbl>
      <w:tblPr>
        <w:tblW w:w="4962" w:type="pct"/>
        <w:jc w:val="center"/>
        <w:tblCellMar>
          <w:left w:w="70" w:type="dxa"/>
          <w:right w:w="70" w:type="dxa"/>
        </w:tblCellMar>
        <w:tblLook w:val="04A0" w:firstRow="1" w:lastRow="0" w:firstColumn="1" w:lastColumn="0" w:noHBand="0" w:noVBand="1"/>
      </w:tblPr>
      <w:tblGrid>
        <w:gridCol w:w="699"/>
        <w:gridCol w:w="2512"/>
        <w:gridCol w:w="976"/>
        <w:gridCol w:w="989"/>
        <w:gridCol w:w="993"/>
        <w:gridCol w:w="991"/>
        <w:gridCol w:w="991"/>
        <w:gridCol w:w="991"/>
      </w:tblGrid>
      <w:tr w:rsidR="00C34C0F" w:rsidRPr="003E48E5" w14:paraId="5386EAF8" w14:textId="7FE9EFE4" w:rsidTr="003F19B8">
        <w:trPr>
          <w:trHeight w:val="288"/>
          <w:jc w:val="center"/>
        </w:trPr>
        <w:tc>
          <w:tcPr>
            <w:tcW w:w="1756" w:type="pct"/>
            <w:gridSpan w:val="2"/>
            <w:tcBorders>
              <w:top w:val="single" w:sz="18" w:space="0" w:color="auto"/>
              <w:left w:val="single" w:sz="18" w:space="0" w:color="auto"/>
              <w:bottom w:val="single" w:sz="12" w:space="0" w:color="auto"/>
              <w:right w:val="single" w:sz="12" w:space="0" w:color="auto"/>
            </w:tcBorders>
            <w:shd w:val="clear" w:color="auto" w:fill="FFC000"/>
            <w:noWrap/>
            <w:vAlign w:val="center"/>
            <w:hideMark/>
          </w:tcPr>
          <w:p w14:paraId="1067704E" w14:textId="77777777" w:rsidR="00C34C0F" w:rsidRPr="003E48E5" w:rsidRDefault="00C34C0F" w:rsidP="000A52DB">
            <w:pPr>
              <w:jc w:val="right"/>
              <w:rPr>
                <w:rFonts w:ascii="Calibri" w:eastAsia="Times New Roman" w:hAnsi="Calibri" w:cs="Calibri"/>
                <w:b/>
                <w:color w:val="000000"/>
                <w:lang w:eastAsia="cs-CZ"/>
              </w:rPr>
            </w:pPr>
            <w:r w:rsidRPr="003E48E5">
              <w:rPr>
                <w:rFonts w:ascii="Calibri" w:eastAsia="Times New Roman" w:hAnsi="Calibri" w:cs="Calibri"/>
                <w:b/>
                <w:color w:val="000000"/>
                <w:lang w:eastAsia="cs-CZ"/>
              </w:rPr>
              <w:t>rok</w:t>
            </w:r>
          </w:p>
        </w:tc>
        <w:tc>
          <w:tcPr>
            <w:tcW w:w="534" w:type="pct"/>
            <w:tcBorders>
              <w:top w:val="single" w:sz="18" w:space="0" w:color="auto"/>
              <w:left w:val="single" w:sz="12" w:space="0" w:color="auto"/>
              <w:bottom w:val="single" w:sz="12" w:space="0" w:color="auto"/>
              <w:right w:val="single" w:sz="4" w:space="0" w:color="auto"/>
            </w:tcBorders>
            <w:shd w:val="clear" w:color="auto" w:fill="FFC000"/>
            <w:noWrap/>
            <w:vAlign w:val="center"/>
            <w:hideMark/>
          </w:tcPr>
          <w:p w14:paraId="6B4C1FB9" w14:textId="21974FE7" w:rsidR="00C34C0F" w:rsidRPr="003E48E5" w:rsidRDefault="00C34C0F" w:rsidP="000A52DB">
            <w:pPr>
              <w:jc w:val="center"/>
              <w:rPr>
                <w:rFonts w:ascii="Calibri" w:eastAsia="Times New Roman" w:hAnsi="Calibri" w:cs="Calibri"/>
                <w:b/>
                <w:color w:val="000000"/>
                <w:lang w:eastAsia="cs-CZ"/>
              </w:rPr>
            </w:pPr>
            <w:r w:rsidRPr="003E48E5">
              <w:rPr>
                <w:rFonts w:ascii="Calibri" w:eastAsia="Times New Roman" w:hAnsi="Calibri" w:cs="Calibri"/>
                <w:b/>
                <w:color w:val="000000"/>
                <w:lang w:eastAsia="cs-CZ"/>
              </w:rPr>
              <w:t>2016</w:t>
            </w:r>
          </w:p>
        </w:tc>
        <w:tc>
          <w:tcPr>
            <w:tcW w:w="541" w:type="pct"/>
            <w:tcBorders>
              <w:top w:val="single" w:sz="18" w:space="0" w:color="auto"/>
              <w:left w:val="nil"/>
              <w:bottom w:val="single" w:sz="12" w:space="0" w:color="auto"/>
              <w:right w:val="single" w:sz="4" w:space="0" w:color="auto"/>
            </w:tcBorders>
            <w:shd w:val="clear" w:color="auto" w:fill="FFC000"/>
            <w:noWrap/>
            <w:vAlign w:val="center"/>
            <w:hideMark/>
          </w:tcPr>
          <w:p w14:paraId="6269EFAB" w14:textId="07DFA374" w:rsidR="00C34C0F" w:rsidRPr="003E48E5" w:rsidRDefault="00C34C0F" w:rsidP="000A52DB">
            <w:pPr>
              <w:jc w:val="center"/>
              <w:rPr>
                <w:rFonts w:ascii="Calibri" w:eastAsia="Times New Roman" w:hAnsi="Calibri" w:cs="Calibri"/>
                <w:b/>
                <w:color w:val="000000"/>
                <w:lang w:eastAsia="cs-CZ"/>
              </w:rPr>
            </w:pPr>
            <w:r w:rsidRPr="003E48E5">
              <w:rPr>
                <w:rFonts w:ascii="Calibri" w:eastAsia="Times New Roman" w:hAnsi="Calibri" w:cs="Calibri"/>
                <w:b/>
                <w:color w:val="000000"/>
                <w:lang w:eastAsia="cs-CZ"/>
              </w:rPr>
              <w:t>2017</w:t>
            </w:r>
          </w:p>
        </w:tc>
        <w:tc>
          <w:tcPr>
            <w:tcW w:w="543" w:type="pct"/>
            <w:tcBorders>
              <w:top w:val="single" w:sz="18" w:space="0" w:color="auto"/>
              <w:left w:val="nil"/>
              <w:bottom w:val="single" w:sz="12" w:space="0" w:color="auto"/>
              <w:right w:val="single" w:sz="8" w:space="0" w:color="auto"/>
            </w:tcBorders>
            <w:shd w:val="clear" w:color="auto" w:fill="FFC000"/>
            <w:noWrap/>
            <w:hideMark/>
          </w:tcPr>
          <w:p w14:paraId="151C6FE1" w14:textId="52942147" w:rsidR="00C34C0F" w:rsidRPr="003E48E5" w:rsidRDefault="00C34C0F" w:rsidP="000A52DB">
            <w:pPr>
              <w:jc w:val="center"/>
              <w:rPr>
                <w:rFonts w:ascii="Calibri" w:eastAsia="Times New Roman" w:hAnsi="Calibri" w:cs="Calibri"/>
                <w:b/>
                <w:color w:val="000000"/>
                <w:lang w:eastAsia="cs-CZ"/>
              </w:rPr>
            </w:pPr>
            <w:r w:rsidRPr="003E48E5">
              <w:rPr>
                <w:rFonts w:ascii="Calibri" w:eastAsia="Times New Roman" w:hAnsi="Calibri" w:cs="Calibri"/>
                <w:b/>
                <w:color w:val="000000"/>
                <w:lang w:eastAsia="cs-CZ"/>
              </w:rPr>
              <w:t>2018</w:t>
            </w:r>
          </w:p>
        </w:tc>
        <w:tc>
          <w:tcPr>
            <w:tcW w:w="542" w:type="pct"/>
            <w:tcBorders>
              <w:top w:val="single" w:sz="18" w:space="0" w:color="auto"/>
              <w:left w:val="single" w:sz="8" w:space="0" w:color="auto"/>
              <w:bottom w:val="single" w:sz="12" w:space="0" w:color="auto"/>
              <w:right w:val="single" w:sz="8" w:space="0" w:color="auto"/>
            </w:tcBorders>
            <w:shd w:val="clear" w:color="auto" w:fill="FFC000"/>
          </w:tcPr>
          <w:p w14:paraId="7EFCCEC5" w14:textId="41BB20F4" w:rsidR="00C34C0F" w:rsidRPr="003E48E5" w:rsidRDefault="00C34C0F" w:rsidP="000A52DB">
            <w:pPr>
              <w:jc w:val="center"/>
              <w:rPr>
                <w:rFonts w:ascii="Calibri" w:eastAsia="Times New Roman" w:hAnsi="Calibri" w:cs="Calibri"/>
                <w:b/>
                <w:color w:val="000000"/>
                <w:lang w:eastAsia="cs-CZ"/>
              </w:rPr>
            </w:pPr>
            <w:r w:rsidRPr="003E48E5">
              <w:rPr>
                <w:rFonts w:ascii="Calibri" w:eastAsia="Times New Roman" w:hAnsi="Calibri" w:cs="Calibri"/>
                <w:b/>
                <w:color w:val="000000"/>
                <w:lang w:eastAsia="cs-CZ"/>
              </w:rPr>
              <w:t>2019</w:t>
            </w:r>
          </w:p>
        </w:tc>
        <w:tc>
          <w:tcPr>
            <w:tcW w:w="542" w:type="pct"/>
            <w:tcBorders>
              <w:top w:val="single" w:sz="18" w:space="0" w:color="auto"/>
              <w:left w:val="single" w:sz="8" w:space="0" w:color="auto"/>
              <w:bottom w:val="single" w:sz="12" w:space="0" w:color="auto"/>
              <w:right w:val="single" w:sz="8" w:space="0" w:color="auto"/>
            </w:tcBorders>
            <w:shd w:val="clear" w:color="auto" w:fill="FFC000"/>
          </w:tcPr>
          <w:p w14:paraId="43955912" w14:textId="54B40D71" w:rsidR="00C34C0F" w:rsidRPr="003E48E5" w:rsidRDefault="00C34C0F" w:rsidP="000A52DB">
            <w:pPr>
              <w:jc w:val="center"/>
              <w:rPr>
                <w:rFonts w:ascii="Calibri" w:eastAsia="Times New Roman" w:hAnsi="Calibri" w:cs="Calibri"/>
                <w:b/>
                <w:color w:val="000000"/>
                <w:lang w:eastAsia="cs-CZ"/>
              </w:rPr>
            </w:pPr>
            <w:r>
              <w:rPr>
                <w:rFonts w:ascii="Calibri" w:eastAsia="Times New Roman" w:hAnsi="Calibri" w:cs="Calibri"/>
                <w:b/>
                <w:color w:val="000000"/>
                <w:lang w:eastAsia="cs-CZ"/>
              </w:rPr>
              <w:t>2020</w:t>
            </w:r>
          </w:p>
        </w:tc>
        <w:tc>
          <w:tcPr>
            <w:tcW w:w="542" w:type="pct"/>
            <w:tcBorders>
              <w:top w:val="single" w:sz="18" w:space="0" w:color="auto"/>
              <w:left w:val="single" w:sz="8" w:space="0" w:color="auto"/>
              <w:bottom w:val="single" w:sz="12" w:space="0" w:color="auto"/>
              <w:right w:val="single" w:sz="18" w:space="0" w:color="auto"/>
            </w:tcBorders>
            <w:shd w:val="clear" w:color="auto" w:fill="FFC000"/>
          </w:tcPr>
          <w:p w14:paraId="4CA4EC46" w14:textId="088DC40B" w:rsidR="00C34C0F" w:rsidRDefault="00C34C0F" w:rsidP="000A52DB">
            <w:pPr>
              <w:jc w:val="center"/>
              <w:rPr>
                <w:rFonts w:ascii="Calibri" w:eastAsia="Times New Roman" w:hAnsi="Calibri" w:cs="Calibri"/>
                <w:b/>
                <w:color w:val="000000"/>
                <w:lang w:eastAsia="cs-CZ"/>
              </w:rPr>
            </w:pPr>
            <w:r>
              <w:rPr>
                <w:rFonts w:ascii="Calibri" w:eastAsia="Times New Roman" w:hAnsi="Calibri" w:cs="Calibri"/>
                <w:b/>
                <w:color w:val="000000"/>
                <w:lang w:eastAsia="cs-CZ"/>
              </w:rPr>
              <w:t>2021</w:t>
            </w:r>
          </w:p>
        </w:tc>
      </w:tr>
      <w:tr w:rsidR="002A4AFE" w:rsidRPr="003E48E5" w14:paraId="1B84E6E4" w14:textId="6E090960" w:rsidTr="002A4AFE">
        <w:trPr>
          <w:trHeight w:val="288"/>
          <w:jc w:val="center"/>
        </w:trPr>
        <w:tc>
          <w:tcPr>
            <w:tcW w:w="1756" w:type="pct"/>
            <w:gridSpan w:val="2"/>
            <w:tcBorders>
              <w:top w:val="single" w:sz="12" w:space="0" w:color="auto"/>
              <w:left w:val="single" w:sz="18" w:space="0" w:color="auto"/>
              <w:bottom w:val="single" w:sz="4" w:space="0" w:color="auto"/>
              <w:right w:val="single" w:sz="12" w:space="0" w:color="auto"/>
            </w:tcBorders>
            <w:shd w:val="clear" w:color="auto" w:fill="92D050"/>
            <w:noWrap/>
            <w:vAlign w:val="center"/>
            <w:hideMark/>
          </w:tcPr>
          <w:p w14:paraId="79F1075A" w14:textId="77777777" w:rsidR="002A4AFE" w:rsidRPr="003E48E5" w:rsidRDefault="002A4AFE" w:rsidP="002A4AFE">
            <w:pPr>
              <w:jc w:val="right"/>
              <w:rPr>
                <w:rFonts w:ascii="Calibri" w:eastAsia="Times New Roman" w:hAnsi="Calibri" w:cs="Calibri"/>
                <w:b/>
                <w:bCs/>
                <w:color w:val="000000"/>
                <w:lang w:eastAsia="cs-CZ"/>
              </w:rPr>
            </w:pPr>
            <w:r w:rsidRPr="003E48E5">
              <w:rPr>
                <w:rFonts w:ascii="Calibri" w:eastAsia="Times New Roman" w:hAnsi="Calibri" w:cs="Calibri"/>
                <w:b/>
                <w:bCs/>
                <w:color w:val="000000"/>
                <w:lang w:eastAsia="cs-CZ"/>
              </w:rPr>
              <w:t>plán-příjmy (v mil. Kč)</w:t>
            </w:r>
          </w:p>
        </w:tc>
        <w:tc>
          <w:tcPr>
            <w:tcW w:w="534" w:type="pct"/>
            <w:tcBorders>
              <w:top w:val="single" w:sz="12" w:space="0" w:color="auto"/>
              <w:left w:val="single" w:sz="12" w:space="0" w:color="auto"/>
              <w:bottom w:val="single" w:sz="4" w:space="0" w:color="auto"/>
              <w:right w:val="single" w:sz="4" w:space="0" w:color="auto"/>
            </w:tcBorders>
            <w:shd w:val="clear" w:color="auto" w:fill="92D050"/>
            <w:noWrap/>
            <w:vAlign w:val="center"/>
          </w:tcPr>
          <w:p w14:paraId="2EB4110A" w14:textId="58647162"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9,816</w:t>
            </w:r>
          </w:p>
        </w:tc>
        <w:tc>
          <w:tcPr>
            <w:tcW w:w="541" w:type="pct"/>
            <w:tcBorders>
              <w:top w:val="single" w:sz="12" w:space="0" w:color="auto"/>
              <w:left w:val="nil"/>
              <w:bottom w:val="single" w:sz="4" w:space="0" w:color="auto"/>
              <w:right w:val="single" w:sz="4" w:space="0" w:color="auto"/>
            </w:tcBorders>
            <w:shd w:val="clear" w:color="auto" w:fill="92D050"/>
            <w:noWrap/>
            <w:vAlign w:val="center"/>
          </w:tcPr>
          <w:p w14:paraId="4CFE8486" w14:textId="205EB191"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11,921</w:t>
            </w:r>
          </w:p>
        </w:tc>
        <w:tc>
          <w:tcPr>
            <w:tcW w:w="543" w:type="pct"/>
            <w:tcBorders>
              <w:top w:val="single" w:sz="12" w:space="0" w:color="auto"/>
              <w:left w:val="nil"/>
              <w:bottom w:val="single" w:sz="4" w:space="0" w:color="auto"/>
              <w:right w:val="single" w:sz="8" w:space="0" w:color="auto"/>
            </w:tcBorders>
            <w:shd w:val="clear" w:color="auto" w:fill="92D050"/>
            <w:noWrap/>
            <w:vAlign w:val="center"/>
          </w:tcPr>
          <w:p w14:paraId="5B2EE4FD" w14:textId="6BCECFE8"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12,119</w:t>
            </w:r>
          </w:p>
        </w:tc>
        <w:tc>
          <w:tcPr>
            <w:tcW w:w="542" w:type="pct"/>
            <w:tcBorders>
              <w:top w:val="single" w:sz="12" w:space="0" w:color="auto"/>
              <w:left w:val="single" w:sz="8" w:space="0" w:color="auto"/>
              <w:bottom w:val="single" w:sz="4" w:space="0" w:color="auto"/>
              <w:right w:val="single" w:sz="8" w:space="0" w:color="auto"/>
            </w:tcBorders>
            <w:shd w:val="clear" w:color="auto" w:fill="92D050"/>
            <w:vAlign w:val="center"/>
          </w:tcPr>
          <w:p w14:paraId="3113B5B9" w14:textId="780AD503"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13,173</w:t>
            </w:r>
          </w:p>
        </w:tc>
        <w:tc>
          <w:tcPr>
            <w:tcW w:w="542" w:type="pct"/>
            <w:tcBorders>
              <w:top w:val="single" w:sz="12" w:space="0" w:color="auto"/>
              <w:left w:val="single" w:sz="8" w:space="0" w:color="auto"/>
              <w:bottom w:val="single" w:sz="4" w:space="0" w:color="auto"/>
              <w:right w:val="single" w:sz="8" w:space="0" w:color="auto"/>
            </w:tcBorders>
            <w:shd w:val="clear" w:color="auto" w:fill="92D050"/>
            <w:vAlign w:val="center"/>
          </w:tcPr>
          <w:p w14:paraId="5C2F3EB1" w14:textId="529ADD48"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13,050</w:t>
            </w:r>
          </w:p>
        </w:tc>
        <w:tc>
          <w:tcPr>
            <w:tcW w:w="542" w:type="pct"/>
            <w:tcBorders>
              <w:top w:val="single" w:sz="12" w:space="0" w:color="auto"/>
              <w:left w:val="single" w:sz="8" w:space="0" w:color="auto"/>
              <w:bottom w:val="single" w:sz="4" w:space="0" w:color="auto"/>
              <w:right w:val="single" w:sz="18" w:space="0" w:color="auto"/>
            </w:tcBorders>
            <w:shd w:val="clear" w:color="auto" w:fill="92D050"/>
            <w:vAlign w:val="center"/>
          </w:tcPr>
          <w:p w14:paraId="6BB9A0CF" w14:textId="1A28037A" w:rsidR="002A4AFE" w:rsidRPr="002A4AFE" w:rsidRDefault="002A4AFE" w:rsidP="002A4AFE">
            <w:pPr>
              <w:jc w:val="right"/>
              <w:rPr>
                <w:rFonts w:ascii="Calibri" w:hAnsi="Calibri" w:cs="Calibri"/>
                <w:b/>
                <w:bCs/>
              </w:rPr>
            </w:pPr>
            <w:r w:rsidRPr="002A4AFE">
              <w:rPr>
                <w:rFonts w:ascii="Calibri" w:hAnsi="Calibri" w:cs="Calibri"/>
                <w:b/>
                <w:bCs/>
              </w:rPr>
              <w:t>12,384</w:t>
            </w:r>
          </w:p>
        </w:tc>
      </w:tr>
      <w:tr w:rsidR="002A4AFE" w:rsidRPr="003E48E5" w14:paraId="6378EB97" w14:textId="4B5B05A2" w:rsidTr="002A4AFE">
        <w:trPr>
          <w:trHeight w:val="288"/>
          <w:jc w:val="center"/>
        </w:trPr>
        <w:tc>
          <w:tcPr>
            <w:tcW w:w="1756" w:type="pct"/>
            <w:gridSpan w:val="2"/>
            <w:tcBorders>
              <w:top w:val="nil"/>
              <w:left w:val="single" w:sz="18" w:space="0" w:color="auto"/>
              <w:bottom w:val="single" w:sz="4" w:space="0" w:color="auto"/>
              <w:right w:val="single" w:sz="12" w:space="0" w:color="auto"/>
            </w:tcBorders>
            <w:shd w:val="clear" w:color="auto" w:fill="92D050"/>
            <w:noWrap/>
            <w:vAlign w:val="center"/>
            <w:hideMark/>
          </w:tcPr>
          <w:p w14:paraId="549A8375" w14:textId="77777777" w:rsidR="002A4AFE" w:rsidRPr="003E48E5" w:rsidRDefault="002A4AFE" w:rsidP="002A4AFE">
            <w:pPr>
              <w:jc w:val="right"/>
              <w:rPr>
                <w:rFonts w:ascii="Calibri" w:eastAsia="Times New Roman" w:hAnsi="Calibri" w:cs="Calibri"/>
                <w:b/>
                <w:bCs/>
                <w:color w:val="000000"/>
                <w:lang w:eastAsia="cs-CZ"/>
              </w:rPr>
            </w:pPr>
            <w:r w:rsidRPr="003E48E5">
              <w:rPr>
                <w:rFonts w:ascii="Calibri" w:eastAsia="Times New Roman" w:hAnsi="Calibri" w:cs="Calibri"/>
                <w:b/>
                <w:bCs/>
                <w:color w:val="000000"/>
                <w:lang w:eastAsia="cs-CZ"/>
              </w:rPr>
              <w:t>plán-výdaje (v mil. Kč)</w:t>
            </w:r>
          </w:p>
        </w:tc>
        <w:tc>
          <w:tcPr>
            <w:tcW w:w="534" w:type="pct"/>
            <w:tcBorders>
              <w:top w:val="nil"/>
              <w:left w:val="single" w:sz="12" w:space="0" w:color="auto"/>
              <w:bottom w:val="single" w:sz="4" w:space="0" w:color="auto"/>
              <w:right w:val="single" w:sz="4" w:space="0" w:color="auto"/>
            </w:tcBorders>
            <w:shd w:val="clear" w:color="auto" w:fill="92D050"/>
            <w:noWrap/>
            <w:vAlign w:val="center"/>
          </w:tcPr>
          <w:p w14:paraId="46B1F60C" w14:textId="0C1A1D84"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11,087</w:t>
            </w:r>
          </w:p>
        </w:tc>
        <w:tc>
          <w:tcPr>
            <w:tcW w:w="541" w:type="pct"/>
            <w:tcBorders>
              <w:top w:val="nil"/>
              <w:left w:val="nil"/>
              <w:bottom w:val="single" w:sz="4" w:space="0" w:color="auto"/>
              <w:right w:val="single" w:sz="4" w:space="0" w:color="auto"/>
            </w:tcBorders>
            <w:shd w:val="clear" w:color="auto" w:fill="92D050"/>
            <w:noWrap/>
            <w:vAlign w:val="center"/>
          </w:tcPr>
          <w:p w14:paraId="3438FC55" w14:textId="60EAFB49"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13,470</w:t>
            </w:r>
          </w:p>
        </w:tc>
        <w:tc>
          <w:tcPr>
            <w:tcW w:w="543" w:type="pct"/>
            <w:tcBorders>
              <w:top w:val="nil"/>
              <w:left w:val="nil"/>
              <w:bottom w:val="single" w:sz="4" w:space="0" w:color="auto"/>
              <w:right w:val="single" w:sz="8" w:space="0" w:color="auto"/>
            </w:tcBorders>
            <w:shd w:val="clear" w:color="auto" w:fill="92D050"/>
            <w:noWrap/>
            <w:vAlign w:val="center"/>
          </w:tcPr>
          <w:p w14:paraId="093517C8" w14:textId="31B71169"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14,764</w:t>
            </w:r>
          </w:p>
        </w:tc>
        <w:tc>
          <w:tcPr>
            <w:tcW w:w="542" w:type="pct"/>
            <w:tcBorders>
              <w:top w:val="nil"/>
              <w:left w:val="single" w:sz="8" w:space="0" w:color="auto"/>
              <w:bottom w:val="single" w:sz="4" w:space="0" w:color="auto"/>
              <w:right w:val="single" w:sz="8" w:space="0" w:color="auto"/>
            </w:tcBorders>
            <w:shd w:val="clear" w:color="auto" w:fill="92D050"/>
            <w:vAlign w:val="center"/>
          </w:tcPr>
          <w:p w14:paraId="54DE1165" w14:textId="5723C694"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14,801</w:t>
            </w:r>
          </w:p>
        </w:tc>
        <w:tc>
          <w:tcPr>
            <w:tcW w:w="542" w:type="pct"/>
            <w:tcBorders>
              <w:top w:val="nil"/>
              <w:left w:val="single" w:sz="8" w:space="0" w:color="auto"/>
              <w:bottom w:val="single" w:sz="4" w:space="0" w:color="auto"/>
              <w:right w:val="single" w:sz="8" w:space="0" w:color="auto"/>
            </w:tcBorders>
            <w:shd w:val="clear" w:color="auto" w:fill="92D050"/>
            <w:vAlign w:val="center"/>
          </w:tcPr>
          <w:p w14:paraId="664E434E" w14:textId="12860904"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14,413</w:t>
            </w:r>
          </w:p>
        </w:tc>
        <w:tc>
          <w:tcPr>
            <w:tcW w:w="542" w:type="pct"/>
            <w:tcBorders>
              <w:top w:val="nil"/>
              <w:left w:val="single" w:sz="8" w:space="0" w:color="auto"/>
              <w:bottom w:val="single" w:sz="4" w:space="0" w:color="auto"/>
              <w:right w:val="single" w:sz="18" w:space="0" w:color="auto"/>
            </w:tcBorders>
            <w:shd w:val="clear" w:color="auto" w:fill="92D050"/>
            <w:vAlign w:val="center"/>
          </w:tcPr>
          <w:p w14:paraId="7DF3E8FF" w14:textId="3B148B7C" w:rsidR="002A4AFE" w:rsidRPr="002A4AFE" w:rsidRDefault="002A4AFE" w:rsidP="002A4AFE">
            <w:pPr>
              <w:jc w:val="right"/>
              <w:rPr>
                <w:rFonts w:ascii="Calibri" w:hAnsi="Calibri" w:cs="Calibri"/>
                <w:b/>
                <w:bCs/>
              </w:rPr>
            </w:pPr>
            <w:r w:rsidRPr="002A4AFE">
              <w:rPr>
                <w:rFonts w:ascii="Calibri" w:hAnsi="Calibri" w:cs="Calibri"/>
                <w:b/>
                <w:bCs/>
              </w:rPr>
              <w:t>14,946</w:t>
            </w:r>
          </w:p>
        </w:tc>
      </w:tr>
      <w:tr w:rsidR="002A4AFE" w:rsidRPr="003E48E5" w14:paraId="60A6BD9D" w14:textId="113E73FA" w:rsidTr="002A4AFE">
        <w:trPr>
          <w:trHeight w:val="288"/>
          <w:jc w:val="center"/>
        </w:trPr>
        <w:tc>
          <w:tcPr>
            <w:tcW w:w="1756" w:type="pct"/>
            <w:gridSpan w:val="2"/>
            <w:tcBorders>
              <w:top w:val="nil"/>
              <w:left w:val="single" w:sz="18" w:space="0" w:color="auto"/>
              <w:bottom w:val="single" w:sz="4" w:space="0" w:color="auto"/>
              <w:right w:val="single" w:sz="12" w:space="0" w:color="auto"/>
            </w:tcBorders>
            <w:shd w:val="clear" w:color="auto" w:fill="92D050"/>
            <w:noWrap/>
            <w:vAlign w:val="center"/>
            <w:hideMark/>
          </w:tcPr>
          <w:p w14:paraId="30F2DB0B" w14:textId="77777777" w:rsidR="002A4AFE" w:rsidRPr="003E48E5" w:rsidRDefault="002A4AFE" w:rsidP="002A4AFE">
            <w:pPr>
              <w:jc w:val="right"/>
              <w:rPr>
                <w:rFonts w:ascii="Calibri" w:eastAsia="Times New Roman" w:hAnsi="Calibri" w:cs="Calibri"/>
                <w:b/>
                <w:bCs/>
                <w:color w:val="000000"/>
                <w:lang w:eastAsia="cs-CZ"/>
              </w:rPr>
            </w:pPr>
            <w:r w:rsidRPr="003E48E5">
              <w:rPr>
                <w:rFonts w:ascii="Calibri" w:eastAsia="Times New Roman" w:hAnsi="Calibri" w:cs="Calibri"/>
                <w:b/>
                <w:bCs/>
                <w:color w:val="000000"/>
                <w:lang w:eastAsia="cs-CZ"/>
              </w:rPr>
              <w:t>skutečnost-příjmy (v mil. Kč)</w:t>
            </w:r>
          </w:p>
        </w:tc>
        <w:tc>
          <w:tcPr>
            <w:tcW w:w="534" w:type="pct"/>
            <w:tcBorders>
              <w:top w:val="nil"/>
              <w:left w:val="single" w:sz="12" w:space="0" w:color="auto"/>
              <w:bottom w:val="single" w:sz="4" w:space="0" w:color="auto"/>
              <w:right w:val="single" w:sz="4" w:space="0" w:color="auto"/>
            </w:tcBorders>
            <w:shd w:val="clear" w:color="auto" w:fill="92D050"/>
            <w:noWrap/>
            <w:vAlign w:val="center"/>
          </w:tcPr>
          <w:p w14:paraId="6FCA1101" w14:textId="1E37F442"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18,242</w:t>
            </w:r>
          </w:p>
        </w:tc>
        <w:tc>
          <w:tcPr>
            <w:tcW w:w="541" w:type="pct"/>
            <w:tcBorders>
              <w:top w:val="nil"/>
              <w:left w:val="nil"/>
              <w:bottom w:val="single" w:sz="4" w:space="0" w:color="auto"/>
              <w:right w:val="single" w:sz="4" w:space="0" w:color="auto"/>
            </w:tcBorders>
            <w:shd w:val="clear" w:color="auto" w:fill="92D050"/>
            <w:noWrap/>
            <w:vAlign w:val="center"/>
          </w:tcPr>
          <w:p w14:paraId="35FB55AA" w14:textId="63A24424"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13,167</w:t>
            </w:r>
          </w:p>
        </w:tc>
        <w:tc>
          <w:tcPr>
            <w:tcW w:w="543" w:type="pct"/>
            <w:tcBorders>
              <w:top w:val="nil"/>
              <w:left w:val="nil"/>
              <w:bottom w:val="single" w:sz="4" w:space="0" w:color="auto"/>
              <w:right w:val="single" w:sz="8" w:space="0" w:color="auto"/>
            </w:tcBorders>
            <w:shd w:val="clear" w:color="auto" w:fill="92D050"/>
            <w:noWrap/>
            <w:vAlign w:val="center"/>
          </w:tcPr>
          <w:p w14:paraId="06122FCE" w14:textId="631D13CF"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10,206</w:t>
            </w:r>
          </w:p>
        </w:tc>
        <w:tc>
          <w:tcPr>
            <w:tcW w:w="542" w:type="pct"/>
            <w:tcBorders>
              <w:top w:val="nil"/>
              <w:left w:val="single" w:sz="8" w:space="0" w:color="auto"/>
              <w:bottom w:val="single" w:sz="4" w:space="0" w:color="auto"/>
              <w:right w:val="single" w:sz="8" w:space="0" w:color="auto"/>
            </w:tcBorders>
            <w:shd w:val="clear" w:color="auto" w:fill="92D050"/>
            <w:vAlign w:val="center"/>
          </w:tcPr>
          <w:p w14:paraId="02C0AB89" w14:textId="6D8DDA44"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15,797</w:t>
            </w:r>
          </w:p>
        </w:tc>
        <w:tc>
          <w:tcPr>
            <w:tcW w:w="542" w:type="pct"/>
            <w:tcBorders>
              <w:top w:val="nil"/>
              <w:left w:val="single" w:sz="8" w:space="0" w:color="auto"/>
              <w:bottom w:val="single" w:sz="4" w:space="0" w:color="auto"/>
              <w:right w:val="single" w:sz="8" w:space="0" w:color="auto"/>
            </w:tcBorders>
            <w:shd w:val="clear" w:color="auto" w:fill="92D050"/>
            <w:vAlign w:val="center"/>
          </w:tcPr>
          <w:p w14:paraId="34815500" w14:textId="75FB5C62"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14,409</w:t>
            </w:r>
          </w:p>
        </w:tc>
        <w:tc>
          <w:tcPr>
            <w:tcW w:w="542" w:type="pct"/>
            <w:tcBorders>
              <w:top w:val="nil"/>
              <w:left w:val="single" w:sz="8" w:space="0" w:color="auto"/>
              <w:bottom w:val="single" w:sz="4" w:space="0" w:color="auto"/>
              <w:right w:val="single" w:sz="18" w:space="0" w:color="auto"/>
            </w:tcBorders>
            <w:shd w:val="clear" w:color="auto" w:fill="92D050"/>
            <w:vAlign w:val="center"/>
          </w:tcPr>
          <w:p w14:paraId="23F402AE" w14:textId="47141B34" w:rsidR="002A4AFE" w:rsidRPr="002A4AFE" w:rsidRDefault="002A4AFE" w:rsidP="002A4AFE">
            <w:pPr>
              <w:jc w:val="right"/>
              <w:rPr>
                <w:rFonts w:ascii="Calibri" w:hAnsi="Calibri" w:cs="Calibri"/>
                <w:b/>
                <w:bCs/>
              </w:rPr>
            </w:pPr>
            <w:r w:rsidRPr="002A4AFE">
              <w:rPr>
                <w:rFonts w:ascii="Calibri" w:hAnsi="Calibri" w:cs="Calibri"/>
                <w:b/>
                <w:bCs/>
              </w:rPr>
              <w:t>28,275</w:t>
            </w:r>
          </w:p>
        </w:tc>
      </w:tr>
      <w:tr w:rsidR="00336E8F" w:rsidRPr="003E48E5" w14:paraId="2230F05A" w14:textId="6317A447" w:rsidTr="00336E8F">
        <w:trPr>
          <w:trHeight w:val="288"/>
          <w:jc w:val="center"/>
        </w:trPr>
        <w:tc>
          <w:tcPr>
            <w:tcW w:w="382" w:type="pct"/>
            <w:vMerge w:val="restart"/>
            <w:tcBorders>
              <w:top w:val="nil"/>
              <w:left w:val="single" w:sz="18" w:space="0" w:color="auto"/>
              <w:bottom w:val="single" w:sz="4" w:space="0" w:color="auto"/>
              <w:right w:val="single" w:sz="4" w:space="0" w:color="auto"/>
            </w:tcBorders>
            <w:shd w:val="clear" w:color="auto" w:fill="D9D9D9"/>
            <w:noWrap/>
            <w:vAlign w:val="center"/>
            <w:hideMark/>
          </w:tcPr>
          <w:p w14:paraId="77C50DFE" w14:textId="2B0B3291" w:rsidR="00336E8F" w:rsidRPr="003E48E5" w:rsidRDefault="00336E8F" w:rsidP="00336E8F">
            <w:pPr>
              <w:jc w:val="center"/>
              <w:rPr>
                <w:rFonts w:ascii="Calibri" w:eastAsia="Times New Roman" w:hAnsi="Calibri" w:cs="Calibri"/>
                <w:bCs/>
                <w:color w:val="000000"/>
                <w:lang w:eastAsia="cs-CZ"/>
              </w:rPr>
            </w:pPr>
            <w:r w:rsidRPr="003E48E5">
              <w:rPr>
                <w:rFonts w:ascii="Calibri" w:eastAsia="Times New Roman" w:hAnsi="Calibri" w:cs="Calibri"/>
                <w:bCs/>
                <w:color w:val="000000"/>
                <w:lang w:eastAsia="cs-CZ"/>
              </w:rPr>
              <w:t xml:space="preserve">z toho </w:t>
            </w:r>
            <w:r>
              <w:rPr>
                <w:rFonts w:ascii="Calibri" w:eastAsia="Times New Roman" w:hAnsi="Calibri" w:cs="Calibri"/>
                <w:bCs/>
                <w:color w:val="000000"/>
                <w:lang w:eastAsia="cs-CZ"/>
              </w:rPr>
              <w:br/>
            </w:r>
            <w:r w:rsidRPr="003E48E5">
              <w:rPr>
                <w:rFonts w:ascii="Calibri" w:eastAsia="Times New Roman" w:hAnsi="Calibri" w:cs="Calibri"/>
                <w:bCs/>
                <w:color w:val="000000"/>
                <w:lang w:eastAsia="cs-CZ"/>
              </w:rPr>
              <w:t>(v %)</w:t>
            </w:r>
          </w:p>
        </w:tc>
        <w:tc>
          <w:tcPr>
            <w:tcW w:w="1374" w:type="pct"/>
            <w:tcBorders>
              <w:top w:val="nil"/>
              <w:left w:val="nil"/>
              <w:bottom w:val="single" w:sz="4" w:space="0" w:color="auto"/>
              <w:right w:val="single" w:sz="12" w:space="0" w:color="auto"/>
            </w:tcBorders>
            <w:shd w:val="clear" w:color="auto" w:fill="D9D9D9"/>
            <w:noWrap/>
            <w:vAlign w:val="center"/>
            <w:hideMark/>
          </w:tcPr>
          <w:p w14:paraId="5DB6C0EF" w14:textId="77777777" w:rsidR="00336E8F" w:rsidRPr="003E48E5" w:rsidRDefault="00336E8F" w:rsidP="00336E8F">
            <w:pPr>
              <w:jc w:val="right"/>
              <w:rPr>
                <w:rFonts w:ascii="Calibri" w:eastAsia="Times New Roman" w:hAnsi="Calibri" w:cs="Calibri"/>
                <w:bCs/>
                <w:color w:val="000000"/>
                <w:lang w:eastAsia="cs-CZ"/>
              </w:rPr>
            </w:pPr>
            <w:r w:rsidRPr="003E48E5">
              <w:rPr>
                <w:rFonts w:ascii="Calibri" w:eastAsia="Times New Roman" w:hAnsi="Calibri" w:cs="Calibri"/>
                <w:bCs/>
                <w:color w:val="000000"/>
                <w:lang w:eastAsia="cs-CZ"/>
              </w:rPr>
              <w:t>daňové příjmy</w:t>
            </w:r>
          </w:p>
        </w:tc>
        <w:tc>
          <w:tcPr>
            <w:tcW w:w="534" w:type="pct"/>
            <w:tcBorders>
              <w:top w:val="nil"/>
              <w:left w:val="single" w:sz="12" w:space="0" w:color="auto"/>
              <w:bottom w:val="single" w:sz="4" w:space="0" w:color="auto"/>
              <w:right w:val="single" w:sz="4" w:space="0" w:color="auto"/>
            </w:tcBorders>
            <w:shd w:val="clear" w:color="auto" w:fill="auto"/>
            <w:noWrap/>
            <w:vAlign w:val="center"/>
          </w:tcPr>
          <w:p w14:paraId="47146DCF" w14:textId="28C7E069"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83,3</w:t>
            </w:r>
          </w:p>
        </w:tc>
        <w:tc>
          <w:tcPr>
            <w:tcW w:w="541" w:type="pct"/>
            <w:tcBorders>
              <w:top w:val="nil"/>
              <w:left w:val="nil"/>
              <w:bottom w:val="single" w:sz="4" w:space="0" w:color="auto"/>
              <w:right w:val="single" w:sz="4" w:space="0" w:color="auto"/>
            </w:tcBorders>
            <w:shd w:val="clear" w:color="auto" w:fill="auto"/>
            <w:noWrap/>
            <w:vAlign w:val="center"/>
          </w:tcPr>
          <w:p w14:paraId="75C587FF" w14:textId="16F8EBCC"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78,3</w:t>
            </w:r>
          </w:p>
        </w:tc>
        <w:tc>
          <w:tcPr>
            <w:tcW w:w="543" w:type="pct"/>
            <w:tcBorders>
              <w:top w:val="nil"/>
              <w:left w:val="nil"/>
              <w:bottom w:val="single" w:sz="4" w:space="0" w:color="auto"/>
              <w:right w:val="single" w:sz="8" w:space="0" w:color="auto"/>
            </w:tcBorders>
            <w:shd w:val="clear" w:color="auto" w:fill="auto"/>
            <w:noWrap/>
            <w:vAlign w:val="center"/>
          </w:tcPr>
          <w:p w14:paraId="35FF2DC2" w14:textId="667AA7CE"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81,7</w:t>
            </w:r>
          </w:p>
        </w:tc>
        <w:tc>
          <w:tcPr>
            <w:tcW w:w="542" w:type="pct"/>
            <w:tcBorders>
              <w:top w:val="nil"/>
              <w:left w:val="single" w:sz="8" w:space="0" w:color="auto"/>
              <w:bottom w:val="single" w:sz="4" w:space="0" w:color="auto"/>
              <w:right w:val="single" w:sz="8" w:space="0" w:color="auto"/>
            </w:tcBorders>
            <w:vAlign w:val="center"/>
          </w:tcPr>
          <w:p w14:paraId="198B4984" w14:textId="0A847A9B"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57,6</w:t>
            </w:r>
          </w:p>
        </w:tc>
        <w:tc>
          <w:tcPr>
            <w:tcW w:w="542" w:type="pct"/>
            <w:tcBorders>
              <w:top w:val="nil"/>
              <w:left w:val="single" w:sz="8" w:space="0" w:color="auto"/>
              <w:bottom w:val="single" w:sz="4" w:space="0" w:color="auto"/>
              <w:right w:val="single" w:sz="8" w:space="0" w:color="auto"/>
            </w:tcBorders>
            <w:vAlign w:val="center"/>
          </w:tcPr>
          <w:p w14:paraId="0F8FFEDC" w14:textId="17604DF3"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61,3</w:t>
            </w:r>
          </w:p>
        </w:tc>
        <w:tc>
          <w:tcPr>
            <w:tcW w:w="542" w:type="pct"/>
            <w:tcBorders>
              <w:top w:val="nil"/>
              <w:left w:val="single" w:sz="8" w:space="0" w:color="auto"/>
              <w:bottom w:val="single" w:sz="4" w:space="0" w:color="auto"/>
              <w:right w:val="single" w:sz="18" w:space="0" w:color="auto"/>
            </w:tcBorders>
            <w:vAlign w:val="center"/>
          </w:tcPr>
          <w:p w14:paraId="1D06142F" w14:textId="649B1B3F" w:rsidR="00336E8F" w:rsidRDefault="00336E8F" w:rsidP="00336E8F">
            <w:pPr>
              <w:jc w:val="right"/>
              <w:rPr>
                <w:rFonts w:ascii="Calibri" w:hAnsi="Calibri" w:cs="Calibri"/>
                <w:color w:val="000000"/>
              </w:rPr>
            </w:pPr>
            <w:r>
              <w:rPr>
                <w:rFonts w:ascii="Calibri" w:hAnsi="Calibri" w:cs="Calibri"/>
                <w:color w:val="000000"/>
              </w:rPr>
              <w:t>35,9</w:t>
            </w:r>
          </w:p>
        </w:tc>
      </w:tr>
      <w:tr w:rsidR="00336E8F" w:rsidRPr="003E48E5" w14:paraId="2BE4F446" w14:textId="0D410121" w:rsidTr="00336E8F">
        <w:trPr>
          <w:trHeight w:val="288"/>
          <w:jc w:val="center"/>
        </w:trPr>
        <w:tc>
          <w:tcPr>
            <w:tcW w:w="382" w:type="pct"/>
            <w:vMerge/>
            <w:tcBorders>
              <w:top w:val="nil"/>
              <w:left w:val="single" w:sz="18" w:space="0" w:color="auto"/>
              <w:bottom w:val="single" w:sz="4" w:space="0" w:color="auto"/>
              <w:right w:val="single" w:sz="4" w:space="0" w:color="auto"/>
            </w:tcBorders>
            <w:shd w:val="clear" w:color="auto" w:fill="D9D9D9"/>
            <w:vAlign w:val="center"/>
            <w:hideMark/>
          </w:tcPr>
          <w:p w14:paraId="4A816989" w14:textId="77777777" w:rsidR="00336E8F" w:rsidRPr="003E48E5" w:rsidRDefault="00336E8F" w:rsidP="00336E8F">
            <w:pPr>
              <w:jc w:val="right"/>
              <w:rPr>
                <w:rFonts w:ascii="Calibri" w:eastAsia="Times New Roman" w:hAnsi="Calibri" w:cs="Calibri"/>
                <w:b/>
                <w:bCs/>
                <w:color w:val="000000"/>
                <w:lang w:eastAsia="cs-CZ"/>
              </w:rPr>
            </w:pPr>
          </w:p>
        </w:tc>
        <w:tc>
          <w:tcPr>
            <w:tcW w:w="1374" w:type="pct"/>
            <w:tcBorders>
              <w:top w:val="nil"/>
              <w:left w:val="nil"/>
              <w:bottom w:val="single" w:sz="4" w:space="0" w:color="auto"/>
              <w:right w:val="single" w:sz="12" w:space="0" w:color="auto"/>
            </w:tcBorders>
            <w:shd w:val="clear" w:color="auto" w:fill="D9D9D9"/>
            <w:noWrap/>
            <w:vAlign w:val="center"/>
            <w:hideMark/>
          </w:tcPr>
          <w:p w14:paraId="61BA997D" w14:textId="77777777" w:rsidR="00336E8F" w:rsidRPr="003E48E5" w:rsidRDefault="00336E8F" w:rsidP="00336E8F">
            <w:pPr>
              <w:jc w:val="right"/>
              <w:rPr>
                <w:rFonts w:ascii="Calibri" w:eastAsia="Times New Roman" w:hAnsi="Calibri" w:cs="Calibri"/>
                <w:bCs/>
                <w:color w:val="000000"/>
                <w:lang w:eastAsia="cs-CZ"/>
              </w:rPr>
            </w:pPr>
            <w:r w:rsidRPr="003E48E5">
              <w:rPr>
                <w:rFonts w:ascii="Calibri" w:eastAsia="Times New Roman" w:hAnsi="Calibri" w:cs="Calibri"/>
                <w:bCs/>
                <w:color w:val="000000"/>
                <w:lang w:eastAsia="cs-CZ"/>
              </w:rPr>
              <w:t>nedaňové příjmy</w:t>
            </w:r>
          </w:p>
        </w:tc>
        <w:tc>
          <w:tcPr>
            <w:tcW w:w="534" w:type="pct"/>
            <w:tcBorders>
              <w:top w:val="nil"/>
              <w:left w:val="single" w:sz="12" w:space="0" w:color="auto"/>
              <w:bottom w:val="single" w:sz="4" w:space="0" w:color="auto"/>
              <w:right w:val="single" w:sz="4" w:space="0" w:color="auto"/>
            </w:tcBorders>
            <w:shd w:val="clear" w:color="auto" w:fill="auto"/>
            <w:noWrap/>
            <w:vAlign w:val="center"/>
          </w:tcPr>
          <w:p w14:paraId="4E9F3FC1" w14:textId="2D713407"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13,2</w:t>
            </w:r>
          </w:p>
        </w:tc>
        <w:tc>
          <w:tcPr>
            <w:tcW w:w="541" w:type="pct"/>
            <w:tcBorders>
              <w:top w:val="nil"/>
              <w:left w:val="nil"/>
              <w:bottom w:val="single" w:sz="4" w:space="0" w:color="auto"/>
              <w:right w:val="single" w:sz="4" w:space="0" w:color="auto"/>
            </w:tcBorders>
            <w:shd w:val="clear" w:color="auto" w:fill="auto"/>
            <w:noWrap/>
            <w:vAlign w:val="center"/>
          </w:tcPr>
          <w:p w14:paraId="4E5DA5CE" w14:textId="6AE5B8D9"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16,4</w:t>
            </w:r>
          </w:p>
        </w:tc>
        <w:tc>
          <w:tcPr>
            <w:tcW w:w="543" w:type="pct"/>
            <w:tcBorders>
              <w:top w:val="nil"/>
              <w:left w:val="nil"/>
              <w:bottom w:val="single" w:sz="4" w:space="0" w:color="auto"/>
              <w:right w:val="single" w:sz="8" w:space="0" w:color="auto"/>
            </w:tcBorders>
            <w:shd w:val="clear" w:color="auto" w:fill="auto"/>
            <w:noWrap/>
            <w:vAlign w:val="center"/>
          </w:tcPr>
          <w:p w14:paraId="79AEAFBE" w14:textId="09F1418A"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13,7</w:t>
            </w:r>
          </w:p>
        </w:tc>
        <w:tc>
          <w:tcPr>
            <w:tcW w:w="542" w:type="pct"/>
            <w:tcBorders>
              <w:top w:val="nil"/>
              <w:left w:val="single" w:sz="8" w:space="0" w:color="auto"/>
              <w:bottom w:val="single" w:sz="4" w:space="0" w:color="auto"/>
              <w:right w:val="single" w:sz="8" w:space="0" w:color="auto"/>
            </w:tcBorders>
            <w:vAlign w:val="center"/>
          </w:tcPr>
          <w:p w14:paraId="3D98F90B" w14:textId="076C0368"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12,7</w:t>
            </w:r>
          </w:p>
        </w:tc>
        <w:tc>
          <w:tcPr>
            <w:tcW w:w="542" w:type="pct"/>
            <w:tcBorders>
              <w:top w:val="nil"/>
              <w:left w:val="single" w:sz="8" w:space="0" w:color="auto"/>
              <w:bottom w:val="single" w:sz="4" w:space="0" w:color="auto"/>
              <w:right w:val="single" w:sz="8" w:space="0" w:color="auto"/>
            </w:tcBorders>
            <w:vAlign w:val="center"/>
          </w:tcPr>
          <w:p w14:paraId="3096FFED" w14:textId="55CB7011"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13,7</w:t>
            </w:r>
          </w:p>
        </w:tc>
        <w:tc>
          <w:tcPr>
            <w:tcW w:w="542" w:type="pct"/>
            <w:tcBorders>
              <w:top w:val="nil"/>
              <w:left w:val="single" w:sz="8" w:space="0" w:color="auto"/>
              <w:bottom w:val="single" w:sz="4" w:space="0" w:color="auto"/>
              <w:right w:val="single" w:sz="18" w:space="0" w:color="auto"/>
            </w:tcBorders>
            <w:vAlign w:val="center"/>
          </w:tcPr>
          <w:p w14:paraId="11D50F5B" w14:textId="78971A5C" w:rsidR="00336E8F" w:rsidRDefault="00336E8F" w:rsidP="00336E8F">
            <w:pPr>
              <w:jc w:val="right"/>
              <w:rPr>
                <w:rFonts w:ascii="Calibri" w:hAnsi="Calibri" w:cs="Calibri"/>
                <w:color w:val="000000"/>
              </w:rPr>
            </w:pPr>
            <w:r>
              <w:rPr>
                <w:rFonts w:ascii="Calibri" w:hAnsi="Calibri" w:cs="Calibri"/>
                <w:color w:val="000000"/>
              </w:rPr>
              <w:t>57,8</w:t>
            </w:r>
          </w:p>
        </w:tc>
      </w:tr>
      <w:tr w:rsidR="00336E8F" w:rsidRPr="003E48E5" w14:paraId="19EA0EEB" w14:textId="35BACAA9" w:rsidTr="00336E8F">
        <w:trPr>
          <w:trHeight w:val="288"/>
          <w:jc w:val="center"/>
        </w:trPr>
        <w:tc>
          <w:tcPr>
            <w:tcW w:w="382" w:type="pct"/>
            <w:vMerge/>
            <w:tcBorders>
              <w:top w:val="nil"/>
              <w:left w:val="single" w:sz="18" w:space="0" w:color="auto"/>
              <w:bottom w:val="single" w:sz="4" w:space="0" w:color="auto"/>
              <w:right w:val="single" w:sz="4" w:space="0" w:color="auto"/>
            </w:tcBorders>
            <w:shd w:val="clear" w:color="auto" w:fill="D9D9D9"/>
            <w:vAlign w:val="center"/>
            <w:hideMark/>
          </w:tcPr>
          <w:p w14:paraId="097BFEB8" w14:textId="77777777" w:rsidR="00336E8F" w:rsidRPr="003E48E5" w:rsidRDefault="00336E8F" w:rsidP="00336E8F">
            <w:pPr>
              <w:jc w:val="right"/>
              <w:rPr>
                <w:rFonts w:ascii="Calibri" w:eastAsia="Times New Roman" w:hAnsi="Calibri" w:cs="Calibri"/>
                <w:b/>
                <w:bCs/>
                <w:color w:val="000000"/>
                <w:lang w:eastAsia="cs-CZ"/>
              </w:rPr>
            </w:pPr>
          </w:p>
        </w:tc>
        <w:tc>
          <w:tcPr>
            <w:tcW w:w="1374" w:type="pct"/>
            <w:tcBorders>
              <w:top w:val="nil"/>
              <w:left w:val="nil"/>
              <w:bottom w:val="single" w:sz="4" w:space="0" w:color="auto"/>
              <w:right w:val="single" w:sz="12" w:space="0" w:color="auto"/>
            </w:tcBorders>
            <w:shd w:val="clear" w:color="auto" w:fill="D9D9D9"/>
            <w:noWrap/>
            <w:vAlign w:val="center"/>
            <w:hideMark/>
          </w:tcPr>
          <w:p w14:paraId="74E791C9" w14:textId="77777777" w:rsidR="00336E8F" w:rsidRPr="003E48E5" w:rsidRDefault="00336E8F" w:rsidP="00336E8F">
            <w:pPr>
              <w:jc w:val="right"/>
              <w:rPr>
                <w:rFonts w:ascii="Calibri" w:eastAsia="Times New Roman" w:hAnsi="Calibri" w:cs="Calibri"/>
                <w:bCs/>
                <w:color w:val="000000"/>
                <w:lang w:eastAsia="cs-CZ"/>
              </w:rPr>
            </w:pPr>
            <w:r w:rsidRPr="003E48E5">
              <w:rPr>
                <w:rFonts w:ascii="Calibri" w:eastAsia="Times New Roman" w:hAnsi="Calibri" w:cs="Calibri"/>
                <w:bCs/>
                <w:color w:val="000000"/>
                <w:lang w:eastAsia="cs-CZ"/>
              </w:rPr>
              <w:t>dotace</w:t>
            </w:r>
          </w:p>
        </w:tc>
        <w:tc>
          <w:tcPr>
            <w:tcW w:w="534" w:type="pct"/>
            <w:tcBorders>
              <w:top w:val="nil"/>
              <w:left w:val="single" w:sz="12" w:space="0" w:color="auto"/>
              <w:bottom w:val="single" w:sz="4" w:space="0" w:color="auto"/>
              <w:right w:val="single" w:sz="4" w:space="0" w:color="auto"/>
            </w:tcBorders>
            <w:shd w:val="clear" w:color="auto" w:fill="auto"/>
            <w:noWrap/>
            <w:vAlign w:val="center"/>
          </w:tcPr>
          <w:p w14:paraId="72D0CE04" w14:textId="57DB219F"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3,1</w:t>
            </w:r>
          </w:p>
        </w:tc>
        <w:tc>
          <w:tcPr>
            <w:tcW w:w="541" w:type="pct"/>
            <w:tcBorders>
              <w:top w:val="nil"/>
              <w:left w:val="nil"/>
              <w:bottom w:val="single" w:sz="4" w:space="0" w:color="auto"/>
              <w:right w:val="single" w:sz="4" w:space="0" w:color="auto"/>
            </w:tcBorders>
            <w:shd w:val="clear" w:color="auto" w:fill="auto"/>
            <w:noWrap/>
            <w:vAlign w:val="center"/>
          </w:tcPr>
          <w:p w14:paraId="4F7C7559" w14:textId="0CA5C7AD"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4,8</w:t>
            </w:r>
          </w:p>
        </w:tc>
        <w:tc>
          <w:tcPr>
            <w:tcW w:w="543" w:type="pct"/>
            <w:tcBorders>
              <w:top w:val="nil"/>
              <w:left w:val="nil"/>
              <w:bottom w:val="single" w:sz="4" w:space="0" w:color="auto"/>
              <w:right w:val="single" w:sz="8" w:space="0" w:color="auto"/>
            </w:tcBorders>
            <w:shd w:val="clear" w:color="auto" w:fill="auto"/>
            <w:noWrap/>
            <w:vAlign w:val="center"/>
          </w:tcPr>
          <w:p w14:paraId="74AEC7F2" w14:textId="4EE9F570"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1,9</w:t>
            </w:r>
          </w:p>
        </w:tc>
        <w:tc>
          <w:tcPr>
            <w:tcW w:w="542" w:type="pct"/>
            <w:tcBorders>
              <w:top w:val="nil"/>
              <w:left w:val="single" w:sz="8" w:space="0" w:color="auto"/>
              <w:bottom w:val="single" w:sz="4" w:space="0" w:color="auto"/>
              <w:right w:val="single" w:sz="8" w:space="0" w:color="auto"/>
            </w:tcBorders>
            <w:vAlign w:val="center"/>
          </w:tcPr>
          <w:p w14:paraId="70398F57" w14:textId="0079AF5F"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18,7</w:t>
            </w:r>
          </w:p>
        </w:tc>
        <w:tc>
          <w:tcPr>
            <w:tcW w:w="542" w:type="pct"/>
            <w:tcBorders>
              <w:top w:val="nil"/>
              <w:left w:val="single" w:sz="8" w:space="0" w:color="auto"/>
              <w:bottom w:val="single" w:sz="4" w:space="0" w:color="auto"/>
              <w:right w:val="single" w:sz="8" w:space="0" w:color="auto"/>
            </w:tcBorders>
            <w:vAlign w:val="center"/>
          </w:tcPr>
          <w:p w14:paraId="6B3CE354" w14:textId="57496F48"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12,6</w:t>
            </w:r>
          </w:p>
        </w:tc>
        <w:tc>
          <w:tcPr>
            <w:tcW w:w="542" w:type="pct"/>
            <w:tcBorders>
              <w:top w:val="nil"/>
              <w:left w:val="single" w:sz="8" w:space="0" w:color="auto"/>
              <w:bottom w:val="single" w:sz="4" w:space="0" w:color="auto"/>
              <w:right w:val="single" w:sz="18" w:space="0" w:color="auto"/>
            </w:tcBorders>
            <w:vAlign w:val="center"/>
          </w:tcPr>
          <w:p w14:paraId="59FD7C80" w14:textId="373EF799" w:rsidR="00336E8F" w:rsidRDefault="00336E8F" w:rsidP="00336E8F">
            <w:pPr>
              <w:jc w:val="right"/>
              <w:rPr>
                <w:rFonts w:ascii="Calibri" w:hAnsi="Calibri" w:cs="Calibri"/>
                <w:color w:val="000000"/>
              </w:rPr>
            </w:pPr>
            <w:r>
              <w:rPr>
                <w:rFonts w:ascii="Calibri" w:hAnsi="Calibri" w:cs="Calibri"/>
                <w:color w:val="000000"/>
              </w:rPr>
              <w:t>2,6</w:t>
            </w:r>
          </w:p>
        </w:tc>
      </w:tr>
      <w:tr w:rsidR="00336E8F" w:rsidRPr="003E48E5" w14:paraId="13A6AED6" w14:textId="6C9E22CC" w:rsidTr="00336E8F">
        <w:trPr>
          <w:trHeight w:val="288"/>
          <w:jc w:val="center"/>
        </w:trPr>
        <w:tc>
          <w:tcPr>
            <w:tcW w:w="382" w:type="pct"/>
            <w:vMerge/>
            <w:tcBorders>
              <w:top w:val="nil"/>
              <w:left w:val="single" w:sz="18" w:space="0" w:color="auto"/>
              <w:bottom w:val="single" w:sz="4" w:space="0" w:color="auto"/>
              <w:right w:val="single" w:sz="4" w:space="0" w:color="auto"/>
            </w:tcBorders>
            <w:shd w:val="clear" w:color="auto" w:fill="D9D9D9"/>
            <w:vAlign w:val="center"/>
            <w:hideMark/>
          </w:tcPr>
          <w:p w14:paraId="434B1B85" w14:textId="77777777" w:rsidR="00336E8F" w:rsidRPr="003E48E5" w:rsidRDefault="00336E8F" w:rsidP="00336E8F">
            <w:pPr>
              <w:jc w:val="right"/>
              <w:rPr>
                <w:rFonts w:ascii="Calibri" w:eastAsia="Times New Roman" w:hAnsi="Calibri" w:cs="Calibri"/>
                <w:b/>
                <w:bCs/>
                <w:color w:val="000000"/>
                <w:lang w:eastAsia="cs-CZ"/>
              </w:rPr>
            </w:pPr>
          </w:p>
        </w:tc>
        <w:tc>
          <w:tcPr>
            <w:tcW w:w="1374" w:type="pct"/>
            <w:tcBorders>
              <w:top w:val="nil"/>
              <w:left w:val="nil"/>
              <w:bottom w:val="single" w:sz="4" w:space="0" w:color="auto"/>
              <w:right w:val="single" w:sz="12" w:space="0" w:color="auto"/>
            </w:tcBorders>
            <w:shd w:val="clear" w:color="auto" w:fill="D9D9D9"/>
            <w:noWrap/>
            <w:vAlign w:val="center"/>
            <w:hideMark/>
          </w:tcPr>
          <w:p w14:paraId="336BA877" w14:textId="77777777" w:rsidR="00336E8F" w:rsidRPr="003E48E5" w:rsidRDefault="00336E8F" w:rsidP="00336E8F">
            <w:pPr>
              <w:jc w:val="right"/>
              <w:rPr>
                <w:rFonts w:ascii="Calibri" w:eastAsia="Times New Roman" w:hAnsi="Calibri" w:cs="Calibri"/>
                <w:bCs/>
                <w:color w:val="000000"/>
                <w:lang w:eastAsia="cs-CZ"/>
              </w:rPr>
            </w:pPr>
            <w:r w:rsidRPr="003E48E5">
              <w:rPr>
                <w:rFonts w:ascii="Calibri" w:eastAsia="Times New Roman" w:hAnsi="Calibri" w:cs="Calibri"/>
                <w:bCs/>
                <w:color w:val="000000"/>
                <w:lang w:eastAsia="cs-CZ"/>
              </w:rPr>
              <w:t>kapitálové příjmy</w:t>
            </w:r>
          </w:p>
        </w:tc>
        <w:tc>
          <w:tcPr>
            <w:tcW w:w="534" w:type="pct"/>
            <w:tcBorders>
              <w:top w:val="nil"/>
              <w:left w:val="single" w:sz="12" w:space="0" w:color="auto"/>
              <w:bottom w:val="single" w:sz="4" w:space="0" w:color="auto"/>
              <w:right w:val="single" w:sz="4" w:space="0" w:color="auto"/>
            </w:tcBorders>
            <w:shd w:val="clear" w:color="auto" w:fill="auto"/>
            <w:noWrap/>
            <w:vAlign w:val="center"/>
          </w:tcPr>
          <w:p w14:paraId="442AAD54" w14:textId="05AD70BE"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0,5</w:t>
            </w:r>
          </w:p>
        </w:tc>
        <w:tc>
          <w:tcPr>
            <w:tcW w:w="541" w:type="pct"/>
            <w:tcBorders>
              <w:top w:val="nil"/>
              <w:left w:val="nil"/>
              <w:bottom w:val="single" w:sz="4" w:space="0" w:color="auto"/>
              <w:right w:val="single" w:sz="4" w:space="0" w:color="auto"/>
            </w:tcBorders>
            <w:shd w:val="clear" w:color="auto" w:fill="auto"/>
            <w:noWrap/>
            <w:vAlign w:val="center"/>
          </w:tcPr>
          <w:p w14:paraId="34485006" w14:textId="69CAD96D"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0,4</w:t>
            </w:r>
          </w:p>
        </w:tc>
        <w:tc>
          <w:tcPr>
            <w:tcW w:w="543" w:type="pct"/>
            <w:tcBorders>
              <w:top w:val="nil"/>
              <w:left w:val="nil"/>
              <w:bottom w:val="single" w:sz="4" w:space="0" w:color="auto"/>
              <w:right w:val="single" w:sz="8" w:space="0" w:color="auto"/>
            </w:tcBorders>
            <w:shd w:val="clear" w:color="auto" w:fill="auto"/>
            <w:noWrap/>
            <w:vAlign w:val="center"/>
          </w:tcPr>
          <w:p w14:paraId="5532CE38" w14:textId="2604117A"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2,6</w:t>
            </w:r>
          </w:p>
        </w:tc>
        <w:tc>
          <w:tcPr>
            <w:tcW w:w="542" w:type="pct"/>
            <w:tcBorders>
              <w:top w:val="nil"/>
              <w:left w:val="single" w:sz="8" w:space="0" w:color="auto"/>
              <w:bottom w:val="single" w:sz="4" w:space="0" w:color="auto"/>
              <w:right w:val="single" w:sz="8" w:space="0" w:color="auto"/>
            </w:tcBorders>
            <w:vAlign w:val="center"/>
          </w:tcPr>
          <w:p w14:paraId="191E2498" w14:textId="051F37DC"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11,0</w:t>
            </w:r>
          </w:p>
        </w:tc>
        <w:tc>
          <w:tcPr>
            <w:tcW w:w="542" w:type="pct"/>
            <w:tcBorders>
              <w:top w:val="nil"/>
              <w:left w:val="single" w:sz="8" w:space="0" w:color="auto"/>
              <w:bottom w:val="single" w:sz="4" w:space="0" w:color="auto"/>
              <w:right w:val="single" w:sz="8" w:space="0" w:color="auto"/>
            </w:tcBorders>
            <w:vAlign w:val="center"/>
          </w:tcPr>
          <w:p w14:paraId="346EA46D" w14:textId="19AEB1CA"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12,4</w:t>
            </w:r>
          </w:p>
        </w:tc>
        <w:tc>
          <w:tcPr>
            <w:tcW w:w="542" w:type="pct"/>
            <w:tcBorders>
              <w:top w:val="nil"/>
              <w:left w:val="single" w:sz="8" w:space="0" w:color="auto"/>
              <w:bottom w:val="single" w:sz="4" w:space="0" w:color="auto"/>
              <w:right w:val="single" w:sz="18" w:space="0" w:color="auto"/>
            </w:tcBorders>
            <w:vAlign w:val="center"/>
          </w:tcPr>
          <w:p w14:paraId="09A9E652" w14:textId="5DE75511" w:rsidR="00336E8F" w:rsidRDefault="00336E8F" w:rsidP="00336E8F">
            <w:pPr>
              <w:jc w:val="right"/>
              <w:rPr>
                <w:rFonts w:ascii="Calibri" w:hAnsi="Calibri" w:cs="Calibri"/>
                <w:color w:val="000000"/>
              </w:rPr>
            </w:pPr>
            <w:r>
              <w:rPr>
                <w:rFonts w:ascii="Calibri" w:hAnsi="Calibri" w:cs="Calibri"/>
                <w:color w:val="000000"/>
              </w:rPr>
              <w:t>3,7</w:t>
            </w:r>
          </w:p>
        </w:tc>
      </w:tr>
      <w:tr w:rsidR="002A4AFE" w:rsidRPr="003E48E5" w14:paraId="03A502AF" w14:textId="55F59528" w:rsidTr="002A4AFE">
        <w:trPr>
          <w:trHeight w:val="288"/>
          <w:jc w:val="center"/>
        </w:trPr>
        <w:tc>
          <w:tcPr>
            <w:tcW w:w="1756" w:type="pct"/>
            <w:gridSpan w:val="2"/>
            <w:tcBorders>
              <w:top w:val="nil"/>
              <w:left w:val="single" w:sz="18" w:space="0" w:color="auto"/>
              <w:bottom w:val="single" w:sz="4" w:space="0" w:color="auto"/>
              <w:right w:val="single" w:sz="12" w:space="0" w:color="auto"/>
            </w:tcBorders>
            <w:shd w:val="clear" w:color="auto" w:fill="92D050"/>
            <w:noWrap/>
            <w:vAlign w:val="center"/>
            <w:hideMark/>
          </w:tcPr>
          <w:p w14:paraId="7C8DF4EC" w14:textId="77777777" w:rsidR="002A4AFE" w:rsidRPr="003E48E5" w:rsidRDefault="002A4AFE" w:rsidP="002A4AFE">
            <w:pPr>
              <w:jc w:val="right"/>
              <w:rPr>
                <w:rFonts w:ascii="Calibri" w:eastAsia="Times New Roman" w:hAnsi="Calibri" w:cs="Calibri"/>
                <w:b/>
                <w:bCs/>
                <w:color w:val="000000"/>
                <w:lang w:eastAsia="cs-CZ"/>
              </w:rPr>
            </w:pPr>
            <w:r w:rsidRPr="003E48E5">
              <w:rPr>
                <w:rFonts w:ascii="Calibri" w:eastAsia="Times New Roman" w:hAnsi="Calibri" w:cs="Calibri"/>
                <w:b/>
                <w:bCs/>
                <w:color w:val="000000"/>
                <w:lang w:eastAsia="cs-CZ"/>
              </w:rPr>
              <w:t>skutečnost-výdaje (v mil. Kč)</w:t>
            </w:r>
          </w:p>
        </w:tc>
        <w:tc>
          <w:tcPr>
            <w:tcW w:w="534" w:type="pct"/>
            <w:tcBorders>
              <w:top w:val="nil"/>
              <w:left w:val="single" w:sz="12" w:space="0" w:color="auto"/>
              <w:bottom w:val="single" w:sz="4" w:space="0" w:color="auto"/>
              <w:right w:val="single" w:sz="4" w:space="0" w:color="auto"/>
            </w:tcBorders>
            <w:shd w:val="clear" w:color="auto" w:fill="92D050"/>
            <w:noWrap/>
            <w:vAlign w:val="center"/>
          </w:tcPr>
          <w:p w14:paraId="6CF9EFE0" w14:textId="2A5D3F8F"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18,875</w:t>
            </w:r>
          </w:p>
        </w:tc>
        <w:tc>
          <w:tcPr>
            <w:tcW w:w="541" w:type="pct"/>
            <w:tcBorders>
              <w:top w:val="nil"/>
              <w:left w:val="nil"/>
              <w:bottom w:val="single" w:sz="4" w:space="0" w:color="auto"/>
              <w:right w:val="single" w:sz="4" w:space="0" w:color="auto"/>
            </w:tcBorders>
            <w:shd w:val="clear" w:color="auto" w:fill="92D050"/>
            <w:noWrap/>
            <w:vAlign w:val="center"/>
          </w:tcPr>
          <w:p w14:paraId="4B74652D" w14:textId="565C1A61"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11,630</w:t>
            </w:r>
          </w:p>
        </w:tc>
        <w:tc>
          <w:tcPr>
            <w:tcW w:w="543" w:type="pct"/>
            <w:tcBorders>
              <w:top w:val="nil"/>
              <w:left w:val="nil"/>
              <w:bottom w:val="single" w:sz="4" w:space="0" w:color="auto"/>
              <w:right w:val="single" w:sz="8" w:space="0" w:color="auto"/>
            </w:tcBorders>
            <w:shd w:val="clear" w:color="auto" w:fill="92D050"/>
            <w:noWrap/>
            <w:vAlign w:val="center"/>
          </w:tcPr>
          <w:p w14:paraId="4B5A527A" w14:textId="266CEC62"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13,032</w:t>
            </w:r>
          </w:p>
        </w:tc>
        <w:tc>
          <w:tcPr>
            <w:tcW w:w="542" w:type="pct"/>
            <w:tcBorders>
              <w:top w:val="nil"/>
              <w:left w:val="single" w:sz="8" w:space="0" w:color="auto"/>
              <w:bottom w:val="single" w:sz="4" w:space="0" w:color="auto"/>
              <w:right w:val="single" w:sz="8" w:space="0" w:color="auto"/>
            </w:tcBorders>
            <w:shd w:val="clear" w:color="auto" w:fill="92D050"/>
            <w:vAlign w:val="center"/>
          </w:tcPr>
          <w:p w14:paraId="631AF812" w14:textId="3BB529B8"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14,880</w:t>
            </w:r>
          </w:p>
        </w:tc>
        <w:tc>
          <w:tcPr>
            <w:tcW w:w="542" w:type="pct"/>
            <w:tcBorders>
              <w:top w:val="nil"/>
              <w:left w:val="single" w:sz="8" w:space="0" w:color="auto"/>
              <w:bottom w:val="single" w:sz="4" w:space="0" w:color="auto"/>
              <w:right w:val="single" w:sz="8" w:space="0" w:color="auto"/>
            </w:tcBorders>
            <w:shd w:val="clear" w:color="auto" w:fill="92D050"/>
            <w:vAlign w:val="center"/>
          </w:tcPr>
          <w:p w14:paraId="1CABBE02" w14:textId="300E4193" w:rsidR="002A4AFE" w:rsidRPr="002A4AFE" w:rsidRDefault="002A4AFE" w:rsidP="002A4AFE">
            <w:pPr>
              <w:jc w:val="right"/>
              <w:rPr>
                <w:rFonts w:ascii="Calibri" w:eastAsia="Times New Roman" w:hAnsi="Calibri" w:cs="Calibri"/>
                <w:b/>
                <w:bCs/>
                <w:color w:val="000000"/>
                <w:lang w:eastAsia="cs-CZ"/>
              </w:rPr>
            </w:pPr>
            <w:r w:rsidRPr="002A4AFE">
              <w:rPr>
                <w:rFonts w:ascii="Calibri" w:hAnsi="Calibri" w:cs="Calibri"/>
                <w:b/>
                <w:bCs/>
              </w:rPr>
              <w:t>9,991</w:t>
            </w:r>
          </w:p>
        </w:tc>
        <w:tc>
          <w:tcPr>
            <w:tcW w:w="542" w:type="pct"/>
            <w:tcBorders>
              <w:top w:val="nil"/>
              <w:left w:val="single" w:sz="8" w:space="0" w:color="auto"/>
              <w:bottom w:val="single" w:sz="4" w:space="0" w:color="auto"/>
              <w:right w:val="single" w:sz="18" w:space="0" w:color="auto"/>
            </w:tcBorders>
            <w:shd w:val="clear" w:color="auto" w:fill="92D050"/>
            <w:vAlign w:val="center"/>
          </w:tcPr>
          <w:p w14:paraId="4967F04E" w14:textId="2DF6740D" w:rsidR="002A4AFE" w:rsidRPr="002A4AFE" w:rsidRDefault="002A4AFE" w:rsidP="002A4AFE">
            <w:pPr>
              <w:jc w:val="right"/>
              <w:rPr>
                <w:rFonts w:ascii="Calibri" w:hAnsi="Calibri" w:cs="Calibri"/>
                <w:b/>
                <w:bCs/>
              </w:rPr>
            </w:pPr>
            <w:r w:rsidRPr="002A4AFE">
              <w:rPr>
                <w:rFonts w:ascii="Calibri" w:hAnsi="Calibri" w:cs="Calibri"/>
                <w:b/>
                <w:bCs/>
              </w:rPr>
              <w:t>22,244</w:t>
            </w:r>
          </w:p>
        </w:tc>
      </w:tr>
      <w:tr w:rsidR="00336E8F" w:rsidRPr="003E48E5" w14:paraId="088597B0" w14:textId="337AB2D5" w:rsidTr="00336E8F">
        <w:trPr>
          <w:trHeight w:val="288"/>
          <w:jc w:val="center"/>
        </w:trPr>
        <w:tc>
          <w:tcPr>
            <w:tcW w:w="382" w:type="pct"/>
            <w:vMerge w:val="restart"/>
            <w:tcBorders>
              <w:top w:val="nil"/>
              <w:left w:val="single" w:sz="18" w:space="0" w:color="auto"/>
              <w:bottom w:val="single" w:sz="4" w:space="0" w:color="auto"/>
              <w:right w:val="single" w:sz="4" w:space="0" w:color="auto"/>
            </w:tcBorders>
            <w:shd w:val="clear" w:color="auto" w:fill="D9D9D9"/>
            <w:noWrap/>
            <w:vAlign w:val="center"/>
            <w:hideMark/>
          </w:tcPr>
          <w:p w14:paraId="6C64B0A3" w14:textId="679FA39D" w:rsidR="00336E8F" w:rsidRPr="003E48E5" w:rsidRDefault="00336E8F" w:rsidP="00336E8F">
            <w:pPr>
              <w:jc w:val="center"/>
              <w:rPr>
                <w:rFonts w:ascii="Calibri" w:eastAsia="Times New Roman" w:hAnsi="Calibri" w:cs="Calibri"/>
                <w:color w:val="000000"/>
                <w:lang w:eastAsia="cs-CZ"/>
              </w:rPr>
            </w:pPr>
            <w:r w:rsidRPr="003E48E5">
              <w:rPr>
                <w:rFonts w:ascii="Calibri" w:eastAsia="Times New Roman" w:hAnsi="Calibri" w:cs="Calibri"/>
                <w:color w:val="000000"/>
                <w:lang w:eastAsia="cs-CZ"/>
              </w:rPr>
              <w:t xml:space="preserve">z toho </w:t>
            </w:r>
            <w:r>
              <w:rPr>
                <w:rFonts w:ascii="Calibri" w:eastAsia="Times New Roman" w:hAnsi="Calibri" w:cs="Calibri"/>
                <w:color w:val="000000"/>
                <w:lang w:eastAsia="cs-CZ"/>
              </w:rPr>
              <w:br/>
            </w:r>
            <w:r w:rsidRPr="003E48E5">
              <w:rPr>
                <w:rFonts w:ascii="Calibri" w:eastAsia="Times New Roman" w:hAnsi="Calibri" w:cs="Calibri"/>
                <w:color w:val="000000"/>
                <w:lang w:eastAsia="cs-CZ"/>
              </w:rPr>
              <w:t>(v %)</w:t>
            </w:r>
          </w:p>
        </w:tc>
        <w:tc>
          <w:tcPr>
            <w:tcW w:w="1374" w:type="pct"/>
            <w:tcBorders>
              <w:top w:val="nil"/>
              <w:left w:val="nil"/>
              <w:bottom w:val="single" w:sz="4" w:space="0" w:color="auto"/>
              <w:right w:val="single" w:sz="12" w:space="0" w:color="auto"/>
            </w:tcBorders>
            <w:shd w:val="clear" w:color="auto" w:fill="D9D9D9"/>
            <w:noWrap/>
            <w:vAlign w:val="center"/>
            <w:hideMark/>
          </w:tcPr>
          <w:p w14:paraId="6DD95ED7" w14:textId="77777777" w:rsidR="00336E8F" w:rsidRPr="003E48E5" w:rsidRDefault="00336E8F" w:rsidP="00336E8F">
            <w:pPr>
              <w:jc w:val="right"/>
              <w:rPr>
                <w:rFonts w:ascii="Calibri" w:eastAsia="Times New Roman" w:hAnsi="Calibri" w:cs="Calibri"/>
                <w:bCs/>
                <w:color w:val="000000"/>
                <w:lang w:eastAsia="cs-CZ"/>
              </w:rPr>
            </w:pPr>
            <w:r w:rsidRPr="003E48E5">
              <w:rPr>
                <w:rFonts w:ascii="Calibri" w:eastAsia="Times New Roman" w:hAnsi="Calibri" w:cs="Calibri"/>
                <w:bCs/>
                <w:color w:val="000000"/>
                <w:lang w:eastAsia="cs-CZ"/>
              </w:rPr>
              <w:t>výdaje na činnost a provoz</w:t>
            </w:r>
          </w:p>
        </w:tc>
        <w:tc>
          <w:tcPr>
            <w:tcW w:w="534" w:type="pct"/>
            <w:tcBorders>
              <w:top w:val="nil"/>
              <w:left w:val="single" w:sz="12" w:space="0" w:color="auto"/>
              <w:bottom w:val="single" w:sz="4" w:space="0" w:color="auto"/>
              <w:right w:val="single" w:sz="4" w:space="0" w:color="auto"/>
            </w:tcBorders>
            <w:shd w:val="clear" w:color="auto" w:fill="auto"/>
            <w:noWrap/>
            <w:vAlign w:val="center"/>
          </w:tcPr>
          <w:p w14:paraId="4718413C" w14:textId="58AD03AB"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81,7</w:t>
            </w:r>
          </w:p>
        </w:tc>
        <w:tc>
          <w:tcPr>
            <w:tcW w:w="541" w:type="pct"/>
            <w:tcBorders>
              <w:top w:val="nil"/>
              <w:left w:val="nil"/>
              <w:bottom w:val="single" w:sz="4" w:space="0" w:color="auto"/>
              <w:right w:val="single" w:sz="4" w:space="0" w:color="auto"/>
            </w:tcBorders>
            <w:shd w:val="clear" w:color="auto" w:fill="auto"/>
            <w:noWrap/>
            <w:vAlign w:val="center"/>
          </w:tcPr>
          <w:p w14:paraId="088B80A1" w14:textId="0072AB57"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89,2</w:t>
            </w:r>
          </w:p>
        </w:tc>
        <w:tc>
          <w:tcPr>
            <w:tcW w:w="543" w:type="pct"/>
            <w:tcBorders>
              <w:top w:val="nil"/>
              <w:left w:val="nil"/>
              <w:bottom w:val="single" w:sz="4" w:space="0" w:color="auto"/>
              <w:right w:val="single" w:sz="8" w:space="0" w:color="auto"/>
            </w:tcBorders>
            <w:shd w:val="clear" w:color="auto" w:fill="auto"/>
            <w:noWrap/>
            <w:vAlign w:val="center"/>
          </w:tcPr>
          <w:p w14:paraId="6AD24E31" w14:textId="4A23D184"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78,4</w:t>
            </w:r>
          </w:p>
        </w:tc>
        <w:tc>
          <w:tcPr>
            <w:tcW w:w="542" w:type="pct"/>
            <w:tcBorders>
              <w:top w:val="nil"/>
              <w:left w:val="single" w:sz="8" w:space="0" w:color="auto"/>
              <w:bottom w:val="single" w:sz="4" w:space="0" w:color="auto"/>
              <w:right w:val="single" w:sz="8" w:space="0" w:color="auto"/>
            </w:tcBorders>
            <w:vAlign w:val="center"/>
          </w:tcPr>
          <w:p w14:paraId="210EA65D" w14:textId="5B299589"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99,2</w:t>
            </w:r>
          </w:p>
        </w:tc>
        <w:tc>
          <w:tcPr>
            <w:tcW w:w="542" w:type="pct"/>
            <w:tcBorders>
              <w:top w:val="nil"/>
              <w:left w:val="single" w:sz="8" w:space="0" w:color="auto"/>
              <w:bottom w:val="single" w:sz="4" w:space="0" w:color="auto"/>
              <w:right w:val="single" w:sz="8" w:space="0" w:color="auto"/>
            </w:tcBorders>
            <w:vAlign w:val="center"/>
          </w:tcPr>
          <w:p w14:paraId="4A10FB4D" w14:textId="655A933E"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100,0</w:t>
            </w:r>
          </w:p>
        </w:tc>
        <w:tc>
          <w:tcPr>
            <w:tcW w:w="542" w:type="pct"/>
            <w:tcBorders>
              <w:top w:val="nil"/>
              <w:left w:val="single" w:sz="8" w:space="0" w:color="auto"/>
              <w:bottom w:val="single" w:sz="4" w:space="0" w:color="auto"/>
              <w:right w:val="single" w:sz="18" w:space="0" w:color="auto"/>
            </w:tcBorders>
            <w:vAlign w:val="center"/>
          </w:tcPr>
          <w:p w14:paraId="052B6EB3" w14:textId="5ECF8FA2" w:rsidR="00336E8F" w:rsidRDefault="00336E8F" w:rsidP="00336E8F">
            <w:pPr>
              <w:jc w:val="right"/>
              <w:rPr>
                <w:rFonts w:ascii="Calibri" w:hAnsi="Calibri" w:cs="Calibri"/>
                <w:color w:val="000000"/>
              </w:rPr>
            </w:pPr>
            <w:r>
              <w:rPr>
                <w:rFonts w:ascii="Calibri" w:hAnsi="Calibri" w:cs="Calibri"/>
                <w:color w:val="000000"/>
              </w:rPr>
              <w:t>80,8</w:t>
            </w:r>
          </w:p>
        </w:tc>
      </w:tr>
      <w:tr w:rsidR="00336E8F" w:rsidRPr="003E48E5" w14:paraId="67D1F218" w14:textId="6E4269EB" w:rsidTr="00336E8F">
        <w:trPr>
          <w:trHeight w:val="288"/>
          <w:jc w:val="center"/>
        </w:trPr>
        <w:tc>
          <w:tcPr>
            <w:tcW w:w="382" w:type="pct"/>
            <w:vMerge/>
            <w:tcBorders>
              <w:top w:val="nil"/>
              <w:left w:val="single" w:sz="18" w:space="0" w:color="auto"/>
              <w:bottom w:val="single" w:sz="18" w:space="0" w:color="auto"/>
              <w:right w:val="single" w:sz="4" w:space="0" w:color="auto"/>
            </w:tcBorders>
            <w:shd w:val="clear" w:color="auto" w:fill="D9D9D9"/>
            <w:vAlign w:val="center"/>
            <w:hideMark/>
          </w:tcPr>
          <w:p w14:paraId="0818DED5" w14:textId="77777777" w:rsidR="00336E8F" w:rsidRPr="003E48E5" w:rsidRDefault="00336E8F" w:rsidP="00336E8F">
            <w:pPr>
              <w:jc w:val="right"/>
              <w:rPr>
                <w:rFonts w:ascii="Calibri" w:eastAsia="Times New Roman" w:hAnsi="Calibri" w:cs="Calibri"/>
                <w:color w:val="000000"/>
                <w:lang w:eastAsia="cs-CZ"/>
              </w:rPr>
            </w:pPr>
          </w:p>
        </w:tc>
        <w:tc>
          <w:tcPr>
            <w:tcW w:w="1374" w:type="pct"/>
            <w:tcBorders>
              <w:top w:val="nil"/>
              <w:left w:val="nil"/>
              <w:bottom w:val="single" w:sz="18" w:space="0" w:color="auto"/>
              <w:right w:val="single" w:sz="12" w:space="0" w:color="auto"/>
            </w:tcBorders>
            <w:shd w:val="clear" w:color="auto" w:fill="D9D9D9"/>
            <w:noWrap/>
            <w:vAlign w:val="center"/>
            <w:hideMark/>
          </w:tcPr>
          <w:p w14:paraId="3D294514" w14:textId="77777777" w:rsidR="00336E8F" w:rsidRPr="003E48E5" w:rsidRDefault="00336E8F" w:rsidP="00336E8F">
            <w:pPr>
              <w:jc w:val="right"/>
              <w:rPr>
                <w:rFonts w:ascii="Calibri" w:eastAsia="Times New Roman" w:hAnsi="Calibri" w:cs="Calibri"/>
                <w:bCs/>
                <w:color w:val="000000"/>
                <w:lang w:eastAsia="cs-CZ"/>
              </w:rPr>
            </w:pPr>
            <w:r w:rsidRPr="003E48E5">
              <w:rPr>
                <w:rFonts w:ascii="Calibri" w:eastAsia="Times New Roman" w:hAnsi="Calibri" w:cs="Calibri"/>
                <w:bCs/>
                <w:color w:val="000000"/>
                <w:lang w:eastAsia="cs-CZ"/>
              </w:rPr>
              <w:t>investiční výdaje</w:t>
            </w:r>
          </w:p>
        </w:tc>
        <w:tc>
          <w:tcPr>
            <w:tcW w:w="534" w:type="pct"/>
            <w:tcBorders>
              <w:top w:val="nil"/>
              <w:left w:val="single" w:sz="12" w:space="0" w:color="auto"/>
              <w:bottom w:val="single" w:sz="18" w:space="0" w:color="auto"/>
              <w:right w:val="single" w:sz="4" w:space="0" w:color="auto"/>
            </w:tcBorders>
            <w:shd w:val="clear" w:color="auto" w:fill="auto"/>
            <w:noWrap/>
            <w:vAlign w:val="center"/>
          </w:tcPr>
          <w:p w14:paraId="734BF6D7" w14:textId="5BC61916"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18,3</w:t>
            </w:r>
          </w:p>
        </w:tc>
        <w:tc>
          <w:tcPr>
            <w:tcW w:w="541" w:type="pct"/>
            <w:tcBorders>
              <w:top w:val="nil"/>
              <w:left w:val="nil"/>
              <w:bottom w:val="single" w:sz="18" w:space="0" w:color="auto"/>
              <w:right w:val="single" w:sz="4" w:space="0" w:color="auto"/>
            </w:tcBorders>
            <w:shd w:val="clear" w:color="auto" w:fill="auto"/>
            <w:noWrap/>
            <w:vAlign w:val="center"/>
          </w:tcPr>
          <w:p w14:paraId="4449897F" w14:textId="59BD35A9"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10,8</w:t>
            </w:r>
          </w:p>
        </w:tc>
        <w:tc>
          <w:tcPr>
            <w:tcW w:w="543" w:type="pct"/>
            <w:tcBorders>
              <w:top w:val="nil"/>
              <w:left w:val="nil"/>
              <w:bottom w:val="single" w:sz="18" w:space="0" w:color="auto"/>
              <w:right w:val="single" w:sz="8" w:space="0" w:color="auto"/>
            </w:tcBorders>
            <w:shd w:val="clear" w:color="auto" w:fill="auto"/>
            <w:noWrap/>
            <w:vAlign w:val="center"/>
          </w:tcPr>
          <w:p w14:paraId="542C9C7C" w14:textId="4AC077F9"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21,6</w:t>
            </w:r>
          </w:p>
        </w:tc>
        <w:tc>
          <w:tcPr>
            <w:tcW w:w="542" w:type="pct"/>
            <w:tcBorders>
              <w:top w:val="nil"/>
              <w:left w:val="single" w:sz="8" w:space="0" w:color="auto"/>
              <w:bottom w:val="single" w:sz="18" w:space="0" w:color="auto"/>
              <w:right w:val="single" w:sz="8" w:space="0" w:color="auto"/>
            </w:tcBorders>
            <w:vAlign w:val="center"/>
          </w:tcPr>
          <w:p w14:paraId="4E7C2899" w14:textId="54C774A8"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0,8</w:t>
            </w:r>
          </w:p>
        </w:tc>
        <w:tc>
          <w:tcPr>
            <w:tcW w:w="542" w:type="pct"/>
            <w:tcBorders>
              <w:top w:val="nil"/>
              <w:left w:val="single" w:sz="8" w:space="0" w:color="auto"/>
              <w:bottom w:val="single" w:sz="18" w:space="0" w:color="auto"/>
              <w:right w:val="single" w:sz="8" w:space="0" w:color="auto"/>
            </w:tcBorders>
            <w:vAlign w:val="center"/>
          </w:tcPr>
          <w:p w14:paraId="0C2E5079" w14:textId="02D32BC6" w:rsidR="00336E8F" w:rsidRPr="003E48E5" w:rsidRDefault="00336E8F" w:rsidP="00336E8F">
            <w:pPr>
              <w:jc w:val="right"/>
              <w:rPr>
                <w:rFonts w:ascii="Calibri" w:eastAsia="Times New Roman" w:hAnsi="Calibri" w:cs="Calibri"/>
                <w:color w:val="000000"/>
                <w:lang w:eastAsia="cs-CZ"/>
              </w:rPr>
            </w:pPr>
            <w:r>
              <w:rPr>
                <w:rFonts w:ascii="Calibri" w:hAnsi="Calibri" w:cs="Calibri"/>
                <w:color w:val="000000"/>
              </w:rPr>
              <w:t>0,0</w:t>
            </w:r>
          </w:p>
        </w:tc>
        <w:tc>
          <w:tcPr>
            <w:tcW w:w="542" w:type="pct"/>
            <w:tcBorders>
              <w:top w:val="nil"/>
              <w:left w:val="single" w:sz="8" w:space="0" w:color="auto"/>
              <w:bottom w:val="single" w:sz="18" w:space="0" w:color="auto"/>
              <w:right w:val="single" w:sz="18" w:space="0" w:color="auto"/>
            </w:tcBorders>
            <w:vAlign w:val="center"/>
          </w:tcPr>
          <w:p w14:paraId="04E6529D" w14:textId="7A42FD21" w:rsidR="00336E8F" w:rsidRDefault="00336E8F" w:rsidP="00336E8F">
            <w:pPr>
              <w:jc w:val="right"/>
              <w:rPr>
                <w:rFonts w:ascii="Calibri" w:hAnsi="Calibri" w:cs="Calibri"/>
                <w:color w:val="000000"/>
              </w:rPr>
            </w:pPr>
            <w:r>
              <w:rPr>
                <w:rFonts w:ascii="Calibri" w:hAnsi="Calibri" w:cs="Calibri"/>
                <w:color w:val="000000"/>
              </w:rPr>
              <w:t>19,2</w:t>
            </w:r>
          </w:p>
        </w:tc>
      </w:tr>
    </w:tbl>
    <w:p w14:paraId="7C416F23" w14:textId="77777777" w:rsidR="0075053B" w:rsidRPr="003E48E5" w:rsidRDefault="0075053B" w:rsidP="0075053B">
      <w:pPr>
        <w:spacing w:after="160"/>
        <w:contextualSpacing/>
        <w:jc w:val="both"/>
        <w:rPr>
          <w:rFonts w:ascii="Calibri" w:eastAsia="Calibri" w:hAnsi="Calibri" w:cs="Times New Roman"/>
        </w:rPr>
      </w:pPr>
      <w:r w:rsidRPr="003E48E5">
        <w:rPr>
          <w:rFonts w:ascii="Calibri" w:eastAsia="Calibri" w:hAnsi="Calibri" w:cs="Times New Roman"/>
          <w:b/>
          <w:sz w:val="20"/>
          <w:szCs w:val="20"/>
        </w:rPr>
        <w:t>Zdroj:</w:t>
      </w:r>
      <w:r w:rsidRPr="003E48E5">
        <w:rPr>
          <w:rFonts w:ascii="Calibri" w:eastAsia="Calibri" w:hAnsi="Calibri" w:cs="Times New Roman"/>
          <w:sz w:val="20"/>
          <w:szCs w:val="20"/>
        </w:rPr>
        <w:t xml:space="preserve"> Informační portál Ministerstva financí MONITOR </w:t>
      </w:r>
      <w:hyperlink r:id="rId100" w:history="1">
        <w:r w:rsidRPr="003E48E5">
          <w:rPr>
            <w:rFonts w:ascii="Calibri" w:eastAsia="Calibri" w:hAnsi="Calibri" w:cs="Times New Roman"/>
            <w:color w:val="0563C1"/>
            <w:sz w:val="20"/>
            <w:szCs w:val="20"/>
            <w:u w:val="single"/>
          </w:rPr>
          <w:t>https://monitor.statnipokladna.cz/</w:t>
        </w:r>
      </w:hyperlink>
    </w:p>
    <w:p w14:paraId="75518B8C" w14:textId="77777777" w:rsidR="0075053B" w:rsidRPr="003E48E5" w:rsidRDefault="0075053B" w:rsidP="0075053B">
      <w:pPr>
        <w:spacing w:after="160" w:line="259" w:lineRule="auto"/>
        <w:jc w:val="both"/>
        <w:rPr>
          <w:rFonts w:ascii="Calibri" w:eastAsia="Calibri" w:hAnsi="Calibri" w:cs="Times New Roman"/>
        </w:rPr>
      </w:pPr>
    </w:p>
    <w:p w14:paraId="5463612F" w14:textId="653CBF10" w:rsidR="0075053B" w:rsidRPr="003E48E5" w:rsidRDefault="0075053B" w:rsidP="0075053B">
      <w:pPr>
        <w:spacing w:after="160" w:line="259" w:lineRule="auto"/>
        <w:jc w:val="both"/>
        <w:rPr>
          <w:rFonts w:ascii="Calibri" w:eastAsia="Calibri" w:hAnsi="Calibri" w:cs="Times New Roman"/>
        </w:rPr>
      </w:pPr>
      <w:r>
        <w:t>Z tabulky 2</w:t>
      </w:r>
      <w:r w:rsidR="008E43F9">
        <w:t>2</w:t>
      </w:r>
      <w:r>
        <w:t xml:space="preserve"> vyplývá, že převážnou část příjmů ve všech sledovaných letech</w:t>
      </w:r>
      <w:r w:rsidR="008E43F9">
        <w:t xml:space="preserve"> (vyjma roku 2021)</w:t>
      </w:r>
      <w:r>
        <w:t xml:space="preserve"> představovaly daňové příjmy, následované nedaňovými příjmy. </w:t>
      </w:r>
      <w:r w:rsidRPr="00E84401">
        <w:t xml:space="preserve">Nejmenší podíl zastoupení představovaly </w:t>
      </w:r>
      <w:r w:rsidR="008E43F9">
        <w:t xml:space="preserve">buď </w:t>
      </w:r>
      <w:r w:rsidRPr="00E84401">
        <w:t xml:space="preserve">příjmy </w:t>
      </w:r>
      <w:r w:rsidRPr="00AE5F59">
        <w:t>kapitálové</w:t>
      </w:r>
      <w:r w:rsidR="008E43F9">
        <w:t xml:space="preserve"> nebo dotace</w:t>
      </w:r>
      <w:r w:rsidRPr="003E48E5">
        <w:rPr>
          <w:rFonts w:ascii="Calibri" w:eastAsia="Calibri" w:hAnsi="Calibri" w:cs="Times New Roman"/>
        </w:rPr>
        <w:t xml:space="preserve">. Z pohledu investiční činnosti </w:t>
      </w:r>
      <w:r w:rsidRPr="00AE5F59">
        <w:rPr>
          <w:rFonts w:ascii="Calibri" w:eastAsia="Calibri" w:hAnsi="Calibri" w:cs="Times New Roman"/>
        </w:rPr>
        <w:t>finanční prostředk</w:t>
      </w:r>
      <w:r w:rsidR="00DE654D">
        <w:rPr>
          <w:rFonts w:ascii="Calibri" w:eastAsia="Calibri" w:hAnsi="Calibri" w:cs="Times New Roman"/>
        </w:rPr>
        <w:t>y</w:t>
      </w:r>
      <w:r w:rsidRPr="003E48E5">
        <w:rPr>
          <w:rFonts w:ascii="Calibri" w:eastAsia="Calibri" w:hAnsi="Calibri" w:cs="Times New Roman"/>
        </w:rPr>
        <w:t xml:space="preserve"> směřoval</w:t>
      </w:r>
      <w:r w:rsidR="00DE654D">
        <w:rPr>
          <w:rFonts w:ascii="Calibri" w:eastAsia="Calibri" w:hAnsi="Calibri" w:cs="Times New Roman"/>
        </w:rPr>
        <w:t>y např.</w:t>
      </w:r>
      <w:r w:rsidRPr="003E48E5">
        <w:rPr>
          <w:rFonts w:ascii="Calibri" w:eastAsia="Calibri" w:hAnsi="Calibri" w:cs="Times New Roman"/>
        </w:rPr>
        <w:t xml:space="preserve"> </w:t>
      </w:r>
      <w:r w:rsidR="008A1556">
        <w:rPr>
          <w:rFonts w:ascii="Calibri" w:eastAsia="Calibri" w:hAnsi="Calibri" w:cs="Times New Roman"/>
        </w:rPr>
        <w:t>na opravu místních komunikací</w:t>
      </w:r>
      <w:r w:rsidR="006A4730">
        <w:rPr>
          <w:rFonts w:ascii="Calibri" w:eastAsia="Calibri" w:hAnsi="Calibri" w:cs="Times New Roman"/>
        </w:rPr>
        <w:t xml:space="preserve">, nákupu vybavení pro nakládání s odpady, </w:t>
      </w:r>
      <w:r w:rsidR="00AB41E7">
        <w:rPr>
          <w:rFonts w:ascii="Calibri" w:eastAsia="Calibri" w:hAnsi="Calibri" w:cs="Times New Roman"/>
        </w:rPr>
        <w:lastRenderedPageBreak/>
        <w:t xml:space="preserve">rekonstrukci bývalého kravínu na sklad techniky a rekonstrukci bývalé silážní jámy na požární jímku </w:t>
      </w:r>
      <w:r w:rsidR="00DE654D">
        <w:rPr>
          <w:rFonts w:ascii="Calibri" w:eastAsia="Calibri" w:hAnsi="Calibri" w:cs="Times New Roman"/>
        </w:rPr>
        <w:t>apod.</w:t>
      </w:r>
    </w:p>
    <w:p w14:paraId="03943480" w14:textId="692BBA2F" w:rsidR="0075053B" w:rsidRPr="003E48E5" w:rsidRDefault="0075053B" w:rsidP="0075053B">
      <w:pPr>
        <w:spacing w:after="160" w:line="259" w:lineRule="auto"/>
        <w:jc w:val="both"/>
        <w:rPr>
          <w:rFonts w:ascii="Calibri" w:eastAsia="Calibri" w:hAnsi="Calibri" w:cs="Times New Roman"/>
        </w:rPr>
      </w:pPr>
      <w:r w:rsidRPr="003E48E5">
        <w:rPr>
          <w:rFonts w:ascii="Calibri" w:eastAsia="Calibri" w:hAnsi="Calibri" w:cs="Times New Roman"/>
        </w:rPr>
        <w:t>Následující graf 1</w:t>
      </w:r>
      <w:r w:rsidR="008A6253">
        <w:rPr>
          <w:rFonts w:ascii="Calibri" w:eastAsia="Calibri" w:hAnsi="Calibri" w:cs="Times New Roman"/>
        </w:rPr>
        <w:t>2</w:t>
      </w:r>
      <w:r w:rsidRPr="003E48E5">
        <w:rPr>
          <w:rFonts w:ascii="Calibri" w:eastAsia="Calibri" w:hAnsi="Calibri" w:cs="Times New Roman"/>
        </w:rPr>
        <w:t xml:space="preserve"> pro přehled demonstruje, jak se plánovaný rozpočet na daný rok může lišit </w:t>
      </w:r>
      <w:r w:rsidRPr="003E48E5">
        <w:rPr>
          <w:rFonts w:ascii="Calibri" w:eastAsia="Calibri" w:hAnsi="Calibri" w:cs="Times New Roman"/>
        </w:rPr>
        <w:br/>
        <w:t>se skutečností. Že se plán a skutečnost liší, je logické, neboť v průběhu roku dochází k aktualizaci rozpočtu vlivem rozpočtových opatření. Souvisí to jednak s investiční aktivitou v</w:t>
      </w:r>
      <w:r>
        <w:rPr>
          <w:rFonts w:ascii="Calibri" w:eastAsia="Calibri" w:hAnsi="Calibri" w:cs="Times New Roman"/>
        </w:rPr>
        <w:t xml:space="preserve"> obci </w:t>
      </w:r>
      <w:r w:rsidRPr="003E48E5">
        <w:rPr>
          <w:rFonts w:ascii="Calibri" w:eastAsia="Calibri" w:hAnsi="Calibri" w:cs="Times New Roman"/>
        </w:rPr>
        <w:t>v daných letech, případně se mohou objevit neočekávané situace, které je potřeba okamžitě vyřešit.</w:t>
      </w:r>
    </w:p>
    <w:p w14:paraId="67AEBF9B" w14:textId="02625775" w:rsidR="00726A8C" w:rsidRDefault="00726A8C" w:rsidP="0075053B">
      <w:pPr>
        <w:spacing w:after="160" w:line="259" w:lineRule="auto"/>
        <w:jc w:val="both"/>
        <w:rPr>
          <w:rFonts w:ascii="Calibri" w:eastAsia="Calibri" w:hAnsi="Calibri" w:cs="Times New Roman"/>
        </w:rPr>
      </w:pPr>
    </w:p>
    <w:p w14:paraId="35F9847C" w14:textId="24C363DB" w:rsidR="0075053B" w:rsidRPr="003E48E5" w:rsidRDefault="0075053B" w:rsidP="00E7281E">
      <w:pPr>
        <w:pStyle w:val="GRAF0"/>
      </w:pPr>
      <w:bookmarkStart w:id="411" w:name="_Toc445288443"/>
      <w:bookmarkStart w:id="412" w:name="_Toc480751828"/>
      <w:bookmarkStart w:id="413" w:name="_Toc104472757"/>
      <w:bookmarkStart w:id="414" w:name="_Toc120651991"/>
      <w:r w:rsidRPr="003E48E5">
        <w:t>Graf 1</w:t>
      </w:r>
      <w:r w:rsidR="008A6253">
        <w:t>2</w:t>
      </w:r>
      <w:r w:rsidRPr="003E48E5">
        <w:t xml:space="preserve">: Srovnání plánovaného a skutečného rozpočtu na příjmové a výdajové stránce </w:t>
      </w:r>
      <w:r>
        <w:t xml:space="preserve">v obci </w:t>
      </w:r>
      <w:r w:rsidR="008A6253">
        <w:t>Staré Buky</w:t>
      </w:r>
      <w:r w:rsidRPr="003E48E5">
        <w:t xml:space="preserve"> v období 201</w:t>
      </w:r>
      <w:r w:rsidR="00726A8C">
        <w:t>6</w:t>
      </w:r>
      <w:r w:rsidRPr="003E48E5">
        <w:t>-20</w:t>
      </w:r>
      <w:r w:rsidR="00726A8C">
        <w:t>2</w:t>
      </w:r>
      <w:r w:rsidR="008A6253">
        <w:t>1</w:t>
      </w:r>
      <w:r w:rsidRPr="003E48E5">
        <w:t xml:space="preserve"> (v milionech Kč)</w:t>
      </w:r>
      <w:bookmarkEnd w:id="411"/>
      <w:bookmarkEnd w:id="412"/>
      <w:bookmarkEnd w:id="413"/>
      <w:bookmarkEnd w:id="414"/>
    </w:p>
    <w:p w14:paraId="405C6775" w14:textId="3BB760C9" w:rsidR="0075053B" w:rsidRPr="003E48E5" w:rsidRDefault="00F811FA" w:rsidP="0075053B">
      <w:pPr>
        <w:spacing w:line="360" w:lineRule="auto"/>
        <w:jc w:val="center"/>
        <w:rPr>
          <w:rFonts w:ascii="Calibri" w:eastAsia="Calibri" w:hAnsi="Calibri" w:cs="Times New Roman"/>
        </w:rPr>
      </w:pPr>
      <w:r>
        <w:rPr>
          <w:noProof/>
        </w:rPr>
        <w:drawing>
          <wp:inline distT="0" distB="0" distL="0" distR="0" wp14:anchorId="0508E35A" wp14:editId="3019DFEA">
            <wp:extent cx="5326380" cy="2133600"/>
            <wp:effectExtent l="0" t="0" r="0" b="0"/>
            <wp:docPr id="3" name="Graf 3">
              <a:extLst xmlns:a="http://schemas.openxmlformats.org/drawingml/2006/main">
                <a:ext uri="{FF2B5EF4-FFF2-40B4-BE49-F238E27FC236}">
                  <a16:creationId xmlns:a16="http://schemas.microsoft.com/office/drawing/2014/main" id="{AD085993-0C9C-4146-AB2F-2489E696B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3F9C840" w14:textId="77777777" w:rsidR="0075053B" w:rsidRPr="003E48E5" w:rsidRDefault="0075053B" w:rsidP="0075053B">
      <w:pPr>
        <w:spacing w:after="160"/>
        <w:jc w:val="both"/>
        <w:rPr>
          <w:rFonts w:ascii="Calibri" w:eastAsia="Calibri" w:hAnsi="Calibri" w:cs="Times New Roman"/>
          <w:color w:val="0563C1"/>
          <w:sz w:val="20"/>
          <w:szCs w:val="20"/>
          <w:u w:val="single"/>
        </w:rPr>
      </w:pPr>
      <w:r w:rsidRPr="003E48E5">
        <w:rPr>
          <w:rFonts w:ascii="Calibri" w:eastAsia="Calibri" w:hAnsi="Calibri" w:cs="Times New Roman"/>
          <w:b/>
          <w:sz w:val="20"/>
          <w:szCs w:val="20"/>
        </w:rPr>
        <w:t>Zdroj:</w:t>
      </w:r>
      <w:r w:rsidRPr="003E48E5">
        <w:rPr>
          <w:rFonts w:ascii="Calibri" w:eastAsia="Calibri" w:hAnsi="Calibri" w:cs="Times New Roman"/>
          <w:sz w:val="20"/>
          <w:szCs w:val="20"/>
        </w:rPr>
        <w:t xml:space="preserve"> Informační portál Ministerstva financí MONITOR </w:t>
      </w:r>
      <w:hyperlink r:id="rId102" w:history="1">
        <w:r w:rsidRPr="003E48E5">
          <w:rPr>
            <w:rFonts w:ascii="Calibri" w:eastAsia="Calibri" w:hAnsi="Calibri" w:cs="Times New Roman"/>
            <w:color w:val="0563C1"/>
            <w:sz w:val="20"/>
            <w:szCs w:val="20"/>
            <w:u w:val="single"/>
          </w:rPr>
          <w:t>https://monitor.statnipokladna.cz/</w:t>
        </w:r>
      </w:hyperlink>
    </w:p>
    <w:p w14:paraId="10840370" w14:textId="77777777" w:rsidR="0075053B" w:rsidRDefault="0075053B" w:rsidP="0075053B">
      <w:pPr>
        <w:spacing w:after="160"/>
        <w:contextualSpacing/>
        <w:jc w:val="both"/>
        <w:rPr>
          <w:rFonts w:ascii="Calibri" w:eastAsia="Calibri" w:hAnsi="Calibri" w:cs="Times New Roman"/>
          <w:u w:val="single"/>
        </w:rPr>
      </w:pPr>
    </w:p>
    <w:p w14:paraId="33849E67" w14:textId="77777777" w:rsidR="0075053B" w:rsidRPr="003E48E5" w:rsidRDefault="0075053B" w:rsidP="0075053B">
      <w:pPr>
        <w:spacing w:after="160"/>
        <w:contextualSpacing/>
        <w:jc w:val="both"/>
        <w:rPr>
          <w:rFonts w:ascii="Calibri" w:eastAsia="Calibri" w:hAnsi="Calibri" w:cs="Times New Roman"/>
          <w:u w:val="single"/>
        </w:rPr>
      </w:pPr>
    </w:p>
    <w:p w14:paraId="01BDB089" w14:textId="77777777" w:rsidR="0075053B" w:rsidRPr="003E48E5" w:rsidRDefault="0075053B" w:rsidP="0075053B">
      <w:pPr>
        <w:spacing w:after="160" w:line="259" w:lineRule="auto"/>
        <w:jc w:val="both"/>
        <w:rPr>
          <w:rFonts w:ascii="Calibri" w:eastAsia="Calibri" w:hAnsi="Calibri" w:cs="Times New Roman"/>
          <w:u w:val="single"/>
        </w:rPr>
      </w:pPr>
      <w:r w:rsidRPr="003E48E5">
        <w:rPr>
          <w:rFonts w:ascii="Calibri" w:eastAsia="Calibri" w:hAnsi="Calibri" w:cs="Times New Roman"/>
          <w:u w:val="single"/>
        </w:rPr>
        <w:t>Zdroje financování a investiční aktivita</w:t>
      </w:r>
    </w:p>
    <w:p w14:paraId="652A2673" w14:textId="77777777" w:rsidR="0075053B" w:rsidRPr="003E48E5" w:rsidRDefault="0075053B" w:rsidP="0075053B">
      <w:pPr>
        <w:spacing w:after="160" w:line="259" w:lineRule="auto"/>
        <w:jc w:val="both"/>
        <w:rPr>
          <w:rFonts w:ascii="Calibri" w:eastAsia="Calibri" w:hAnsi="Calibri" w:cs="Times New Roman"/>
        </w:rPr>
      </w:pPr>
      <w:r w:rsidRPr="003E48E5">
        <w:rPr>
          <w:rFonts w:ascii="Calibri" w:eastAsia="Calibri" w:hAnsi="Calibri" w:cs="Times New Roman"/>
        </w:rPr>
        <w:t xml:space="preserve">Co se týče financování investičních aktivit týkajících se rozvoje </w:t>
      </w:r>
      <w:r>
        <w:rPr>
          <w:rFonts w:ascii="Calibri" w:eastAsia="Calibri" w:hAnsi="Calibri" w:cs="Times New Roman"/>
        </w:rPr>
        <w:t>obce</w:t>
      </w:r>
      <w:r w:rsidRPr="003E48E5">
        <w:rPr>
          <w:rFonts w:ascii="Calibri" w:eastAsia="Calibri" w:hAnsi="Calibri" w:cs="Times New Roman"/>
        </w:rPr>
        <w:t>, lze využít řadu zdrojů financování. Tyto zdroje lze rozdělit do tří základních skupin</w:t>
      </w:r>
      <w:r w:rsidRPr="003E48E5">
        <w:rPr>
          <w:rFonts w:ascii="Calibri" w:eastAsia="Calibri" w:hAnsi="Calibri" w:cs="Times New Roman"/>
          <w:vertAlign w:val="superscript"/>
        </w:rPr>
        <w:footnoteReference w:id="63"/>
      </w:r>
      <w:r w:rsidRPr="003E48E5">
        <w:rPr>
          <w:rFonts w:ascii="Calibri" w:eastAsia="Calibri" w:hAnsi="Calibri" w:cs="Times New Roman"/>
        </w:rPr>
        <w:t>:</w:t>
      </w:r>
    </w:p>
    <w:p w14:paraId="1D11E9D7" w14:textId="77777777" w:rsidR="0075053B" w:rsidRPr="003E48E5" w:rsidRDefault="0075053B" w:rsidP="0075053B">
      <w:pPr>
        <w:spacing w:after="160" w:line="259" w:lineRule="auto"/>
        <w:jc w:val="both"/>
        <w:rPr>
          <w:rFonts w:ascii="Calibri" w:eastAsia="Calibri" w:hAnsi="Calibri" w:cs="Times New Roman"/>
        </w:rPr>
      </w:pPr>
      <w:r w:rsidRPr="003E48E5">
        <w:rPr>
          <w:rFonts w:ascii="Calibri" w:eastAsia="Calibri" w:hAnsi="Calibri" w:cs="Times New Roman"/>
        </w:rPr>
        <w:t xml:space="preserve">1) </w:t>
      </w:r>
      <w:r w:rsidRPr="003E48E5">
        <w:rPr>
          <w:rFonts w:ascii="Calibri" w:eastAsia="Calibri" w:hAnsi="Calibri" w:cs="Times New Roman"/>
          <w:b/>
        </w:rPr>
        <w:t xml:space="preserve">vlastní prostředky </w:t>
      </w:r>
      <w:r>
        <w:rPr>
          <w:rFonts w:ascii="Calibri" w:eastAsia="Calibri" w:hAnsi="Calibri" w:cs="Times New Roman"/>
          <w:b/>
        </w:rPr>
        <w:t>obecního</w:t>
      </w:r>
      <w:r w:rsidRPr="003E48E5">
        <w:rPr>
          <w:rFonts w:ascii="Calibri" w:eastAsia="Calibri" w:hAnsi="Calibri" w:cs="Times New Roman"/>
          <w:b/>
        </w:rPr>
        <w:t xml:space="preserve"> rozpočtu</w:t>
      </w:r>
      <w:r w:rsidRPr="003E48E5">
        <w:rPr>
          <w:rFonts w:ascii="Calibri" w:eastAsia="Calibri" w:hAnsi="Calibri" w:cs="Times New Roman"/>
        </w:rPr>
        <w:t xml:space="preserve"> – jedná se o část rozpočtu </w:t>
      </w:r>
      <w:r>
        <w:rPr>
          <w:rFonts w:ascii="Calibri" w:eastAsia="Calibri" w:hAnsi="Calibri" w:cs="Times New Roman"/>
        </w:rPr>
        <w:t>obce</w:t>
      </w:r>
      <w:r w:rsidRPr="003E48E5">
        <w:rPr>
          <w:rFonts w:ascii="Calibri" w:eastAsia="Calibri" w:hAnsi="Calibri" w:cs="Times New Roman"/>
        </w:rPr>
        <w:t xml:space="preserve">, která zbude po odečtení těch výdajů </w:t>
      </w:r>
      <w:r>
        <w:rPr>
          <w:rFonts w:ascii="Calibri" w:eastAsia="Calibri" w:hAnsi="Calibri" w:cs="Times New Roman"/>
        </w:rPr>
        <w:t>obecního</w:t>
      </w:r>
      <w:r w:rsidRPr="003E48E5">
        <w:rPr>
          <w:rFonts w:ascii="Calibri" w:eastAsia="Calibri" w:hAnsi="Calibri" w:cs="Times New Roman"/>
        </w:rPr>
        <w:t xml:space="preserve"> rozpočtu, které musí </w:t>
      </w:r>
      <w:r>
        <w:rPr>
          <w:rFonts w:ascii="Calibri" w:eastAsia="Calibri" w:hAnsi="Calibri" w:cs="Times New Roman"/>
        </w:rPr>
        <w:t>obec</w:t>
      </w:r>
      <w:r w:rsidRPr="003E48E5">
        <w:rPr>
          <w:rFonts w:ascii="Calibri" w:eastAsia="Calibri" w:hAnsi="Calibri" w:cs="Times New Roman"/>
        </w:rPr>
        <w:t xml:space="preserve"> vynaložit pro splnění svých základních funkcí </w:t>
      </w:r>
    </w:p>
    <w:p w14:paraId="5344A257" w14:textId="77777777" w:rsidR="0075053B" w:rsidRPr="003E48E5" w:rsidRDefault="0075053B" w:rsidP="0075053B">
      <w:pPr>
        <w:spacing w:after="160" w:line="259" w:lineRule="auto"/>
        <w:jc w:val="both"/>
        <w:rPr>
          <w:rFonts w:ascii="Calibri" w:eastAsia="Calibri" w:hAnsi="Calibri" w:cs="Times New Roman"/>
        </w:rPr>
      </w:pPr>
      <w:r w:rsidRPr="003E48E5">
        <w:rPr>
          <w:rFonts w:ascii="Calibri" w:eastAsia="Calibri" w:hAnsi="Calibri" w:cs="Times New Roman"/>
        </w:rPr>
        <w:t xml:space="preserve">2) </w:t>
      </w:r>
      <w:r w:rsidRPr="003E48E5">
        <w:rPr>
          <w:rFonts w:ascii="Calibri" w:eastAsia="Calibri" w:hAnsi="Calibri" w:cs="Times New Roman"/>
          <w:b/>
        </w:rPr>
        <w:t>prostředky partnerů rozvoje v</w:t>
      </w:r>
      <w:r>
        <w:rPr>
          <w:rFonts w:ascii="Calibri" w:eastAsia="Calibri" w:hAnsi="Calibri" w:cs="Times New Roman"/>
          <w:b/>
        </w:rPr>
        <w:t xml:space="preserve"> obci</w:t>
      </w:r>
    </w:p>
    <w:p w14:paraId="0B14B727" w14:textId="77777777" w:rsidR="0075053B" w:rsidRPr="003E48E5" w:rsidRDefault="0075053B">
      <w:pPr>
        <w:numPr>
          <w:ilvl w:val="0"/>
          <w:numId w:val="11"/>
        </w:numPr>
        <w:spacing w:after="120" w:line="259" w:lineRule="auto"/>
        <w:ind w:left="714" w:hanging="357"/>
        <w:jc w:val="both"/>
        <w:rPr>
          <w:rFonts w:ascii="Calibri" w:eastAsia="Calibri" w:hAnsi="Calibri" w:cs="Times New Roman"/>
        </w:rPr>
      </w:pPr>
      <w:r w:rsidRPr="003E48E5">
        <w:rPr>
          <w:rFonts w:ascii="Calibri" w:eastAsia="Calibri" w:hAnsi="Calibri" w:cs="Times New Roman"/>
          <w:i/>
        </w:rPr>
        <w:t>prostředky podnikatelských subjektů</w:t>
      </w:r>
      <w:r w:rsidRPr="003E48E5">
        <w:rPr>
          <w:rFonts w:ascii="Calibri" w:eastAsia="Calibri" w:hAnsi="Calibri" w:cs="Times New Roman"/>
        </w:rPr>
        <w:t xml:space="preserve"> – podnikatelský subjekt se podílí na spolufinancování některých aktivit, činností (jak podnikatel, tak </w:t>
      </w:r>
      <w:r>
        <w:rPr>
          <w:rFonts w:ascii="Calibri" w:eastAsia="Calibri" w:hAnsi="Calibri" w:cs="Times New Roman"/>
        </w:rPr>
        <w:t xml:space="preserve">obec </w:t>
      </w:r>
      <w:r w:rsidRPr="003E48E5">
        <w:rPr>
          <w:rFonts w:ascii="Calibri" w:eastAsia="Calibri" w:hAnsi="Calibri" w:cs="Times New Roman"/>
        </w:rPr>
        <w:t>má ze vzájemného spolufinancování v konečném důsledku užitek)</w:t>
      </w:r>
    </w:p>
    <w:p w14:paraId="34C31AF3" w14:textId="77777777" w:rsidR="0075053B" w:rsidRPr="003E48E5" w:rsidRDefault="0075053B">
      <w:pPr>
        <w:numPr>
          <w:ilvl w:val="0"/>
          <w:numId w:val="11"/>
        </w:numPr>
        <w:spacing w:after="120" w:line="259" w:lineRule="auto"/>
        <w:ind w:left="714" w:hanging="357"/>
        <w:jc w:val="both"/>
        <w:rPr>
          <w:rFonts w:ascii="Calibri" w:eastAsia="Calibri" w:hAnsi="Calibri" w:cs="Times New Roman"/>
        </w:rPr>
      </w:pPr>
      <w:r w:rsidRPr="003E48E5">
        <w:rPr>
          <w:rFonts w:ascii="Calibri" w:eastAsia="Calibri" w:hAnsi="Calibri" w:cs="Times New Roman"/>
          <w:i/>
        </w:rPr>
        <w:t xml:space="preserve">prostředky spolků, občanských sdružení a dalších neziskových organizací </w:t>
      </w:r>
      <w:r>
        <w:rPr>
          <w:rFonts w:ascii="Calibri" w:eastAsia="Calibri" w:hAnsi="Calibri" w:cs="Times New Roman"/>
          <w:i/>
        </w:rPr>
        <w:t xml:space="preserve">v obci </w:t>
      </w:r>
      <w:r w:rsidRPr="003E48E5">
        <w:rPr>
          <w:rFonts w:ascii="Calibri" w:eastAsia="Calibri" w:hAnsi="Calibri" w:cs="Times New Roman"/>
        </w:rPr>
        <w:t xml:space="preserve">– tyto subjekty zajišťují a pořádají řadu aktivit </w:t>
      </w:r>
      <w:r>
        <w:rPr>
          <w:rFonts w:ascii="Calibri" w:eastAsia="Calibri" w:hAnsi="Calibri" w:cs="Times New Roman"/>
        </w:rPr>
        <w:t>v obci</w:t>
      </w:r>
      <w:r w:rsidRPr="003E48E5">
        <w:rPr>
          <w:rFonts w:ascii="Calibri" w:eastAsia="Calibri" w:hAnsi="Calibri" w:cs="Times New Roman"/>
        </w:rPr>
        <w:t>, přičemž financování těchto aktivit lze někdy zajišťovat pouze za pomoci zdrojů, které jsou určené právě jen pro neziskové organizace</w:t>
      </w:r>
    </w:p>
    <w:p w14:paraId="3BEDB691" w14:textId="77777777" w:rsidR="0075053B" w:rsidRPr="003E48E5" w:rsidRDefault="0075053B">
      <w:pPr>
        <w:numPr>
          <w:ilvl w:val="0"/>
          <w:numId w:val="11"/>
        </w:numPr>
        <w:spacing w:after="120" w:line="259" w:lineRule="auto"/>
        <w:ind w:left="714" w:hanging="357"/>
        <w:jc w:val="both"/>
        <w:rPr>
          <w:rFonts w:ascii="Calibri" w:eastAsia="Calibri" w:hAnsi="Calibri" w:cs="Times New Roman"/>
        </w:rPr>
      </w:pPr>
      <w:r w:rsidRPr="003E48E5">
        <w:rPr>
          <w:rFonts w:ascii="Calibri" w:eastAsia="Calibri" w:hAnsi="Calibri" w:cs="Times New Roman"/>
          <w:i/>
        </w:rPr>
        <w:t>prostředky občanů</w:t>
      </w:r>
      <w:r w:rsidRPr="003E48E5">
        <w:rPr>
          <w:rFonts w:ascii="Calibri" w:eastAsia="Calibri" w:hAnsi="Calibri" w:cs="Times New Roman"/>
        </w:rPr>
        <w:t xml:space="preserve"> – jedná se o formu příspěvku občanů na nějakou konkrétní aktivitu (např. sbírka na ohňostroj)</w:t>
      </w:r>
    </w:p>
    <w:p w14:paraId="2981ADCC" w14:textId="77777777" w:rsidR="0075053B" w:rsidRPr="003E48E5" w:rsidRDefault="0075053B">
      <w:pPr>
        <w:numPr>
          <w:ilvl w:val="0"/>
          <w:numId w:val="11"/>
        </w:numPr>
        <w:spacing w:after="120" w:line="259" w:lineRule="auto"/>
        <w:ind w:left="714" w:hanging="357"/>
        <w:jc w:val="both"/>
        <w:rPr>
          <w:rFonts w:ascii="Calibri" w:eastAsia="Calibri" w:hAnsi="Calibri" w:cs="Times New Roman"/>
        </w:rPr>
      </w:pPr>
      <w:r w:rsidRPr="003E48E5">
        <w:rPr>
          <w:rFonts w:ascii="Calibri" w:eastAsia="Calibri" w:hAnsi="Calibri" w:cs="Times New Roman"/>
          <w:i/>
        </w:rPr>
        <w:lastRenderedPageBreak/>
        <w:t>příjmy ze sdružování prostředků</w:t>
      </w:r>
      <w:r w:rsidRPr="003E48E5">
        <w:rPr>
          <w:rFonts w:ascii="Calibri" w:eastAsia="Calibri" w:hAnsi="Calibri" w:cs="Times New Roman"/>
        </w:rPr>
        <w:t xml:space="preserve"> – např. obce sdružují své prostředky na společné zajišťování </w:t>
      </w:r>
      <w:r w:rsidRPr="003E48E5">
        <w:rPr>
          <w:rFonts w:ascii="Calibri" w:eastAsia="Calibri" w:hAnsi="Calibri" w:cs="Times New Roman"/>
        </w:rPr>
        <w:br/>
        <w:t>a financování dohodnutých aktivit, na které by jedna obec neměla dostatečné zdroje, resp. financování samostatně by bylo neefektivní</w:t>
      </w:r>
    </w:p>
    <w:p w14:paraId="6EF52BC5" w14:textId="77777777" w:rsidR="0075053B" w:rsidRPr="003E48E5" w:rsidRDefault="0075053B" w:rsidP="0075053B">
      <w:pPr>
        <w:tabs>
          <w:tab w:val="left" w:pos="2700"/>
        </w:tabs>
        <w:spacing w:after="160" w:line="259" w:lineRule="auto"/>
        <w:jc w:val="both"/>
        <w:rPr>
          <w:rFonts w:ascii="Calibri" w:eastAsia="Calibri" w:hAnsi="Calibri" w:cs="Times New Roman"/>
        </w:rPr>
      </w:pPr>
      <w:r w:rsidRPr="003E48E5">
        <w:rPr>
          <w:rFonts w:ascii="Calibri" w:eastAsia="Calibri" w:hAnsi="Calibri" w:cs="Times New Roman"/>
        </w:rPr>
        <w:t xml:space="preserve">3) </w:t>
      </w:r>
      <w:r w:rsidRPr="003E48E5">
        <w:rPr>
          <w:rFonts w:ascii="Calibri" w:eastAsia="Calibri" w:hAnsi="Calibri" w:cs="Times New Roman"/>
          <w:b/>
        </w:rPr>
        <w:t>cizí zdroje</w:t>
      </w:r>
      <w:r w:rsidRPr="003E48E5">
        <w:rPr>
          <w:rFonts w:ascii="Calibri" w:eastAsia="Calibri" w:hAnsi="Calibri" w:cs="Times New Roman"/>
        </w:rPr>
        <w:tab/>
      </w:r>
    </w:p>
    <w:p w14:paraId="4E9D1B67" w14:textId="77777777" w:rsidR="0075053B" w:rsidRPr="003E48E5" w:rsidRDefault="0075053B">
      <w:pPr>
        <w:numPr>
          <w:ilvl w:val="0"/>
          <w:numId w:val="12"/>
        </w:numPr>
        <w:spacing w:after="120" w:line="259" w:lineRule="auto"/>
        <w:ind w:left="714" w:hanging="357"/>
        <w:jc w:val="both"/>
        <w:rPr>
          <w:rFonts w:ascii="Calibri" w:eastAsia="Calibri" w:hAnsi="Calibri" w:cs="Times New Roman"/>
        </w:rPr>
      </w:pPr>
      <w:r w:rsidRPr="003E48E5">
        <w:rPr>
          <w:rFonts w:ascii="Calibri" w:eastAsia="Calibri" w:hAnsi="Calibri" w:cs="Times New Roman"/>
          <w:i/>
        </w:rPr>
        <w:t>účelové dotace</w:t>
      </w:r>
      <w:r w:rsidRPr="003E48E5">
        <w:rPr>
          <w:rFonts w:ascii="Calibri" w:eastAsia="Calibri" w:hAnsi="Calibri" w:cs="Times New Roman"/>
        </w:rPr>
        <w:t xml:space="preserve"> – mají přesně vymezený účel použití, jedná se zejména o dotace státní, krajské, dotace ze Strukturálních fondů EU – dotační zdroje představují většinou určitý podíl financování konkrétní aktivity, část dané aktivity musí ob</w:t>
      </w:r>
      <w:r>
        <w:rPr>
          <w:rFonts w:ascii="Calibri" w:eastAsia="Calibri" w:hAnsi="Calibri" w:cs="Times New Roman"/>
        </w:rPr>
        <w:t>ec</w:t>
      </w:r>
      <w:r w:rsidRPr="003E48E5">
        <w:rPr>
          <w:rFonts w:ascii="Calibri" w:eastAsia="Calibri" w:hAnsi="Calibri" w:cs="Times New Roman"/>
        </w:rPr>
        <w:t xml:space="preserve"> financovat sam</w:t>
      </w:r>
      <w:r>
        <w:rPr>
          <w:rFonts w:ascii="Calibri" w:eastAsia="Calibri" w:hAnsi="Calibri" w:cs="Times New Roman"/>
        </w:rPr>
        <w:t>a</w:t>
      </w:r>
      <w:r w:rsidRPr="003E48E5">
        <w:rPr>
          <w:rFonts w:ascii="Calibri" w:eastAsia="Calibri" w:hAnsi="Calibri" w:cs="Times New Roman"/>
        </w:rPr>
        <w:t xml:space="preserve"> z</w:t>
      </w:r>
      <w:r>
        <w:rPr>
          <w:rFonts w:ascii="Calibri" w:eastAsia="Calibri" w:hAnsi="Calibri" w:cs="Times New Roman"/>
        </w:rPr>
        <w:t> </w:t>
      </w:r>
      <w:r w:rsidRPr="003E48E5">
        <w:rPr>
          <w:rFonts w:ascii="Calibri" w:eastAsia="Calibri" w:hAnsi="Calibri" w:cs="Times New Roman"/>
        </w:rPr>
        <w:t>vlastního</w:t>
      </w:r>
      <w:r>
        <w:rPr>
          <w:rFonts w:ascii="Calibri" w:eastAsia="Calibri" w:hAnsi="Calibri" w:cs="Times New Roman"/>
        </w:rPr>
        <w:t xml:space="preserve"> </w:t>
      </w:r>
      <w:r w:rsidRPr="003E48E5">
        <w:rPr>
          <w:rFonts w:ascii="Calibri" w:eastAsia="Calibri" w:hAnsi="Calibri" w:cs="Times New Roman"/>
        </w:rPr>
        <w:t>rozpočtu</w:t>
      </w:r>
    </w:p>
    <w:p w14:paraId="7C311B8D" w14:textId="77777777" w:rsidR="0075053B" w:rsidRPr="003E48E5" w:rsidRDefault="0075053B">
      <w:pPr>
        <w:numPr>
          <w:ilvl w:val="0"/>
          <w:numId w:val="12"/>
        </w:numPr>
        <w:spacing w:after="120" w:line="259" w:lineRule="auto"/>
        <w:ind w:left="714" w:hanging="357"/>
        <w:jc w:val="both"/>
        <w:rPr>
          <w:rFonts w:ascii="Calibri" w:eastAsia="Calibri" w:hAnsi="Calibri" w:cs="Times New Roman"/>
        </w:rPr>
      </w:pPr>
      <w:r w:rsidRPr="003E48E5">
        <w:rPr>
          <w:rFonts w:ascii="Calibri" w:eastAsia="Calibri" w:hAnsi="Calibri" w:cs="Times New Roman"/>
          <w:i/>
        </w:rPr>
        <w:t xml:space="preserve">úvěr od banky, půjčky a finanční výpomoc od jiných subjektů, příjmy z vydání dluhopisů </w:t>
      </w:r>
      <w:r w:rsidRPr="003E48E5">
        <w:rPr>
          <w:rFonts w:ascii="Calibri" w:eastAsia="Calibri" w:hAnsi="Calibri" w:cs="Times New Roman"/>
          <w:i/>
        </w:rPr>
        <w:br/>
        <w:t xml:space="preserve">a dalších cenných papírů </w:t>
      </w:r>
      <w:r w:rsidRPr="003E48E5">
        <w:rPr>
          <w:rFonts w:ascii="Calibri" w:eastAsia="Calibri" w:hAnsi="Calibri" w:cs="Times New Roman"/>
        </w:rPr>
        <w:t xml:space="preserve">– u těchto příjmů vzniká </w:t>
      </w:r>
      <w:r>
        <w:rPr>
          <w:rFonts w:ascii="Calibri" w:eastAsia="Calibri" w:hAnsi="Calibri" w:cs="Times New Roman"/>
        </w:rPr>
        <w:t>obci</w:t>
      </w:r>
      <w:r w:rsidRPr="003E48E5">
        <w:rPr>
          <w:rFonts w:ascii="Calibri" w:eastAsia="Calibri" w:hAnsi="Calibri" w:cs="Times New Roman"/>
        </w:rPr>
        <w:t xml:space="preserve"> dluh, se kterým musí do budoucna počítat (včetně úroků)</w:t>
      </w:r>
    </w:p>
    <w:p w14:paraId="02FAE7F6" w14:textId="77777777" w:rsidR="0075053B" w:rsidRPr="003E48E5" w:rsidRDefault="0075053B" w:rsidP="0075053B">
      <w:pPr>
        <w:spacing w:after="60" w:line="259" w:lineRule="auto"/>
        <w:jc w:val="both"/>
        <w:rPr>
          <w:rFonts w:ascii="Calibri" w:eastAsia="Calibri" w:hAnsi="Calibri" w:cs="Times New Roman"/>
        </w:rPr>
      </w:pPr>
    </w:p>
    <w:p w14:paraId="6EA18608" w14:textId="776D39A6" w:rsidR="0075053B" w:rsidRDefault="0075053B" w:rsidP="0075053B">
      <w:pPr>
        <w:spacing w:after="160" w:line="259" w:lineRule="auto"/>
        <w:jc w:val="both"/>
        <w:rPr>
          <w:rFonts w:ascii="Calibri" w:eastAsia="Calibri" w:hAnsi="Calibri" w:cs="Times New Roman"/>
        </w:rPr>
      </w:pPr>
      <w:r w:rsidRPr="00B42887">
        <w:rPr>
          <w:rFonts w:ascii="Calibri" w:eastAsia="Calibri" w:hAnsi="Calibri" w:cs="Times New Roman"/>
        </w:rPr>
        <w:t>Následující tabulka 2</w:t>
      </w:r>
      <w:r w:rsidR="00700B54">
        <w:rPr>
          <w:rFonts w:ascii="Calibri" w:eastAsia="Calibri" w:hAnsi="Calibri" w:cs="Times New Roman"/>
        </w:rPr>
        <w:t>3</w:t>
      </w:r>
      <w:r w:rsidRPr="00B42887">
        <w:rPr>
          <w:rFonts w:ascii="Calibri" w:eastAsia="Calibri" w:hAnsi="Calibri" w:cs="Times New Roman"/>
        </w:rPr>
        <w:t xml:space="preserve"> uvádí některé investiční akce, které proběhly v obci </w:t>
      </w:r>
      <w:r w:rsidR="00645151">
        <w:rPr>
          <w:rFonts w:ascii="Calibri" w:eastAsia="Calibri" w:hAnsi="Calibri" w:cs="Times New Roman"/>
        </w:rPr>
        <w:t>Staré Buky</w:t>
      </w:r>
      <w:r w:rsidRPr="00B42887">
        <w:rPr>
          <w:rFonts w:ascii="Calibri" w:eastAsia="Calibri" w:hAnsi="Calibri" w:cs="Times New Roman"/>
        </w:rPr>
        <w:t xml:space="preserve"> v nedávných letech.</w:t>
      </w:r>
      <w:bookmarkStart w:id="416" w:name="_Toc441221932"/>
      <w:bookmarkStart w:id="417" w:name="_Toc465022168"/>
      <w:bookmarkStart w:id="418" w:name="_Toc480751608"/>
    </w:p>
    <w:p w14:paraId="459FCD8E" w14:textId="70CBFED3" w:rsidR="0075053B" w:rsidRDefault="0075053B" w:rsidP="0075053B">
      <w:pPr>
        <w:spacing w:after="160" w:line="259" w:lineRule="auto"/>
        <w:jc w:val="both"/>
        <w:rPr>
          <w:rFonts w:ascii="Calibri" w:eastAsia="Calibri" w:hAnsi="Calibri" w:cs="Times New Roman"/>
        </w:rPr>
      </w:pPr>
    </w:p>
    <w:p w14:paraId="1E9D99AE" w14:textId="405ECB4B" w:rsidR="0075053B" w:rsidRPr="003E48E5" w:rsidRDefault="0075053B" w:rsidP="0075053B">
      <w:pPr>
        <w:pStyle w:val="TABULKA0"/>
      </w:pPr>
      <w:bookmarkStart w:id="419" w:name="_Toc120651945"/>
      <w:r w:rsidRPr="003E48E5">
        <w:t xml:space="preserve">Tabulka </w:t>
      </w:r>
      <w:r w:rsidR="000A30A1">
        <w:t>2</w:t>
      </w:r>
      <w:r w:rsidR="00700B54">
        <w:t>3</w:t>
      </w:r>
      <w:r w:rsidRPr="003E48E5">
        <w:t xml:space="preserve">: Příklady investičních akcí, které proběhly </w:t>
      </w:r>
      <w:r>
        <w:t xml:space="preserve">v obci </w:t>
      </w:r>
      <w:r w:rsidR="005E1F5A">
        <w:t>Staré Buky</w:t>
      </w:r>
      <w:r w:rsidRPr="003E48E5">
        <w:t xml:space="preserve"> v období let 201</w:t>
      </w:r>
      <w:r w:rsidR="00A63F73">
        <w:t>6</w:t>
      </w:r>
      <w:r w:rsidRPr="003E48E5">
        <w:t>-20</w:t>
      </w:r>
      <w:bookmarkEnd w:id="416"/>
      <w:bookmarkEnd w:id="417"/>
      <w:bookmarkEnd w:id="418"/>
      <w:r w:rsidRPr="003E48E5">
        <w:t>2</w:t>
      </w:r>
      <w:r w:rsidR="00A63F73">
        <w:t>1</w:t>
      </w:r>
      <w:bookmarkEnd w:id="419"/>
    </w:p>
    <w:tbl>
      <w:tblPr>
        <w:tblW w:w="4885"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3093"/>
        <w:gridCol w:w="1157"/>
        <w:gridCol w:w="1706"/>
        <w:gridCol w:w="1701"/>
        <w:gridCol w:w="1343"/>
      </w:tblGrid>
      <w:tr w:rsidR="0075053B" w:rsidRPr="003E48E5" w14:paraId="7E812B58" w14:textId="77777777" w:rsidTr="00645151">
        <w:trPr>
          <w:trHeight w:val="300"/>
          <w:jc w:val="center"/>
        </w:trPr>
        <w:tc>
          <w:tcPr>
            <w:tcW w:w="1718" w:type="pct"/>
            <w:tcBorders>
              <w:top w:val="single" w:sz="18" w:space="0" w:color="auto"/>
              <w:bottom w:val="single" w:sz="12" w:space="0" w:color="auto"/>
            </w:tcBorders>
            <w:shd w:val="clear" w:color="auto" w:fill="FFC000"/>
            <w:noWrap/>
            <w:vAlign w:val="center"/>
            <w:hideMark/>
          </w:tcPr>
          <w:p w14:paraId="1F1D5A91" w14:textId="5BBA8F48" w:rsidR="0075053B" w:rsidRPr="003E48E5" w:rsidRDefault="00BF57D8" w:rsidP="00CB1F66">
            <w:pPr>
              <w:jc w:val="center"/>
              <w:rPr>
                <w:rFonts w:ascii="Calibri" w:eastAsia="Times New Roman" w:hAnsi="Calibri" w:cs="Times New Roman"/>
                <w:b/>
                <w:bCs/>
                <w:color w:val="000000"/>
                <w:sz w:val="20"/>
                <w:szCs w:val="20"/>
                <w:lang w:eastAsia="cs-CZ"/>
              </w:rPr>
            </w:pPr>
            <w:r>
              <w:rPr>
                <w:rFonts w:ascii="Calibri" w:eastAsia="Times New Roman" w:hAnsi="Calibri" w:cs="Times New Roman"/>
                <w:b/>
                <w:bCs/>
                <w:color w:val="000000"/>
                <w:sz w:val="20"/>
                <w:szCs w:val="20"/>
                <w:lang w:eastAsia="cs-CZ"/>
              </w:rPr>
              <w:t>Název investiční akce</w:t>
            </w:r>
          </w:p>
        </w:tc>
        <w:tc>
          <w:tcPr>
            <w:tcW w:w="643" w:type="pct"/>
            <w:tcBorders>
              <w:top w:val="single" w:sz="18" w:space="0" w:color="auto"/>
              <w:bottom w:val="single" w:sz="12" w:space="0" w:color="auto"/>
            </w:tcBorders>
            <w:shd w:val="clear" w:color="auto" w:fill="FFC000"/>
            <w:noWrap/>
            <w:vAlign w:val="center"/>
            <w:hideMark/>
          </w:tcPr>
          <w:p w14:paraId="4428228D" w14:textId="77777777" w:rsidR="0075053B" w:rsidRPr="003E48E5" w:rsidRDefault="0075053B" w:rsidP="00CB1F66">
            <w:pPr>
              <w:jc w:val="center"/>
              <w:rPr>
                <w:rFonts w:ascii="Calibri" w:eastAsia="Times New Roman" w:hAnsi="Calibri" w:cs="Times New Roman"/>
                <w:b/>
                <w:bCs/>
                <w:color w:val="000000"/>
                <w:sz w:val="20"/>
                <w:szCs w:val="20"/>
                <w:lang w:eastAsia="cs-CZ"/>
              </w:rPr>
            </w:pPr>
            <w:r w:rsidRPr="003E48E5">
              <w:rPr>
                <w:rFonts w:ascii="Calibri" w:eastAsia="Times New Roman" w:hAnsi="Calibri" w:cs="Times New Roman"/>
                <w:b/>
                <w:bCs/>
                <w:color w:val="000000"/>
                <w:sz w:val="20"/>
                <w:szCs w:val="20"/>
                <w:lang w:eastAsia="cs-CZ"/>
              </w:rPr>
              <w:t>Období realizace</w:t>
            </w:r>
          </w:p>
        </w:tc>
        <w:tc>
          <w:tcPr>
            <w:tcW w:w="948" w:type="pct"/>
            <w:tcBorders>
              <w:top w:val="single" w:sz="18" w:space="0" w:color="auto"/>
              <w:bottom w:val="single" w:sz="12" w:space="0" w:color="auto"/>
            </w:tcBorders>
            <w:shd w:val="clear" w:color="auto" w:fill="FFC000"/>
            <w:noWrap/>
            <w:vAlign w:val="center"/>
            <w:hideMark/>
          </w:tcPr>
          <w:p w14:paraId="52C245B3" w14:textId="77777777" w:rsidR="0075053B" w:rsidRPr="003E48E5" w:rsidRDefault="0075053B" w:rsidP="00CB1F66">
            <w:pPr>
              <w:jc w:val="center"/>
              <w:rPr>
                <w:rFonts w:ascii="Calibri" w:eastAsia="Times New Roman" w:hAnsi="Calibri" w:cs="Times New Roman"/>
                <w:b/>
                <w:bCs/>
                <w:color w:val="000000"/>
                <w:sz w:val="20"/>
                <w:szCs w:val="20"/>
                <w:lang w:eastAsia="cs-CZ"/>
              </w:rPr>
            </w:pPr>
            <w:r w:rsidRPr="003E48E5">
              <w:rPr>
                <w:rFonts w:ascii="Calibri" w:eastAsia="Times New Roman" w:hAnsi="Calibri" w:cs="Times New Roman"/>
                <w:b/>
                <w:bCs/>
                <w:color w:val="000000"/>
                <w:sz w:val="20"/>
                <w:szCs w:val="20"/>
                <w:lang w:eastAsia="cs-CZ"/>
              </w:rPr>
              <w:t>Celková cena díla včetně DPH (v Kč)</w:t>
            </w:r>
          </w:p>
        </w:tc>
        <w:tc>
          <w:tcPr>
            <w:tcW w:w="945" w:type="pct"/>
            <w:tcBorders>
              <w:top w:val="single" w:sz="18" w:space="0" w:color="auto"/>
              <w:bottom w:val="single" w:sz="12" w:space="0" w:color="auto"/>
            </w:tcBorders>
            <w:shd w:val="clear" w:color="auto" w:fill="FFC000"/>
            <w:noWrap/>
            <w:vAlign w:val="center"/>
            <w:hideMark/>
          </w:tcPr>
          <w:p w14:paraId="01F8D300" w14:textId="77777777" w:rsidR="0075053B" w:rsidRPr="003E48E5" w:rsidRDefault="0075053B" w:rsidP="00CB1F66">
            <w:pPr>
              <w:jc w:val="center"/>
              <w:rPr>
                <w:rFonts w:ascii="Calibri" w:eastAsia="Times New Roman" w:hAnsi="Calibri" w:cs="Times New Roman"/>
                <w:b/>
                <w:bCs/>
                <w:color w:val="000000"/>
                <w:sz w:val="20"/>
                <w:szCs w:val="20"/>
                <w:lang w:eastAsia="cs-CZ"/>
              </w:rPr>
            </w:pPr>
            <w:r w:rsidRPr="003E48E5">
              <w:rPr>
                <w:rFonts w:ascii="Calibri" w:eastAsia="Times New Roman" w:hAnsi="Calibri" w:cs="Times New Roman"/>
                <w:b/>
                <w:bCs/>
                <w:color w:val="000000"/>
                <w:sz w:val="20"/>
                <w:szCs w:val="20"/>
                <w:lang w:eastAsia="cs-CZ"/>
              </w:rPr>
              <w:t>Hrazeno z dotace (v Kč</w:t>
            </w:r>
            <w:r>
              <w:rPr>
                <w:rFonts w:ascii="Calibri" w:eastAsia="Times New Roman" w:hAnsi="Calibri" w:cs="Times New Roman"/>
                <w:b/>
                <w:bCs/>
                <w:color w:val="000000"/>
                <w:sz w:val="20"/>
                <w:szCs w:val="20"/>
                <w:lang w:eastAsia="cs-CZ"/>
              </w:rPr>
              <w:t>, v %</w:t>
            </w:r>
            <w:r w:rsidRPr="003E48E5">
              <w:rPr>
                <w:rFonts w:ascii="Calibri" w:eastAsia="Times New Roman" w:hAnsi="Calibri" w:cs="Times New Roman"/>
                <w:b/>
                <w:bCs/>
                <w:color w:val="000000"/>
                <w:sz w:val="20"/>
                <w:szCs w:val="20"/>
                <w:lang w:eastAsia="cs-CZ"/>
              </w:rPr>
              <w:t>)</w:t>
            </w:r>
          </w:p>
        </w:tc>
        <w:tc>
          <w:tcPr>
            <w:tcW w:w="746" w:type="pct"/>
            <w:tcBorders>
              <w:top w:val="single" w:sz="18" w:space="0" w:color="auto"/>
              <w:bottom w:val="single" w:sz="12" w:space="0" w:color="auto"/>
            </w:tcBorders>
            <w:shd w:val="clear" w:color="auto" w:fill="FFC000"/>
            <w:noWrap/>
            <w:vAlign w:val="center"/>
            <w:hideMark/>
          </w:tcPr>
          <w:p w14:paraId="41C35ADA" w14:textId="77777777" w:rsidR="0075053B" w:rsidRPr="003E48E5" w:rsidRDefault="0075053B" w:rsidP="00CB1F66">
            <w:pPr>
              <w:jc w:val="center"/>
              <w:rPr>
                <w:rFonts w:ascii="Calibri" w:eastAsia="Times New Roman" w:hAnsi="Calibri" w:cs="Times New Roman"/>
                <w:b/>
                <w:bCs/>
                <w:color w:val="000000"/>
                <w:sz w:val="20"/>
                <w:szCs w:val="20"/>
                <w:lang w:eastAsia="cs-CZ"/>
              </w:rPr>
            </w:pPr>
            <w:r w:rsidRPr="003E48E5">
              <w:rPr>
                <w:rFonts w:ascii="Calibri" w:eastAsia="Times New Roman" w:hAnsi="Calibri" w:cs="Times New Roman"/>
                <w:b/>
                <w:bCs/>
                <w:color w:val="000000"/>
                <w:sz w:val="20"/>
                <w:szCs w:val="20"/>
                <w:lang w:eastAsia="cs-CZ"/>
              </w:rPr>
              <w:t>Poskytovatel dotace</w:t>
            </w:r>
          </w:p>
        </w:tc>
      </w:tr>
      <w:tr w:rsidR="000A30A1" w:rsidRPr="003E48E5" w14:paraId="1F73B3D4" w14:textId="77777777" w:rsidTr="00FD6AED">
        <w:trPr>
          <w:trHeight w:val="163"/>
          <w:jc w:val="center"/>
        </w:trPr>
        <w:tc>
          <w:tcPr>
            <w:tcW w:w="1718" w:type="pct"/>
            <w:tcBorders>
              <w:top w:val="single" w:sz="6" w:space="0" w:color="auto"/>
              <w:bottom w:val="single" w:sz="6" w:space="0" w:color="auto"/>
            </w:tcBorders>
            <w:shd w:val="clear" w:color="auto" w:fill="auto"/>
            <w:noWrap/>
            <w:vAlign w:val="center"/>
          </w:tcPr>
          <w:p w14:paraId="3C68D11F" w14:textId="1D10240A" w:rsidR="000A30A1" w:rsidRPr="003E48E5" w:rsidRDefault="00BF0AAF" w:rsidP="000A30A1">
            <w:pPr>
              <w:rPr>
                <w:rFonts w:ascii="Calibri" w:eastAsia="Calibri" w:hAnsi="Calibri" w:cs="Calibri"/>
                <w:color w:val="000000"/>
              </w:rPr>
            </w:pPr>
            <w:r>
              <w:rPr>
                <w:rFonts w:ascii="Calibri" w:eastAsia="Calibri" w:hAnsi="Calibri" w:cs="Calibri"/>
                <w:color w:val="000000"/>
              </w:rPr>
              <w:t>Pořízení domácích kompostérů</w:t>
            </w:r>
          </w:p>
        </w:tc>
        <w:tc>
          <w:tcPr>
            <w:tcW w:w="643" w:type="pct"/>
            <w:tcBorders>
              <w:top w:val="single" w:sz="6" w:space="0" w:color="auto"/>
              <w:bottom w:val="single" w:sz="6" w:space="0" w:color="auto"/>
            </w:tcBorders>
            <w:shd w:val="clear" w:color="auto" w:fill="auto"/>
            <w:noWrap/>
            <w:vAlign w:val="center"/>
          </w:tcPr>
          <w:p w14:paraId="1C2B595F" w14:textId="1A07BE60" w:rsidR="000A30A1" w:rsidRPr="00C771EE" w:rsidRDefault="00BF0AAF" w:rsidP="000A30A1">
            <w:pPr>
              <w:jc w:val="center"/>
              <w:rPr>
                <w:rFonts w:ascii="Calibri" w:eastAsia="Calibri" w:hAnsi="Calibri" w:cs="Calibri"/>
                <w:color w:val="000000"/>
              </w:rPr>
            </w:pPr>
            <w:r>
              <w:rPr>
                <w:rFonts w:ascii="Calibri" w:eastAsia="Calibri" w:hAnsi="Calibri" w:cs="Calibri"/>
                <w:color w:val="000000"/>
              </w:rPr>
              <w:t>2021</w:t>
            </w:r>
          </w:p>
        </w:tc>
        <w:tc>
          <w:tcPr>
            <w:tcW w:w="948" w:type="pct"/>
            <w:tcBorders>
              <w:top w:val="single" w:sz="6" w:space="0" w:color="auto"/>
              <w:bottom w:val="single" w:sz="6" w:space="0" w:color="auto"/>
            </w:tcBorders>
            <w:shd w:val="clear" w:color="auto" w:fill="auto"/>
            <w:noWrap/>
            <w:vAlign w:val="center"/>
          </w:tcPr>
          <w:p w14:paraId="46105373" w14:textId="1A0F1D4C" w:rsidR="000A30A1" w:rsidRPr="00C771EE" w:rsidRDefault="00BF0AAF" w:rsidP="000A30A1">
            <w:pPr>
              <w:jc w:val="center"/>
              <w:rPr>
                <w:rFonts w:ascii="Calibri" w:eastAsia="Calibri" w:hAnsi="Calibri" w:cs="Calibri"/>
                <w:color w:val="000000"/>
              </w:rPr>
            </w:pPr>
            <w:r>
              <w:rPr>
                <w:rFonts w:ascii="Calibri" w:eastAsia="Calibri" w:hAnsi="Calibri" w:cs="Calibri"/>
                <w:color w:val="000000"/>
              </w:rPr>
              <w:t>1 134 072,50</w:t>
            </w:r>
          </w:p>
        </w:tc>
        <w:tc>
          <w:tcPr>
            <w:tcW w:w="945" w:type="pct"/>
            <w:tcBorders>
              <w:top w:val="single" w:sz="6" w:space="0" w:color="auto"/>
              <w:bottom w:val="single" w:sz="6" w:space="0" w:color="auto"/>
            </w:tcBorders>
            <w:shd w:val="clear" w:color="auto" w:fill="auto"/>
            <w:noWrap/>
            <w:vAlign w:val="center"/>
          </w:tcPr>
          <w:p w14:paraId="44EFA2BF" w14:textId="0BCDF35F" w:rsidR="004B40DC" w:rsidRDefault="00AD4497" w:rsidP="000A30A1">
            <w:pPr>
              <w:jc w:val="center"/>
              <w:rPr>
                <w:rFonts w:ascii="Calibri" w:eastAsia="Calibri" w:hAnsi="Calibri" w:cs="Calibri"/>
                <w:color w:val="000000"/>
              </w:rPr>
            </w:pPr>
            <w:r>
              <w:rPr>
                <w:rFonts w:ascii="Calibri" w:eastAsia="Calibri" w:hAnsi="Calibri" w:cs="Calibri"/>
                <w:color w:val="000000"/>
              </w:rPr>
              <w:t>963 961</w:t>
            </w:r>
          </w:p>
          <w:p w14:paraId="7B5E369E" w14:textId="62091310" w:rsidR="00AD4497" w:rsidRPr="00C771EE" w:rsidRDefault="00AD4497" w:rsidP="000A30A1">
            <w:pPr>
              <w:jc w:val="center"/>
              <w:rPr>
                <w:rFonts w:ascii="Calibri" w:eastAsia="Calibri" w:hAnsi="Calibri" w:cs="Calibri"/>
                <w:color w:val="000000"/>
              </w:rPr>
            </w:pPr>
            <w:r>
              <w:rPr>
                <w:rFonts w:ascii="Calibri" w:eastAsia="Calibri" w:hAnsi="Calibri" w:cs="Calibri"/>
                <w:color w:val="000000"/>
              </w:rPr>
              <w:t>(85 %)</w:t>
            </w:r>
          </w:p>
        </w:tc>
        <w:tc>
          <w:tcPr>
            <w:tcW w:w="746" w:type="pct"/>
            <w:tcBorders>
              <w:top w:val="single" w:sz="6" w:space="0" w:color="auto"/>
              <w:bottom w:val="single" w:sz="6" w:space="0" w:color="auto"/>
            </w:tcBorders>
            <w:shd w:val="clear" w:color="auto" w:fill="auto"/>
            <w:noWrap/>
            <w:vAlign w:val="center"/>
          </w:tcPr>
          <w:p w14:paraId="6862556A" w14:textId="1F744BA8" w:rsidR="000A30A1" w:rsidRPr="00C771EE" w:rsidRDefault="00BF0AAF" w:rsidP="000A30A1">
            <w:pPr>
              <w:jc w:val="center"/>
              <w:rPr>
                <w:rFonts w:ascii="Calibri" w:eastAsia="Calibri" w:hAnsi="Calibri" w:cs="Calibri"/>
                <w:color w:val="000000"/>
              </w:rPr>
            </w:pPr>
            <w:r>
              <w:rPr>
                <w:rFonts w:ascii="Calibri" w:eastAsia="Calibri" w:hAnsi="Calibri" w:cs="Calibri"/>
                <w:color w:val="000000"/>
              </w:rPr>
              <w:t>EU – OP ŽP</w:t>
            </w:r>
          </w:p>
        </w:tc>
      </w:tr>
      <w:tr w:rsidR="00FD6AED" w:rsidRPr="003E48E5" w14:paraId="42DF8D47" w14:textId="77777777" w:rsidTr="00FD6AED">
        <w:trPr>
          <w:trHeight w:val="300"/>
          <w:jc w:val="center"/>
        </w:trPr>
        <w:tc>
          <w:tcPr>
            <w:tcW w:w="1718" w:type="pct"/>
            <w:tcBorders>
              <w:top w:val="single" w:sz="6" w:space="0" w:color="auto"/>
              <w:bottom w:val="single" w:sz="6" w:space="0" w:color="auto"/>
            </w:tcBorders>
            <w:shd w:val="clear" w:color="auto" w:fill="auto"/>
            <w:noWrap/>
            <w:vAlign w:val="center"/>
          </w:tcPr>
          <w:p w14:paraId="0F8C7E4C" w14:textId="0397ECAA" w:rsidR="00FD6AED" w:rsidRPr="00413F45" w:rsidRDefault="00FC5D49" w:rsidP="00FD6AED">
            <w:pPr>
              <w:rPr>
                <w:rFonts w:ascii="Calibri" w:eastAsia="Calibri" w:hAnsi="Calibri" w:cs="Calibri"/>
                <w:color w:val="000000"/>
              </w:rPr>
            </w:pPr>
            <w:r>
              <w:rPr>
                <w:rFonts w:ascii="Calibri" w:eastAsia="Calibri" w:hAnsi="Calibri" w:cs="Calibri"/>
                <w:color w:val="000000"/>
              </w:rPr>
              <w:t>Sklad techniky obce a požární jímka</w:t>
            </w:r>
          </w:p>
        </w:tc>
        <w:tc>
          <w:tcPr>
            <w:tcW w:w="643" w:type="pct"/>
            <w:tcBorders>
              <w:top w:val="single" w:sz="6" w:space="0" w:color="auto"/>
              <w:bottom w:val="single" w:sz="6" w:space="0" w:color="auto"/>
            </w:tcBorders>
            <w:shd w:val="clear" w:color="auto" w:fill="auto"/>
            <w:noWrap/>
            <w:vAlign w:val="center"/>
          </w:tcPr>
          <w:p w14:paraId="1BD5F60A" w14:textId="467249B1" w:rsidR="00FD6AED" w:rsidRDefault="00FC5D49" w:rsidP="00FD6AED">
            <w:pPr>
              <w:jc w:val="center"/>
              <w:rPr>
                <w:rFonts w:ascii="Calibri" w:eastAsia="Calibri" w:hAnsi="Calibri" w:cs="Calibri"/>
                <w:color w:val="000000"/>
              </w:rPr>
            </w:pPr>
            <w:r>
              <w:rPr>
                <w:rFonts w:ascii="Calibri" w:eastAsia="Calibri" w:hAnsi="Calibri" w:cs="Calibri"/>
                <w:color w:val="000000"/>
              </w:rPr>
              <w:t>2019</w:t>
            </w:r>
          </w:p>
        </w:tc>
        <w:tc>
          <w:tcPr>
            <w:tcW w:w="948" w:type="pct"/>
            <w:tcBorders>
              <w:top w:val="single" w:sz="6" w:space="0" w:color="auto"/>
              <w:bottom w:val="single" w:sz="6" w:space="0" w:color="auto"/>
            </w:tcBorders>
            <w:shd w:val="clear" w:color="auto" w:fill="auto"/>
            <w:noWrap/>
            <w:vAlign w:val="center"/>
          </w:tcPr>
          <w:p w14:paraId="7A4C9B98" w14:textId="0E7A2087" w:rsidR="00FD6AED" w:rsidRPr="00413F45" w:rsidRDefault="00FC5D49" w:rsidP="00FD6AED">
            <w:pPr>
              <w:jc w:val="center"/>
              <w:rPr>
                <w:rFonts w:ascii="Calibri" w:eastAsia="Calibri" w:hAnsi="Calibri" w:cs="Calibri"/>
                <w:color w:val="000000"/>
              </w:rPr>
            </w:pPr>
            <w:r>
              <w:rPr>
                <w:rFonts w:ascii="Calibri" w:eastAsia="Calibri" w:hAnsi="Calibri" w:cs="Calibri"/>
                <w:color w:val="000000"/>
              </w:rPr>
              <w:t>3 699 605</w:t>
            </w:r>
          </w:p>
        </w:tc>
        <w:tc>
          <w:tcPr>
            <w:tcW w:w="945" w:type="pct"/>
            <w:tcBorders>
              <w:top w:val="single" w:sz="6" w:space="0" w:color="auto"/>
              <w:bottom w:val="single" w:sz="6" w:space="0" w:color="auto"/>
            </w:tcBorders>
            <w:shd w:val="clear" w:color="auto" w:fill="auto"/>
            <w:noWrap/>
            <w:vAlign w:val="center"/>
          </w:tcPr>
          <w:p w14:paraId="67FA1EBC" w14:textId="2A39BFDF" w:rsidR="00FD6AED" w:rsidRPr="00413F45" w:rsidRDefault="008C2478" w:rsidP="00FD6AED">
            <w:pPr>
              <w:jc w:val="center"/>
              <w:rPr>
                <w:rFonts w:ascii="Calibri" w:eastAsia="Calibri" w:hAnsi="Calibri" w:cs="Calibri"/>
                <w:color w:val="000000"/>
              </w:rPr>
            </w:pPr>
            <w:r>
              <w:rPr>
                <w:rFonts w:ascii="Calibri" w:eastAsia="Calibri" w:hAnsi="Calibri" w:cs="Calibri"/>
                <w:color w:val="000000"/>
              </w:rPr>
              <w:t>---</w:t>
            </w:r>
          </w:p>
        </w:tc>
        <w:tc>
          <w:tcPr>
            <w:tcW w:w="746" w:type="pct"/>
            <w:tcBorders>
              <w:top w:val="single" w:sz="6" w:space="0" w:color="auto"/>
              <w:bottom w:val="single" w:sz="6" w:space="0" w:color="auto"/>
            </w:tcBorders>
            <w:shd w:val="clear" w:color="auto" w:fill="auto"/>
            <w:noWrap/>
            <w:vAlign w:val="center"/>
          </w:tcPr>
          <w:p w14:paraId="017A10B4" w14:textId="3736B1DE" w:rsidR="00FD6AED" w:rsidRDefault="008C2478" w:rsidP="00FD6AED">
            <w:pPr>
              <w:jc w:val="center"/>
              <w:rPr>
                <w:rFonts w:ascii="Calibri" w:eastAsia="Calibri" w:hAnsi="Calibri" w:cs="Calibri"/>
                <w:color w:val="000000"/>
              </w:rPr>
            </w:pPr>
            <w:r>
              <w:rPr>
                <w:rFonts w:ascii="Calibri" w:eastAsia="Calibri" w:hAnsi="Calibri" w:cs="Calibri"/>
                <w:color w:val="000000"/>
              </w:rPr>
              <w:t>---</w:t>
            </w:r>
          </w:p>
        </w:tc>
      </w:tr>
      <w:tr w:rsidR="0088425C" w:rsidRPr="003E48E5" w14:paraId="29516AEA" w14:textId="77777777" w:rsidTr="00FD6AED">
        <w:trPr>
          <w:trHeight w:val="300"/>
          <w:jc w:val="center"/>
        </w:trPr>
        <w:tc>
          <w:tcPr>
            <w:tcW w:w="1718" w:type="pct"/>
            <w:tcBorders>
              <w:top w:val="single" w:sz="6" w:space="0" w:color="auto"/>
              <w:bottom w:val="single" w:sz="6" w:space="0" w:color="auto"/>
            </w:tcBorders>
            <w:shd w:val="clear" w:color="auto" w:fill="auto"/>
            <w:noWrap/>
            <w:vAlign w:val="center"/>
          </w:tcPr>
          <w:p w14:paraId="020118D0" w14:textId="4B53B493" w:rsidR="0088425C" w:rsidRPr="003E48E5" w:rsidRDefault="0088425C" w:rsidP="0088425C">
            <w:pPr>
              <w:rPr>
                <w:rFonts w:ascii="Calibri" w:eastAsia="Calibri" w:hAnsi="Calibri" w:cs="Calibri"/>
                <w:color w:val="000000"/>
              </w:rPr>
            </w:pPr>
            <w:r>
              <w:rPr>
                <w:rFonts w:ascii="Calibri" w:eastAsia="Calibri" w:hAnsi="Calibri" w:cs="Calibri"/>
                <w:color w:val="000000"/>
              </w:rPr>
              <w:t>Pořízení kolového nakladače, traktorového nosiče kontejnerů, drtiče větví a 4 kusů velkoobjemových kontejnerů</w:t>
            </w:r>
          </w:p>
        </w:tc>
        <w:tc>
          <w:tcPr>
            <w:tcW w:w="643" w:type="pct"/>
            <w:tcBorders>
              <w:top w:val="single" w:sz="6" w:space="0" w:color="auto"/>
              <w:bottom w:val="single" w:sz="6" w:space="0" w:color="auto"/>
            </w:tcBorders>
            <w:shd w:val="clear" w:color="auto" w:fill="auto"/>
            <w:noWrap/>
            <w:vAlign w:val="center"/>
          </w:tcPr>
          <w:p w14:paraId="7F2187C0" w14:textId="7403623D" w:rsidR="0088425C" w:rsidRPr="00C771EE" w:rsidRDefault="0088425C" w:rsidP="0088425C">
            <w:pPr>
              <w:jc w:val="center"/>
              <w:rPr>
                <w:rFonts w:ascii="Calibri" w:eastAsia="Calibri" w:hAnsi="Calibri" w:cs="Calibri"/>
                <w:color w:val="000000"/>
              </w:rPr>
            </w:pPr>
            <w:r>
              <w:rPr>
                <w:rFonts w:ascii="Calibri" w:eastAsia="Calibri" w:hAnsi="Calibri" w:cs="Calibri"/>
                <w:color w:val="000000"/>
              </w:rPr>
              <w:t>2018</w:t>
            </w:r>
          </w:p>
        </w:tc>
        <w:tc>
          <w:tcPr>
            <w:tcW w:w="948" w:type="pct"/>
            <w:tcBorders>
              <w:top w:val="single" w:sz="6" w:space="0" w:color="auto"/>
              <w:bottom w:val="single" w:sz="6" w:space="0" w:color="auto"/>
            </w:tcBorders>
            <w:shd w:val="clear" w:color="auto" w:fill="auto"/>
            <w:noWrap/>
            <w:vAlign w:val="center"/>
          </w:tcPr>
          <w:p w14:paraId="4461C6B1" w14:textId="25089838" w:rsidR="0088425C" w:rsidRPr="00C771EE" w:rsidRDefault="0088425C" w:rsidP="0088425C">
            <w:pPr>
              <w:jc w:val="center"/>
              <w:rPr>
                <w:rFonts w:ascii="Calibri" w:eastAsia="Calibri" w:hAnsi="Calibri" w:cs="Calibri"/>
                <w:color w:val="000000"/>
              </w:rPr>
            </w:pPr>
            <w:r>
              <w:rPr>
                <w:rFonts w:ascii="Calibri" w:eastAsia="Calibri" w:hAnsi="Calibri" w:cs="Calibri"/>
                <w:color w:val="000000"/>
              </w:rPr>
              <w:t>2 610 855</w:t>
            </w:r>
          </w:p>
        </w:tc>
        <w:tc>
          <w:tcPr>
            <w:tcW w:w="945" w:type="pct"/>
            <w:tcBorders>
              <w:top w:val="single" w:sz="6" w:space="0" w:color="auto"/>
              <w:bottom w:val="single" w:sz="6" w:space="0" w:color="auto"/>
            </w:tcBorders>
            <w:shd w:val="clear" w:color="auto" w:fill="auto"/>
            <w:noWrap/>
            <w:vAlign w:val="center"/>
          </w:tcPr>
          <w:p w14:paraId="0E0535A1" w14:textId="52758C6A" w:rsidR="0088425C" w:rsidRDefault="00D47A85" w:rsidP="0088425C">
            <w:pPr>
              <w:jc w:val="center"/>
            </w:pPr>
            <w:r>
              <w:t>2 219 226,75</w:t>
            </w:r>
          </w:p>
          <w:p w14:paraId="76103B1B" w14:textId="162F55E4" w:rsidR="00AD4497" w:rsidRPr="00C771EE" w:rsidRDefault="00AD4497" w:rsidP="00AD4497">
            <w:pPr>
              <w:jc w:val="center"/>
              <w:rPr>
                <w:rFonts w:ascii="Calibri" w:eastAsia="Calibri" w:hAnsi="Calibri" w:cs="Calibri"/>
                <w:color w:val="000000"/>
              </w:rPr>
            </w:pPr>
            <w:r>
              <w:rPr>
                <w:rFonts w:ascii="Calibri" w:eastAsia="Calibri" w:hAnsi="Calibri" w:cs="Calibri"/>
                <w:color w:val="000000"/>
              </w:rPr>
              <w:t>(85 %)</w:t>
            </w:r>
          </w:p>
        </w:tc>
        <w:tc>
          <w:tcPr>
            <w:tcW w:w="746" w:type="pct"/>
            <w:tcBorders>
              <w:top w:val="single" w:sz="6" w:space="0" w:color="auto"/>
              <w:bottom w:val="single" w:sz="6" w:space="0" w:color="auto"/>
            </w:tcBorders>
            <w:shd w:val="clear" w:color="auto" w:fill="auto"/>
            <w:noWrap/>
            <w:vAlign w:val="center"/>
          </w:tcPr>
          <w:p w14:paraId="67B86D99" w14:textId="4DD540E6" w:rsidR="0088425C" w:rsidRPr="00C771EE" w:rsidRDefault="0088425C" w:rsidP="0088425C">
            <w:pPr>
              <w:jc w:val="center"/>
              <w:rPr>
                <w:rFonts w:ascii="Calibri" w:eastAsia="Calibri" w:hAnsi="Calibri" w:cs="Calibri"/>
                <w:color w:val="000000"/>
              </w:rPr>
            </w:pPr>
            <w:r>
              <w:rPr>
                <w:rFonts w:ascii="Calibri" w:eastAsia="Calibri" w:hAnsi="Calibri" w:cs="Calibri"/>
                <w:color w:val="000000"/>
              </w:rPr>
              <w:t>EU – OP ŽP</w:t>
            </w:r>
          </w:p>
        </w:tc>
      </w:tr>
      <w:tr w:rsidR="0088425C" w:rsidRPr="003E48E5" w14:paraId="4A92486B" w14:textId="77777777" w:rsidTr="00FD6AED">
        <w:trPr>
          <w:trHeight w:val="300"/>
          <w:jc w:val="center"/>
        </w:trPr>
        <w:tc>
          <w:tcPr>
            <w:tcW w:w="1718" w:type="pct"/>
            <w:tcBorders>
              <w:top w:val="single" w:sz="6" w:space="0" w:color="auto"/>
              <w:bottom w:val="single" w:sz="18" w:space="0" w:color="auto"/>
            </w:tcBorders>
            <w:shd w:val="clear" w:color="auto" w:fill="auto"/>
            <w:noWrap/>
            <w:vAlign w:val="center"/>
          </w:tcPr>
          <w:p w14:paraId="337F4ECD" w14:textId="72FE91A5" w:rsidR="0088425C" w:rsidRPr="003E48E5" w:rsidRDefault="0015459E" w:rsidP="0088425C">
            <w:pPr>
              <w:rPr>
                <w:rFonts w:ascii="Calibri" w:eastAsia="Calibri" w:hAnsi="Calibri" w:cs="Calibri"/>
                <w:color w:val="000000"/>
              </w:rPr>
            </w:pPr>
            <w:r>
              <w:rPr>
                <w:rFonts w:ascii="Calibri" w:eastAsia="Calibri" w:hAnsi="Calibri" w:cs="Calibri"/>
                <w:color w:val="000000"/>
              </w:rPr>
              <w:t>Rekonstrukce zázemí fotbalového stadionu ve Starých Bukách</w:t>
            </w:r>
          </w:p>
        </w:tc>
        <w:tc>
          <w:tcPr>
            <w:tcW w:w="643" w:type="pct"/>
            <w:tcBorders>
              <w:top w:val="single" w:sz="6" w:space="0" w:color="auto"/>
              <w:bottom w:val="single" w:sz="18" w:space="0" w:color="auto"/>
            </w:tcBorders>
            <w:shd w:val="clear" w:color="auto" w:fill="auto"/>
            <w:noWrap/>
            <w:vAlign w:val="center"/>
          </w:tcPr>
          <w:p w14:paraId="35FEE65D" w14:textId="400B8947" w:rsidR="0088425C" w:rsidRPr="00C771EE" w:rsidRDefault="0015459E" w:rsidP="0088425C">
            <w:pPr>
              <w:jc w:val="center"/>
              <w:rPr>
                <w:rFonts w:ascii="Calibri" w:eastAsia="Calibri" w:hAnsi="Calibri" w:cs="Calibri"/>
                <w:color w:val="000000"/>
              </w:rPr>
            </w:pPr>
            <w:r>
              <w:rPr>
                <w:rFonts w:ascii="Calibri" w:eastAsia="Calibri" w:hAnsi="Calibri" w:cs="Calibri"/>
                <w:color w:val="000000"/>
              </w:rPr>
              <w:t>2016</w:t>
            </w:r>
          </w:p>
        </w:tc>
        <w:tc>
          <w:tcPr>
            <w:tcW w:w="948" w:type="pct"/>
            <w:tcBorders>
              <w:top w:val="single" w:sz="6" w:space="0" w:color="auto"/>
              <w:bottom w:val="single" w:sz="18" w:space="0" w:color="auto"/>
            </w:tcBorders>
            <w:shd w:val="clear" w:color="auto" w:fill="auto"/>
            <w:noWrap/>
            <w:vAlign w:val="center"/>
          </w:tcPr>
          <w:p w14:paraId="0ED85A1A" w14:textId="3443CB4D" w:rsidR="0088425C" w:rsidRPr="00C771EE" w:rsidRDefault="0015459E" w:rsidP="0088425C">
            <w:pPr>
              <w:jc w:val="center"/>
              <w:rPr>
                <w:rFonts w:ascii="Calibri" w:eastAsia="Calibri" w:hAnsi="Calibri" w:cs="Calibri"/>
                <w:color w:val="000000"/>
              </w:rPr>
            </w:pPr>
            <w:r>
              <w:rPr>
                <w:rFonts w:ascii="Calibri" w:eastAsia="Calibri" w:hAnsi="Calibri" w:cs="Calibri"/>
                <w:color w:val="000000"/>
              </w:rPr>
              <w:t>1 479 735,78</w:t>
            </w:r>
          </w:p>
        </w:tc>
        <w:tc>
          <w:tcPr>
            <w:tcW w:w="945" w:type="pct"/>
            <w:tcBorders>
              <w:top w:val="single" w:sz="6" w:space="0" w:color="auto"/>
              <w:bottom w:val="single" w:sz="18" w:space="0" w:color="auto"/>
            </w:tcBorders>
            <w:shd w:val="clear" w:color="auto" w:fill="auto"/>
            <w:noWrap/>
            <w:vAlign w:val="center"/>
          </w:tcPr>
          <w:p w14:paraId="1D054288" w14:textId="77D03A73" w:rsidR="0088425C" w:rsidRPr="00C771EE" w:rsidRDefault="0015459E" w:rsidP="0088425C">
            <w:pPr>
              <w:jc w:val="center"/>
              <w:rPr>
                <w:rFonts w:ascii="Calibri" w:eastAsia="Calibri" w:hAnsi="Calibri" w:cs="Calibri"/>
                <w:color w:val="000000"/>
              </w:rPr>
            </w:pPr>
            <w:r>
              <w:rPr>
                <w:rFonts w:ascii="Calibri" w:eastAsia="Calibri" w:hAnsi="Calibri" w:cs="Calibri"/>
                <w:color w:val="000000"/>
              </w:rPr>
              <w:t>---</w:t>
            </w:r>
          </w:p>
        </w:tc>
        <w:tc>
          <w:tcPr>
            <w:tcW w:w="746" w:type="pct"/>
            <w:tcBorders>
              <w:top w:val="single" w:sz="6" w:space="0" w:color="auto"/>
              <w:bottom w:val="single" w:sz="18" w:space="0" w:color="auto"/>
            </w:tcBorders>
            <w:shd w:val="clear" w:color="auto" w:fill="auto"/>
            <w:noWrap/>
            <w:vAlign w:val="center"/>
          </w:tcPr>
          <w:p w14:paraId="6DD61FE3" w14:textId="5166087F" w:rsidR="0088425C" w:rsidRPr="00C771EE" w:rsidRDefault="0015459E" w:rsidP="0088425C">
            <w:pPr>
              <w:jc w:val="center"/>
              <w:rPr>
                <w:rFonts w:ascii="Calibri" w:eastAsia="Calibri" w:hAnsi="Calibri" w:cs="Calibri"/>
                <w:color w:val="000000"/>
              </w:rPr>
            </w:pPr>
            <w:r>
              <w:rPr>
                <w:rFonts w:ascii="Calibri" w:eastAsia="Calibri" w:hAnsi="Calibri" w:cs="Calibri"/>
                <w:color w:val="000000"/>
              </w:rPr>
              <w:t>---</w:t>
            </w:r>
          </w:p>
        </w:tc>
      </w:tr>
    </w:tbl>
    <w:p w14:paraId="419164C3" w14:textId="40F43E1C" w:rsidR="0075053B" w:rsidRPr="003E48E5" w:rsidRDefault="0075053B" w:rsidP="0075053B">
      <w:pPr>
        <w:spacing w:after="160"/>
        <w:contextualSpacing/>
        <w:jc w:val="both"/>
        <w:rPr>
          <w:rFonts w:ascii="Calibri" w:eastAsia="Calibri" w:hAnsi="Calibri" w:cs="Times New Roman"/>
          <w:sz w:val="20"/>
          <w:szCs w:val="20"/>
        </w:rPr>
      </w:pPr>
      <w:r w:rsidRPr="003E48E5">
        <w:rPr>
          <w:rFonts w:ascii="Calibri" w:eastAsia="Calibri" w:hAnsi="Calibri" w:cs="Times New Roman"/>
          <w:b/>
          <w:sz w:val="20"/>
          <w:szCs w:val="20"/>
        </w:rPr>
        <w:t>Vysvětlivky:</w:t>
      </w:r>
      <w:r w:rsidR="00FD6AED">
        <w:rPr>
          <w:rFonts w:ascii="Calibri" w:eastAsia="Calibri" w:hAnsi="Calibri" w:cs="Times New Roman"/>
          <w:sz w:val="20"/>
          <w:szCs w:val="20"/>
        </w:rPr>
        <w:t xml:space="preserve"> </w:t>
      </w:r>
      <w:r w:rsidR="00554F50">
        <w:rPr>
          <w:rFonts w:ascii="Calibri" w:eastAsia="Calibri" w:hAnsi="Calibri" w:cs="Times New Roman"/>
          <w:sz w:val="20"/>
          <w:szCs w:val="20"/>
        </w:rPr>
        <w:t xml:space="preserve">--- = nerelevantní, </w:t>
      </w:r>
      <w:r w:rsidR="00F51A37">
        <w:rPr>
          <w:rFonts w:ascii="Calibri" w:eastAsia="Calibri" w:hAnsi="Calibri" w:cs="Times New Roman"/>
          <w:sz w:val="20"/>
          <w:szCs w:val="20"/>
        </w:rPr>
        <w:t>EU = Evropská unie,</w:t>
      </w:r>
      <w:r w:rsidR="007F6A63">
        <w:rPr>
          <w:rFonts w:ascii="Calibri" w:eastAsia="Calibri" w:hAnsi="Calibri" w:cs="Times New Roman"/>
          <w:sz w:val="20"/>
          <w:szCs w:val="20"/>
        </w:rPr>
        <w:t xml:space="preserve"> </w:t>
      </w:r>
      <w:r w:rsidR="00F51A37">
        <w:rPr>
          <w:rFonts w:ascii="Calibri" w:eastAsia="Calibri" w:hAnsi="Calibri" w:cs="Times New Roman"/>
          <w:sz w:val="20"/>
          <w:szCs w:val="20"/>
        </w:rPr>
        <w:t>OP ŽP = Operační program Životní prostředí</w:t>
      </w:r>
    </w:p>
    <w:p w14:paraId="01D37106" w14:textId="31362E82" w:rsidR="0075053B" w:rsidRDefault="0075053B" w:rsidP="00D103E7">
      <w:pPr>
        <w:jc w:val="both"/>
        <w:rPr>
          <w:rFonts w:ascii="Calibri" w:eastAsia="Calibri" w:hAnsi="Calibri" w:cs="Times New Roman"/>
          <w:sz w:val="20"/>
          <w:szCs w:val="20"/>
        </w:rPr>
      </w:pPr>
      <w:r w:rsidRPr="003E48E5">
        <w:rPr>
          <w:rFonts w:ascii="Calibri" w:eastAsia="Calibri" w:hAnsi="Calibri" w:cs="Times New Roman"/>
          <w:b/>
          <w:sz w:val="20"/>
          <w:szCs w:val="20"/>
        </w:rPr>
        <w:t>Zdroj</w:t>
      </w:r>
      <w:r w:rsidR="00D103E7" w:rsidRPr="000278E4">
        <w:rPr>
          <w:rFonts w:ascii="Calibri" w:eastAsia="Calibri" w:hAnsi="Calibri" w:cs="Times New Roman"/>
          <w:b/>
          <w:sz w:val="20"/>
          <w:szCs w:val="20"/>
        </w:rPr>
        <w:t>e</w:t>
      </w:r>
      <w:r w:rsidRPr="003E48E5">
        <w:rPr>
          <w:rFonts w:ascii="Calibri" w:eastAsia="Calibri" w:hAnsi="Calibri" w:cs="Times New Roman"/>
          <w:b/>
          <w:sz w:val="20"/>
          <w:szCs w:val="20"/>
        </w:rPr>
        <w:t>:</w:t>
      </w:r>
      <w:r w:rsidRPr="003E48E5">
        <w:rPr>
          <w:rFonts w:ascii="Calibri" w:eastAsia="Calibri" w:hAnsi="Calibri" w:cs="Times New Roman"/>
          <w:sz w:val="20"/>
          <w:szCs w:val="20"/>
        </w:rPr>
        <w:t xml:space="preserve"> </w:t>
      </w:r>
      <w:bookmarkStart w:id="420" w:name="_Hlk86869299"/>
      <w:bookmarkStart w:id="421" w:name="_Hlk120647511"/>
      <w:r w:rsidR="00D103E7" w:rsidRPr="000278E4">
        <w:rPr>
          <w:rFonts w:ascii="Calibri" w:eastAsia="Calibri" w:hAnsi="Calibri" w:cs="Times New Roman"/>
          <w:sz w:val="20"/>
          <w:szCs w:val="20"/>
        </w:rPr>
        <w:t>Profil</w:t>
      </w:r>
      <w:r w:rsidR="00D103E7">
        <w:rPr>
          <w:rFonts w:ascii="Calibri" w:eastAsia="Calibri" w:hAnsi="Calibri" w:cs="Times New Roman"/>
          <w:sz w:val="20"/>
          <w:szCs w:val="20"/>
        </w:rPr>
        <w:t xml:space="preserve"> zadavatele obce </w:t>
      </w:r>
      <w:r w:rsidR="00554F50">
        <w:rPr>
          <w:rFonts w:ascii="Calibri" w:eastAsia="Calibri" w:hAnsi="Calibri" w:cs="Times New Roman"/>
          <w:sz w:val="20"/>
          <w:szCs w:val="20"/>
        </w:rPr>
        <w:t>Staré Buky</w:t>
      </w:r>
      <w:bookmarkEnd w:id="420"/>
      <w:r w:rsidR="00B4533D">
        <w:rPr>
          <w:rFonts w:ascii="Calibri" w:eastAsia="Calibri" w:hAnsi="Calibri" w:cs="Times New Roman"/>
          <w:sz w:val="20"/>
          <w:szCs w:val="20"/>
        </w:rPr>
        <w:t xml:space="preserve"> </w:t>
      </w:r>
      <w:hyperlink r:id="rId103" w:history="1">
        <w:r w:rsidR="00B4533D" w:rsidRPr="00B52C05">
          <w:rPr>
            <w:rStyle w:val="Hypertextovodkaz"/>
            <w:rFonts w:ascii="Calibri" w:eastAsia="Calibri" w:hAnsi="Calibri" w:cs="Times New Roman"/>
            <w:sz w:val="20"/>
            <w:szCs w:val="20"/>
          </w:rPr>
          <w:t>https://www.vhodne-uverejneni.cz/profil/obec-stare-buky</w:t>
        </w:r>
      </w:hyperlink>
      <w:bookmarkEnd w:id="421"/>
      <w:r w:rsidR="00B4533D">
        <w:rPr>
          <w:rFonts w:ascii="Calibri" w:eastAsia="Calibri" w:hAnsi="Calibri" w:cs="Times New Roman"/>
          <w:sz w:val="20"/>
          <w:szCs w:val="20"/>
        </w:rPr>
        <w:t xml:space="preserve"> </w:t>
      </w:r>
    </w:p>
    <w:p w14:paraId="0B4A05FF" w14:textId="5DFC5B45" w:rsidR="00D103E7" w:rsidRPr="003E48E5" w:rsidRDefault="00D103E7" w:rsidP="0075053B">
      <w:pPr>
        <w:spacing w:after="160"/>
        <w:jc w:val="both"/>
        <w:rPr>
          <w:rFonts w:ascii="Calibri" w:eastAsia="Calibri" w:hAnsi="Calibri" w:cs="Times New Roman"/>
          <w:sz w:val="20"/>
          <w:szCs w:val="20"/>
        </w:rPr>
      </w:pPr>
      <w:r>
        <w:rPr>
          <w:rFonts w:ascii="Calibri" w:eastAsia="Calibri" w:hAnsi="Calibri" w:cs="Times New Roman"/>
          <w:sz w:val="20"/>
          <w:szCs w:val="20"/>
        </w:rPr>
        <w:t xml:space="preserve">              </w:t>
      </w:r>
      <w:r w:rsidR="00EA3CD0">
        <w:rPr>
          <w:rFonts w:ascii="Calibri" w:eastAsia="Calibri" w:hAnsi="Calibri" w:cs="Times New Roman"/>
          <w:sz w:val="20"/>
          <w:szCs w:val="20"/>
        </w:rPr>
        <w:t xml:space="preserve">Operační program Životní prostředí </w:t>
      </w:r>
      <w:hyperlink r:id="rId104" w:history="1">
        <w:r w:rsidR="00EA3CD0" w:rsidRPr="00B52C05">
          <w:rPr>
            <w:rStyle w:val="Hypertextovodkaz"/>
            <w:rFonts w:ascii="Calibri" w:eastAsia="Calibri" w:hAnsi="Calibri" w:cs="Times New Roman"/>
            <w:sz w:val="20"/>
            <w:szCs w:val="20"/>
          </w:rPr>
          <w:t>https://www.opzp.cz/</w:t>
        </w:r>
      </w:hyperlink>
      <w:r w:rsidR="00EA3CD0">
        <w:rPr>
          <w:rFonts w:ascii="Calibri" w:eastAsia="Calibri" w:hAnsi="Calibri" w:cs="Times New Roman"/>
          <w:sz w:val="20"/>
          <w:szCs w:val="20"/>
        </w:rPr>
        <w:t xml:space="preserve"> </w:t>
      </w:r>
    </w:p>
    <w:p w14:paraId="0201D7BD" w14:textId="77777777" w:rsidR="00AD5542" w:rsidRDefault="00AD5542" w:rsidP="0075053B">
      <w:pPr>
        <w:spacing w:after="160" w:line="259" w:lineRule="auto"/>
        <w:jc w:val="both"/>
        <w:rPr>
          <w:rFonts w:ascii="Calibri" w:eastAsia="Calibri" w:hAnsi="Calibri" w:cs="Times New Roman"/>
        </w:rPr>
      </w:pPr>
    </w:p>
    <w:p w14:paraId="27A3A10A" w14:textId="4C223AC9" w:rsidR="0075053B" w:rsidRPr="003E48E5" w:rsidRDefault="00AD5542" w:rsidP="0075053B">
      <w:pPr>
        <w:spacing w:after="160" w:line="259" w:lineRule="auto"/>
        <w:jc w:val="both"/>
        <w:rPr>
          <w:rFonts w:ascii="Calibri" w:eastAsia="Calibri" w:hAnsi="Calibri" w:cs="Times New Roman"/>
        </w:rPr>
      </w:pPr>
      <w:r w:rsidRPr="003E48E5">
        <w:rPr>
          <w:rFonts w:ascii="Calibri" w:eastAsia="Calibri" w:hAnsi="Calibri" w:cs="Times New Roman"/>
        </w:rPr>
        <w:t xml:space="preserve">Výčet investičních akcí uvedených v tabulce </w:t>
      </w:r>
      <w:r w:rsidRPr="000278E4">
        <w:rPr>
          <w:rFonts w:ascii="Calibri" w:eastAsia="Calibri" w:hAnsi="Calibri" w:cs="Times New Roman"/>
        </w:rPr>
        <w:t>2</w:t>
      </w:r>
      <w:r w:rsidR="00A63F73">
        <w:rPr>
          <w:rFonts w:ascii="Calibri" w:eastAsia="Calibri" w:hAnsi="Calibri" w:cs="Times New Roman"/>
        </w:rPr>
        <w:t>3</w:t>
      </w:r>
      <w:r w:rsidRPr="003E48E5">
        <w:rPr>
          <w:rFonts w:ascii="Calibri" w:eastAsia="Calibri" w:hAnsi="Calibri" w:cs="Times New Roman"/>
        </w:rPr>
        <w:t xml:space="preserve"> není konečný a v daném období proběhly i některé další investiční akce (např. </w:t>
      </w:r>
      <w:r w:rsidR="00590C48">
        <w:rPr>
          <w:rFonts w:ascii="Calibri" w:eastAsia="Calibri" w:hAnsi="Calibri" w:cs="Times New Roman"/>
        </w:rPr>
        <w:t>oprava komunikací v osadě Dolníky</w:t>
      </w:r>
      <w:r w:rsidR="006B242D" w:rsidRPr="00AE5F59">
        <w:rPr>
          <w:rFonts w:ascii="Calibri" w:eastAsia="Calibri" w:hAnsi="Calibri" w:cs="Times New Roman"/>
        </w:rPr>
        <w:t xml:space="preserve"> </w:t>
      </w:r>
      <w:r w:rsidRPr="003E48E5">
        <w:rPr>
          <w:rFonts w:ascii="Calibri" w:eastAsia="Calibri" w:hAnsi="Calibri" w:cs="Times New Roman"/>
        </w:rPr>
        <w:t>atd.).</w:t>
      </w:r>
    </w:p>
    <w:p w14:paraId="18137FFC" w14:textId="26A8F78E" w:rsidR="0075053B" w:rsidRPr="003E48E5" w:rsidRDefault="0075053B" w:rsidP="0075053B">
      <w:pPr>
        <w:spacing w:after="160" w:line="259" w:lineRule="auto"/>
        <w:jc w:val="both"/>
        <w:rPr>
          <w:rFonts w:ascii="Calibri" w:eastAsia="Calibri" w:hAnsi="Calibri" w:cs="Times New Roman"/>
        </w:rPr>
      </w:pPr>
      <w:r w:rsidRPr="009D7156">
        <w:rPr>
          <w:rFonts w:ascii="Calibri" w:eastAsia="Calibri" w:hAnsi="Calibri" w:cs="Times New Roman"/>
        </w:rPr>
        <w:t xml:space="preserve">V dalších letech je v obci plánována také řada investičních akcí, </w:t>
      </w:r>
      <w:r w:rsidR="00590C48">
        <w:rPr>
          <w:rFonts w:ascii="Calibri" w:eastAsia="Calibri" w:hAnsi="Calibri" w:cs="Times New Roman"/>
        </w:rPr>
        <w:t xml:space="preserve">přičemž největší investiční akcí bude bezpochyby </w:t>
      </w:r>
      <w:r w:rsidR="00B73FE6">
        <w:rPr>
          <w:rFonts w:ascii="Calibri" w:eastAsia="Calibri" w:hAnsi="Calibri" w:cs="Times New Roman"/>
        </w:rPr>
        <w:t>řešení komplexní revitalizace centra obce v okolí zámečku.</w:t>
      </w:r>
    </w:p>
    <w:p w14:paraId="185B69DB" w14:textId="161F7A4F" w:rsidR="003B47AA" w:rsidRDefault="003B47AA" w:rsidP="006C279C">
      <w:pPr>
        <w:spacing w:after="160" w:line="259" w:lineRule="auto"/>
        <w:jc w:val="both"/>
      </w:pPr>
      <w:r>
        <w:br w:type="page"/>
      </w:r>
    </w:p>
    <w:p w14:paraId="05F8AD2F" w14:textId="77777777" w:rsidR="00385ADC" w:rsidRPr="000E3663" w:rsidRDefault="00385ADC" w:rsidP="00385ADC">
      <w:pPr>
        <w:spacing w:after="160" w:line="259" w:lineRule="auto"/>
        <w:jc w:val="both"/>
        <w:rPr>
          <w:u w:val="single"/>
        </w:rPr>
      </w:pPr>
      <w:r w:rsidRPr="004C54C6">
        <w:rPr>
          <w:u w:val="single"/>
        </w:rPr>
        <w:lastRenderedPageBreak/>
        <w:t>Majetek obce</w:t>
      </w:r>
    </w:p>
    <w:p w14:paraId="3018A783" w14:textId="77777777" w:rsidR="00385ADC" w:rsidRDefault="00385ADC" w:rsidP="00385ADC">
      <w:pPr>
        <w:spacing w:after="160" w:line="259" w:lineRule="auto"/>
        <w:jc w:val="both"/>
      </w:pPr>
      <w:r w:rsidRPr="00AC2987">
        <w:t>Majetek ve vlastnictví</w:t>
      </w:r>
      <w:r>
        <w:t xml:space="preserve"> obce můžeme podle povahy rozdělit na movitý a nemovitý. Do movitého majetku patří různé předměty, např. dopravní prostředky, zařízení, materiál apod. Nemovitý majetek představují pozemky, budovy a další vlastněné prostory</w:t>
      </w:r>
      <w:r>
        <w:rPr>
          <w:rStyle w:val="Znakapoznpodarou"/>
        </w:rPr>
        <w:footnoteReference w:id="64"/>
      </w:r>
      <w:r>
        <w:t>.</w:t>
      </w:r>
    </w:p>
    <w:p w14:paraId="3CDF1259" w14:textId="7BC79A56" w:rsidR="00385ADC" w:rsidRPr="00FA5CC6" w:rsidRDefault="00385ADC" w:rsidP="00385ADC">
      <w:pPr>
        <w:spacing w:after="160" w:line="259" w:lineRule="auto"/>
        <w:jc w:val="both"/>
      </w:pPr>
      <w:r w:rsidRPr="0045795E">
        <w:rPr>
          <w:b/>
        </w:rPr>
        <w:t>K</w:t>
      </w:r>
      <w:r w:rsidR="001713EC">
        <w:rPr>
          <w:b/>
        </w:rPr>
        <w:t>e květnu 2022</w:t>
      </w:r>
      <w:r w:rsidRPr="0045795E">
        <w:rPr>
          <w:b/>
        </w:rPr>
        <w:t xml:space="preserve"> obec</w:t>
      </w:r>
      <w:r w:rsidRPr="00D0097C">
        <w:rPr>
          <w:b/>
        </w:rPr>
        <w:t xml:space="preserve"> vlastnila</w:t>
      </w:r>
      <w:r w:rsidRPr="0046109F">
        <w:t xml:space="preserve"> </w:t>
      </w:r>
      <w:r w:rsidR="008D1208">
        <w:rPr>
          <w:b/>
        </w:rPr>
        <w:t>některé</w:t>
      </w:r>
      <w:r w:rsidRPr="00D0097C">
        <w:rPr>
          <w:b/>
        </w:rPr>
        <w:t xml:space="preserve"> movit</w:t>
      </w:r>
      <w:r w:rsidR="008D1208">
        <w:rPr>
          <w:b/>
        </w:rPr>
        <w:t>é</w:t>
      </w:r>
      <w:r w:rsidRPr="00D0097C">
        <w:rPr>
          <w:b/>
        </w:rPr>
        <w:t xml:space="preserve"> věc</w:t>
      </w:r>
      <w:r w:rsidR="008D1208">
        <w:rPr>
          <w:b/>
        </w:rPr>
        <w:t>i</w:t>
      </w:r>
      <w:r>
        <w:t xml:space="preserve">, </w:t>
      </w:r>
      <w:r w:rsidRPr="008D1208">
        <w:t>např.</w:t>
      </w:r>
      <w:r w:rsidR="008D1208" w:rsidRPr="008D1208">
        <w:t xml:space="preserve"> </w:t>
      </w:r>
      <w:r w:rsidR="00EB7CE7" w:rsidRPr="00EB7CE7">
        <w:t>traktor s lesní nástavbou, vyvážečk</w:t>
      </w:r>
      <w:r w:rsidR="00EB7CE7">
        <w:t>u</w:t>
      </w:r>
      <w:r w:rsidR="00EB7CE7" w:rsidRPr="00EB7CE7">
        <w:t xml:space="preserve"> dřeva, Mitsubishi l200, kolový nakladač, traktorový nosič kontejnerů</w:t>
      </w:r>
      <w:r w:rsidR="00EB7CE7">
        <w:t xml:space="preserve"> atd.</w:t>
      </w:r>
    </w:p>
    <w:p w14:paraId="46E4155E" w14:textId="7A329081" w:rsidR="002D005B" w:rsidRDefault="001333A4" w:rsidP="006C279C">
      <w:pPr>
        <w:spacing w:after="160" w:line="259" w:lineRule="auto"/>
        <w:jc w:val="both"/>
      </w:pPr>
      <w:r w:rsidRPr="0045795E">
        <w:rPr>
          <w:b/>
        </w:rPr>
        <w:t>K</w:t>
      </w:r>
      <w:r>
        <w:rPr>
          <w:b/>
        </w:rPr>
        <w:t>e květnu 2022</w:t>
      </w:r>
      <w:r w:rsidRPr="0045795E">
        <w:rPr>
          <w:b/>
        </w:rPr>
        <w:t xml:space="preserve"> </w:t>
      </w:r>
      <w:r w:rsidR="00385ADC" w:rsidRPr="0066507E">
        <w:rPr>
          <w:b/>
        </w:rPr>
        <w:t xml:space="preserve">vlastnila obec </w:t>
      </w:r>
      <w:r>
        <w:rPr>
          <w:b/>
        </w:rPr>
        <w:t>Staré Buky</w:t>
      </w:r>
      <w:r w:rsidR="00385ADC" w:rsidRPr="0066507E">
        <w:rPr>
          <w:b/>
        </w:rPr>
        <w:t xml:space="preserve"> celkem </w:t>
      </w:r>
      <w:r>
        <w:rPr>
          <w:b/>
        </w:rPr>
        <w:t>9</w:t>
      </w:r>
      <w:r w:rsidR="00385ADC" w:rsidRPr="0066507E">
        <w:rPr>
          <w:b/>
        </w:rPr>
        <w:t xml:space="preserve"> stav</w:t>
      </w:r>
      <w:r w:rsidR="00AF0109">
        <w:rPr>
          <w:b/>
        </w:rPr>
        <w:t>e</w:t>
      </w:r>
      <w:r w:rsidR="00385ADC" w:rsidRPr="0066507E">
        <w:rPr>
          <w:b/>
        </w:rPr>
        <w:t>b</w:t>
      </w:r>
      <w:r w:rsidR="00385ADC">
        <w:t xml:space="preserve">. </w:t>
      </w:r>
      <w:r w:rsidR="00385ADC" w:rsidRPr="00757D4D">
        <w:t>Informace</w:t>
      </w:r>
      <w:r w:rsidR="00385ADC">
        <w:t xml:space="preserve"> k těmto stavbám jsou uvedeny </w:t>
      </w:r>
      <w:r w:rsidR="00385ADC" w:rsidRPr="00FB6518">
        <w:t>v </w:t>
      </w:r>
      <w:r w:rsidR="00385ADC" w:rsidRPr="001A3338">
        <w:t xml:space="preserve">tabulce </w:t>
      </w:r>
      <w:r>
        <w:t>24</w:t>
      </w:r>
      <w:r w:rsidR="00385ADC" w:rsidRPr="00FB6518">
        <w:t>.</w:t>
      </w:r>
      <w:r w:rsidR="008E196D" w:rsidRPr="008E196D">
        <w:t xml:space="preserve"> </w:t>
      </w:r>
      <w:r w:rsidR="008E196D">
        <w:t xml:space="preserve">Způsob využití jednotlivých staveb </w:t>
      </w:r>
      <w:r w:rsidR="008E196D" w:rsidRPr="00D978D1">
        <w:t xml:space="preserve">dokumentuje graf </w:t>
      </w:r>
      <w:r w:rsidR="00D978D1" w:rsidRPr="00D978D1">
        <w:t>1</w:t>
      </w:r>
      <w:r w:rsidR="00566482">
        <w:t>3</w:t>
      </w:r>
      <w:r w:rsidR="008E196D" w:rsidRPr="00D978D1">
        <w:t>.</w:t>
      </w:r>
    </w:p>
    <w:p w14:paraId="0D42347E" w14:textId="09ED48F1" w:rsidR="004C54C6" w:rsidRDefault="004C54C6" w:rsidP="003B47AA">
      <w:pPr>
        <w:spacing w:after="160" w:line="259" w:lineRule="auto"/>
      </w:pPr>
    </w:p>
    <w:p w14:paraId="7BCB30CE" w14:textId="6A84ED04" w:rsidR="008E196D" w:rsidRDefault="008E196D" w:rsidP="00CA090E">
      <w:pPr>
        <w:pStyle w:val="GRAF0"/>
      </w:pPr>
      <w:bookmarkStart w:id="422" w:name="_Toc32577915"/>
      <w:bookmarkStart w:id="423" w:name="_Toc104472758"/>
      <w:bookmarkStart w:id="424" w:name="_Toc120651992"/>
      <w:r w:rsidRPr="00D978D1">
        <w:t xml:space="preserve">Graf </w:t>
      </w:r>
      <w:r w:rsidR="00D978D1">
        <w:t>1</w:t>
      </w:r>
      <w:r w:rsidR="00566482">
        <w:t>3</w:t>
      </w:r>
      <w:r>
        <w:t xml:space="preserve">: </w:t>
      </w:r>
      <w:r w:rsidRPr="00961F3A">
        <w:t xml:space="preserve">Stavby ve vlastnictví </w:t>
      </w:r>
      <w:r>
        <w:t xml:space="preserve">obce </w:t>
      </w:r>
      <w:r w:rsidR="00566482">
        <w:t>Staré Buky</w:t>
      </w:r>
      <w:r w:rsidRPr="00961F3A">
        <w:t xml:space="preserve"> podle</w:t>
      </w:r>
      <w:r>
        <w:t xml:space="preserve"> způsobu jejich využití (</w:t>
      </w:r>
      <w:r w:rsidR="004C54C6">
        <w:t>k</w:t>
      </w:r>
      <w:r w:rsidR="00566482">
        <w:t>e květnu 2022</w:t>
      </w:r>
      <w:r>
        <w:t>)</w:t>
      </w:r>
      <w:bookmarkEnd w:id="422"/>
      <w:bookmarkEnd w:id="423"/>
      <w:bookmarkEnd w:id="424"/>
    </w:p>
    <w:p w14:paraId="1B1E6FB4" w14:textId="32A09741" w:rsidR="008E196D" w:rsidRDefault="00392EC3" w:rsidP="00CC2605">
      <w:pPr>
        <w:spacing w:line="259" w:lineRule="auto"/>
        <w:jc w:val="center"/>
      </w:pPr>
      <w:r w:rsidRPr="008727E4">
        <w:rPr>
          <w:noProof/>
        </w:rPr>
        <mc:AlternateContent>
          <mc:Choice Requires="cx1">
            <w:drawing>
              <wp:inline distT="0" distB="0" distL="0" distR="0" wp14:anchorId="07C5F6D4" wp14:editId="6C05B93F">
                <wp:extent cx="5638800" cy="2810510"/>
                <wp:effectExtent l="0" t="0" r="0" b="0"/>
                <wp:docPr id="316" name="Graf 7"/>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5"/>
                  </a:graphicData>
                </a:graphic>
              </wp:inline>
            </w:drawing>
          </mc:Choice>
          <mc:Fallback>
            <w:drawing>
              <wp:inline distT="0" distB="0" distL="0" distR="0" wp14:anchorId="07C5F6D4" wp14:editId="6C05B93F">
                <wp:extent cx="5638800" cy="2810510"/>
                <wp:effectExtent l="0" t="0" r="0" b="0"/>
                <wp:docPr id="316" name="Graf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6" name="Graf 7"/>
                        <pic:cNvPicPr>
                          <a:picLocks noGrp="1" noRot="1" noChangeAspect="1" noMove="1" noResize="1" noEditPoints="1" noAdjustHandles="1" noChangeArrowheads="1" noChangeShapeType="1"/>
                        </pic:cNvPicPr>
                      </pic:nvPicPr>
                      <pic:blipFill>
                        <a:blip r:embed="rId106"/>
                        <a:stretch>
                          <a:fillRect/>
                        </a:stretch>
                      </pic:blipFill>
                      <pic:spPr>
                        <a:xfrm>
                          <a:off x="0" y="0"/>
                          <a:ext cx="5638800" cy="2810510"/>
                        </a:xfrm>
                        <a:prstGeom prst="rect">
                          <a:avLst/>
                        </a:prstGeom>
                      </pic:spPr>
                    </pic:pic>
                  </a:graphicData>
                </a:graphic>
              </wp:inline>
            </w:drawing>
          </mc:Fallback>
        </mc:AlternateContent>
      </w:r>
    </w:p>
    <w:p w14:paraId="1A1CBA50" w14:textId="77777777" w:rsidR="008E196D" w:rsidRPr="00B62CD5" w:rsidRDefault="008E196D" w:rsidP="007F7C64">
      <w:pPr>
        <w:spacing w:after="160"/>
        <w:jc w:val="both"/>
        <w:rPr>
          <w:sz w:val="20"/>
          <w:szCs w:val="20"/>
        </w:rPr>
      </w:pPr>
      <w:r w:rsidRPr="00AF739C">
        <w:rPr>
          <w:b/>
          <w:sz w:val="20"/>
          <w:szCs w:val="20"/>
        </w:rPr>
        <w:t>Zdroj:</w:t>
      </w:r>
      <w:r w:rsidRPr="00AF739C">
        <w:rPr>
          <w:sz w:val="20"/>
          <w:szCs w:val="20"/>
        </w:rPr>
        <w:t xml:space="preserve"> Aplikace Českého úřadu zeměměřického a katastrálního „Nahlížení do katastru nemovitostí“ </w:t>
      </w:r>
      <w:hyperlink r:id="rId107" w:history="1">
        <w:r w:rsidRPr="002C1A5B">
          <w:rPr>
            <w:rStyle w:val="Hypertextovodkaz"/>
            <w:sz w:val="20"/>
            <w:szCs w:val="20"/>
          </w:rPr>
          <w:t>https://nahlizenidokn.cuzk.cz/</w:t>
        </w:r>
      </w:hyperlink>
      <w:r w:rsidRPr="00AF739C">
        <w:rPr>
          <w:sz w:val="20"/>
          <w:szCs w:val="20"/>
        </w:rPr>
        <w:t xml:space="preserve"> </w:t>
      </w:r>
    </w:p>
    <w:p w14:paraId="707073E3" w14:textId="52E242BD" w:rsidR="00DA65D5" w:rsidRDefault="00DA65D5" w:rsidP="003B47AA">
      <w:pPr>
        <w:spacing w:after="160" w:line="259" w:lineRule="auto"/>
      </w:pPr>
      <w:r>
        <w:br w:type="page"/>
      </w:r>
    </w:p>
    <w:p w14:paraId="3A6238E2" w14:textId="22DDB811" w:rsidR="003B47AA" w:rsidRPr="00FD2F86" w:rsidRDefault="003B47AA" w:rsidP="003B47AA">
      <w:pPr>
        <w:pStyle w:val="TABULKA0"/>
      </w:pPr>
      <w:bookmarkStart w:id="425" w:name="_Toc507022063"/>
      <w:bookmarkStart w:id="426" w:name="_Toc32577808"/>
      <w:bookmarkStart w:id="427" w:name="_Toc120651946"/>
      <w:r w:rsidRPr="001A3338">
        <w:lastRenderedPageBreak/>
        <w:t xml:space="preserve">Tabulka </w:t>
      </w:r>
      <w:r w:rsidR="001333A4">
        <w:t>24</w:t>
      </w:r>
      <w:r w:rsidRPr="00FD2F86">
        <w:t xml:space="preserve">: </w:t>
      </w:r>
      <w:bookmarkEnd w:id="425"/>
      <w:r w:rsidRPr="009325E8">
        <w:t xml:space="preserve">Stavby ve vlastnictví </w:t>
      </w:r>
      <w:r>
        <w:t xml:space="preserve">obce </w:t>
      </w:r>
      <w:r w:rsidR="001333A4">
        <w:t>Staré Buky</w:t>
      </w:r>
      <w:r>
        <w:t xml:space="preserve"> </w:t>
      </w:r>
      <w:r w:rsidR="0002464C">
        <w:t xml:space="preserve">podle jednotlivých katastrálních území </w:t>
      </w:r>
      <w:r>
        <w:t>(</w:t>
      </w:r>
      <w:r w:rsidR="001333A4">
        <w:t>ke květnu 2022</w:t>
      </w:r>
      <w:r>
        <w:t>)</w:t>
      </w:r>
      <w:bookmarkEnd w:id="426"/>
      <w:bookmarkEnd w:id="427"/>
    </w:p>
    <w:tbl>
      <w:tblPr>
        <w:tblW w:w="4962" w:type="pct"/>
        <w:jc w:val="center"/>
        <w:tblLayout w:type="fixed"/>
        <w:tblCellMar>
          <w:left w:w="70" w:type="dxa"/>
          <w:right w:w="70" w:type="dxa"/>
        </w:tblCellMar>
        <w:tblLook w:val="04A0" w:firstRow="1" w:lastRow="0" w:firstColumn="1" w:lastColumn="0" w:noHBand="0" w:noVBand="1"/>
      </w:tblPr>
      <w:tblGrid>
        <w:gridCol w:w="5246"/>
        <w:gridCol w:w="1472"/>
        <w:gridCol w:w="2424"/>
      </w:tblGrid>
      <w:tr w:rsidR="0002464C" w:rsidRPr="00AC5CF3" w14:paraId="7C01769A" w14:textId="77777777" w:rsidTr="00AC5CF3">
        <w:trPr>
          <w:trHeight w:val="23"/>
          <w:jc w:val="center"/>
        </w:trPr>
        <w:tc>
          <w:tcPr>
            <w:tcW w:w="5000" w:type="pct"/>
            <w:gridSpan w:val="3"/>
            <w:tcBorders>
              <w:top w:val="single" w:sz="18" w:space="0" w:color="auto"/>
              <w:left w:val="single" w:sz="18" w:space="0" w:color="auto"/>
              <w:bottom w:val="single" w:sz="6" w:space="0" w:color="auto"/>
              <w:right w:val="single" w:sz="18" w:space="0" w:color="auto"/>
            </w:tcBorders>
            <w:shd w:val="clear" w:color="auto" w:fill="FFC000"/>
            <w:noWrap/>
            <w:vAlign w:val="center"/>
            <w:hideMark/>
          </w:tcPr>
          <w:p w14:paraId="23BBF061" w14:textId="098F74F1" w:rsidR="0002464C" w:rsidRPr="00AC5CF3" w:rsidRDefault="0002464C" w:rsidP="00A96AFE">
            <w:pPr>
              <w:jc w:val="center"/>
              <w:rPr>
                <w:rFonts w:eastAsia="Times New Roman" w:cstheme="minorHAnsi"/>
                <w:color w:val="000000"/>
                <w:sz w:val="19"/>
                <w:szCs w:val="19"/>
                <w:lang w:eastAsia="cs-CZ"/>
              </w:rPr>
            </w:pPr>
            <w:r w:rsidRPr="00AC5CF3">
              <w:rPr>
                <w:rFonts w:eastAsia="Times New Roman" w:cstheme="minorHAnsi"/>
                <w:b/>
                <w:bCs/>
                <w:color w:val="000000"/>
                <w:sz w:val="19"/>
                <w:szCs w:val="19"/>
                <w:lang w:eastAsia="cs-CZ"/>
              </w:rPr>
              <w:t>Katastrální území Dolní Staré Buky</w:t>
            </w:r>
          </w:p>
        </w:tc>
      </w:tr>
      <w:tr w:rsidR="00AC5CF3" w:rsidRPr="00AC5CF3" w14:paraId="52179197" w14:textId="77777777" w:rsidTr="00AC5CF3">
        <w:trPr>
          <w:trHeight w:val="407"/>
          <w:jc w:val="center"/>
        </w:trPr>
        <w:tc>
          <w:tcPr>
            <w:tcW w:w="2869" w:type="pct"/>
            <w:tcBorders>
              <w:top w:val="single" w:sz="6" w:space="0" w:color="auto"/>
              <w:left w:val="single" w:sz="18" w:space="0" w:color="auto"/>
              <w:bottom w:val="single" w:sz="8" w:space="0" w:color="auto"/>
              <w:right w:val="single" w:sz="12" w:space="0" w:color="auto"/>
            </w:tcBorders>
            <w:shd w:val="clear" w:color="auto" w:fill="FFC000"/>
            <w:noWrap/>
            <w:vAlign w:val="center"/>
            <w:hideMark/>
          </w:tcPr>
          <w:p w14:paraId="5F2FE914" w14:textId="77777777" w:rsidR="0002464C" w:rsidRPr="00AC5CF3" w:rsidRDefault="0002464C" w:rsidP="00A96AFE">
            <w:pPr>
              <w:jc w:val="center"/>
              <w:rPr>
                <w:rFonts w:eastAsia="Times New Roman" w:cstheme="minorHAnsi"/>
                <w:b/>
                <w:bCs/>
                <w:color w:val="000000"/>
                <w:sz w:val="19"/>
                <w:szCs w:val="19"/>
                <w:lang w:eastAsia="cs-CZ"/>
              </w:rPr>
            </w:pPr>
            <w:r w:rsidRPr="00AC5CF3">
              <w:rPr>
                <w:rFonts w:eastAsia="Times New Roman" w:cstheme="minorHAnsi"/>
                <w:b/>
                <w:bCs/>
                <w:color w:val="000000"/>
                <w:sz w:val="19"/>
                <w:szCs w:val="19"/>
                <w:lang w:eastAsia="cs-CZ"/>
              </w:rPr>
              <w:t>Informace ke stavbám</w:t>
            </w:r>
          </w:p>
        </w:tc>
        <w:tc>
          <w:tcPr>
            <w:tcW w:w="805" w:type="pct"/>
            <w:tcBorders>
              <w:top w:val="single" w:sz="6" w:space="0" w:color="auto"/>
              <w:left w:val="single" w:sz="12" w:space="0" w:color="auto"/>
              <w:bottom w:val="single" w:sz="8" w:space="0" w:color="auto"/>
              <w:right w:val="single" w:sz="12" w:space="0" w:color="auto"/>
            </w:tcBorders>
            <w:shd w:val="clear" w:color="auto" w:fill="FFC000"/>
            <w:noWrap/>
            <w:vAlign w:val="center"/>
            <w:hideMark/>
          </w:tcPr>
          <w:p w14:paraId="4C0D9D46" w14:textId="77777777" w:rsidR="0002464C" w:rsidRPr="00AC5CF3" w:rsidRDefault="0002464C" w:rsidP="00A96AFE">
            <w:pPr>
              <w:jc w:val="center"/>
              <w:rPr>
                <w:rFonts w:eastAsia="Times New Roman" w:cstheme="minorHAnsi"/>
                <w:b/>
                <w:bCs/>
                <w:color w:val="000000"/>
                <w:sz w:val="19"/>
                <w:szCs w:val="19"/>
                <w:lang w:eastAsia="cs-CZ"/>
              </w:rPr>
            </w:pPr>
            <w:r w:rsidRPr="00AC5CF3">
              <w:rPr>
                <w:rFonts w:eastAsia="Times New Roman" w:cstheme="minorHAnsi"/>
                <w:b/>
                <w:bCs/>
                <w:color w:val="000000"/>
                <w:sz w:val="19"/>
                <w:szCs w:val="19"/>
                <w:lang w:eastAsia="cs-CZ"/>
              </w:rPr>
              <w:t>Číslo parcely, kde stavba stojí</w:t>
            </w:r>
          </w:p>
        </w:tc>
        <w:tc>
          <w:tcPr>
            <w:tcW w:w="1326" w:type="pct"/>
            <w:tcBorders>
              <w:top w:val="single" w:sz="6" w:space="0" w:color="auto"/>
              <w:left w:val="single" w:sz="12" w:space="0" w:color="auto"/>
              <w:bottom w:val="single" w:sz="8" w:space="0" w:color="auto"/>
              <w:right w:val="single" w:sz="18" w:space="0" w:color="auto"/>
            </w:tcBorders>
            <w:shd w:val="clear" w:color="auto" w:fill="FFC000"/>
            <w:noWrap/>
            <w:vAlign w:val="center"/>
            <w:hideMark/>
          </w:tcPr>
          <w:p w14:paraId="41576DAE" w14:textId="77777777" w:rsidR="0002464C" w:rsidRPr="00AC5CF3" w:rsidRDefault="0002464C" w:rsidP="00A96AFE">
            <w:pPr>
              <w:jc w:val="center"/>
              <w:rPr>
                <w:rFonts w:eastAsia="Times New Roman" w:cstheme="minorHAnsi"/>
                <w:b/>
                <w:bCs/>
                <w:color w:val="000000"/>
                <w:sz w:val="19"/>
                <w:szCs w:val="19"/>
                <w:lang w:eastAsia="cs-CZ"/>
              </w:rPr>
            </w:pPr>
            <w:r w:rsidRPr="00AC5CF3">
              <w:rPr>
                <w:rFonts w:eastAsia="Times New Roman" w:cstheme="minorHAnsi"/>
                <w:b/>
                <w:bCs/>
                <w:color w:val="000000"/>
                <w:sz w:val="19"/>
                <w:szCs w:val="19"/>
                <w:lang w:eastAsia="cs-CZ"/>
              </w:rPr>
              <w:t>Typ stavby</w:t>
            </w:r>
          </w:p>
        </w:tc>
      </w:tr>
      <w:tr w:rsidR="00AC5CF3" w:rsidRPr="00AC5CF3" w14:paraId="05BE8A60" w14:textId="77777777" w:rsidTr="00AC5CF3">
        <w:trPr>
          <w:trHeight w:val="58"/>
          <w:jc w:val="center"/>
        </w:trPr>
        <w:tc>
          <w:tcPr>
            <w:tcW w:w="2869" w:type="pct"/>
            <w:tcBorders>
              <w:top w:val="nil"/>
              <w:left w:val="single" w:sz="18" w:space="0" w:color="auto"/>
              <w:bottom w:val="single" w:sz="12" w:space="0" w:color="auto"/>
              <w:right w:val="single" w:sz="12" w:space="0" w:color="auto"/>
            </w:tcBorders>
            <w:shd w:val="clear" w:color="auto" w:fill="D9D9D9" w:themeFill="background1" w:themeFillShade="D9"/>
            <w:noWrap/>
          </w:tcPr>
          <w:p w14:paraId="09354487" w14:textId="628B6209" w:rsidR="0002464C" w:rsidRPr="00AC5CF3" w:rsidRDefault="0002464C" w:rsidP="00A96AFE">
            <w:pPr>
              <w:rPr>
                <w:rFonts w:eastAsia="Times New Roman" w:cstheme="minorHAnsi"/>
                <w:color w:val="000000"/>
                <w:sz w:val="19"/>
                <w:szCs w:val="19"/>
                <w:lang w:eastAsia="cs-CZ"/>
              </w:rPr>
            </w:pPr>
            <w:r w:rsidRPr="00AC5CF3">
              <w:rPr>
                <w:sz w:val="19"/>
                <w:szCs w:val="19"/>
              </w:rPr>
              <w:t xml:space="preserve">budova bez č. p./č. e. – </w:t>
            </w:r>
            <w:r w:rsidR="00297D70" w:rsidRPr="00AC5CF3">
              <w:rPr>
                <w:sz w:val="19"/>
                <w:szCs w:val="19"/>
              </w:rPr>
              <w:t>budova u autobusové zastávky "Staré Buky, Dolní Staré Buky, rybník"</w:t>
            </w:r>
          </w:p>
        </w:tc>
        <w:tc>
          <w:tcPr>
            <w:tcW w:w="805" w:type="pct"/>
            <w:tcBorders>
              <w:top w:val="nil"/>
              <w:left w:val="single" w:sz="12" w:space="0" w:color="auto"/>
              <w:bottom w:val="single" w:sz="12" w:space="0" w:color="auto"/>
              <w:right w:val="single" w:sz="12" w:space="0" w:color="auto"/>
            </w:tcBorders>
            <w:shd w:val="clear" w:color="auto" w:fill="auto"/>
            <w:noWrap/>
            <w:vAlign w:val="center"/>
          </w:tcPr>
          <w:p w14:paraId="5B929781" w14:textId="42B96E41" w:rsidR="0002464C" w:rsidRPr="00AC5CF3" w:rsidRDefault="00297D70" w:rsidP="00297D70">
            <w:pPr>
              <w:jc w:val="center"/>
              <w:rPr>
                <w:rFonts w:eastAsia="Times New Roman" w:cstheme="minorHAnsi"/>
                <w:color w:val="000000"/>
                <w:sz w:val="19"/>
                <w:szCs w:val="19"/>
                <w:lang w:eastAsia="cs-CZ"/>
              </w:rPr>
            </w:pPr>
            <w:r w:rsidRPr="00AC5CF3">
              <w:rPr>
                <w:sz w:val="19"/>
                <w:szCs w:val="19"/>
              </w:rPr>
              <w:t>st. 77</w:t>
            </w:r>
          </w:p>
        </w:tc>
        <w:tc>
          <w:tcPr>
            <w:tcW w:w="1326" w:type="pct"/>
            <w:tcBorders>
              <w:top w:val="nil"/>
              <w:left w:val="single" w:sz="12" w:space="0" w:color="auto"/>
              <w:bottom w:val="single" w:sz="12" w:space="0" w:color="auto"/>
              <w:right w:val="single" w:sz="18" w:space="0" w:color="auto"/>
            </w:tcBorders>
            <w:shd w:val="clear" w:color="auto" w:fill="auto"/>
            <w:noWrap/>
            <w:vAlign w:val="center"/>
          </w:tcPr>
          <w:p w14:paraId="21CB0D00" w14:textId="4BFE399D" w:rsidR="0002464C" w:rsidRPr="00AC5CF3" w:rsidRDefault="00297D70" w:rsidP="00297D70">
            <w:pPr>
              <w:jc w:val="center"/>
              <w:rPr>
                <w:rFonts w:eastAsia="Times New Roman" w:cstheme="minorHAnsi"/>
                <w:color w:val="000000"/>
                <w:sz w:val="19"/>
                <w:szCs w:val="19"/>
                <w:lang w:eastAsia="cs-CZ"/>
              </w:rPr>
            </w:pPr>
            <w:r w:rsidRPr="00AC5CF3">
              <w:rPr>
                <w:sz w:val="19"/>
                <w:szCs w:val="19"/>
              </w:rPr>
              <w:t>jiná stavba</w:t>
            </w:r>
          </w:p>
        </w:tc>
      </w:tr>
      <w:tr w:rsidR="0002464C" w:rsidRPr="00AC5CF3" w14:paraId="1F32D50A" w14:textId="77777777" w:rsidTr="00AC5CF3">
        <w:trPr>
          <w:trHeight w:val="58"/>
          <w:jc w:val="center"/>
        </w:trPr>
        <w:tc>
          <w:tcPr>
            <w:tcW w:w="5000" w:type="pct"/>
            <w:gridSpan w:val="3"/>
            <w:tcBorders>
              <w:top w:val="single" w:sz="12" w:space="0" w:color="auto"/>
              <w:left w:val="single" w:sz="18" w:space="0" w:color="auto"/>
              <w:bottom w:val="single" w:sz="6" w:space="0" w:color="auto"/>
              <w:right w:val="single" w:sz="18" w:space="0" w:color="auto"/>
            </w:tcBorders>
            <w:shd w:val="clear" w:color="auto" w:fill="FFC000"/>
            <w:noWrap/>
            <w:vAlign w:val="center"/>
          </w:tcPr>
          <w:p w14:paraId="79CF4263" w14:textId="1F37DAC1" w:rsidR="0002464C" w:rsidRPr="00AC5CF3" w:rsidRDefault="0002464C" w:rsidP="00A96AFE">
            <w:pPr>
              <w:jc w:val="center"/>
              <w:rPr>
                <w:rFonts w:eastAsia="Times New Roman" w:cstheme="minorHAnsi"/>
                <w:color w:val="000000"/>
                <w:sz w:val="19"/>
                <w:szCs w:val="19"/>
                <w:lang w:eastAsia="cs-CZ"/>
              </w:rPr>
            </w:pPr>
            <w:r w:rsidRPr="00AC5CF3">
              <w:rPr>
                <w:rFonts w:eastAsia="Times New Roman" w:cstheme="minorHAnsi"/>
                <w:b/>
                <w:bCs/>
                <w:color w:val="000000"/>
                <w:sz w:val="19"/>
                <w:szCs w:val="19"/>
                <w:lang w:eastAsia="cs-CZ"/>
              </w:rPr>
              <w:t>Katastrální území Horní Staré Buky</w:t>
            </w:r>
          </w:p>
        </w:tc>
      </w:tr>
      <w:tr w:rsidR="00AC5CF3" w:rsidRPr="00AC5CF3" w14:paraId="5C4DFD9A" w14:textId="77777777" w:rsidTr="00AC5CF3">
        <w:trPr>
          <w:trHeight w:val="300"/>
          <w:jc w:val="center"/>
        </w:trPr>
        <w:tc>
          <w:tcPr>
            <w:tcW w:w="2869" w:type="pct"/>
            <w:tcBorders>
              <w:top w:val="single" w:sz="6" w:space="0" w:color="auto"/>
              <w:left w:val="single" w:sz="18" w:space="0" w:color="auto"/>
              <w:bottom w:val="single" w:sz="8" w:space="0" w:color="auto"/>
              <w:right w:val="single" w:sz="12" w:space="0" w:color="auto"/>
            </w:tcBorders>
            <w:shd w:val="clear" w:color="auto" w:fill="FFC000"/>
            <w:noWrap/>
            <w:vAlign w:val="center"/>
          </w:tcPr>
          <w:p w14:paraId="7C23AAE2" w14:textId="77777777" w:rsidR="0002464C" w:rsidRPr="00AC5CF3" w:rsidRDefault="0002464C" w:rsidP="00A96AFE">
            <w:pPr>
              <w:jc w:val="center"/>
              <w:rPr>
                <w:rFonts w:eastAsia="Times New Roman" w:cstheme="minorHAnsi"/>
                <w:color w:val="000000"/>
                <w:sz w:val="19"/>
                <w:szCs w:val="19"/>
                <w:lang w:eastAsia="cs-CZ"/>
              </w:rPr>
            </w:pPr>
            <w:r w:rsidRPr="00AC5CF3">
              <w:rPr>
                <w:rFonts w:eastAsia="Times New Roman" w:cstheme="minorHAnsi"/>
                <w:b/>
                <w:bCs/>
                <w:color w:val="000000"/>
                <w:sz w:val="19"/>
                <w:szCs w:val="19"/>
                <w:lang w:eastAsia="cs-CZ"/>
              </w:rPr>
              <w:t>Informace ke stavbám</w:t>
            </w:r>
          </w:p>
        </w:tc>
        <w:tc>
          <w:tcPr>
            <w:tcW w:w="805" w:type="pct"/>
            <w:tcBorders>
              <w:top w:val="single" w:sz="6" w:space="0" w:color="auto"/>
              <w:left w:val="single" w:sz="12" w:space="0" w:color="auto"/>
              <w:bottom w:val="single" w:sz="8" w:space="0" w:color="auto"/>
              <w:right w:val="single" w:sz="12" w:space="0" w:color="auto"/>
            </w:tcBorders>
            <w:shd w:val="clear" w:color="auto" w:fill="FFC000"/>
            <w:noWrap/>
            <w:vAlign w:val="center"/>
          </w:tcPr>
          <w:p w14:paraId="7F5FA086" w14:textId="77777777" w:rsidR="0002464C" w:rsidRPr="00AC5CF3" w:rsidRDefault="0002464C" w:rsidP="00A96AFE">
            <w:pPr>
              <w:jc w:val="center"/>
              <w:rPr>
                <w:rFonts w:eastAsia="Times New Roman" w:cstheme="minorHAnsi"/>
                <w:color w:val="000000"/>
                <w:sz w:val="19"/>
                <w:szCs w:val="19"/>
                <w:lang w:eastAsia="cs-CZ"/>
              </w:rPr>
            </w:pPr>
            <w:r w:rsidRPr="00AC5CF3">
              <w:rPr>
                <w:rFonts w:eastAsia="Times New Roman" w:cstheme="minorHAnsi"/>
                <w:b/>
                <w:bCs/>
                <w:color w:val="000000"/>
                <w:sz w:val="19"/>
                <w:szCs w:val="19"/>
                <w:lang w:eastAsia="cs-CZ"/>
              </w:rPr>
              <w:t>Číslo parcely, kde stavba stojí</w:t>
            </w:r>
          </w:p>
        </w:tc>
        <w:tc>
          <w:tcPr>
            <w:tcW w:w="1326" w:type="pct"/>
            <w:tcBorders>
              <w:top w:val="single" w:sz="6" w:space="0" w:color="auto"/>
              <w:left w:val="single" w:sz="12" w:space="0" w:color="auto"/>
              <w:bottom w:val="single" w:sz="8" w:space="0" w:color="auto"/>
              <w:right w:val="single" w:sz="18" w:space="0" w:color="auto"/>
            </w:tcBorders>
            <w:shd w:val="clear" w:color="auto" w:fill="FFC000"/>
            <w:noWrap/>
            <w:vAlign w:val="center"/>
          </w:tcPr>
          <w:p w14:paraId="129E41C6" w14:textId="77777777" w:rsidR="0002464C" w:rsidRPr="00AC5CF3" w:rsidRDefault="0002464C" w:rsidP="00A96AFE">
            <w:pPr>
              <w:jc w:val="center"/>
              <w:rPr>
                <w:rFonts w:eastAsia="Times New Roman" w:cstheme="minorHAnsi"/>
                <w:color w:val="000000"/>
                <w:sz w:val="19"/>
                <w:szCs w:val="19"/>
                <w:lang w:eastAsia="cs-CZ"/>
              </w:rPr>
            </w:pPr>
            <w:r w:rsidRPr="00AC5CF3">
              <w:rPr>
                <w:rFonts w:eastAsia="Times New Roman" w:cstheme="minorHAnsi"/>
                <w:b/>
                <w:bCs/>
                <w:color w:val="000000"/>
                <w:sz w:val="19"/>
                <w:szCs w:val="19"/>
                <w:lang w:eastAsia="cs-CZ"/>
              </w:rPr>
              <w:t>Typ stavby</w:t>
            </w:r>
          </w:p>
        </w:tc>
      </w:tr>
      <w:tr w:rsidR="00AC5CF3" w:rsidRPr="00AC5CF3" w14:paraId="479AAD82" w14:textId="77777777" w:rsidTr="00AC5CF3">
        <w:trPr>
          <w:trHeight w:val="58"/>
          <w:jc w:val="center"/>
        </w:trPr>
        <w:tc>
          <w:tcPr>
            <w:tcW w:w="2869" w:type="pct"/>
            <w:tcBorders>
              <w:top w:val="single" w:sz="8" w:space="0" w:color="auto"/>
              <w:left w:val="single" w:sz="18" w:space="0" w:color="auto"/>
              <w:bottom w:val="single" w:sz="4" w:space="0" w:color="auto"/>
              <w:right w:val="single" w:sz="12" w:space="0" w:color="auto"/>
            </w:tcBorders>
            <w:shd w:val="clear" w:color="auto" w:fill="D9D9D9" w:themeFill="background1" w:themeFillShade="D9"/>
            <w:noWrap/>
          </w:tcPr>
          <w:p w14:paraId="3706F162" w14:textId="69DB2A81" w:rsidR="0002464C" w:rsidRPr="00AC5CF3" w:rsidRDefault="0002464C" w:rsidP="00A96AFE">
            <w:pPr>
              <w:rPr>
                <w:rFonts w:eastAsia="Times New Roman" w:cstheme="minorHAnsi"/>
                <w:color w:val="000000"/>
                <w:sz w:val="19"/>
                <w:szCs w:val="19"/>
                <w:lang w:eastAsia="cs-CZ"/>
              </w:rPr>
            </w:pPr>
            <w:r w:rsidRPr="00AC5CF3">
              <w:rPr>
                <w:sz w:val="19"/>
                <w:szCs w:val="19"/>
              </w:rPr>
              <w:t xml:space="preserve">budova bez č. p./č. e. – </w:t>
            </w:r>
            <w:r w:rsidR="00EB7CE7">
              <w:rPr>
                <w:sz w:val="19"/>
                <w:szCs w:val="19"/>
              </w:rPr>
              <w:t>budova bývalé zbrojnice</w:t>
            </w:r>
          </w:p>
        </w:tc>
        <w:tc>
          <w:tcPr>
            <w:tcW w:w="805" w:type="pct"/>
            <w:tcBorders>
              <w:top w:val="single" w:sz="8" w:space="0" w:color="auto"/>
              <w:left w:val="single" w:sz="12" w:space="0" w:color="auto"/>
              <w:bottom w:val="single" w:sz="4" w:space="0" w:color="auto"/>
              <w:right w:val="single" w:sz="12" w:space="0" w:color="auto"/>
            </w:tcBorders>
            <w:shd w:val="clear" w:color="auto" w:fill="auto"/>
            <w:noWrap/>
          </w:tcPr>
          <w:p w14:paraId="206720C8" w14:textId="561D56AC" w:rsidR="0002464C" w:rsidRPr="00AC5CF3" w:rsidRDefault="0002464C" w:rsidP="00A96AFE">
            <w:pPr>
              <w:jc w:val="center"/>
              <w:rPr>
                <w:rFonts w:eastAsia="Times New Roman" w:cstheme="minorHAnsi"/>
                <w:color w:val="000000"/>
                <w:sz w:val="19"/>
                <w:szCs w:val="19"/>
                <w:lang w:eastAsia="cs-CZ"/>
              </w:rPr>
            </w:pPr>
            <w:r w:rsidRPr="00AC5CF3">
              <w:rPr>
                <w:sz w:val="19"/>
                <w:szCs w:val="19"/>
              </w:rPr>
              <w:t>st. 1</w:t>
            </w:r>
            <w:r w:rsidR="00BD58DD" w:rsidRPr="00AC5CF3">
              <w:rPr>
                <w:sz w:val="19"/>
                <w:szCs w:val="19"/>
              </w:rPr>
              <w:t>29</w:t>
            </w:r>
          </w:p>
        </w:tc>
        <w:tc>
          <w:tcPr>
            <w:tcW w:w="1326" w:type="pct"/>
            <w:tcBorders>
              <w:top w:val="single" w:sz="8" w:space="0" w:color="auto"/>
              <w:left w:val="single" w:sz="12" w:space="0" w:color="auto"/>
              <w:bottom w:val="single" w:sz="4" w:space="0" w:color="auto"/>
              <w:right w:val="single" w:sz="18" w:space="0" w:color="auto"/>
            </w:tcBorders>
            <w:shd w:val="clear" w:color="auto" w:fill="auto"/>
            <w:noWrap/>
          </w:tcPr>
          <w:p w14:paraId="2F616CE1" w14:textId="77777777" w:rsidR="0002464C" w:rsidRPr="00AC5CF3" w:rsidRDefault="0002464C" w:rsidP="00A96AFE">
            <w:pPr>
              <w:jc w:val="center"/>
              <w:rPr>
                <w:rFonts w:eastAsia="Times New Roman" w:cstheme="minorHAnsi"/>
                <w:color w:val="000000"/>
                <w:sz w:val="19"/>
                <w:szCs w:val="19"/>
                <w:lang w:eastAsia="cs-CZ"/>
              </w:rPr>
            </w:pPr>
            <w:r w:rsidRPr="00AC5CF3">
              <w:rPr>
                <w:sz w:val="19"/>
                <w:szCs w:val="19"/>
              </w:rPr>
              <w:t>objekt občanské vybavenosti</w:t>
            </w:r>
          </w:p>
        </w:tc>
      </w:tr>
      <w:tr w:rsidR="0002464C" w:rsidRPr="00AC5CF3" w14:paraId="682C1997" w14:textId="77777777" w:rsidTr="00AC5CF3">
        <w:trPr>
          <w:trHeight w:val="58"/>
          <w:jc w:val="center"/>
        </w:trPr>
        <w:tc>
          <w:tcPr>
            <w:tcW w:w="5000" w:type="pct"/>
            <w:gridSpan w:val="3"/>
            <w:tcBorders>
              <w:top w:val="single" w:sz="12" w:space="0" w:color="auto"/>
              <w:left w:val="single" w:sz="18" w:space="0" w:color="auto"/>
              <w:bottom w:val="single" w:sz="6" w:space="0" w:color="auto"/>
              <w:right w:val="single" w:sz="18" w:space="0" w:color="auto"/>
            </w:tcBorders>
            <w:shd w:val="clear" w:color="auto" w:fill="FFC000"/>
            <w:noWrap/>
            <w:vAlign w:val="center"/>
          </w:tcPr>
          <w:p w14:paraId="1A451B11" w14:textId="69E7313C" w:rsidR="0002464C" w:rsidRPr="00AC5CF3" w:rsidRDefault="0002464C" w:rsidP="00A96AFE">
            <w:pPr>
              <w:jc w:val="center"/>
              <w:rPr>
                <w:rFonts w:eastAsia="Times New Roman" w:cstheme="minorHAnsi"/>
                <w:color w:val="000000"/>
                <w:sz w:val="19"/>
                <w:szCs w:val="19"/>
                <w:lang w:eastAsia="cs-CZ"/>
              </w:rPr>
            </w:pPr>
            <w:r w:rsidRPr="00AC5CF3">
              <w:rPr>
                <w:rFonts w:eastAsia="Times New Roman" w:cstheme="minorHAnsi"/>
                <w:b/>
                <w:bCs/>
                <w:color w:val="000000"/>
                <w:sz w:val="19"/>
                <w:szCs w:val="19"/>
                <w:lang w:eastAsia="cs-CZ"/>
              </w:rPr>
              <w:t>Katastrální území Prostřední Staré Buky</w:t>
            </w:r>
          </w:p>
        </w:tc>
      </w:tr>
      <w:tr w:rsidR="00AC5CF3" w:rsidRPr="00AC5CF3" w14:paraId="7E4F29C7" w14:textId="77777777" w:rsidTr="00AC5CF3">
        <w:trPr>
          <w:trHeight w:val="300"/>
          <w:jc w:val="center"/>
        </w:trPr>
        <w:tc>
          <w:tcPr>
            <w:tcW w:w="2869" w:type="pct"/>
            <w:tcBorders>
              <w:top w:val="single" w:sz="6" w:space="0" w:color="auto"/>
              <w:left w:val="single" w:sz="18" w:space="0" w:color="auto"/>
              <w:bottom w:val="single" w:sz="12" w:space="0" w:color="auto"/>
              <w:right w:val="single" w:sz="12" w:space="0" w:color="auto"/>
            </w:tcBorders>
            <w:shd w:val="clear" w:color="auto" w:fill="FFC000"/>
            <w:noWrap/>
            <w:vAlign w:val="center"/>
          </w:tcPr>
          <w:p w14:paraId="7EDE9B74" w14:textId="77777777" w:rsidR="0002464C" w:rsidRPr="00AC5CF3" w:rsidRDefault="0002464C" w:rsidP="00A96AFE">
            <w:pPr>
              <w:jc w:val="center"/>
              <w:rPr>
                <w:rFonts w:eastAsia="Times New Roman" w:cstheme="minorHAnsi"/>
                <w:color w:val="000000"/>
                <w:sz w:val="19"/>
                <w:szCs w:val="19"/>
                <w:lang w:eastAsia="cs-CZ"/>
              </w:rPr>
            </w:pPr>
            <w:r w:rsidRPr="00AC5CF3">
              <w:rPr>
                <w:rFonts w:eastAsia="Times New Roman" w:cstheme="minorHAnsi"/>
                <w:b/>
                <w:bCs/>
                <w:color w:val="000000"/>
                <w:sz w:val="19"/>
                <w:szCs w:val="19"/>
                <w:lang w:eastAsia="cs-CZ"/>
              </w:rPr>
              <w:t>Informace ke stavbám</w:t>
            </w:r>
          </w:p>
        </w:tc>
        <w:tc>
          <w:tcPr>
            <w:tcW w:w="805" w:type="pct"/>
            <w:tcBorders>
              <w:top w:val="single" w:sz="6" w:space="0" w:color="auto"/>
              <w:left w:val="single" w:sz="12" w:space="0" w:color="auto"/>
              <w:bottom w:val="single" w:sz="12" w:space="0" w:color="auto"/>
              <w:right w:val="single" w:sz="12" w:space="0" w:color="auto"/>
            </w:tcBorders>
            <w:shd w:val="clear" w:color="auto" w:fill="FFC000"/>
            <w:noWrap/>
            <w:vAlign w:val="center"/>
          </w:tcPr>
          <w:p w14:paraId="3CFEBD08" w14:textId="77777777" w:rsidR="0002464C" w:rsidRPr="00AC5CF3" w:rsidRDefault="0002464C" w:rsidP="00A96AFE">
            <w:pPr>
              <w:jc w:val="center"/>
              <w:rPr>
                <w:rFonts w:eastAsia="Times New Roman" w:cstheme="minorHAnsi"/>
                <w:color w:val="000000"/>
                <w:sz w:val="19"/>
                <w:szCs w:val="19"/>
                <w:lang w:eastAsia="cs-CZ"/>
              </w:rPr>
            </w:pPr>
            <w:r w:rsidRPr="00AC5CF3">
              <w:rPr>
                <w:rFonts w:eastAsia="Times New Roman" w:cstheme="minorHAnsi"/>
                <w:b/>
                <w:bCs/>
                <w:color w:val="000000"/>
                <w:sz w:val="19"/>
                <w:szCs w:val="19"/>
                <w:lang w:eastAsia="cs-CZ"/>
              </w:rPr>
              <w:t>Číslo parcely, kde stavba stojí</w:t>
            </w:r>
          </w:p>
        </w:tc>
        <w:tc>
          <w:tcPr>
            <w:tcW w:w="1326" w:type="pct"/>
            <w:tcBorders>
              <w:top w:val="single" w:sz="6" w:space="0" w:color="auto"/>
              <w:left w:val="single" w:sz="12" w:space="0" w:color="auto"/>
              <w:bottom w:val="single" w:sz="12" w:space="0" w:color="auto"/>
              <w:right w:val="single" w:sz="18" w:space="0" w:color="auto"/>
            </w:tcBorders>
            <w:shd w:val="clear" w:color="auto" w:fill="FFC000"/>
            <w:noWrap/>
            <w:vAlign w:val="center"/>
          </w:tcPr>
          <w:p w14:paraId="13A6BA8B" w14:textId="77777777" w:rsidR="0002464C" w:rsidRPr="00AC5CF3" w:rsidRDefault="0002464C" w:rsidP="00A96AFE">
            <w:pPr>
              <w:jc w:val="center"/>
              <w:rPr>
                <w:rFonts w:eastAsia="Times New Roman" w:cstheme="minorHAnsi"/>
                <w:color w:val="000000"/>
                <w:sz w:val="19"/>
                <w:szCs w:val="19"/>
                <w:lang w:eastAsia="cs-CZ"/>
              </w:rPr>
            </w:pPr>
            <w:r w:rsidRPr="00AC5CF3">
              <w:rPr>
                <w:rFonts w:eastAsia="Times New Roman" w:cstheme="minorHAnsi"/>
                <w:b/>
                <w:bCs/>
                <w:color w:val="000000"/>
                <w:sz w:val="19"/>
                <w:szCs w:val="19"/>
                <w:lang w:eastAsia="cs-CZ"/>
              </w:rPr>
              <w:t>Typ stavby</w:t>
            </w:r>
          </w:p>
        </w:tc>
      </w:tr>
      <w:tr w:rsidR="00AC5CF3" w:rsidRPr="00AC5CF3" w14:paraId="0AD39EBC" w14:textId="77777777" w:rsidTr="00AC5CF3">
        <w:trPr>
          <w:trHeight w:val="58"/>
          <w:jc w:val="center"/>
        </w:trPr>
        <w:tc>
          <w:tcPr>
            <w:tcW w:w="2869" w:type="pct"/>
            <w:tcBorders>
              <w:top w:val="single" w:sz="12" w:space="0" w:color="auto"/>
              <w:left w:val="single" w:sz="18" w:space="0" w:color="auto"/>
              <w:bottom w:val="single" w:sz="4" w:space="0" w:color="auto"/>
              <w:right w:val="single" w:sz="12" w:space="0" w:color="auto"/>
            </w:tcBorders>
            <w:shd w:val="clear" w:color="auto" w:fill="D9D9D9" w:themeFill="background1" w:themeFillShade="D9"/>
            <w:noWrap/>
            <w:vAlign w:val="bottom"/>
          </w:tcPr>
          <w:p w14:paraId="3E02BBD7" w14:textId="6C19350A" w:rsidR="003D59AD" w:rsidRPr="00AC5CF3" w:rsidRDefault="003D59AD" w:rsidP="003D59AD">
            <w:pPr>
              <w:rPr>
                <w:rFonts w:eastAsia="Times New Roman" w:cstheme="minorHAnsi"/>
                <w:color w:val="000000"/>
                <w:sz w:val="19"/>
                <w:szCs w:val="19"/>
                <w:lang w:eastAsia="cs-CZ"/>
              </w:rPr>
            </w:pPr>
            <w:r w:rsidRPr="00AC5CF3">
              <w:rPr>
                <w:sz w:val="19"/>
                <w:szCs w:val="19"/>
              </w:rPr>
              <w:t xml:space="preserve">budova </w:t>
            </w:r>
            <w:r w:rsidRPr="00AC5CF3">
              <w:rPr>
                <w:rFonts w:ascii="Calibri" w:hAnsi="Calibri" w:cs="Calibri"/>
                <w:color w:val="000000"/>
                <w:sz w:val="19"/>
                <w:szCs w:val="19"/>
              </w:rPr>
              <w:t>s č. p. 41 – budova zámečku</w:t>
            </w:r>
          </w:p>
        </w:tc>
        <w:tc>
          <w:tcPr>
            <w:tcW w:w="805" w:type="pct"/>
            <w:tcBorders>
              <w:top w:val="single" w:sz="12" w:space="0" w:color="auto"/>
              <w:left w:val="single" w:sz="12" w:space="0" w:color="auto"/>
              <w:bottom w:val="single" w:sz="4" w:space="0" w:color="auto"/>
              <w:right w:val="single" w:sz="12" w:space="0" w:color="auto"/>
            </w:tcBorders>
            <w:shd w:val="clear" w:color="auto" w:fill="auto"/>
            <w:noWrap/>
          </w:tcPr>
          <w:p w14:paraId="09ED0D63" w14:textId="545EB9FE" w:rsidR="003D59AD" w:rsidRPr="00AC5CF3" w:rsidRDefault="003D59AD" w:rsidP="003D59AD">
            <w:pPr>
              <w:jc w:val="center"/>
              <w:rPr>
                <w:rFonts w:eastAsia="Times New Roman" w:cstheme="minorHAnsi"/>
                <w:color w:val="000000"/>
                <w:sz w:val="19"/>
                <w:szCs w:val="19"/>
                <w:lang w:eastAsia="cs-CZ"/>
              </w:rPr>
            </w:pPr>
            <w:r w:rsidRPr="00AC5CF3">
              <w:rPr>
                <w:sz w:val="19"/>
                <w:szCs w:val="19"/>
              </w:rPr>
              <w:t>st. 1/2</w:t>
            </w:r>
          </w:p>
        </w:tc>
        <w:tc>
          <w:tcPr>
            <w:tcW w:w="1326" w:type="pct"/>
            <w:tcBorders>
              <w:top w:val="nil"/>
              <w:left w:val="single" w:sz="12" w:space="0" w:color="auto"/>
              <w:bottom w:val="single" w:sz="4" w:space="0" w:color="auto"/>
              <w:right w:val="single" w:sz="18" w:space="0" w:color="auto"/>
            </w:tcBorders>
            <w:shd w:val="clear" w:color="auto" w:fill="auto"/>
            <w:noWrap/>
            <w:vAlign w:val="bottom"/>
          </w:tcPr>
          <w:p w14:paraId="6627401E" w14:textId="238D4273" w:rsidR="003D59AD" w:rsidRPr="00AC5CF3" w:rsidRDefault="003D59AD" w:rsidP="003D59AD">
            <w:pPr>
              <w:jc w:val="center"/>
              <w:rPr>
                <w:rFonts w:eastAsia="Times New Roman" w:cstheme="minorHAnsi"/>
                <w:color w:val="000000"/>
                <w:sz w:val="19"/>
                <w:szCs w:val="19"/>
                <w:lang w:eastAsia="cs-CZ"/>
              </w:rPr>
            </w:pPr>
            <w:r w:rsidRPr="00AC5CF3">
              <w:rPr>
                <w:rFonts w:ascii="Calibri" w:hAnsi="Calibri" w:cs="Calibri"/>
                <w:color w:val="000000"/>
                <w:sz w:val="19"/>
                <w:szCs w:val="19"/>
              </w:rPr>
              <w:t>zemědělská stavba</w:t>
            </w:r>
          </w:p>
        </w:tc>
      </w:tr>
      <w:tr w:rsidR="00AC5CF3" w:rsidRPr="00AC5CF3" w14:paraId="59EE3963" w14:textId="77777777" w:rsidTr="00AC5CF3">
        <w:trPr>
          <w:trHeight w:val="58"/>
          <w:jc w:val="center"/>
        </w:trPr>
        <w:tc>
          <w:tcPr>
            <w:tcW w:w="2869" w:type="pct"/>
            <w:tcBorders>
              <w:top w:val="nil"/>
              <w:left w:val="single" w:sz="18" w:space="0" w:color="auto"/>
              <w:bottom w:val="single" w:sz="4" w:space="0" w:color="auto"/>
              <w:right w:val="single" w:sz="12" w:space="0" w:color="auto"/>
            </w:tcBorders>
            <w:shd w:val="clear" w:color="auto" w:fill="D9D9D9" w:themeFill="background1" w:themeFillShade="D9"/>
            <w:noWrap/>
            <w:vAlign w:val="bottom"/>
          </w:tcPr>
          <w:p w14:paraId="737D51FC" w14:textId="4F1C2F25" w:rsidR="003D59AD" w:rsidRPr="00AC5CF3" w:rsidRDefault="003D59AD" w:rsidP="003D59AD">
            <w:pPr>
              <w:rPr>
                <w:rFonts w:eastAsia="Times New Roman" w:cstheme="minorHAnsi"/>
                <w:color w:val="000000"/>
                <w:sz w:val="19"/>
                <w:szCs w:val="19"/>
                <w:lang w:eastAsia="cs-CZ"/>
              </w:rPr>
            </w:pPr>
            <w:r w:rsidRPr="00AC5CF3">
              <w:rPr>
                <w:sz w:val="19"/>
                <w:szCs w:val="19"/>
              </w:rPr>
              <w:t xml:space="preserve">budova </w:t>
            </w:r>
            <w:r w:rsidRPr="00AC5CF3">
              <w:rPr>
                <w:rFonts w:ascii="Calibri" w:hAnsi="Calibri" w:cs="Calibri"/>
                <w:color w:val="000000"/>
                <w:sz w:val="19"/>
                <w:szCs w:val="19"/>
              </w:rPr>
              <w:t>bez č. p./č. e.</w:t>
            </w:r>
            <w:r w:rsidR="00CB7313" w:rsidRPr="00AC5CF3">
              <w:rPr>
                <w:rFonts w:ascii="Calibri" w:hAnsi="Calibri" w:cs="Calibri"/>
                <w:color w:val="000000"/>
                <w:sz w:val="19"/>
                <w:szCs w:val="19"/>
              </w:rPr>
              <w:t xml:space="preserve"> – budova bývalého kravínu v centru obce</w:t>
            </w:r>
          </w:p>
        </w:tc>
        <w:tc>
          <w:tcPr>
            <w:tcW w:w="805" w:type="pct"/>
            <w:tcBorders>
              <w:top w:val="nil"/>
              <w:left w:val="single" w:sz="12" w:space="0" w:color="auto"/>
              <w:bottom w:val="single" w:sz="4" w:space="0" w:color="auto"/>
              <w:right w:val="single" w:sz="12" w:space="0" w:color="auto"/>
            </w:tcBorders>
            <w:shd w:val="clear" w:color="auto" w:fill="auto"/>
            <w:noWrap/>
          </w:tcPr>
          <w:p w14:paraId="29BF1986" w14:textId="51123A16" w:rsidR="003D59AD" w:rsidRPr="00AC5CF3" w:rsidRDefault="003D59AD" w:rsidP="003D59AD">
            <w:pPr>
              <w:jc w:val="center"/>
              <w:rPr>
                <w:rFonts w:eastAsia="Times New Roman" w:cstheme="minorHAnsi"/>
                <w:color w:val="000000"/>
                <w:sz w:val="19"/>
                <w:szCs w:val="19"/>
                <w:lang w:eastAsia="cs-CZ"/>
              </w:rPr>
            </w:pPr>
            <w:r w:rsidRPr="00AC5CF3">
              <w:rPr>
                <w:sz w:val="19"/>
                <w:szCs w:val="19"/>
              </w:rPr>
              <w:t>st. 1/7</w:t>
            </w:r>
          </w:p>
        </w:tc>
        <w:tc>
          <w:tcPr>
            <w:tcW w:w="1326" w:type="pct"/>
            <w:tcBorders>
              <w:top w:val="nil"/>
              <w:left w:val="single" w:sz="12" w:space="0" w:color="auto"/>
              <w:bottom w:val="single" w:sz="4" w:space="0" w:color="auto"/>
              <w:right w:val="single" w:sz="18" w:space="0" w:color="auto"/>
            </w:tcBorders>
            <w:shd w:val="clear" w:color="auto" w:fill="auto"/>
            <w:noWrap/>
            <w:vAlign w:val="bottom"/>
          </w:tcPr>
          <w:p w14:paraId="2342EF97" w14:textId="7D3B031A" w:rsidR="003D59AD" w:rsidRPr="00AC5CF3" w:rsidRDefault="003D59AD" w:rsidP="003D59AD">
            <w:pPr>
              <w:jc w:val="center"/>
              <w:rPr>
                <w:rFonts w:eastAsia="Times New Roman" w:cstheme="minorHAnsi"/>
                <w:color w:val="000000"/>
                <w:sz w:val="19"/>
                <w:szCs w:val="19"/>
                <w:lang w:eastAsia="cs-CZ"/>
              </w:rPr>
            </w:pPr>
            <w:r w:rsidRPr="00AC5CF3">
              <w:rPr>
                <w:rFonts w:ascii="Calibri" w:hAnsi="Calibri" w:cs="Calibri"/>
                <w:color w:val="000000"/>
                <w:sz w:val="19"/>
                <w:szCs w:val="19"/>
              </w:rPr>
              <w:t>zemědělská stavba</w:t>
            </w:r>
          </w:p>
        </w:tc>
      </w:tr>
      <w:tr w:rsidR="00AC5CF3" w:rsidRPr="00AC5CF3" w14:paraId="28205E06" w14:textId="77777777" w:rsidTr="00AC5CF3">
        <w:trPr>
          <w:trHeight w:val="58"/>
          <w:jc w:val="center"/>
        </w:trPr>
        <w:tc>
          <w:tcPr>
            <w:tcW w:w="2869" w:type="pct"/>
            <w:tcBorders>
              <w:top w:val="nil"/>
              <w:left w:val="single" w:sz="18" w:space="0" w:color="auto"/>
              <w:bottom w:val="single" w:sz="4" w:space="0" w:color="auto"/>
              <w:right w:val="single" w:sz="12" w:space="0" w:color="auto"/>
            </w:tcBorders>
            <w:shd w:val="clear" w:color="auto" w:fill="D9D9D9" w:themeFill="background1" w:themeFillShade="D9"/>
            <w:noWrap/>
            <w:vAlign w:val="bottom"/>
          </w:tcPr>
          <w:p w14:paraId="231C7A63" w14:textId="131885B1" w:rsidR="003D59AD" w:rsidRPr="00AC5CF3" w:rsidRDefault="003D59AD" w:rsidP="003D59AD">
            <w:pPr>
              <w:rPr>
                <w:rFonts w:eastAsia="Times New Roman" w:cstheme="minorHAnsi"/>
                <w:color w:val="000000"/>
                <w:sz w:val="19"/>
                <w:szCs w:val="19"/>
                <w:lang w:eastAsia="cs-CZ"/>
              </w:rPr>
            </w:pPr>
            <w:r w:rsidRPr="00AC5CF3">
              <w:rPr>
                <w:sz w:val="19"/>
                <w:szCs w:val="19"/>
              </w:rPr>
              <w:t xml:space="preserve">budova </w:t>
            </w:r>
            <w:r w:rsidRPr="00AC5CF3">
              <w:rPr>
                <w:rFonts w:ascii="Calibri" w:hAnsi="Calibri" w:cs="Calibri"/>
                <w:color w:val="000000"/>
                <w:sz w:val="19"/>
                <w:szCs w:val="19"/>
              </w:rPr>
              <w:t>bez č. p./č. e.</w:t>
            </w:r>
            <w:r w:rsidR="00CB7313" w:rsidRPr="00AC5CF3">
              <w:rPr>
                <w:rFonts w:ascii="Calibri" w:hAnsi="Calibri" w:cs="Calibri"/>
                <w:color w:val="000000"/>
                <w:sz w:val="19"/>
                <w:szCs w:val="19"/>
              </w:rPr>
              <w:t xml:space="preserve"> – Kostel sv. Anny</w:t>
            </w:r>
          </w:p>
        </w:tc>
        <w:tc>
          <w:tcPr>
            <w:tcW w:w="805" w:type="pct"/>
            <w:tcBorders>
              <w:top w:val="nil"/>
              <w:left w:val="single" w:sz="12" w:space="0" w:color="auto"/>
              <w:bottom w:val="single" w:sz="4" w:space="0" w:color="auto"/>
              <w:right w:val="single" w:sz="12" w:space="0" w:color="auto"/>
            </w:tcBorders>
            <w:shd w:val="clear" w:color="auto" w:fill="auto"/>
            <w:noWrap/>
          </w:tcPr>
          <w:p w14:paraId="168FDF44" w14:textId="434B3EA6" w:rsidR="003D59AD" w:rsidRPr="00AC5CF3" w:rsidRDefault="003D59AD" w:rsidP="003D59AD">
            <w:pPr>
              <w:jc w:val="center"/>
              <w:rPr>
                <w:rFonts w:eastAsia="Times New Roman" w:cstheme="minorHAnsi"/>
                <w:color w:val="000000"/>
                <w:sz w:val="19"/>
                <w:szCs w:val="19"/>
                <w:lang w:eastAsia="cs-CZ"/>
              </w:rPr>
            </w:pPr>
            <w:r w:rsidRPr="00AC5CF3">
              <w:rPr>
                <w:sz w:val="19"/>
                <w:szCs w:val="19"/>
              </w:rPr>
              <w:t>st. 6</w:t>
            </w:r>
          </w:p>
        </w:tc>
        <w:tc>
          <w:tcPr>
            <w:tcW w:w="1326" w:type="pct"/>
            <w:tcBorders>
              <w:top w:val="nil"/>
              <w:left w:val="single" w:sz="12" w:space="0" w:color="auto"/>
              <w:bottom w:val="single" w:sz="4" w:space="0" w:color="auto"/>
              <w:right w:val="single" w:sz="18" w:space="0" w:color="auto"/>
            </w:tcBorders>
            <w:shd w:val="clear" w:color="auto" w:fill="auto"/>
            <w:noWrap/>
            <w:vAlign w:val="bottom"/>
          </w:tcPr>
          <w:p w14:paraId="2874E921" w14:textId="5BF2E7AB" w:rsidR="003D59AD" w:rsidRPr="00AC5CF3" w:rsidRDefault="003D59AD" w:rsidP="003D59AD">
            <w:pPr>
              <w:jc w:val="center"/>
              <w:rPr>
                <w:rFonts w:eastAsia="Times New Roman" w:cstheme="minorHAnsi"/>
                <w:color w:val="000000"/>
                <w:sz w:val="19"/>
                <w:szCs w:val="19"/>
                <w:lang w:eastAsia="cs-CZ"/>
              </w:rPr>
            </w:pPr>
            <w:r w:rsidRPr="00AC5CF3">
              <w:rPr>
                <w:rFonts w:ascii="Calibri" w:hAnsi="Calibri" w:cs="Calibri"/>
                <w:color w:val="000000"/>
                <w:sz w:val="19"/>
                <w:szCs w:val="19"/>
              </w:rPr>
              <w:t>objekt občanské vybavenosti</w:t>
            </w:r>
          </w:p>
        </w:tc>
      </w:tr>
      <w:tr w:rsidR="00AC5CF3" w:rsidRPr="00AC5CF3" w14:paraId="55084DF9" w14:textId="77777777" w:rsidTr="00AC5CF3">
        <w:trPr>
          <w:trHeight w:val="58"/>
          <w:jc w:val="center"/>
        </w:trPr>
        <w:tc>
          <w:tcPr>
            <w:tcW w:w="2869" w:type="pct"/>
            <w:tcBorders>
              <w:top w:val="nil"/>
              <w:left w:val="single" w:sz="18" w:space="0" w:color="auto"/>
              <w:bottom w:val="single" w:sz="4" w:space="0" w:color="auto"/>
              <w:right w:val="single" w:sz="12" w:space="0" w:color="auto"/>
            </w:tcBorders>
            <w:shd w:val="clear" w:color="auto" w:fill="D9D9D9" w:themeFill="background1" w:themeFillShade="D9"/>
            <w:noWrap/>
            <w:vAlign w:val="bottom"/>
          </w:tcPr>
          <w:p w14:paraId="7CC3C725" w14:textId="2893EB4C" w:rsidR="003D59AD" w:rsidRPr="00AC5CF3" w:rsidRDefault="003D59AD" w:rsidP="003D59AD">
            <w:pPr>
              <w:rPr>
                <w:rFonts w:eastAsia="Times New Roman" w:cstheme="minorHAnsi"/>
                <w:color w:val="000000"/>
                <w:sz w:val="19"/>
                <w:szCs w:val="19"/>
                <w:lang w:eastAsia="cs-CZ"/>
              </w:rPr>
            </w:pPr>
            <w:r w:rsidRPr="00AC5CF3">
              <w:rPr>
                <w:sz w:val="19"/>
                <w:szCs w:val="19"/>
              </w:rPr>
              <w:t xml:space="preserve">budova </w:t>
            </w:r>
            <w:r w:rsidRPr="00AC5CF3">
              <w:rPr>
                <w:rFonts w:ascii="Calibri" w:hAnsi="Calibri" w:cs="Calibri"/>
                <w:color w:val="000000"/>
                <w:sz w:val="19"/>
                <w:szCs w:val="19"/>
              </w:rPr>
              <w:t>s č. p. 50</w:t>
            </w:r>
            <w:r w:rsidR="00CB7313" w:rsidRPr="00AC5CF3">
              <w:rPr>
                <w:rFonts w:ascii="Calibri" w:hAnsi="Calibri" w:cs="Calibri"/>
                <w:color w:val="000000"/>
                <w:sz w:val="19"/>
                <w:szCs w:val="19"/>
              </w:rPr>
              <w:t xml:space="preserve"> – budova obecního úřadu a související zástavby</w:t>
            </w:r>
          </w:p>
        </w:tc>
        <w:tc>
          <w:tcPr>
            <w:tcW w:w="805" w:type="pct"/>
            <w:tcBorders>
              <w:top w:val="nil"/>
              <w:left w:val="single" w:sz="12" w:space="0" w:color="auto"/>
              <w:bottom w:val="single" w:sz="4" w:space="0" w:color="auto"/>
              <w:right w:val="single" w:sz="12" w:space="0" w:color="auto"/>
            </w:tcBorders>
            <w:shd w:val="clear" w:color="auto" w:fill="auto"/>
            <w:noWrap/>
          </w:tcPr>
          <w:p w14:paraId="7DBBD4C4" w14:textId="38AF4C48" w:rsidR="003D59AD" w:rsidRPr="00AC5CF3" w:rsidRDefault="003D59AD" w:rsidP="003D59AD">
            <w:pPr>
              <w:jc w:val="center"/>
              <w:rPr>
                <w:rFonts w:eastAsia="Times New Roman" w:cstheme="minorHAnsi"/>
                <w:color w:val="000000"/>
                <w:sz w:val="19"/>
                <w:szCs w:val="19"/>
                <w:lang w:eastAsia="cs-CZ"/>
              </w:rPr>
            </w:pPr>
            <w:r w:rsidRPr="00AC5CF3">
              <w:rPr>
                <w:sz w:val="19"/>
                <w:szCs w:val="19"/>
              </w:rPr>
              <w:t>st. 42</w:t>
            </w:r>
          </w:p>
        </w:tc>
        <w:tc>
          <w:tcPr>
            <w:tcW w:w="1326" w:type="pct"/>
            <w:tcBorders>
              <w:top w:val="nil"/>
              <w:left w:val="single" w:sz="12" w:space="0" w:color="auto"/>
              <w:bottom w:val="single" w:sz="4" w:space="0" w:color="auto"/>
              <w:right w:val="single" w:sz="18" w:space="0" w:color="auto"/>
            </w:tcBorders>
            <w:shd w:val="clear" w:color="auto" w:fill="auto"/>
            <w:noWrap/>
            <w:vAlign w:val="bottom"/>
          </w:tcPr>
          <w:p w14:paraId="29DE6CFF" w14:textId="10AE6244" w:rsidR="003D59AD" w:rsidRPr="00AC5CF3" w:rsidRDefault="003D59AD" w:rsidP="003D59AD">
            <w:pPr>
              <w:jc w:val="center"/>
              <w:rPr>
                <w:rFonts w:eastAsia="Times New Roman" w:cstheme="minorHAnsi"/>
                <w:color w:val="000000"/>
                <w:sz w:val="19"/>
                <w:szCs w:val="19"/>
                <w:lang w:eastAsia="cs-CZ"/>
              </w:rPr>
            </w:pPr>
            <w:r w:rsidRPr="00AC5CF3">
              <w:rPr>
                <w:rFonts w:ascii="Calibri" w:hAnsi="Calibri" w:cs="Calibri"/>
                <w:color w:val="000000"/>
                <w:sz w:val="19"/>
                <w:szCs w:val="19"/>
              </w:rPr>
              <w:t>stavba občanského vybavení</w:t>
            </w:r>
          </w:p>
        </w:tc>
      </w:tr>
      <w:tr w:rsidR="00AC5CF3" w:rsidRPr="00AC5CF3" w14:paraId="23B0A7AE" w14:textId="77777777" w:rsidTr="00AC5CF3">
        <w:trPr>
          <w:trHeight w:val="58"/>
          <w:jc w:val="center"/>
        </w:trPr>
        <w:tc>
          <w:tcPr>
            <w:tcW w:w="2869" w:type="pct"/>
            <w:tcBorders>
              <w:top w:val="nil"/>
              <w:left w:val="single" w:sz="18" w:space="0" w:color="auto"/>
              <w:bottom w:val="single" w:sz="4" w:space="0" w:color="auto"/>
              <w:right w:val="single" w:sz="12" w:space="0" w:color="auto"/>
            </w:tcBorders>
            <w:shd w:val="clear" w:color="auto" w:fill="D9D9D9" w:themeFill="background1" w:themeFillShade="D9"/>
            <w:noWrap/>
            <w:vAlign w:val="bottom"/>
          </w:tcPr>
          <w:p w14:paraId="3AA43368" w14:textId="452F792C" w:rsidR="003D59AD" w:rsidRPr="00AC5CF3" w:rsidRDefault="003D59AD" w:rsidP="003D59AD">
            <w:pPr>
              <w:rPr>
                <w:rFonts w:eastAsia="Times New Roman" w:cstheme="minorHAnsi"/>
                <w:color w:val="000000"/>
                <w:sz w:val="19"/>
                <w:szCs w:val="19"/>
                <w:lang w:eastAsia="cs-CZ"/>
              </w:rPr>
            </w:pPr>
            <w:r w:rsidRPr="00AC5CF3">
              <w:rPr>
                <w:sz w:val="19"/>
                <w:szCs w:val="19"/>
              </w:rPr>
              <w:t xml:space="preserve">budova </w:t>
            </w:r>
            <w:r w:rsidRPr="00AC5CF3">
              <w:rPr>
                <w:rFonts w:ascii="Calibri" w:hAnsi="Calibri" w:cs="Calibri"/>
                <w:color w:val="000000"/>
                <w:sz w:val="19"/>
                <w:szCs w:val="19"/>
              </w:rPr>
              <w:t>bez č. p./č. e.</w:t>
            </w:r>
            <w:r w:rsidR="00CB7313" w:rsidRPr="00AC5CF3">
              <w:rPr>
                <w:rFonts w:ascii="Calibri" w:hAnsi="Calibri" w:cs="Calibri"/>
                <w:color w:val="000000"/>
                <w:sz w:val="19"/>
                <w:szCs w:val="19"/>
              </w:rPr>
              <w:t xml:space="preserve"> – budova zázemí u fotbalového hřiště</w:t>
            </w:r>
          </w:p>
        </w:tc>
        <w:tc>
          <w:tcPr>
            <w:tcW w:w="805" w:type="pct"/>
            <w:tcBorders>
              <w:top w:val="nil"/>
              <w:left w:val="single" w:sz="12" w:space="0" w:color="auto"/>
              <w:bottom w:val="single" w:sz="4" w:space="0" w:color="auto"/>
              <w:right w:val="single" w:sz="12" w:space="0" w:color="auto"/>
            </w:tcBorders>
            <w:shd w:val="clear" w:color="auto" w:fill="auto"/>
            <w:noWrap/>
          </w:tcPr>
          <w:p w14:paraId="4854F07A" w14:textId="380E482A" w:rsidR="003D59AD" w:rsidRPr="00AC5CF3" w:rsidRDefault="003D59AD" w:rsidP="003D59AD">
            <w:pPr>
              <w:jc w:val="center"/>
              <w:rPr>
                <w:rFonts w:eastAsia="Times New Roman" w:cstheme="minorHAnsi"/>
                <w:color w:val="000000"/>
                <w:sz w:val="19"/>
                <w:szCs w:val="19"/>
                <w:lang w:eastAsia="cs-CZ"/>
              </w:rPr>
            </w:pPr>
            <w:r w:rsidRPr="00AC5CF3">
              <w:rPr>
                <w:sz w:val="19"/>
                <w:szCs w:val="19"/>
              </w:rPr>
              <w:t>st. 186</w:t>
            </w:r>
          </w:p>
        </w:tc>
        <w:tc>
          <w:tcPr>
            <w:tcW w:w="1326" w:type="pct"/>
            <w:tcBorders>
              <w:top w:val="nil"/>
              <w:left w:val="single" w:sz="12" w:space="0" w:color="auto"/>
              <w:bottom w:val="single" w:sz="4" w:space="0" w:color="auto"/>
              <w:right w:val="single" w:sz="18" w:space="0" w:color="auto"/>
            </w:tcBorders>
            <w:shd w:val="clear" w:color="auto" w:fill="auto"/>
            <w:noWrap/>
            <w:vAlign w:val="bottom"/>
          </w:tcPr>
          <w:p w14:paraId="7D9A4E09" w14:textId="0CFC87B3" w:rsidR="003D59AD" w:rsidRPr="00AC5CF3" w:rsidRDefault="003D59AD" w:rsidP="003D59AD">
            <w:pPr>
              <w:jc w:val="center"/>
              <w:rPr>
                <w:rFonts w:eastAsia="Times New Roman" w:cstheme="minorHAnsi"/>
                <w:color w:val="000000"/>
                <w:sz w:val="19"/>
                <w:szCs w:val="19"/>
                <w:lang w:eastAsia="cs-CZ"/>
              </w:rPr>
            </w:pPr>
            <w:r w:rsidRPr="00AC5CF3">
              <w:rPr>
                <w:rFonts w:ascii="Calibri" w:hAnsi="Calibri" w:cs="Calibri"/>
                <w:color w:val="000000"/>
                <w:sz w:val="19"/>
                <w:szCs w:val="19"/>
              </w:rPr>
              <w:t>objekt občanské vybavenosti</w:t>
            </w:r>
          </w:p>
        </w:tc>
      </w:tr>
      <w:tr w:rsidR="00AC5CF3" w:rsidRPr="00AC5CF3" w14:paraId="2FC21150" w14:textId="77777777" w:rsidTr="00AC5CF3">
        <w:trPr>
          <w:trHeight w:val="58"/>
          <w:jc w:val="center"/>
        </w:trPr>
        <w:tc>
          <w:tcPr>
            <w:tcW w:w="2869" w:type="pct"/>
            <w:tcBorders>
              <w:top w:val="nil"/>
              <w:left w:val="single" w:sz="18" w:space="0" w:color="auto"/>
              <w:bottom w:val="single" w:sz="4" w:space="0" w:color="auto"/>
              <w:right w:val="single" w:sz="12" w:space="0" w:color="auto"/>
            </w:tcBorders>
            <w:shd w:val="clear" w:color="auto" w:fill="D9D9D9" w:themeFill="background1" w:themeFillShade="D9"/>
            <w:noWrap/>
            <w:vAlign w:val="bottom"/>
          </w:tcPr>
          <w:p w14:paraId="4B1D9427" w14:textId="6BA242B8" w:rsidR="003D59AD" w:rsidRPr="00AC5CF3" w:rsidRDefault="003D59AD" w:rsidP="003D59AD">
            <w:pPr>
              <w:rPr>
                <w:rFonts w:eastAsia="Times New Roman" w:cstheme="minorHAnsi"/>
                <w:color w:val="000000"/>
                <w:sz w:val="19"/>
                <w:szCs w:val="19"/>
                <w:lang w:eastAsia="cs-CZ"/>
              </w:rPr>
            </w:pPr>
            <w:r w:rsidRPr="00AC5CF3">
              <w:rPr>
                <w:sz w:val="19"/>
                <w:szCs w:val="19"/>
              </w:rPr>
              <w:t xml:space="preserve">budova </w:t>
            </w:r>
            <w:r w:rsidRPr="00AC5CF3">
              <w:rPr>
                <w:rFonts w:ascii="Calibri" w:hAnsi="Calibri" w:cs="Calibri"/>
                <w:color w:val="000000"/>
                <w:sz w:val="19"/>
                <w:szCs w:val="19"/>
              </w:rPr>
              <w:t>bez č. p./č. e.</w:t>
            </w:r>
            <w:r w:rsidR="00CB7313" w:rsidRPr="00AC5CF3">
              <w:rPr>
                <w:rFonts w:ascii="Calibri" w:hAnsi="Calibri" w:cs="Calibri"/>
                <w:color w:val="000000"/>
                <w:sz w:val="19"/>
                <w:szCs w:val="19"/>
              </w:rPr>
              <w:t xml:space="preserve"> – márnice</w:t>
            </w:r>
          </w:p>
        </w:tc>
        <w:tc>
          <w:tcPr>
            <w:tcW w:w="805" w:type="pct"/>
            <w:tcBorders>
              <w:top w:val="nil"/>
              <w:left w:val="single" w:sz="12" w:space="0" w:color="auto"/>
              <w:bottom w:val="single" w:sz="4" w:space="0" w:color="auto"/>
              <w:right w:val="single" w:sz="12" w:space="0" w:color="auto"/>
            </w:tcBorders>
            <w:shd w:val="clear" w:color="auto" w:fill="auto"/>
            <w:noWrap/>
          </w:tcPr>
          <w:p w14:paraId="48C9831F" w14:textId="16F33D37" w:rsidR="003D59AD" w:rsidRPr="00AC5CF3" w:rsidRDefault="003D59AD" w:rsidP="003D59AD">
            <w:pPr>
              <w:jc w:val="center"/>
              <w:rPr>
                <w:rFonts w:eastAsia="Times New Roman" w:cstheme="minorHAnsi"/>
                <w:color w:val="000000"/>
                <w:sz w:val="19"/>
                <w:szCs w:val="19"/>
                <w:lang w:eastAsia="cs-CZ"/>
              </w:rPr>
            </w:pPr>
            <w:r w:rsidRPr="00AC5CF3">
              <w:rPr>
                <w:sz w:val="19"/>
                <w:szCs w:val="19"/>
              </w:rPr>
              <w:t>st. 212</w:t>
            </w:r>
          </w:p>
        </w:tc>
        <w:tc>
          <w:tcPr>
            <w:tcW w:w="1326" w:type="pct"/>
            <w:tcBorders>
              <w:top w:val="nil"/>
              <w:left w:val="single" w:sz="12" w:space="0" w:color="auto"/>
              <w:bottom w:val="single" w:sz="4" w:space="0" w:color="auto"/>
              <w:right w:val="single" w:sz="18" w:space="0" w:color="auto"/>
            </w:tcBorders>
            <w:shd w:val="clear" w:color="auto" w:fill="auto"/>
            <w:noWrap/>
            <w:vAlign w:val="bottom"/>
          </w:tcPr>
          <w:p w14:paraId="75B805C3" w14:textId="4EEE8BF5" w:rsidR="003D59AD" w:rsidRPr="00AC5CF3" w:rsidRDefault="003D59AD" w:rsidP="003D59AD">
            <w:pPr>
              <w:jc w:val="center"/>
              <w:rPr>
                <w:rFonts w:eastAsia="Times New Roman" w:cstheme="minorHAnsi"/>
                <w:color w:val="000000"/>
                <w:sz w:val="19"/>
                <w:szCs w:val="19"/>
                <w:lang w:eastAsia="cs-CZ"/>
              </w:rPr>
            </w:pPr>
            <w:r w:rsidRPr="00AC5CF3">
              <w:rPr>
                <w:rFonts w:ascii="Calibri" w:hAnsi="Calibri" w:cs="Calibri"/>
                <w:color w:val="000000"/>
                <w:sz w:val="19"/>
                <w:szCs w:val="19"/>
              </w:rPr>
              <w:t>stavba občanského vybavení</w:t>
            </w:r>
          </w:p>
        </w:tc>
      </w:tr>
      <w:tr w:rsidR="00AC5CF3" w:rsidRPr="00AC5CF3" w14:paraId="019A897A" w14:textId="77777777" w:rsidTr="00AC5CF3">
        <w:trPr>
          <w:trHeight w:val="58"/>
          <w:jc w:val="center"/>
        </w:trPr>
        <w:tc>
          <w:tcPr>
            <w:tcW w:w="2869" w:type="pct"/>
            <w:tcBorders>
              <w:top w:val="single" w:sz="4" w:space="0" w:color="auto"/>
              <w:left w:val="single" w:sz="18" w:space="0" w:color="auto"/>
              <w:bottom w:val="single" w:sz="18" w:space="0" w:color="auto"/>
              <w:right w:val="single" w:sz="12" w:space="0" w:color="auto"/>
            </w:tcBorders>
            <w:shd w:val="clear" w:color="auto" w:fill="D9D9D9" w:themeFill="background1" w:themeFillShade="D9"/>
            <w:noWrap/>
            <w:vAlign w:val="bottom"/>
          </w:tcPr>
          <w:p w14:paraId="431EED20" w14:textId="43748917" w:rsidR="003D59AD" w:rsidRPr="00AC5CF3" w:rsidRDefault="003D59AD" w:rsidP="003D59AD">
            <w:pPr>
              <w:rPr>
                <w:rFonts w:eastAsia="Times New Roman" w:cstheme="minorHAnsi"/>
                <w:color w:val="000000"/>
                <w:sz w:val="19"/>
                <w:szCs w:val="19"/>
                <w:lang w:eastAsia="cs-CZ"/>
              </w:rPr>
            </w:pPr>
            <w:r w:rsidRPr="00AC5CF3">
              <w:rPr>
                <w:sz w:val="19"/>
                <w:szCs w:val="19"/>
              </w:rPr>
              <w:t xml:space="preserve">budova </w:t>
            </w:r>
            <w:r w:rsidRPr="00AC5CF3">
              <w:rPr>
                <w:rFonts w:ascii="Calibri" w:hAnsi="Calibri" w:cs="Calibri"/>
                <w:color w:val="000000"/>
                <w:sz w:val="19"/>
                <w:szCs w:val="19"/>
              </w:rPr>
              <w:t>bez č. p./č. e.</w:t>
            </w:r>
            <w:r w:rsidR="00CB7313" w:rsidRPr="00AC5CF3">
              <w:rPr>
                <w:rFonts w:ascii="Calibri" w:hAnsi="Calibri" w:cs="Calibri"/>
                <w:color w:val="000000"/>
                <w:sz w:val="19"/>
                <w:szCs w:val="19"/>
              </w:rPr>
              <w:t xml:space="preserve"> – garáž</w:t>
            </w:r>
          </w:p>
        </w:tc>
        <w:tc>
          <w:tcPr>
            <w:tcW w:w="805" w:type="pct"/>
            <w:tcBorders>
              <w:top w:val="single" w:sz="4" w:space="0" w:color="auto"/>
              <w:left w:val="single" w:sz="12" w:space="0" w:color="auto"/>
              <w:bottom w:val="single" w:sz="18" w:space="0" w:color="auto"/>
              <w:right w:val="single" w:sz="12" w:space="0" w:color="auto"/>
            </w:tcBorders>
            <w:shd w:val="clear" w:color="auto" w:fill="auto"/>
            <w:noWrap/>
          </w:tcPr>
          <w:p w14:paraId="147BADE8" w14:textId="0C80252D" w:rsidR="003D59AD" w:rsidRPr="00AC5CF3" w:rsidRDefault="003D59AD" w:rsidP="003D59AD">
            <w:pPr>
              <w:jc w:val="center"/>
              <w:rPr>
                <w:rFonts w:eastAsia="Times New Roman" w:cstheme="minorHAnsi"/>
                <w:color w:val="000000"/>
                <w:sz w:val="19"/>
                <w:szCs w:val="19"/>
                <w:lang w:eastAsia="cs-CZ"/>
              </w:rPr>
            </w:pPr>
            <w:r w:rsidRPr="00AC5CF3">
              <w:rPr>
                <w:sz w:val="19"/>
                <w:szCs w:val="19"/>
              </w:rPr>
              <w:t>st. 245</w:t>
            </w:r>
          </w:p>
        </w:tc>
        <w:tc>
          <w:tcPr>
            <w:tcW w:w="1326" w:type="pct"/>
            <w:tcBorders>
              <w:top w:val="single" w:sz="4" w:space="0" w:color="auto"/>
              <w:left w:val="single" w:sz="12" w:space="0" w:color="auto"/>
              <w:bottom w:val="single" w:sz="18" w:space="0" w:color="auto"/>
              <w:right w:val="single" w:sz="18" w:space="0" w:color="auto"/>
            </w:tcBorders>
            <w:shd w:val="clear" w:color="auto" w:fill="auto"/>
            <w:noWrap/>
            <w:vAlign w:val="bottom"/>
          </w:tcPr>
          <w:p w14:paraId="67CB697B" w14:textId="307C1D1B" w:rsidR="003D59AD" w:rsidRPr="00AC5CF3" w:rsidRDefault="003D59AD" w:rsidP="003D59AD">
            <w:pPr>
              <w:jc w:val="center"/>
              <w:rPr>
                <w:rFonts w:eastAsia="Times New Roman" w:cstheme="minorHAnsi"/>
                <w:color w:val="000000"/>
                <w:sz w:val="19"/>
                <w:szCs w:val="19"/>
                <w:lang w:eastAsia="cs-CZ"/>
              </w:rPr>
            </w:pPr>
            <w:r w:rsidRPr="00AC5CF3">
              <w:rPr>
                <w:rFonts w:ascii="Calibri" w:hAnsi="Calibri" w:cs="Calibri"/>
                <w:color w:val="000000"/>
                <w:sz w:val="19"/>
                <w:szCs w:val="19"/>
              </w:rPr>
              <w:t>garáž</w:t>
            </w:r>
          </w:p>
        </w:tc>
      </w:tr>
    </w:tbl>
    <w:p w14:paraId="01856FBE" w14:textId="3C920FC0" w:rsidR="00EB7CE7" w:rsidRPr="00EB7CE7" w:rsidRDefault="00EB7CE7" w:rsidP="00906167">
      <w:pPr>
        <w:jc w:val="both"/>
        <w:rPr>
          <w:bCs/>
          <w:sz w:val="20"/>
          <w:szCs w:val="20"/>
        </w:rPr>
      </w:pPr>
      <w:r>
        <w:rPr>
          <w:b/>
          <w:sz w:val="20"/>
          <w:szCs w:val="20"/>
        </w:rPr>
        <w:t xml:space="preserve">Poznámky: </w:t>
      </w:r>
      <w:r w:rsidRPr="00EB7CE7">
        <w:rPr>
          <w:bCs/>
          <w:sz w:val="20"/>
          <w:szCs w:val="20"/>
        </w:rPr>
        <w:t xml:space="preserve">Budova v k. ú. Dolní Staré Buky na parcele KN st. 77 bez č. p./č. e. je </w:t>
      </w:r>
      <w:r w:rsidRPr="00EB7CE7">
        <w:rPr>
          <w:sz w:val="20"/>
          <w:szCs w:val="20"/>
        </w:rPr>
        <w:t>užívána k soukromým účelům vlastníkem sousední nemovitosti, zastupitelstvem</w:t>
      </w:r>
      <w:r>
        <w:rPr>
          <w:sz w:val="20"/>
          <w:szCs w:val="20"/>
        </w:rPr>
        <w:t xml:space="preserve"> obce je</w:t>
      </w:r>
      <w:r w:rsidRPr="00EB7CE7">
        <w:rPr>
          <w:sz w:val="20"/>
          <w:szCs w:val="20"/>
        </w:rPr>
        <w:t xml:space="preserve"> schválený prodej (zadáno ke znaleckému ocenění)</w:t>
      </w:r>
      <w:r>
        <w:rPr>
          <w:sz w:val="20"/>
          <w:szCs w:val="20"/>
        </w:rPr>
        <w:t>.</w:t>
      </w:r>
      <w:r>
        <w:t xml:space="preserve"> </w:t>
      </w:r>
      <w:r w:rsidRPr="00EB7CE7">
        <w:rPr>
          <w:sz w:val="20"/>
          <w:szCs w:val="20"/>
        </w:rPr>
        <w:t>Budova v k. ú. Horní Staré Buky na parcele KN st. 129 bez č. p./č. e.</w:t>
      </w:r>
      <w:r>
        <w:rPr>
          <w:sz w:val="20"/>
          <w:szCs w:val="20"/>
        </w:rPr>
        <w:t xml:space="preserve"> je </w:t>
      </w:r>
      <w:r w:rsidRPr="00EB7CE7">
        <w:rPr>
          <w:sz w:val="20"/>
          <w:szCs w:val="20"/>
        </w:rPr>
        <w:t>užívána k soukromým účelům vlastníkem sousední nemovitosti, delší dobu se řeší prodej nebo směna (zadáno ke znaleckému ocenění)</w:t>
      </w:r>
      <w:r w:rsidR="004D50E6">
        <w:rPr>
          <w:sz w:val="20"/>
          <w:szCs w:val="20"/>
        </w:rPr>
        <w:t>.</w:t>
      </w:r>
    </w:p>
    <w:p w14:paraId="59325098" w14:textId="17FA89CE" w:rsidR="003B47AA" w:rsidRPr="00B62CD5" w:rsidRDefault="003B47AA" w:rsidP="003B47AA">
      <w:pPr>
        <w:spacing w:after="160"/>
        <w:jc w:val="both"/>
        <w:rPr>
          <w:sz w:val="20"/>
          <w:szCs w:val="20"/>
        </w:rPr>
      </w:pPr>
      <w:r w:rsidRPr="00AF739C">
        <w:rPr>
          <w:b/>
          <w:sz w:val="20"/>
          <w:szCs w:val="20"/>
        </w:rPr>
        <w:t>Zdroj:</w:t>
      </w:r>
      <w:r w:rsidRPr="00AF739C">
        <w:rPr>
          <w:sz w:val="20"/>
          <w:szCs w:val="20"/>
        </w:rPr>
        <w:t xml:space="preserve"> Aplikace Českého úřadu zeměměřického a katastrálního „Nahlížení do katastru nemovitostí“ </w:t>
      </w:r>
      <w:hyperlink r:id="rId108" w:history="1">
        <w:r w:rsidRPr="002C1A5B">
          <w:rPr>
            <w:rStyle w:val="Hypertextovodkaz"/>
            <w:sz w:val="20"/>
            <w:szCs w:val="20"/>
          </w:rPr>
          <w:t>https://nahlizenidokn.cuzk.cz/</w:t>
        </w:r>
      </w:hyperlink>
      <w:r w:rsidRPr="00AF739C">
        <w:rPr>
          <w:sz w:val="20"/>
          <w:szCs w:val="20"/>
        </w:rPr>
        <w:t xml:space="preserve"> </w:t>
      </w:r>
    </w:p>
    <w:p w14:paraId="44EF34EF" w14:textId="77777777" w:rsidR="003B47AA" w:rsidRDefault="003B47AA" w:rsidP="000A73A5">
      <w:pPr>
        <w:spacing w:after="160" w:line="259" w:lineRule="auto"/>
        <w:jc w:val="both"/>
      </w:pPr>
    </w:p>
    <w:p w14:paraId="27CE836D" w14:textId="492E5F37" w:rsidR="003B47AA" w:rsidRDefault="003B47AA" w:rsidP="003B47AA">
      <w:pPr>
        <w:spacing w:after="160" w:line="259" w:lineRule="auto"/>
        <w:jc w:val="both"/>
      </w:pPr>
      <w:r>
        <w:t>Z </w:t>
      </w:r>
      <w:r w:rsidRPr="00D978D1">
        <w:t xml:space="preserve">grafu </w:t>
      </w:r>
      <w:r>
        <w:t>1</w:t>
      </w:r>
      <w:r w:rsidR="007B3D8C">
        <w:t>3</w:t>
      </w:r>
      <w:r>
        <w:t xml:space="preserve"> a tabulky </w:t>
      </w:r>
      <w:r w:rsidR="007B3D8C">
        <w:t>24</w:t>
      </w:r>
      <w:r>
        <w:t xml:space="preserve"> vyplývá, že obec k</w:t>
      </w:r>
      <w:r w:rsidR="007B3D8C">
        <w:t>e květnu 2022</w:t>
      </w:r>
      <w:r>
        <w:t xml:space="preserve"> vlastnila </w:t>
      </w:r>
      <w:r w:rsidR="007B3D8C">
        <w:t xml:space="preserve">tři stavby se způsobem využití </w:t>
      </w:r>
      <w:r>
        <w:t>„</w:t>
      </w:r>
      <w:r w:rsidR="007B3D8C" w:rsidRPr="007B3D8C">
        <w:t>objekt občanské vybavenosti</w:t>
      </w:r>
      <w:r>
        <w:t>“ (</w:t>
      </w:r>
      <w:r w:rsidR="007B3D8C" w:rsidRPr="007B3D8C">
        <w:t>Kostel sv. Anny</w:t>
      </w:r>
      <w:r w:rsidR="007B3D8C">
        <w:t>,</w:t>
      </w:r>
      <w:r w:rsidR="007B3D8C" w:rsidRPr="007B3D8C">
        <w:t xml:space="preserve"> budova zázemí u fotbalového hřiště</w:t>
      </w:r>
      <w:r w:rsidR="007B3D8C">
        <w:t xml:space="preserve"> </w:t>
      </w:r>
      <w:r w:rsidR="007B3D8C" w:rsidRPr="00DB6C1C">
        <w:t xml:space="preserve">a </w:t>
      </w:r>
      <w:r w:rsidR="00DB6C1C" w:rsidRPr="00DB6C1C">
        <w:t>budova bývalé zbrojnice</w:t>
      </w:r>
      <w:r>
        <w:t xml:space="preserve">), </w:t>
      </w:r>
      <w:r w:rsidR="00587E78">
        <w:t>dvě stavby se způsobem využití „</w:t>
      </w:r>
      <w:r w:rsidR="00587E78" w:rsidRPr="00587E78">
        <w:t>stavba občanského vybavení</w:t>
      </w:r>
      <w:r w:rsidR="00587E78">
        <w:t>“ (</w:t>
      </w:r>
      <w:r w:rsidR="00587E78" w:rsidRPr="00587E78">
        <w:t>budova obecního úřadu a související zástavby</w:t>
      </w:r>
      <w:r w:rsidR="00587E78">
        <w:t xml:space="preserve"> a márnice), dvě stavby se způsobem využití „zemědělská stavba“ (</w:t>
      </w:r>
      <w:r w:rsidR="00587E78" w:rsidRPr="00587E78">
        <w:t xml:space="preserve">budova zámečku </w:t>
      </w:r>
      <w:r w:rsidR="00021E39">
        <w:t>(obrázek 1</w:t>
      </w:r>
      <w:r w:rsidR="00BF57D8">
        <w:t>4</w:t>
      </w:r>
      <w:r w:rsidR="00021E39">
        <w:t xml:space="preserve">) </w:t>
      </w:r>
      <w:r w:rsidR="00587E78">
        <w:t xml:space="preserve">a </w:t>
      </w:r>
      <w:r w:rsidR="00587E78" w:rsidRPr="00587E78">
        <w:t>budova bývalého kravínu v centru obce</w:t>
      </w:r>
      <w:r w:rsidR="00587E78">
        <w:t>)</w:t>
      </w:r>
      <w:r>
        <w:t>, jednu jinou stavbu (</w:t>
      </w:r>
      <w:r w:rsidR="00587E78" w:rsidRPr="00587E78">
        <w:t>budova u autobusové zastávky "Staré Buky, Dolní Staré Buky, rybník"</w:t>
      </w:r>
      <w:r>
        <w:t xml:space="preserve">) a jednu </w:t>
      </w:r>
      <w:r w:rsidR="00587E78">
        <w:t xml:space="preserve">garáž. </w:t>
      </w:r>
      <w:r>
        <w:t xml:space="preserve"> Křivka v grafu 1</w:t>
      </w:r>
      <w:r w:rsidR="00587E78">
        <w:t>3</w:t>
      </w:r>
      <w:r>
        <w:t xml:space="preserve"> vyjadřuje kumulativní součet staveb ve vlastnictví obce.</w:t>
      </w:r>
    </w:p>
    <w:p w14:paraId="1C585328" w14:textId="132E6CE0" w:rsidR="00906167" w:rsidRDefault="00906167" w:rsidP="000A73A5">
      <w:pPr>
        <w:spacing w:after="160" w:line="259" w:lineRule="auto"/>
        <w:jc w:val="both"/>
      </w:pPr>
      <w:r>
        <w:br w:type="page"/>
      </w:r>
    </w:p>
    <w:p w14:paraId="41CE25B4" w14:textId="61CA6223" w:rsidR="003B47AA" w:rsidRDefault="003B47AA" w:rsidP="003B47AA">
      <w:pPr>
        <w:pStyle w:val="OBRZEK0"/>
      </w:pPr>
      <w:bookmarkStart w:id="428" w:name="_Toc104473135"/>
      <w:bookmarkStart w:id="429" w:name="_Toc120652033"/>
      <w:r>
        <w:lastRenderedPageBreak/>
        <w:t>Obrázek 1</w:t>
      </w:r>
      <w:r w:rsidR="00BF57D8">
        <w:t>4</w:t>
      </w:r>
      <w:r>
        <w:t xml:space="preserve">: Budova </w:t>
      </w:r>
      <w:r w:rsidR="00D1309E">
        <w:t>zámečku</w:t>
      </w:r>
      <w:r>
        <w:t xml:space="preserve"> – stav k</w:t>
      </w:r>
      <w:r w:rsidR="00D1309E">
        <w:t>e květnu 2022</w:t>
      </w:r>
      <w:bookmarkEnd w:id="428"/>
      <w:bookmarkEnd w:id="429"/>
    </w:p>
    <w:p w14:paraId="1C8940B6" w14:textId="74D85B2E" w:rsidR="003B47AA" w:rsidRDefault="00C22782" w:rsidP="003B47AA">
      <w:pPr>
        <w:spacing w:line="259" w:lineRule="auto"/>
        <w:jc w:val="center"/>
      </w:pPr>
      <w:r>
        <w:rPr>
          <w:noProof/>
        </w:rPr>
        <w:drawing>
          <wp:inline distT="0" distB="0" distL="0" distR="0" wp14:anchorId="2B2EEBF9" wp14:editId="5AA7BC2B">
            <wp:extent cx="4659244" cy="322326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688177" cy="3243276"/>
                    </a:xfrm>
                    <a:prstGeom prst="rect">
                      <a:avLst/>
                    </a:prstGeom>
                  </pic:spPr>
                </pic:pic>
              </a:graphicData>
            </a:graphic>
          </wp:inline>
        </w:drawing>
      </w:r>
    </w:p>
    <w:p w14:paraId="4DE0BD62" w14:textId="44B8808B" w:rsidR="003B47AA" w:rsidRDefault="003B47AA" w:rsidP="003B47AA">
      <w:pPr>
        <w:spacing w:after="160" w:line="259" w:lineRule="auto"/>
        <w:jc w:val="both"/>
        <w:rPr>
          <w:sz w:val="20"/>
          <w:szCs w:val="20"/>
        </w:rPr>
      </w:pPr>
      <w:r w:rsidRPr="00276328">
        <w:rPr>
          <w:b/>
          <w:bCs/>
          <w:sz w:val="20"/>
          <w:szCs w:val="20"/>
        </w:rPr>
        <w:t xml:space="preserve">Zdroj: </w:t>
      </w:r>
      <w:r w:rsidRPr="00276328">
        <w:rPr>
          <w:sz w:val="20"/>
          <w:szCs w:val="20"/>
        </w:rPr>
        <w:t>vlastní průzkum</w:t>
      </w:r>
    </w:p>
    <w:p w14:paraId="7528402A" w14:textId="77777777" w:rsidR="00906167" w:rsidRPr="00906167" w:rsidRDefault="00906167" w:rsidP="003B47AA">
      <w:pPr>
        <w:spacing w:after="160" w:line="259" w:lineRule="auto"/>
        <w:jc w:val="both"/>
      </w:pPr>
    </w:p>
    <w:p w14:paraId="026BB13F" w14:textId="77777777" w:rsidR="008147E6" w:rsidRDefault="008147E6" w:rsidP="00814D5A">
      <w:pPr>
        <w:pStyle w:val="Nadpis4"/>
      </w:pPr>
      <w:bookmarkStart w:id="430" w:name="_Toc413418384"/>
      <w:bookmarkStart w:id="431" w:name="_Toc440566363"/>
      <w:bookmarkStart w:id="432" w:name="_Toc441227514"/>
      <w:bookmarkStart w:id="433" w:name="_Toc32580135"/>
      <w:bookmarkStart w:id="434" w:name="_Toc120652160"/>
      <w:r w:rsidRPr="00472422">
        <w:t>2.1.7.3 Bezpečnost</w:t>
      </w:r>
      <w:bookmarkEnd w:id="430"/>
      <w:bookmarkEnd w:id="431"/>
      <w:bookmarkEnd w:id="432"/>
      <w:bookmarkEnd w:id="433"/>
      <w:bookmarkEnd w:id="434"/>
    </w:p>
    <w:p w14:paraId="1B9EB786" w14:textId="79B74F33" w:rsidR="005E4837" w:rsidRDefault="005E4837" w:rsidP="005E4837">
      <w:pPr>
        <w:spacing w:after="160" w:line="259" w:lineRule="auto"/>
        <w:jc w:val="both"/>
      </w:pPr>
      <w:r w:rsidRPr="00281B16">
        <w:t xml:space="preserve">Území obce </w:t>
      </w:r>
      <w:r w:rsidR="007031FB">
        <w:t>Staré Buky</w:t>
      </w:r>
      <w:r w:rsidRPr="00281B16">
        <w:t xml:space="preserve"> spadá z hlediska zajišťování bezpečnosti pod </w:t>
      </w:r>
      <w:r w:rsidRPr="00281B16">
        <w:rPr>
          <w:b/>
        </w:rPr>
        <w:t xml:space="preserve">obvodní oddělení </w:t>
      </w:r>
      <w:r w:rsidR="007031FB">
        <w:rPr>
          <w:b/>
        </w:rPr>
        <w:t>Trutnov</w:t>
      </w:r>
      <w:r w:rsidRPr="00281B16">
        <w:rPr>
          <w:b/>
        </w:rPr>
        <w:t xml:space="preserve"> Policie České republiky</w:t>
      </w:r>
      <w:r w:rsidRPr="00281B16">
        <w:rPr>
          <w:rStyle w:val="Znakapoznpodarou"/>
        </w:rPr>
        <w:footnoteReference w:id="65"/>
      </w:r>
      <w:r w:rsidRPr="00281B16">
        <w:t xml:space="preserve">. Tj. strážníci, kteří pracují na tomto </w:t>
      </w:r>
      <w:r>
        <w:t>obvodním oddělení</w:t>
      </w:r>
      <w:r w:rsidRPr="00281B16">
        <w:t xml:space="preserve">, </w:t>
      </w:r>
      <w:r>
        <w:t>mají dohlížet</w:t>
      </w:r>
      <w:r w:rsidRPr="00281B16">
        <w:t xml:space="preserve"> </w:t>
      </w:r>
      <w:r>
        <w:br/>
        <w:t xml:space="preserve">na </w:t>
      </w:r>
      <w:r w:rsidRPr="00281B16">
        <w:t>bezpečnost a pořádek</w:t>
      </w:r>
      <w:r>
        <w:t xml:space="preserve"> v obci</w:t>
      </w:r>
      <w:r w:rsidRPr="00281B16">
        <w:t>.</w:t>
      </w:r>
    </w:p>
    <w:p w14:paraId="32F352BE" w14:textId="403C1623" w:rsidR="005E4837" w:rsidRDefault="005E4837" w:rsidP="005E4837">
      <w:pPr>
        <w:spacing w:after="160" w:line="259" w:lineRule="auto"/>
        <w:jc w:val="both"/>
      </w:pPr>
      <w:r>
        <w:t>Obecní policie není v </w:t>
      </w:r>
      <w:r w:rsidRPr="00830C51">
        <w:t xml:space="preserve">obci </w:t>
      </w:r>
      <w:r w:rsidR="007031FB">
        <w:t>Staré Buky</w:t>
      </w:r>
      <w:r>
        <w:t xml:space="preserve"> zřízena.</w:t>
      </w:r>
    </w:p>
    <w:p w14:paraId="3BBA0C4E" w14:textId="5743E33A" w:rsidR="005E4837" w:rsidRDefault="005E4837" w:rsidP="005E4837">
      <w:pPr>
        <w:spacing w:after="160" w:line="259" w:lineRule="auto"/>
        <w:jc w:val="both"/>
      </w:pPr>
      <w:r>
        <w:t xml:space="preserve">V rámci bezpečnosti je důležitým prvkem i </w:t>
      </w:r>
      <w:r w:rsidRPr="00961F3A">
        <w:rPr>
          <w:b/>
        </w:rPr>
        <w:t>protipožární ochrana</w:t>
      </w:r>
      <w:r>
        <w:t xml:space="preserve">. V obci </w:t>
      </w:r>
      <w:r w:rsidR="007031FB">
        <w:t>Staré Buky</w:t>
      </w:r>
      <w:r>
        <w:t xml:space="preserve"> </w:t>
      </w:r>
      <w:r w:rsidR="007031FB">
        <w:t>ne</w:t>
      </w:r>
      <w:r>
        <w:t xml:space="preserve">funguje jednotka sboru dobrovolných hasičů. </w:t>
      </w:r>
      <w:r w:rsidR="0040464B">
        <w:t>Nejbližší jednotka sboru dobrovolných hasičů funguje ve městě Pilníkov.</w:t>
      </w:r>
      <w:r w:rsidR="009E347D">
        <w:t xml:space="preserve"> Obec Staré Buky má protipožární ochranu zajištěnu smlouvou s městem Pilníkov.</w:t>
      </w:r>
      <w:r w:rsidR="0040464B">
        <w:t xml:space="preserve"> </w:t>
      </w:r>
      <w:r w:rsidR="005D502E" w:rsidRPr="009E347D">
        <w:rPr>
          <w:b/>
        </w:rPr>
        <w:t xml:space="preserve">Obec </w:t>
      </w:r>
      <w:r w:rsidR="00222FE9" w:rsidRPr="009E347D">
        <w:rPr>
          <w:b/>
        </w:rPr>
        <w:t>Staré Buky</w:t>
      </w:r>
      <w:r w:rsidR="005D502E" w:rsidRPr="009E347D">
        <w:rPr>
          <w:b/>
        </w:rPr>
        <w:t xml:space="preserve"> nemá zpracovaný Požární řád formou obecně závazné vyhlášky</w:t>
      </w:r>
      <w:r w:rsidR="005D502E" w:rsidRPr="009E347D">
        <w:rPr>
          <w:rStyle w:val="Znakapoznpodarou"/>
          <w:bCs/>
        </w:rPr>
        <w:footnoteReference w:id="66"/>
      </w:r>
      <w:r w:rsidR="005D502E" w:rsidRPr="009E347D">
        <w:rPr>
          <w:bCs/>
        </w:rPr>
        <w:t>.</w:t>
      </w:r>
    </w:p>
    <w:p w14:paraId="6B76D889" w14:textId="32DE89DC" w:rsidR="005E4837" w:rsidRDefault="00FD6E57" w:rsidP="005E4837">
      <w:pPr>
        <w:spacing w:after="160" w:line="259" w:lineRule="auto"/>
        <w:jc w:val="both"/>
      </w:pPr>
      <w:r w:rsidRPr="00A81DFE">
        <w:t>V okrese Trutnov</w:t>
      </w:r>
      <w:r w:rsidRPr="00D8485F">
        <w:t xml:space="preserve"> se nachází celkem tři stanice Hasičského záchranného sboru České republiky, přičemž nejbližší k</w:t>
      </w:r>
      <w:r>
        <w:t> obci Staré Buky</w:t>
      </w:r>
      <w:r w:rsidRPr="00D8485F">
        <w:t xml:space="preserve"> je stanice v</w:t>
      </w:r>
      <w:r>
        <w:t> Trutnově, kde se nachází i ředitelství územního odboru okresu Trutnov</w:t>
      </w:r>
      <w:r w:rsidRPr="00D8485F">
        <w:t xml:space="preserve"> (Náchodská ulice č. p. </w:t>
      </w:r>
      <w:r>
        <w:t>475</w:t>
      </w:r>
      <w:r w:rsidRPr="00D8485F">
        <w:t>)</w:t>
      </w:r>
      <w:r w:rsidRPr="00D8485F">
        <w:rPr>
          <w:rStyle w:val="Znakapoznpodarou"/>
        </w:rPr>
        <w:footnoteReference w:id="67"/>
      </w:r>
      <w:r w:rsidRPr="00D8485F">
        <w:t>.</w:t>
      </w:r>
      <w:r w:rsidR="005E4837">
        <w:t xml:space="preserve"> </w:t>
      </w:r>
    </w:p>
    <w:p w14:paraId="495DF58E" w14:textId="2B990154" w:rsidR="005E4837" w:rsidRDefault="005E4837" w:rsidP="005E4837">
      <w:pPr>
        <w:spacing w:after="160" w:line="259" w:lineRule="auto"/>
        <w:jc w:val="both"/>
      </w:pPr>
      <w:r w:rsidRPr="00837FBA">
        <w:rPr>
          <w:b/>
        </w:rPr>
        <w:t xml:space="preserve">Obec </w:t>
      </w:r>
      <w:r w:rsidR="00E6718D">
        <w:rPr>
          <w:b/>
        </w:rPr>
        <w:t>Staré Buky</w:t>
      </w:r>
      <w:r w:rsidRPr="00837FBA">
        <w:rPr>
          <w:b/>
        </w:rPr>
        <w:t xml:space="preserve"> má zpracovaný Povodňový plán</w:t>
      </w:r>
      <w:r>
        <w:t xml:space="preserve">. Povodňový plán a podrobné informace k němu jsou </w:t>
      </w:r>
      <w:r w:rsidR="00767741">
        <w:t xml:space="preserve">v papírové podobě </w:t>
      </w:r>
      <w:r>
        <w:t xml:space="preserve">k nahlédnutí na Obecním úřadě </w:t>
      </w:r>
      <w:r w:rsidR="0071374C">
        <w:t xml:space="preserve">ve </w:t>
      </w:r>
      <w:r w:rsidR="00524094">
        <w:t>Starých Bukách</w:t>
      </w:r>
      <w:r>
        <w:t>.</w:t>
      </w:r>
    </w:p>
    <w:p w14:paraId="34A2371B" w14:textId="3CD9AA18" w:rsidR="005E4837" w:rsidRPr="007B2328" w:rsidRDefault="009F44B5" w:rsidP="005E4837">
      <w:pPr>
        <w:spacing w:after="160" w:line="259" w:lineRule="auto"/>
        <w:jc w:val="both"/>
        <w:rPr>
          <w:rFonts w:ascii="Calibri" w:eastAsia="RWXLTG+TimesNewRoman" w:hAnsi="Calibri" w:cs="RWXLTG+TimesNewRoman"/>
        </w:rPr>
      </w:pPr>
      <w:r w:rsidRPr="007B2328">
        <w:rPr>
          <w:rFonts w:ascii="Calibri" w:eastAsia="RWXLTG+TimesNewRoman" w:hAnsi="Calibri" w:cs="RWXLTG+TimesNewRoman"/>
        </w:rPr>
        <w:t>Výjezdové středisko zdravotnické záchranné služby v</w:t>
      </w:r>
      <w:r>
        <w:rPr>
          <w:rFonts w:ascii="Calibri" w:eastAsia="RWXLTG+TimesNewRoman" w:hAnsi="Calibri" w:cs="RWXLTG+TimesNewRoman"/>
        </w:rPr>
        <w:t xml:space="preserve"> obci </w:t>
      </w:r>
      <w:r w:rsidRPr="007B2328">
        <w:rPr>
          <w:rFonts w:ascii="Calibri" w:eastAsia="RWXLTG+TimesNewRoman" w:hAnsi="Calibri" w:cs="RWXLTG+TimesNewRoman"/>
        </w:rPr>
        <w:t xml:space="preserve">není, nejbližší je v Trutnově (ulice </w:t>
      </w:r>
      <w:r w:rsidRPr="007B2328">
        <w:rPr>
          <w:rFonts w:ascii="Calibri" w:eastAsia="RWXLTG+TimesNewRoman" w:hAnsi="Calibri" w:cs="RWXLTG+TimesNewRoman"/>
        </w:rPr>
        <w:br/>
        <w:t>Česká č. p. 388)</w:t>
      </w:r>
      <w:bookmarkStart w:id="435" w:name="_Hlk77689676"/>
      <w:r w:rsidRPr="007B2328">
        <w:rPr>
          <w:rFonts w:ascii="Calibri" w:eastAsia="RWXLTG+TimesNewRoman" w:hAnsi="Calibri" w:cs="RWXLTG+TimesNewRoman"/>
          <w:vertAlign w:val="superscript"/>
        </w:rPr>
        <w:footnoteReference w:id="68"/>
      </w:r>
      <w:bookmarkEnd w:id="435"/>
      <w:r w:rsidRPr="007B2328">
        <w:rPr>
          <w:rFonts w:ascii="Calibri" w:eastAsia="RWXLTG+TimesNewRoman" w:hAnsi="Calibri" w:cs="RWXLTG+TimesNewRoman"/>
        </w:rPr>
        <w:t>.</w:t>
      </w:r>
    </w:p>
    <w:p w14:paraId="280A5384" w14:textId="2A84B24E" w:rsidR="008147E6" w:rsidRDefault="005E4837" w:rsidP="005E4837">
      <w:pPr>
        <w:spacing w:after="160" w:line="259" w:lineRule="auto"/>
        <w:jc w:val="both"/>
      </w:pPr>
      <w:r>
        <w:lastRenderedPageBreak/>
        <w:t>Co se týče</w:t>
      </w:r>
      <w:r w:rsidRPr="0055324F">
        <w:t xml:space="preserve"> </w:t>
      </w:r>
      <w:r w:rsidRPr="00CA641E">
        <w:rPr>
          <w:b/>
        </w:rPr>
        <w:t>bezpečnost</w:t>
      </w:r>
      <w:r>
        <w:rPr>
          <w:b/>
        </w:rPr>
        <w:t>i spojené</w:t>
      </w:r>
      <w:r w:rsidRPr="00CA641E">
        <w:rPr>
          <w:b/>
        </w:rPr>
        <w:t xml:space="preserve"> s automobilovou </w:t>
      </w:r>
      <w:r w:rsidRPr="006D5416">
        <w:rPr>
          <w:b/>
        </w:rPr>
        <w:t>dopravou</w:t>
      </w:r>
      <w:r w:rsidRPr="006D5416">
        <w:t xml:space="preserve">, v obci není nainstalován radar </w:t>
      </w:r>
      <w:r w:rsidRPr="006D5416">
        <w:br/>
        <w:t>na měření rychlosti automobilů</w:t>
      </w:r>
      <w:r w:rsidR="00CA2764">
        <w:t>.</w:t>
      </w:r>
    </w:p>
    <w:p w14:paraId="2F32BCF4" w14:textId="77777777" w:rsidR="008637A1" w:rsidRDefault="008637A1" w:rsidP="008637A1">
      <w:pPr>
        <w:spacing w:after="160" w:line="259" w:lineRule="auto"/>
        <w:jc w:val="both"/>
      </w:pPr>
    </w:p>
    <w:p w14:paraId="4887B9DA" w14:textId="77777777" w:rsidR="008147E6" w:rsidRDefault="008147E6" w:rsidP="00814D5A">
      <w:pPr>
        <w:pStyle w:val="Nadpis4"/>
      </w:pPr>
      <w:bookmarkStart w:id="436" w:name="_Toc413418385"/>
      <w:bookmarkStart w:id="437" w:name="_Toc440566364"/>
      <w:bookmarkStart w:id="438" w:name="_Toc441227515"/>
      <w:bookmarkStart w:id="439" w:name="_Toc32580136"/>
      <w:bookmarkStart w:id="440" w:name="_Toc120652161"/>
      <w:r>
        <w:t>2.1.7.4 Partnerství obce</w:t>
      </w:r>
      <w:bookmarkEnd w:id="436"/>
      <w:bookmarkEnd w:id="437"/>
      <w:bookmarkEnd w:id="438"/>
      <w:bookmarkEnd w:id="439"/>
      <w:bookmarkEnd w:id="440"/>
    </w:p>
    <w:p w14:paraId="19F1B88A" w14:textId="0C12C5F2" w:rsidR="008147E6" w:rsidRDefault="008147E6" w:rsidP="008147E6">
      <w:pPr>
        <w:spacing w:after="160" w:line="259" w:lineRule="auto"/>
        <w:jc w:val="both"/>
      </w:pPr>
      <w:r>
        <w:t xml:space="preserve">Partnerstvím je myšleno jednak zapojení </w:t>
      </w:r>
      <w:r w:rsidRPr="00FC79F1">
        <w:t xml:space="preserve">obce </w:t>
      </w:r>
      <w:r w:rsidR="008A79F3">
        <w:t>Staré Buky</w:t>
      </w:r>
      <w:r w:rsidRPr="00FC79F1">
        <w:t xml:space="preserve"> do</w:t>
      </w:r>
      <w:r>
        <w:t xml:space="preserve"> organizací, sdružení, svazků obcí apod., dále spolupráce se subjekty v rámci obce i mimo území obce.</w:t>
      </w:r>
    </w:p>
    <w:p w14:paraId="69413F87" w14:textId="77777777" w:rsidR="008147E6" w:rsidRDefault="008147E6" w:rsidP="008147E6">
      <w:pPr>
        <w:spacing w:after="160" w:line="259" w:lineRule="auto"/>
        <w:jc w:val="both"/>
      </w:pPr>
    </w:p>
    <w:p w14:paraId="072EFD21" w14:textId="77777777" w:rsidR="008147E6" w:rsidRPr="003622A0" w:rsidRDefault="008147E6" w:rsidP="008147E6">
      <w:pPr>
        <w:spacing w:after="160" w:line="259" w:lineRule="auto"/>
        <w:jc w:val="both"/>
        <w:rPr>
          <w:u w:val="single"/>
        </w:rPr>
      </w:pPr>
      <w:r w:rsidRPr="003622A0">
        <w:rPr>
          <w:u w:val="single"/>
        </w:rPr>
        <w:t>Spolupráce se subjekty v rámci obce</w:t>
      </w:r>
    </w:p>
    <w:p w14:paraId="2995FBAB" w14:textId="32EE0FAF" w:rsidR="008147E6" w:rsidRDefault="00FE39B0" w:rsidP="008147E6">
      <w:pPr>
        <w:spacing w:after="160" w:line="259" w:lineRule="auto"/>
        <w:jc w:val="both"/>
        <w:rPr>
          <w:rFonts w:eastAsia="RWXLTG+TimesNewRoman" w:cs="RWXLTG+TimesNewRoman"/>
          <w:bCs/>
        </w:rPr>
      </w:pPr>
      <w:r w:rsidRPr="00784EB9">
        <w:rPr>
          <w:rFonts w:eastAsia="RWXLTG+TimesNewRoman" w:cs="RWXLTG+TimesNewRoman"/>
          <w:bCs/>
        </w:rPr>
        <w:t xml:space="preserve">Spolupráce se </w:t>
      </w:r>
      <w:r w:rsidR="00071F08" w:rsidRPr="00784EB9">
        <w:rPr>
          <w:rFonts w:eastAsia="RWXLTG+TimesNewRoman" w:cs="RWXLTG+TimesNewRoman"/>
          <w:bCs/>
        </w:rPr>
        <w:t xml:space="preserve">spolky </w:t>
      </w:r>
      <w:r w:rsidR="00071F08" w:rsidRPr="00784EB9">
        <w:t>Myslivecký spolek Staré Buky a Tělovýchovná jednota Sokol Staré Buky, z.s.</w:t>
      </w:r>
      <w:r w:rsidR="00784EB9" w:rsidRPr="00784EB9">
        <w:t xml:space="preserve"> </w:t>
      </w:r>
      <w:r w:rsidRPr="00784EB9">
        <w:rPr>
          <w:rFonts w:eastAsia="RWXLTG+TimesNewRoman" w:cs="RWXLTG+TimesNewRoman"/>
          <w:bCs/>
        </w:rPr>
        <w:t xml:space="preserve">je z pohledu obecního úřadu </w:t>
      </w:r>
      <w:r w:rsidR="009034EF" w:rsidRPr="00784EB9">
        <w:rPr>
          <w:rFonts w:eastAsia="RWXLTG+TimesNewRoman" w:cs="RWXLTG+TimesNewRoman"/>
          <w:bCs/>
        </w:rPr>
        <w:t xml:space="preserve">vnímána jako </w:t>
      </w:r>
      <w:r w:rsidR="006D5416" w:rsidRPr="00784EB9">
        <w:rPr>
          <w:rFonts w:eastAsia="RWXLTG+TimesNewRoman" w:cs="RWXLTG+TimesNewRoman"/>
          <w:bCs/>
        </w:rPr>
        <w:t>velmi dobrá.</w:t>
      </w:r>
      <w:r>
        <w:rPr>
          <w:rFonts w:eastAsia="RWXLTG+TimesNewRoman" w:cs="RWXLTG+TimesNewRoman"/>
          <w:bCs/>
        </w:rPr>
        <w:t xml:space="preserve"> </w:t>
      </w:r>
    </w:p>
    <w:p w14:paraId="5D1CD3F8" w14:textId="77777777" w:rsidR="009034EF" w:rsidRDefault="009034EF" w:rsidP="008147E6">
      <w:pPr>
        <w:spacing w:after="160" w:line="259" w:lineRule="auto"/>
        <w:jc w:val="both"/>
        <w:rPr>
          <w:bCs/>
        </w:rPr>
      </w:pPr>
    </w:p>
    <w:p w14:paraId="79E49134" w14:textId="77777777" w:rsidR="008147E6" w:rsidRPr="00E16B17" w:rsidRDefault="008147E6" w:rsidP="008147E6">
      <w:pPr>
        <w:spacing w:after="160" w:line="259" w:lineRule="auto"/>
        <w:jc w:val="both"/>
        <w:rPr>
          <w:u w:val="single"/>
        </w:rPr>
      </w:pPr>
      <w:r w:rsidRPr="00E16B17">
        <w:rPr>
          <w:u w:val="single"/>
        </w:rPr>
        <w:t xml:space="preserve">Spolupráce se subjekty mimo </w:t>
      </w:r>
      <w:r>
        <w:rPr>
          <w:u w:val="single"/>
        </w:rPr>
        <w:t>obec</w:t>
      </w:r>
    </w:p>
    <w:p w14:paraId="50A38009" w14:textId="4FB2AA36" w:rsidR="00916B13" w:rsidRDefault="00916B13" w:rsidP="00916B13">
      <w:pPr>
        <w:spacing w:after="160" w:line="259" w:lineRule="auto"/>
        <w:jc w:val="both"/>
      </w:pPr>
      <w:r w:rsidRPr="00CE0E12">
        <w:t xml:space="preserve">Obec </w:t>
      </w:r>
      <w:r w:rsidR="008A79F3">
        <w:t>Staré Buky</w:t>
      </w:r>
      <w:r w:rsidRPr="00CE0E12">
        <w:t xml:space="preserve"> nemá partnerskou obec v České republice, ani v zahraničí. </w:t>
      </w:r>
      <w:r w:rsidR="00622A58" w:rsidRPr="00CE0E12">
        <w:t>Neznamená to však, že by nespolupracovala s jinými obcemi.</w:t>
      </w:r>
      <w:r w:rsidR="00784EB9">
        <w:t xml:space="preserve"> Spolupráce s okolními obcemi je </w:t>
      </w:r>
      <w:r w:rsidR="00784EB9" w:rsidRPr="00784EB9">
        <w:rPr>
          <w:rFonts w:eastAsia="RWXLTG+TimesNewRoman" w:cs="RWXLTG+TimesNewRoman"/>
          <w:bCs/>
        </w:rPr>
        <w:t>z pohledu obecního úřadu vnímána jako velmi dobrá</w:t>
      </w:r>
      <w:r w:rsidR="00784EB9">
        <w:rPr>
          <w:rFonts w:eastAsia="RWXLTG+TimesNewRoman" w:cs="RWXLTG+TimesNewRoman"/>
          <w:bCs/>
        </w:rPr>
        <w:t>.</w:t>
      </w:r>
    </w:p>
    <w:p w14:paraId="2B73B4C2" w14:textId="77777777" w:rsidR="00916B13" w:rsidRDefault="00916B13" w:rsidP="00916B13">
      <w:pPr>
        <w:spacing w:after="160" w:line="259" w:lineRule="auto"/>
        <w:jc w:val="both"/>
      </w:pPr>
    </w:p>
    <w:p w14:paraId="10EA4800" w14:textId="77777777" w:rsidR="00916B13" w:rsidRPr="00A03660" w:rsidRDefault="00916B13" w:rsidP="00916B13">
      <w:pPr>
        <w:spacing w:after="160" w:line="259" w:lineRule="auto"/>
        <w:jc w:val="both"/>
        <w:rPr>
          <w:u w:val="single"/>
        </w:rPr>
      </w:pPr>
      <w:r w:rsidRPr="0064593B">
        <w:rPr>
          <w:u w:val="single"/>
        </w:rPr>
        <w:t>Členství v zájmových sdruženích</w:t>
      </w:r>
      <w:r w:rsidRPr="00A03660">
        <w:rPr>
          <w:u w:val="single"/>
        </w:rPr>
        <w:t xml:space="preserve"> a organizacích</w:t>
      </w:r>
    </w:p>
    <w:p w14:paraId="15FDF3B2" w14:textId="5E996565" w:rsidR="00716A5C" w:rsidRDefault="00622A58" w:rsidP="00622A58">
      <w:pPr>
        <w:spacing w:after="160" w:line="259" w:lineRule="auto"/>
        <w:jc w:val="both"/>
      </w:pPr>
      <w:r>
        <w:rPr>
          <w:b/>
        </w:rPr>
        <w:t>Obec</w:t>
      </w:r>
      <w:r w:rsidRPr="001D135D">
        <w:rPr>
          <w:b/>
        </w:rPr>
        <w:t xml:space="preserve"> sice není členem Místní akční skupiny (MAS) </w:t>
      </w:r>
      <w:r w:rsidR="0080665A" w:rsidRPr="0080665A">
        <w:rPr>
          <w:b/>
        </w:rPr>
        <w:t>Království - Jestřebí hory, o.p.s.</w:t>
      </w:r>
      <w:r w:rsidRPr="001D135D">
        <w:rPr>
          <w:b/>
        </w:rPr>
        <w:t xml:space="preserve">, nicméně územní působnost MAS území </w:t>
      </w:r>
      <w:r>
        <w:rPr>
          <w:b/>
        </w:rPr>
        <w:t xml:space="preserve">obce </w:t>
      </w:r>
      <w:r w:rsidR="0080665A">
        <w:rPr>
          <w:b/>
        </w:rPr>
        <w:t>Staré Buky</w:t>
      </w:r>
      <w:r w:rsidRPr="001D135D">
        <w:rPr>
          <w:b/>
        </w:rPr>
        <w:t xml:space="preserve"> pokrývá</w:t>
      </w:r>
      <w:r>
        <w:t xml:space="preserve">. </w:t>
      </w:r>
      <w:r w:rsidR="0080665A">
        <w:t>MAS byla založena za účelem poskytování obecně prospěšných služeb, jejichž cílem je rozvoj regionu, který MAS Království – Jestřebí hory, o.p.s. pokrývá</w:t>
      </w:r>
      <w:r w:rsidR="0080665A">
        <w:rPr>
          <w:rStyle w:val="Znakapoznpodarou"/>
        </w:rPr>
        <w:footnoteReference w:id="69"/>
      </w:r>
      <w:r w:rsidR="0080665A">
        <w:t>.</w:t>
      </w:r>
    </w:p>
    <w:p w14:paraId="3DD3C97B" w14:textId="46D938FE" w:rsidR="00FF7186" w:rsidRDefault="00FF7186" w:rsidP="00622A58">
      <w:pPr>
        <w:spacing w:after="160" w:line="259" w:lineRule="auto"/>
        <w:jc w:val="both"/>
      </w:pPr>
      <w:r>
        <w:br w:type="page"/>
      </w:r>
    </w:p>
    <w:p w14:paraId="4A2C4EAD" w14:textId="77777777" w:rsidR="008147E6" w:rsidRDefault="008147E6" w:rsidP="00814D5A">
      <w:pPr>
        <w:pStyle w:val="Nadpis2"/>
      </w:pPr>
      <w:bookmarkStart w:id="441" w:name="_Toc413418386"/>
      <w:bookmarkStart w:id="442" w:name="_Toc440566365"/>
      <w:bookmarkStart w:id="443" w:name="_Toc441227516"/>
      <w:bookmarkStart w:id="444" w:name="_Toc32580137"/>
      <w:bookmarkStart w:id="445" w:name="_Toc120652162"/>
      <w:r>
        <w:lastRenderedPageBreak/>
        <w:t>2.2 Zhodnocení dotazníkového šetření</w:t>
      </w:r>
      <w:bookmarkEnd w:id="441"/>
      <w:bookmarkEnd w:id="442"/>
      <w:bookmarkEnd w:id="443"/>
      <w:bookmarkEnd w:id="444"/>
      <w:bookmarkEnd w:id="445"/>
    </w:p>
    <w:p w14:paraId="20D315DF" w14:textId="0E809602" w:rsidR="008147E6" w:rsidRDefault="0001568D" w:rsidP="008147E6">
      <w:pPr>
        <w:spacing w:after="160" w:line="259" w:lineRule="auto"/>
        <w:jc w:val="both"/>
      </w:pPr>
      <w:r>
        <w:t xml:space="preserve">Dotazníkové šetření bylo realizováno v průběhu </w:t>
      </w:r>
      <w:r w:rsidR="00807538">
        <w:t>dubna a května</w:t>
      </w:r>
      <w:r>
        <w:t xml:space="preserve"> 202</w:t>
      </w:r>
      <w:r w:rsidR="00807538">
        <w:t>2</w:t>
      </w:r>
      <w:r>
        <w:t xml:space="preserve">. Občané a subjekty působící v obci měli k dispozici dvě varianty, jak dotazník vyplnit – dotazník byl v papírové podobě distribuován do schránek jednotlivých domácností a dotazník bylo možné vyplnit on-line přímo na internetových stránkách. Dotazník obsahoval celkem </w:t>
      </w:r>
      <w:r w:rsidR="00942E87">
        <w:t>19</w:t>
      </w:r>
      <w:r>
        <w:t xml:space="preserve"> otázek:</w:t>
      </w:r>
    </w:p>
    <w:p w14:paraId="5CFAC960" w14:textId="77777777" w:rsidR="00920B93" w:rsidRPr="00626C21" w:rsidRDefault="00920B93" w:rsidP="00920B93">
      <w:pPr>
        <w:spacing w:after="120"/>
        <w:jc w:val="both"/>
        <w:rPr>
          <w:rFonts w:cstheme="minorHAnsi"/>
          <w:b/>
        </w:rPr>
      </w:pPr>
      <w:r>
        <w:rPr>
          <w:rFonts w:cstheme="minorHAnsi"/>
          <w:b/>
        </w:rPr>
        <w:t xml:space="preserve">1) Jak se Vám v obci </w:t>
      </w:r>
      <w:r w:rsidRPr="00626C21">
        <w:rPr>
          <w:rFonts w:cstheme="minorHAnsi"/>
          <w:b/>
        </w:rPr>
        <w:t>žije?</w:t>
      </w:r>
    </w:p>
    <w:p w14:paraId="1C0C5F03" w14:textId="77777777" w:rsidR="00920B93" w:rsidRPr="00626C21" w:rsidRDefault="00920B93" w:rsidP="00920B93">
      <w:pPr>
        <w:spacing w:after="120"/>
        <w:jc w:val="both"/>
        <w:rPr>
          <w:rFonts w:cstheme="minorHAnsi"/>
          <w:b/>
        </w:rPr>
      </w:pPr>
      <w:r>
        <w:rPr>
          <w:rFonts w:cstheme="minorHAnsi"/>
          <w:b/>
        </w:rPr>
        <w:t xml:space="preserve">2) Co se Vám na Vaší obci </w:t>
      </w:r>
      <w:r w:rsidRPr="00626C21">
        <w:rPr>
          <w:rFonts w:cstheme="minorHAnsi"/>
          <w:b/>
        </w:rPr>
        <w:t>nejvíce líbí?</w:t>
      </w:r>
    </w:p>
    <w:p w14:paraId="21A5C897" w14:textId="77777777" w:rsidR="00920B93" w:rsidRPr="00626C21" w:rsidRDefault="00920B93" w:rsidP="00920B93">
      <w:pPr>
        <w:spacing w:after="120"/>
        <w:jc w:val="both"/>
        <w:rPr>
          <w:rFonts w:cstheme="minorHAnsi"/>
          <w:b/>
        </w:rPr>
      </w:pPr>
      <w:r w:rsidRPr="00626C21">
        <w:rPr>
          <w:rFonts w:cstheme="minorHAnsi"/>
          <w:b/>
        </w:rPr>
        <w:t xml:space="preserve">3) </w:t>
      </w:r>
      <w:r>
        <w:rPr>
          <w:rFonts w:cstheme="minorHAnsi"/>
          <w:b/>
          <w:lang w:eastAsia="cs-CZ"/>
        </w:rPr>
        <w:t xml:space="preserve">Co se Vám na Vaší obci </w:t>
      </w:r>
      <w:r w:rsidRPr="00626C21">
        <w:rPr>
          <w:rFonts w:cstheme="minorHAnsi"/>
          <w:b/>
          <w:lang w:eastAsia="cs-CZ"/>
        </w:rPr>
        <w:t>nelíbí?</w:t>
      </w:r>
    </w:p>
    <w:p w14:paraId="700CFBCE" w14:textId="77777777" w:rsidR="00920B93" w:rsidRPr="00626C21" w:rsidRDefault="00920B93" w:rsidP="00920B93">
      <w:pPr>
        <w:spacing w:after="120"/>
        <w:jc w:val="both"/>
        <w:rPr>
          <w:rFonts w:cstheme="minorHAnsi"/>
          <w:b/>
        </w:rPr>
      </w:pPr>
      <w:r w:rsidRPr="00626C21">
        <w:rPr>
          <w:rFonts w:cstheme="minorHAnsi"/>
          <w:b/>
        </w:rPr>
        <w:t xml:space="preserve">4) </w:t>
      </w:r>
      <w:r w:rsidRPr="00626C21">
        <w:rPr>
          <w:rFonts w:cstheme="minorHAnsi"/>
          <w:b/>
          <w:lang w:eastAsia="cs-CZ"/>
        </w:rPr>
        <w:t xml:space="preserve">Jaké </w:t>
      </w:r>
      <w:r>
        <w:rPr>
          <w:rFonts w:cstheme="minorHAnsi"/>
          <w:b/>
          <w:lang w:eastAsia="cs-CZ"/>
        </w:rPr>
        <w:t xml:space="preserve">služby Vám v obci </w:t>
      </w:r>
      <w:r w:rsidRPr="00626C21">
        <w:rPr>
          <w:rFonts w:cstheme="minorHAnsi"/>
          <w:b/>
          <w:lang w:eastAsia="cs-CZ"/>
        </w:rPr>
        <w:t>nejvíce chybí?</w:t>
      </w:r>
    </w:p>
    <w:p w14:paraId="3D24FB75" w14:textId="77777777" w:rsidR="00920B93" w:rsidRPr="00626C21" w:rsidRDefault="00920B93" w:rsidP="00920B93">
      <w:pPr>
        <w:spacing w:after="120"/>
        <w:jc w:val="both"/>
        <w:rPr>
          <w:rFonts w:cstheme="minorHAnsi"/>
          <w:b/>
        </w:rPr>
      </w:pPr>
      <w:r w:rsidRPr="00626C21">
        <w:rPr>
          <w:rFonts w:cstheme="minorHAnsi"/>
          <w:b/>
        </w:rPr>
        <w:t xml:space="preserve">5) </w:t>
      </w:r>
      <w:r w:rsidRPr="00626C21">
        <w:rPr>
          <w:rFonts w:cstheme="minorHAnsi"/>
          <w:b/>
          <w:lang w:eastAsia="cs-CZ"/>
        </w:rPr>
        <w:t xml:space="preserve">Pokuste se zhodnotit </w:t>
      </w:r>
      <w:r>
        <w:rPr>
          <w:rFonts w:cstheme="minorHAnsi"/>
          <w:b/>
          <w:lang w:eastAsia="cs-CZ"/>
        </w:rPr>
        <w:t>obec</w:t>
      </w:r>
      <w:r w:rsidRPr="00626C21">
        <w:rPr>
          <w:rFonts w:cstheme="minorHAnsi"/>
          <w:b/>
          <w:lang w:eastAsia="cs-CZ"/>
        </w:rPr>
        <w:t xml:space="preserve"> z hlediska </w:t>
      </w:r>
      <w:r>
        <w:rPr>
          <w:rFonts w:cstheme="minorHAnsi"/>
          <w:b/>
          <w:lang w:eastAsia="cs-CZ"/>
        </w:rPr>
        <w:t xml:space="preserve">níže </w:t>
      </w:r>
      <w:r w:rsidRPr="00626C21">
        <w:rPr>
          <w:rFonts w:cstheme="minorHAnsi"/>
          <w:b/>
          <w:lang w:eastAsia="cs-CZ"/>
        </w:rPr>
        <w:t>uvedených podmínek (v každém řádku zakroužkujte číslici, která odpovídá míře Vaší spokojenosti)</w:t>
      </w:r>
    </w:p>
    <w:p w14:paraId="4ECF8774" w14:textId="77777777" w:rsidR="00920B93" w:rsidRPr="00626C21" w:rsidRDefault="00920B93" w:rsidP="00920B93">
      <w:pPr>
        <w:spacing w:after="120"/>
        <w:jc w:val="both"/>
        <w:rPr>
          <w:rFonts w:cstheme="minorHAnsi"/>
          <w:b/>
        </w:rPr>
      </w:pPr>
      <w:r w:rsidRPr="00626C21">
        <w:rPr>
          <w:rFonts w:cstheme="minorHAnsi"/>
          <w:b/>
        </w:rPr>
        <w:t xml:space="preserve">6) </w:t>
      </w:r>
      <w:r>
        <w:rPr>
          <w:rFonts w:cstheme="minorHAnsi"/>
          <w:b/>
          <w:lang w:eastAsia="cs-CZ"/>
        </w:rPr>
        <w:t xml:space="preserve">Mezilidské vztahy v obci </w:t>
      </w:r>
      <w:r w:rsidRPr="00626C21">
        <w:rPr>
          <w:rFonts w:cstheme="minorHAnsi"/>
          <w:b/>
          <w:lang w:eastAsia="cs-CZ"/>
        </w:rPr>
        <w:t>považujete za:</w:t>
      </w:r>
    </w:p>
    <w:p w14:paraId="0A8C3FB7" w14:textId="77777777" w:rsidR="00920B93" w:rsidRPr="00626C21" w:rsidRDefault="00920B93" w:rsidP="00920B93">
      <w:pPr>
        <w:spacing w:after="120"/>
        <w:jc w:val="both"/>
        <w:rPr>
          <w:rFonts w:cstheme="minorHAnsi"/>
          <w:b/>
        </w:rPr>
      </w:pPr>
      <w:r w:rsidRPr="00626C21">
        <w:rPr>
          <w:rFonts w:cstheme="minorHAnsi"/>
          <w:b/>
        </w:rPr>
        <w:t xml:space="preserve">7) </w:t>
      </w:r>
      <w:r w:rsidRPr="00626C21">
        <w:rPr>
          <w:rFonts w:cstheme="minorHAnsi"/>
          <w:b/>
          <w:lang w:eastAsia="cs-CZ"/>
        </w:rPr>
        <w:t xml:space="preserve">Myslíte si, že obyvatelé </w:t>
      </w:r>
      <w:r>
        <w:rPr>
          <w:rFonts w:cstheme="minorHAnsi"/>
          <w:b/>
          <w:lang w:eastAsia="cs-CZ"/>
        </w:rPr>
        <w:t>obce</w:t>
      </w:r>
      <w:r w:rsidRPr="00626C21">
        <w:rPr>
          <w:rFonts w:cstheme="minorHAnsi"/>
          <w:b/>
          <w:lang w:eastAsia="cs-CZ"/>
        </w:rPr>
        <w:t xml:space="preserve"> mají dostatek příležitostí ke vzájemným společenským </w:t>
      </w:r>
      <w:r w:rsidRPr="00626C21">
        <w:rPr>
          <w:rFonts w:cstheme="minorHAnsi"/>
          <w:b/>
          <w:bCs/>
        </w:rPr>
        <w:t>kontaktům?</w:t>
      </w:r>
    </w:p>
    <w:p w14:paraId="41750966" w14:textId="77777777" w:rsidR="00920B93" w:rsidRPr="00626C21" w:rsidRDefault="00920B93" w:rsidP="00920B93">
      <w:pPr>
        <w:spacing w:after="120"/>
        <w:jc w:val="both"/>
        <w:rPr>
          <w:rFonts w:cstheme="minorHAnsi"/>
          <w:b/>
        </w:rPr>
      </w:pPr>
      <w:r w:rsidRPr="00626C21">
        <w:rPr>
          <w:rFonts w:cstheme="minorHAnsi"/>
          <w:b/>
        </w:rPr>
        <w:t xml:space="preserve">8) </w:t>
      </w:r>
      <w:r w:rsidRPr="00626C21">
        <w:rPr>
          <w:rFonts w:cstheme="minorHAnsi"/>
          <w:b/>
          <w:lang w:eastAsia="cs-CZ"/>
        </w:rPr>
        <w:t>Jaké komunikační kanály Vám nejvíce vyhovují?</w:t>
      </w:r>
    </w:p>
    <w:p w14:paraId="41F6778E" w14:textId="77777777" w:rsidR="00920B93" w:rsidRPr="00626C21" w:rsidRDefault="00920B93" w:rsidP="00920B93">
      <w:pPr>
        <w:spacing w:after="120"/>
        <w:jc w:val="both"/>
        <w:rPr>
          <w:rFonts w:cstheme="minorHAnsi"/>
          <w:b/>
        </w:rPr>
      </w:pPr>
      <w:r w:rsidRPr="00626C21">
        <w:rPr>
          <w:rFonts w:cstheme="minorHAnsi"/>
          <w:b/>
        </w:rPr>
        <w:t xml:space="preserve">9) </w:t>
      </w:r>
      <w:r>
        <w:rPr>
          <w:rFonts w:cstheme="minorHAnsi"/>
          <w:b/>
          <w:lang w:eastAsia="cs-CZ"/>
        </w:rPr>
        <w:t xml:space="preserve">Sledujete informace o dění v obci </w:t>
      </w:r>
      <w:r w:rsidRPr="00626C21">
        <w:rPr>
          <w:rFonts w:cstheme="minorHAnsi"/>
          <w:b/>
          <w:lang w:eastAsia="cs-CZ"/>
        </w:rPr>
        <w:t>na webových stránkách?</w:t>
      </w:r>
    </w:p>
    <w:p w14:paraId="275552D6" w14:textId="77777777" w:rsidR="00920B93" w:rsidRPr="00626C21" w:rsidRDefault="00920B93" w:rsidP="00920B93">
      <w:pPr>
        <w:spacing w:after="120"/>
        <w:jc w:val="both"/>
        <w:rPr>
          <w:rFonts w:cstheme="minorHAnsi"/>
          <w:b/>
        </w:rPr>
      </w:pPr>
      <w:r w:rsidRPr="00626C21">
        <w:rPr>
          <w:rFonts w:cstheme="minorHAnsi"/>
          <w:b/>
        </w:rPr>
        <w:t xml:space="preserve">10) </w:t>
      </w:r>
      <w:r w:rsidRPr="00626C21">
        <w:rPr>
          <w:rFonts w:cstheme="minorHAnsi"/>
          <w:b/>
          <w:lang w:eastAsia="cs-CZ"/>
        </w:rPr>
        <w:t>Jste ochoten/ocho</w:t>
      </w:r>
      <w:r>
        <w:rPr>
          <w:rFonts w:cstheme="minorHAnsi"/>
          <w:b/>
          <w:lang w:eastAsia="cs-CZ"/>
        </w:rPr>
        <w:t>tna udělat něco pro rozvoj své obce</w:t>
      </w:r>
      <w:r w:rsidRPr="00626C21">
        <w:rPr>
          <w:rFonts w:cstheme="minorHAnsi"/>
          <w:b/>
          <w:lang w:eastAsia="cs-CZ"/>
        </w:rPr>
        <w:t>?</w:t>
      </w:r>
    </w:p>
    <w:p w14:paraId="0F57A3D4" w14:textId="77777777" w:rsidR="00920B93" w:rsidRPr="00626C21" w:rsidRDefault="00920B93" w:rsidP="00920B93">
      <w:pPr>
        <w:spacing w:after="120"/>
        <w:jc w:val="both"/>
        <w:rPr>
          <w:rFonts w:cstheme="minorHAnsi"/>
          <w:b/>
        </w:rPr>
      </w:pPr>
      <w:r w:rsidRPr="00626C21">
        <w:rPr>
          <w:rFonts w:cstheme="minorHAnsi"/>
          <w:b/>
        </w:rPr>
        <w:t xml:space="preserve">11) </w:t>
      </w:r>
      <w:r w:rsidRPr="00626C21">
        <w:rPr>
          <w:rFonts w:cstheme="minorHAnsi"/>
          <w:b/>
          <w:lang w:eastAsia="cs-CZ"/>
        </w:rPr>
        <w:t>Pokud ano, jak se můžete zapojit?</w:t>
      </w:r>
    </w:p>
    <w:p w14:paraId="3034A574" w14:textId="77777777" w:rsidR="00920B93" w:rsidRPr="00626C21" w:rsidRDefault="00920B93" w:rsidP="00920B93">
      <w:pPr>
        <w:spacing w:after="120"/>
        <w:jc w:val="both"/>
        <w:rPr>
          <w:rFonts w:cstheme="minorHAnsi"/>
          <w:b/>
        </w:rPr>
      </w:pPr>
      <w:r w:rsidRPr="00626C21">
        <w:rPr>
          <w:rFonts w:cstheme="minorHAnsi"/>
          <w:b/>
        </w:rPr>
        <w:t xml:space="preserve">12) </w:t>
      </w:r>
      <w:r w:rsidRPr="00626C21">
        <w:rPr>
          <w:rFonts w:cstheme="minorHAnsi"/>
          <w:b/>
          <w:lang w:eastAsia="cs-CZ"/>
        </w:rPr>
        <w:t>Představte si, že můžete rozhodnout o využití obecních finančních prostředků. Na co byste je přednostně využil/a?</w:t>
      </w:r>
    </w:p>
    <w:p w14:paraId="6EBC17C6" w14:textId="77777777" w:rsidR="00920B93" w:rsidRPr="00626C21" w:rsidRDefault="00920B93" w:rsidP="00920B93">
      <w:pPr>
        <w:spacing w:after="120"/>
        <w:jc w:val="both"/>
        <w:rPr>
          <w:rFonts w:cstheme="minorHAnsi"/>
          <w:b/>
        </w:rPr>
      </w:pPr>
      <w:r w:rsidRPr="00626C21">
        <w:rPr>
          <w:rFonts w:cstheme="minorHAnsi"/>
          <w:b/>
        </w:rPr>
        <w:t xml:space="preserve">13) </w:t>
      </w:r>
      <w:r w:rsidRPr="00626C21">
        <w:rPr>
          <w:rFonts w:cstheme="minorHAnsi"/>
          <w:b/>
          <w:lang w:eastAsia="cs-CZ"/>
        </w:rPr>
        <w:t>Obecné informace o respondentovi</w:t>
      </w:r>
    </w:p>
    <w:p w14:paraId="40E8EF74" w14:textId="77777777" w:rsidR="00920B93" w:rsidRPr="00626C21" w:rsidRDefault="00920B93" w:rsidP="00920B93">
      <w:pPr>
        <w:spacing w:after="120"/>
        <w:jc w:val="both"/>
        <w:rPr>
          <w:rFonts w:cstheme="minorHAnsi"/>
          <w:b/>
          <w:lang w:eastAsia="cs-CZ"/>
        </w:rPr>
      </w:pPr>
      <w:r w:rsidRPr="00626C21">
        <w:rPr>
          <w:rFonts w:cstheme="minorHAnsi"/>
          <w:b/>
        </w:rPr>
        <w:t xml:space="preserve">14) </w:t>
      </w:r>
      <w:r w:rsidRPr="00626C21">
        <w:rPr>
          <w:rFonts w:cstheme="minorHAnsi"/>
          <w:b/>
          <w:lang w:eastAsia="cs-CZ"/>
        </w:rPr>
        <w:t>Věk</w:t>
      </w:r>
    </w:p>
    <w:p w14:paraId="43371DF7" w14:textId="77777777" w:rsidR="00920B93" w:rsidRPr="00626C21" w:rsidRDefault="00920B93" w:rsidP="00920B93">
      <w:pPr>
        <w:spacing w:after="120"/>
        <w:jc w:val="both"/>
        <w:rPr>
          <w:rFonts w:cstheme="minorHAnsi"/>
          <w:b/>
          <w:lang w:eastAsia="cs-CZ"/>
        </w:rPr>
      </w:pPr>
      <w:r w:rsidRPr="00626C21">
        <w:rPr>
          <w:rFonts w:cstheme="minorHAnsi"/>
          <w:b/>
          <w:lang w:eastAsia="cs-CZ"/>
        </w:rPr>
        <w:t>15) Vaše vzdělání</w:t>
      </w:r>
    </w:p>
    <w:p w14:paraId="34856AFE" w14:textId="77A972D6" w:rsidR="00920B93" w:rsidRDefault="00920B93" w:rsidP="00920B93">
      <w:pPr>
        <w:spacing w:after="120"/>
        <w:jc w:val="both"/>
        <w:rPr>
          <w:rFonts w:cstheme="minorHAnsi"/>
          <w:b/>
          <w:lang w:eastAsia="cs-CZ"/>
        </w:rPr>
      </w:pPr>
      <w:r>
        <w:rPr>
          <w:rFonts w:cstheme="minorHAnsi"/>
          <w:b/>
          <w:lang w:eastAsia="cs-CZ"/>
        </w:rPr>
        <w:t xml:space="preserve">16) Jak dlouho v obci </w:t>
      </w:r>
      <w:r w:rsidRPr="00626C21">
        <w:rPr>
          <w:rFonts w:cstheme="minorHAnsi"/>
          <w:b/>
          <w:lang w:eastAsia="cs-CZ"/>
        </w:rPr>
        <w:t>žijete/působíte?</w:t>
      </w:r>
    </w:p>
    <w:p w14:paraId="29F79C69" w14:textId="47C276FC" w:rsidR="00B66B4F" w:rsidRPr="00626C21" w:rsidRDefault="00B66B4F" w:rsidP="00920B93">
      <w:pPr>
        <w:spacing w:after="120"/>
        <w:jc w:val="both"/>
        <w:rPr>
          <w:rFonts w:cstheme="minorHAnsi"/>
          <w:b/>
          <w:lang w:eastAsia="cs-CZ"/>
        </w:rPr>
      </w:pPr>
      <w:r>
        <w:rPr>
          <w:rFonts w:cstheme="minorHAnsi"/>
          <w:b/>
          <w:lang w:eastAsia="cs-CZ"/>
        </w:rPr>
        <w:t>1</w:t>
      </w:r>
      <w:r w:rsidR="00942E87">
        <w:rPr>
          <w:rFonts w:cstheme="minorHAnsi"/>
          <w:b/>
          <w:lang w:eastAsia="cs-CZ"/>
        </w:rPr>
        <w:t>7</w:t>
      </w:r>
      <w:r>
        <w:rPr>
          <w:rFonts w:cstheme="minorHAnsi"/>
          <w:b/>
          <w:lang w:eastAsia="cs-CZ"/>
        </w:rPr>
        <w:t>) Jsem trvale bydlící osoba či chatař/chalupář</w:t>
      </w:r>
    </w:p>
    <w:p w14:paraId="7D665914" w14:textId="759E93D8" w:rsidR="00920B93" w:rsidRPr="00626C21" w:rsidRDefault="00920B93" w:rsidP="00920B93">
      <w:pPr>
        <w:spacing w:after="120"/>
        <w:jc w:val="both"/>
        <w:rPr>
          <w:rFonts w:cstheme="minorHAnsi"/>
          <w:b/>
          <w:lang w:eastAsia="cs-CZ"/>
        </w:rPr>
      </w:pPr>
      <w:r w:rsidRPr="00626C21">
        <w:rPr>
          <w:rFonts w:cstheme="minorHAnsi"/>
          <w:b/>
          <w:lang w:eastAsia="cs-CZ"/>
        </w:rPr>
        <w:t>1</w:t>
      </w:r>
      <w:r w:rsidR="00942E87">
        <w:rPr>
          <w:rFonts w:cstheme="minorHAnsi"/>
          <w:b/>
          <w:lang w:eastAsia="cs-CZ"/>
        </w:rPr>
        <w:t>8</w:t>
      </w:r>
      <w:r w:rsidRPr="00626C21">
        <w:rPr>
          <w:rFonts w:cstheme="minorHAnsi"/>
          <w:b/>
          <w:lang w:eastAsia="cs-CZ"/>
        </w:rPr>
        <w:t>) Typ Vaší domácnosti</w:t>
      </w:r>
    </w:p>
    <w:p w14:paraId="5A74470E" w14:textId="12F50546" w:rsidR="00920B93" w:rsidRDefault="00942E87" w:rsidP="00920B93">
      <w:pPr>
        <w:spacing w:after="120"/>
        <w:jc w:val="both"/>
      </w:pPr>
      <w:r>
        <w:rPr>
          <w:rFonts w:cstheme="minorHAnsi"/>
          <w:b/>
          <w:lang w:eastAsia="cs-CZ"/>
        </w:rPr>
        <w:t>19</w:t>
      </w:r>
      <w:r w:rsidR="00920B93" w:rsidRPr="00626C21">
        <w:rPr>
          <w:rFonts w:cstheme="minorHAnsi"/>
          <w:b/>
          <w:lang w:eastAsia="cs-CZ"/>
        </w:rPr>
        <w:t>) Vaše další náměty, připomínky, komentáře</w:t>
      </w:r>
    </w:p>
    <w:p w14:paraId="39D6C86A" w14:textId="77777777" w:rsidR="008147E6" w:rsidRPr="00841F8B" w:rsidRDefault="008147E6" w:rsidP="008147E6">
      <w:pPr>
        <w:spacing w:after="160" w:line="259" w:lineRule="auto"/>
        <w:contextualSpacing/>
        <w:jc w:val="both"/>
        <w:rPr>
          <w:b/>
        </w:rPr>
      </w:pPr>
    </w:p>
    <w:p w14:paraId="6D652457" w14:textId="77777777" w:rsidR="00D20C96" w:rsidRPr="00494B79" w:rsidRDefault="00D20C96" w:rsidP="00D20C96">
      <w:pPr>
        <w:spacing w:after="160" w:line="259" w:lineRule="auto"/>
        <w:jc w:val="both"/>
        <w:rPr>
          <w:rFonts w:ascii="Calibri" w:eastAsia="Calibri" w:hAnsi="Calibri" w:cs="Times New Roman"/>
        </w:rPr>
      </w:pPr>
      <w:r w:rsidRPr="00494B79">
        <w:rPr>
          <w:rFonts w:ascii="Calibri" w:eastAsia="Calibri" w:hAnsi="Calibri" w:cs="Times New Roman"/>
        </w:rPr>
        <w:t>Kompletní znění dotazníku je náplní přílohy 2.</w:t>
      </w:r>
    </w:p>
    <w:p w14:paraId="5C3021C7" w14:textId="3CFD733C" w:rsidR="00D20C96" w:rsidRPr="00494B79" w:rsidRDefault="00D20C96" w:rsidP="00D20C96">
      <w:pPr>
        <w:spacing w:after="160" w:line="259" w:lineRule="auto"/>
        <w:jc w:val="both"/>
        <w:rPr>
          <w:rFonts w:ascii="Calibri" w:eastAsia="Calibri" w:hAnsi="Calibri" w:cs="Times New Roman"/>
        </w:rPr>
      </w:pPr>
      <w:r w:rsidRPr="00494B79">
        <w:rPr>
          <w:rFonts w:ascii="Calibri" w:eastAsia="Calibri" w:hAnsi="Calibri" w:cs="Times New Roman"/>
        </w:rPr>
        <w:t xml:space="preserve">Celkem bylo odevzdáno </w:t>
      </w:r>
      <w:r w:rsidR="00BF7F15">
        <w:rPr>
          <w:rFonts w:ascii="Calibri" w:eastAsia="Calibri" w:hAnsi="Calibri" w:cs="Times New Roman"/>
        </w:rPr>
        <w:t>12</w:t>
      </w:r>
      <w:r w:rsidR="00BB4B6D">
        <w:rPr>
          <w:rFonts w:ascii="Calibri" w:eastAsia="Calibri" w:hAnsi="Calibri" w:cs="Times New Roman"/>
        </w:rPr>
        <w:t>9</w:t>
      </w:r>
      <w:r w:rsidRPr="00494B79">
        <w:rPr>
          <w:rFonts w:ascii="Calibri" w:eastAsia="Calibri" w:hAnsi="Calibri" w:cs="Times New Roman"/>
        </w:rPr>
        <w:t xml:space="preserve"> vyplněných dotazníků. </w:t>
      </w:r>
      <w:r w:rsidR="00276661" w:rsidRPr="00494B79">
        <w:rPr>
          <w:rFonts w:ascii="Calibri" w:eastAsia="Calibri" w:hAnsi="Calibri" w:cs="Times New Roman"/>
        </w:rPr>
        <w:t xml:space="preserve">Za zmínku stojí, že </w:t>
      </w:r>
      <w:r w:rsidR="00276661">
        <w:rPr>
          <w:rFonts w:ascii="Calibri" w:eastAsia="Calibri" w:hAnsi="Calibri" w:cs="Times New Roman"/>
        </w:rPr>
        <w:t>121 krát byl</w:t>
      </w:r>
      <w:r w:rsidR="00276661" w:rsidRPr="00494B79">
        <w:rPr>
          <w:rFonts w:ascii="Calibri" w:eastAsia="Calibri" w:hAnsi="Calibri" w:cs="Times New Roman"/>
        </w:rPr>
        <w:t xml:space="preserve"> dotazník</w:t>
      </w:r>
      <w:r w:rsidR="00276661">
        <w:rPr>
          <w:rFonts w:ascii="Calibri" w:eastAsia="Calibri" w:hAnsi="Calibri" w:cs="Times New Roman"/>
        </w:rPr>
        <w:t xml:space="preserve"> </w:t>
      </w:r>
      <w:r w:rsidR="00276661" w:rsidRPr="00494B79">
        <w:rPr>
          <w:rFonts w:ascii="Calibri" w:eastAsia="Calibri" w:hAnsi="Calibri" w:cs="Times New Roman"/>
        </w:rPr>
        <w:t>v elektronické verzi pouze zobrazen</w:t>
      </w:r>
      <w:r w:rsidR="00276661">
        <w:rPr>
          <w:rFonts w:ascii="Calibri" w:eastAsia="Calibri" w:hAnsi="Calibri" w:cs="Times New Roman"/>
        </w:rPr>
        <w:t xml:space="preserve">. </w:t>
      </w:r>
      <w:r>
        <w:rPr>
          <w:rFonts w:ascii="Calibri" w:eastAsia="Calibri" w:hAnsi="Calibri" w:cs="Times New Roman"/>
        </w:rPr>
        <w:t xml:space="preserve">V obci </w:t>
      </w:r>
      <w:r w:rsidR="00BB4B6D">
        <w:rPr>
          <w:rFonts w:ascii="Calibri" w:eastAsia="Calibri" w:hAnsi="Calibri" w:cs="Times New Roman"/>
        </w:rPr>
        <w:t>Staré Buky</w:t>
      </w:r>
      <w:r w:rsidRPr="00494B79">
        <w:rPr>
          <w:rFonts w:ascii="Calibri" w:eastAsia="Calibri" w:hAnsi="Calibri" w:cs="Times New Roman"/>
        </w:rPr>
        <w:t xml:space="preserve"> žilo k 31. 12. 20</w:t>
      </w:r>
      <w:r w:rsidR="00BF7F15">
        <w:rPr>
          <w:rFonts w:ascii="Calibri" w:eastAsia="Calibri" w:hAnsi="Calibri" w:cs="Times New Roman"/>
        </w:rPr>
        <w:t>2</w:t>
      </w:r>
      <w:r w:rsidR="00BB4B6D">
        <w:rPr>
          <w:rFonts w:ascii="Calibri" w:eastAsia="Calibri" w:hAnsi="Calibri" w:cs="Times New Roman"/>
        </w:rPr>
        <w:t>1</w:t>
      </w:r>
      <w:r w:rsidRPr="00494B79">
        <w:rPr>
          <w:rFonts w:ascii="Calibri" w:eastAsia="Calibri" w:hAnsi="Calibri" w:cs="Times New Roman"/>
        </w:rPr>
        <w:t xml:space="preserve"> celkem </w:t>
      </w:r>
      <w:r w:rsidR="00BB4B6D">
        <w:rPr>
          <w:rFonts w:ascii="Calibri" w:eastAsia="Calibri" w:hAnsi="Calibri" w:cs="Times New Roman"/>
        </w:rPr>
        <w:t>648</w:t>
      </w:r>
      <w:r w:rsidRPr="00494B79">
        <w:rPr>
          <w:rFonts w:ascii="Calibri" w:eastAsia="Calibri" w:hAnsi="Calibri" w:cs="Times New Roman"/>
        </w:rPr>
        <w:t xml:space="preserve"> obyvatel. Ze sčítání lidu, domů a bytů 2011 plyne, že </w:t>
      </w:r>
      <w:r>
        <w:rPr>
          <w:rFonts w:ascii="Calibri" w:eastAsia="Calibri" w:hAnsi="Calibri" w:cs="Times New Roman"/>
        </w:rPr>
        <w:t>obec</w:t>
      </w:r>
      <w:r w:rsidRPr="00494B79">
        <w:rPr>
          <w:rFonts w:ascii="Calibri" w:eastAsia="Calibri" w:hAnsi="Calibri" w:cs="Times New Roman"/>
        </w:rPr>
        <w:t xml:space="preserve"> měl</w:t>
      </w:r>
      <w:r>
        <w:rPr>
          <w:rFonts w:ascii="Calibri" w:eastAsia="Calibri" w:hAnsi="Calibri" w:cs="Times New Roman"/>
        </w:rPr>
        <w:t>a</w:t>
      </w:r>
      <w:r w:rsidRPr="00494B79">
        <w:rPr>
          <w:rFonts w:ascii="Calibri" w:eastAsia="Calibri" w:hAnsi="Calibri" w:cs="Times New Roman"/>
        </w:rPr>
        <w:t xml:space="preserve"> k 26. 3. 2011 celkem </w:t>
      </w:r>
      <w:r w:rsidR="00BA1925">
        <w:rPr>
          <w:rFonts w:ascii="Calibri" w:eastAsia="Calibri" w:hAnsi="Calibri" w:cs="Times New Roman"/>
        </w:rPr>
        <w:t>17</w:t>
      </w:r>
      <w:r w:rsidR="00FD4282">
        <w:rPr>
          <w:rFonts w:ascii="Calibri" w:eastAsia="Calibri" w:hAnsi="Calibri" w:cs="Times New Roman"/>
        </w:rPr>
        <w:t>7</w:t>
      </w:r>
      <w:r w:rsidRPr="00494B79">
        <w:rPr>
          <w:rFonts w:ascii="Calibri" w:eastAsia="Calibri" w:hAnsi="Calibri" w:cs="Times New Roman"/>
        </w:rPr>
        <w:t xml:space="preserve"> bytových domácností. Z výše uvedených skutečností vyplývá, že návratnost dotazníku vztažená na jednoho obyvatele byla přibližně </w:t>
      </w:r>
      <w:r w:rsidR="00BA1925">
        <w:rPr>
          <w:rFonts w:ascii="Calibri" w:eastAsia="Calibri" w:hAnsi="Calibri" w:cs="Times New Roman"/>
        </w:rPr>
        <w:t>2</w:t>
      </w:r>
      <w:r w:rsidR="00F61644">
        <w:rPr>
          <w:rFonts w:ascii="Calibri" w:eastAsia="Calibri" w:hAnsi="Calibri" w:cs="Times New Roman"/>
        </w:rPr>
        <w:t>0</w:t>
      </w:r>
      <w:r w:rsidRPr="00494B79">
        <w:rPr>
          <w:rFonts w:ascii="Calibri" w:eastAsia="Calibri" w:hAnsi="Calibri" w:cs="Times New Roman"/>
        </w:rPr>
        <w:t xml:space="preserve"> % a návratnost vztažená na jednu domácnost se pohybovala </w:t>
      </w:r>
      <w:r w:rsidR="00BA1925">
        <w:rPr>
          <w:rFonts w:ascii="Calibri" w:eastAsia="Calibri" w:hAnsi="Calibri" w:cs="Times New Roman"/>
        </w:rPr>
        <w:t>okolo</w:t>
      </w:r>
      <w:r w:rsidRPr="00494B79">
        <w:rPr>
          <w:rFonts w:ascii="Calibri" w:eastAsia="Calibri" w:hAnsi="Calibri" w:cs="Times New Roman"/>
        </w:rPr>
        <w:t xml:space="preserve"> </w:t>
      </w:r>
      <w:r w:rsidR="00BA1925">
        <w:rPr>
          <w:rFonts w:ascii="Calibri" w:eastAsia="Calibri" w:hAnsi="Calibri" w:cs="Times New Roman"/>
        </w:rPr>
        <w:t>73</w:t>
      </w:r>
      <w:r w:rsidRPr="00494B79">
        <w:rPr>
          <w:rFonts w:ascii="Calibri" w:eastAsia="Calibri" w:hAnsi="Calibri" w:cs="Times New Roman"/>
        </w:rPr>
        <w:t xml:space="preserve"> %. </w:t>
      </w:r>
    </w:p>
    <w:p w14:paraId="6CFC8DA5" w14:textId="238987F5" w:rsidR="008147E6" w:rsidRDefault="00F43391" w:rsidP="00D20C96">
      <w:pPr>
        <w:spacing w:after="160" w:line="259" w:lineRule="auto"/>
        <w:jc w:val="both"/>
      </w:pPr>
      <w:r>
        <w:t>Není reálné, aby dotazník vyplnil každý</w:t>
      </w:r>
      <w:r w:rsidR="000121F4">
        <w:t>. U</w:t>
      </w:r>
      <w:r>
        <w:t xml:space="preserve">vedená návratnost </w:t>
      </w:r>
      <w:r w:rsidR="000121F4">
        <w:t xml:space="preserve">je </w:t>
      </w:r>
      <w:r>
        <w:t xml:space="preserve">na </w:t>
      </w:r>
      <w:r w:rsidR="000121F4">
        <w:t>velmi</w:t>
      </w:r>
      <w:r>
        <w:t xml:space="preserve"> dobré úrovni. Výsledky z dotazníkového šetření mohou být považovány jako názor reprezentativního vzorku či jako názor značného počtu lidí</w:t>
      </w:r>
      <w:r w:rsidR="00D20C96">
        <w:t>.</w:t>
      </w:r>
      <w:r w:rsidR="008147E6">
        <w:t xml:space="preserve"> </w:t>
      </w:r>
    </w:p>
    <w:p w14:paraId="2FD2F5B1" w14:textId="43AAA5C5" w:rsidR="008147E6" w:rsidRDefault="008147E6" w:rsidP="00843EC3">
      <w:pPr>
        <w:spacing w:line="259" w:lineRule="auto"/>
        <w:jc w:val="both"/>
        <w:rPr>
          <w:b/>
        </w:rPr>
      </w:pPr>
    </w:p>
    <w:p w14:paraId="04A64C4A" w14:textId="7AC95E90" w:rsidR="00496916" w:rsidRDefault="00496916" w:rsidP="00843EC3">
      <w:pPr>
        <w:spacing w:line="259" w:lineRule="auto"/>
        <w:jc w:val="both"/>
        <w:rPr>
          <w:b/>
        </w:rPr>
      </w:pPr>
    </w:p>
    <w:p w14:paraId="4B285FCA" w14:textId="77777777" w:rsidR="008147E6" w:rsidRDefault="008147E6" w:rsidP="008147E6">
      <w:pPr>
        <w:spacing w:after="160" w:line="259" w:lineRule="auto"/>
        <w:jc w:val="both"/>
        <w:rPr>
          <w:b/>
          <w:sz w:val="28"/>
          <w:szCs w:val="28"/>
        </w:rPr>
      </w:pPr>
      <w:r w:rsidRPr="005C24CC">
        <w:rPr>
          <w:b/>
          <w:sz w:val="28"/>
          <w:szCs w:val="28"/>
        </w:rPr>
        <w:lastRenderedPageBreak/>
        <w:t>Výsledky</w:t>
      </w:r>
    </w:p>
    <w:p w14:paraId="394FD50C" w14:textId="77777777" w:rsidR="00F47535" w:rsidRPr="00AE0FC9" w:rsidRDefault="00F47535" w:rsidP="00F47535">
      <w:pPr>
        <w:spacing w:after="160"/>
        <w:jc w:val="both"/>
        <w:rPr>
          <w:rFonts w:cstheme="minorHAnsi"/>
          <w:b/>
          <w:sz w:val="24"/>
          <w:szCs w:val="24"/>
          <w:u w:val="single"/>
        </w:rPr>
      </w:pPr>
      <w:r w:rsidRPr="00AE0FC9">
        <w:rPr>
          <w:rFonts w:cstheme="minorHAnsi"/>
          <w:b/>
          <w:sz w:val="24"/>
          <w:szCs w:val="24"/>
          <w:u w:val="single"/>
        </w:rPr>
        <w:t>Otázka č. 1: Jak se Vám v obci žije?</w:t>
      </w:r>
    </w:p>
    <w:p w14:paraId="46ACF298" w14:textId="7438A27A" w:rsidR="00F47535" w:rsidRDefault="00F47535" w:rsidP="00F47535">
      <w:pPr>
        <w:pStyle w:val="GRAF0"/>
      </w:pPr>
      <w:bookmarkStart w:id="446" w:name="_Toc480751830"/>
      <w:bookmarkStart w:id="447" w:name="_Toc507022160"/>
      <w:bookmarkStart w:id="448" w:name="_Toc32577916"/>
      <w:bookmarkStart w:id="449" w:name="_Toc104472759"/>
      <w:bookmarkStart w:id="450" w:name="_Toc120651993"/>
      <w:r w:rsidRPr="000E7B38">
        <w:t xml:space="preserve">Graf </w:t>
      </w:r>
      <w:r w:rsidR="000E7B38">
        <w:t>1</w:t>
      </w:r>
      <w:r w:rsidR="00512B2B">
        <w:t>4</w:t>
      </w:r>
      <w:r>
        <w:t xml:space="preserve">: </w:t>
      </w:r>
      <w:r w:rsidRPr="00F80C67">
        <w:t>Výsledky odpovědí u otázky č. 1</w:t>
      </w:r>
      <w:bookmarkEnd w:id="446"/>
      <w:bookmarkEnd w:id="447"/>
      <w:bookmarkEnd w:id="448"/>
      <w:bookmarkEnd w:id="449"/>
      <w:bookmarkEnd w:id="450"/>
    </w:p>
    <w:p w14:paraId="73E384C3" w14:textId="786A008C" w:rsidR="00F47535" w:rsidRDefault="00B21795" w:rsidP="00BA69D6">
      <w:pPr>
        <w:spacing w:after="60"/>
        <w:jc w:val="center"/>
      </w:pPr>
      <w:r>
        <w:rPr>
          <w:noProof/>
        </w:rPr>
        <w:drawing>
          <wp:inline distT="0" distB="0" distL="0" distR="0" wp14:anchorId="15A3EDA7" wp14:editId="1F98E159">
            <wp:extent cx="5069206" cy="3406140"/>
            <wp:effectExtent l="0" t="0" r="0" b="0"/>
            <wp:docPr id="22" name="Graf 22">
              <a:extLst xmlns:a="http://schemas.openxmlformats.org/drawingml/2006/main">
                <a:ext uri="{FF2B5EF4-FFF2-40B4-BE49-F238E27FC236}">
                  <a16:creationId xmlns:a16="http://schemas.microsoft.com/office/drawing/2014/main" id="{74F22614-1DDA-46AC-BA5E-9EDDFF277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A691AFB" w14:textId="0AE0D829" w:rsidR="00F47535" w:rsidRDefault="00F47535" w:rsidP="00F47535">
      <w:pPr>
        <w:spacing w:after="160"/>
        <w:jc w:val="both"/>
      </w:pPr>
      <w:r w:rsidRPr="00DE3F03">
        <w:rPr>
          <w:b/>
          <w:sz w:val="20"/>
          <w:szCs w:val="20"/>
        </w:rPr>
        <w:t>Poznámky:</w:t>
      </w:r>
      <w:r w:rsidRPr="00DE3F03">
        <w:rPr>
          <w:sz w:val="20"/>
          <w:szCs w:val="20"/>
        </w:rPr>
        <w:t xml:space="preserve"> </w:t>
      </w:r>
      <w:r w:rsidR="00032237">
        <w:rPr>
          <w:sz w:val="20"/>
          <w:szCs w:val="20"/>
        </w:rPr>
        <w:t>Otázka byla zodpovězena</w:t>
      </w:r>
      <w:r w:rsidR="00032237" w:rsidRPr="00DE3F03">
        <w:rPr>
          <w:sz w:val="20"/>
          <w:szCs w:val="20"/>
        </w:rPr>
        <w:t xml:space="preserve"> v každém odevzda</w:t>
      </w:r>
      <w:r w:rsidR="00032237">
        <w:rPr>
          <w:sz w:val="20"/>
          <w:szCs w:val="20"/>
        </w:rPr>
        <w:t xml:space="preserve">ném vyplněném dotazníku, tj. </w:t>
      </w:r>
      <w:r w:rsidR="00A62082">
        <w:rPr>
          <w:sz w:val="20"/>
          <w:szCs w:val="20"/>
        </w:rPr>
        <w:t>12</w:t>
      </w:r>
      <w:r w:rsidR="00B26889">
        <w:rPr>
          <w:sz w:val="20"/>
          <w:szCs w:val="20"/>
        </w:rPr>
        <w:t>9</w:t>
      </w:r>
      <w:r w:rsidR="00032237" w:rsidRPr="00DE3F03">
        <w:rPr>
          <w:sz w:val="20"/>
          <w:szCs w:val="20"/>
        </w:rPr>
        <w:t xml:space="preserve"> krát. Procentuální hodnota představuje podíl dané odpovědi z celkového počtu lidí/subjektů, kteří danou otázku zodpověděli.</w:t>
      </w:r>
    </w:p>
    <w:p w14:paraId="38F111F0" w14:textId="77777777" w:rsidR="00032237" w:rsidRDefault="00032237" w:rsidP="00F47535">
      <w:pPr>
        <w:spacing w:after="160" w:line="259" w:lineRule="auto"/>
        <w:jc w:val="both"/>
      </w:pPr>
    </w:p>
    <w:p w14:paraId="2D3D0FFD" w14:textId="2FC45E92" w:rsidR="00F47535" w:rsidRDefault="00F47535" w:rsidP="00F47535">
      <w:pPr>
        <w:spacing w:after="160" w:line="259" w:lineRule="auto"/>
        <w:jc w:val="both"/>
      </w:pPr>
      <w:r>
        <w:t xml:space="preserve">Téměř </w:t>
      </w:r>
      <w:r w:rsidR="00B26889">
        <w:t>85</w:t>
      </w:r>
      <w:r>
        <w:t xml:space="preserve"> % respondentů v dotazníku uvedlo, že se jim v obci žije velmi dobře (</w:t>
      </w:r>
      <w:r w:rsidR="00B26889">
        <w:t>36</w:t>
      </w:r>
      <w:r>
        <w:t xml:space="preserve"> %) či spíše dobře (</w:t>
      </w:r>
      <w:r w:rsidR="00B26889">
        <w:t>49</w:t>
      </w:r>
      <w:r>
        <w:t xml:space="preserve"> %). </w:t>
      </w:r>
      <w:r w:rsidR="00B26889">
        <w:t>18</w:t>
      </w:r>
      <w:r w:rsidR="00A62082">
        <w:t xml:space="preserve"> respondent</w:t>
      </w:r>
      <w:r w:rsidR="00B26889">
        <w:t>ů</w:t>
      </w:r>
      <w:r w:rsidR="00A62082">
        <w:t xml:space="preserve"> uvedl</w:t>
      </w:r>
      <w:r w:rsidR="00B26889">
        <w:t>o</w:t>
      </w:r>
      <w:r w:rsidR="00A62082">
        <w:t>, že se jim</w:t>
      </w:r>
      <w:r>
        <w:t xml:space="preserve"> v obci nežije ani dobře, ani špatně</w:t>
      </w:r>
      <w:r w:rsidR="00B26889">
        <w:t xml:space="preserve">. Pouze dva respondenti uvedli, že se jim v obci žije </w:t>
      </w:r>
      <w:r>
        <w:t>spíše špatně</w:t>
      </w:r>
      <w:r w:rsidR="00464CEA">
        <w:t>. Možnost</w:t>
      </w:r>
      <w:r>
        <w:t xml:space="preserve"> „velmi špatně“ nebyl</w:t>
      </w:r>
      <w:r w:rsidR="00464CEA">
        <w:t>a</w:t>
      </w:r>
      <w:r>
        <w:t xml:space="preserve"> označen</w:t>
      </w:r>
      <w:r w:rsidR="00464CEA">
        <w:t>a</w:t>
      </w:r>
      <w:r>
        <w:t xml:space="preserve"> ani jednou, což je pozitivní.</w:t>
      </w:r>
    </w:p>
    <w:p w14:paraId="1A9B19AE" w14:textId="2E6519C3" w:rsidR="00E62D16" w:rsidRDefault="00E62D16" w:rsidP="00F47535">
      <w:pPr>
        <w:spacing w:after="160" w:line="259" w:lineRule="auto"/>
        <w:jc w:val="both"/>
      </w:pPr>
      <w:r>
        <w:br w:type="page"/>
      </w:r>
    </w:p>
    <w:p w14:paraId="4B34E79A" w14:textId="77777777" w:rsidR="00F47535" w:rsidRPr="00AE0FC9" w:rsidRDefault="00F47535" w:rsidP="00F47535">
      <w:pPr>
        <w:spacing w:after="160"/>
        <w:rPr>
          <w:b/>
          <w:sz w:val="24"/>
          <w:szCs w:val="24"/>
          <w:u w:val="single"/>
        </w:rPr>
      </w:pPr>
      <w:r w:rsidRPr="00AE0FC9">
        <w:rPr>
          <w:rFonts w:cstheme="minorHAnsi"/>
          <w:b/>
          <w:sz w:val="24"/>
          <w:szCs w:val="24"/>
          <w:u w:val="single"/>
        </w:rPr>
        <w:lastRenderedPageBreak/>
        <w:t>Otázka č. 2: Co se Vám na Vaší obci nejvíce líbí?</w:t>
      </w:r>
    </w:p>
    <w:p w14:paraId="47A5CC0C" w14:textId="68596106" w:rsidR="00F47535" w:rsidRDefault="00F47535" w:rsidP="00F47535">
      <w:pPr>
        <w:pStyle w:val="TABULKA0"/>
      </w:pPr>
      <w:bookmarkStart w:id="451" w:name="_Toc480751609"/>
      <w:bookmarkStart w:id="452" w:name="_Toc507022064"/>
      <w:bookmarkStart w:id="453" w:name="_Toc32577809"/>
      <w:bookmarkStart w:id="454" w:name="_Toc120651947"/>
      <w:r w:rsidRPr="000E7B38">
        <w:t xml:space="preserve">Tabulka </w:t>
      </w:r>
      <w:r w:rsidR="00E62D16">
        <w:t>25</w:t>
      </w:r>
      <w:r w:rsidRPr="000E7B38">
        <w:t>:</w:t>
      </w:r>
      <w:r w:rsidRPr="00297F39">
        <w:t xml:space="preserve"> </w:t>
      </w:r>
      <w:r>
        <w:t>Výsledky odpovědí u otázky č. 2</w:t>
      </w:r>
      <w:bookmarkEnd w:id="451"/>
      <w:bookmarkEnd w:id="452"/>
      <w:bookmarkEnd w:id="453"/>
      <w:bookmarkEnd w:id="454"/>
    </w:p>
    <w:tbl>
      <w:tblPr>
        <w:tblW w:w="9031"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96"/>
        <w:gridCol w:w="1418"/>
        <w:gridCol w:w="1417"/>
      </w:tblGrid>
      <w:tr w:rsidR="00F47535" w:rsidRPr="00297F39" w14:paraId="47C42537" w14:textId="77777777" w:rsidTr="00E62D16">
        <w:trPr>
          <w:trHeight w:val="23"/>
          <w:jc w:val="center"/>
        </w:trPr>
        <w:tc>
          <w:tcPr>
            <w:tcW w:w="6196" w:type="dxa"/>
            <w:tcBorders>
              <w:top w:val="single" w:sz="18" w:space="0" w:color="auto"/>
              <w:bottom w:val="single" w:sz="12" w:space="0" w:color="auto"/>
              <w:right w:val="single" w:sz="12" w:space="0" w:color="auto"/>
            </w:tcBorders>
            <w:shd w:val="clear" w:color="auto" w:fill="FFC000"/>
            <w:noWrap/>
            <w:vAlign w:val="center"/>
            <w:hideMark/>
          </w:tcPr>
          <w:p w14:paraId="3E91BEAD" w14:textId="77777777" w:rsidR="00F47535" w:rsidRPr="00297F39" w:rsidRDefault="00F47535" w:rsidP="0034794C">
            <w:pPr>
              <w:jc w:val="center"/>
              <w:rPr>
                <w:rFonts w:ascii="Calibri" w:eastAsia="Times New Roman" w:hAnsi="Calibri" w:cs="Calibri"/>
                <w:b/>
                <w:color w:val="000000"/>
                <w:lang w:eastAsia="cs-CZ"/>
              </w:rPr>
            </w:pPr>
            <w:r w:rsidRPr="00297F39">
              <w:rPr>
                <w:rFonts w:ascii="Calibri" w:eastAsia="Times New Roman" w:hAnsi="Calibri" w:cs="Calibri"/>
                <w:b/>
                <w:color w:val="000000"/>
                <w:lang w:eastAsia="cs-CZ"/>
              </w:rPr>
              <w:t>Odpověď</w:t>
            </w:r>
          </w:p>
        </w:tc>
        <w:tc>
          <w:tcPr>
            <w:tcW w:w="1418" w:type="dxa"/>
            <w:tcBorders>
              <w:top w:val="single" w:sz="18" w:space="0" w:color="auto"/>
              <w:left w:val="single" w:sz="12" w:space="0" w:color="auto"/>
              <w:bottom w:val="single" w:sz="12" w:space="0" w:color="auto"/>
              <w:right w:val="single" w:sz="12" w:space="0" w:color="auto"/>
            </w:tcBorders>
            <w:shd w:val="clear" w:color="auto" w:fill="FFC000"/>
            <w:noWrap/>
            <w:vAlign w:val="center"/>
            <w:hideMark/>
          </w:tcPr>
          <w:p w14:paraId="784CD646" w14:textId="77777777" w:rsidR="00F47535" w:rsidRPr="00297F39" w:rsidRDefault="00F47535" w:rsidP="0034794C">
            <w:pPr>
              <w:jc w:val="center"/>
              <w:rPr>
                <w:rFonts w:ascii="Calibri" w:eastAsia="Times New Roman" w:hAnsi="Calibri" w:cs="Calibri"/>
                <w:b/>
                <w:color w:val="000000"/>
                <w:lang w:eastAsia="cs-CZ"/>
              </w:rPr>
            </w:pPr>
            <w:r w:rsidRPr="00297F39">
              <w:rPr>
                <w:rFonts w:ascii="Calibri" w:eastAsia="Times New Roman" w:hAnsi="Calibri" w:cs="Calibri"/>
                <w:b/>
                <w:color w:val="000000"/>
                <w:lang w:eastAsia="cs-CZ"/>
              </w:rPr>
              <w:t>Responzí</w:t>
            </w:r>
          </w:p>
        </w:tc>
        <w:tc>
          <w:tcPr>
            <w:tcW w:w="1417" w:type="dxa"/>
            <w:tcBorders>
              <w:top w:val="single" w:sz="18" w:space="0" w:color="auto"/>
              <w:left w:val="single" w:sz="12" w:space="0" w:color="auto"/>
              <w:bottom w:val="single" w:sz="12" w:space="0" w:color="auto"/>
            </w:tcBorders>
            <w:shd w:val="clear" w:color="auto" w:fill="FFC000"/>
            <w:noWrap/>
            <w:vAlign w:val="center"/>
            <w:hideMark/>
          </w:tcPr>
          <w:p w14:paraId="36C53D0E" w14:textId="77777777" w:rsidR="00F47535" w:rsidRPr="00297F39" w:rsidRDefault="00F47535" w:rsidP="0034794C">
            <w:pPr>
              <w:jc w:val="center"/>
              <w:rPr>
                <w:rFonts w:ascii="Calibri" w:eastAsia="Times New Roman" w:hAnsi="Calibri" w:cs="Calibri"/>
                <w:b/>
                <w:color w:val="000000"/>
                <w:lang w:eastAsia="cs-CZ"/>
              </w:rPr>
            </w:pPr>
            <w:r w:rsidRPr="00297F39">
              <w:rPr>
                <w:rFonts w:ascii="Calibri" w:eastAsia="Times New Roman" w:hAnsi="Calibri" w:cs="Calibri"/>
                <w:b/>
                <w:color w:val="000000"/>
                <w:lang w:eastAsia="cs-CZ"/>
              </w:rPr>
              <w:t>Podíl</w:t>
            </w:r>
          </w:p>
        </w:tc>
      </w:tr>
      <w:tr w:rsidR="00B0358F" w:rsidRPr="00297F39" w14:paraId="00B3C7F2" w14:textId="77777777" w:rsidTr="00B0358F">
        <w:trPr>
          <w:trHeight w:val="38"/>
          <w:jc w:val="center"/>
        </w:trPr>
        <w:tc>
          <w:tcPr>
            <w:tcW w:w="6196" w:type="dxa"/>
            <w:tcBorders>
              <w:top w:val="single" w:sz="12" w:space="0" w:color="auto"/>
              <w:right w:val="single" w:sz="12" w:space="0" w:color="auto"/>
            </w:tcBorders>
            <w:shd w:val="clear" w:color="auto" w:fill="D9D9D9" w:themeFill="background1" w:themeFillShade="D9"/>
            <w:noWrap/>
            <w:vAlign w:val="center"/>
          </w:tcPr>
          <w:p w14:paraId="4AD494BC" w14:textId="234ED458" w:rsidR="00B0358F" w:rsidRPr="00B77091" w:rsidRDefault="00B0358F" w:rsidP="00B0358F">
            <w:pPr>
              <w:rPr>
                <w:rFonts w:ascii="Calibri" w:hAnsi="Calibri" w:cs="Calibri"/>
                <w:b/>
                <w:color w:val="000000"/>
              </w:rPr>
            </w:pPr>
            <w:r>
              <w:rPr>
                <w:rFonts w:ascii="Calibri" w:hAnsi="Calibri" w:cs="Calibri"/>
                <w:color w:val="000000"/>
              </w:rPr>
              <w:t>klidný život</w:t>
            </w:r>
          </w:p>
        </w:tc>
        <w:tc>
          <w:tcPr>
            <w:tcW w:w="1418" w:type="dxa"/>
            <w:tcBorders>
              <w:top w:val="single" w:sz="12" w:space="0" w:color="auto"/>
              <w:left w:val="single" w:sz="12" w:space="0" w:color="auto"/>
              <w:right w:val="single" w:sz="12" w:space="0" w:color="auto"/>
            </w:tcBorders>
            <w:shd w:val="clear" w:color="auto" w:fill="auto"/>
            <w:noWrap/>
            <w:vAlign w:val="center"/>
          </w:tcPr>
          <w:p w14:paraId="585ABD66" w14:textId="0AE694FA" w:rsidR="00B0358F" w:rsidRDefault="00B0358F" w:rsidP="00B0358F">
            <w:pPr>
              <w:jc w:val="right"/>
              <w:rPr>
                <w:rFonts w:ascii="Calibri" w:hAnsi="Calibri" w:cs="Calibri"/>
                <w:color w:val="000000"/>
              </w:rPr>
            </w:pPr>
            <w:r>
              <w:rPr>
                <w:rFonts w:ascii="Calibri" w:hAnsi="Calibri" w:cs="Calibri"/>
                <w:color w:val="000000"/>
              </w:rPr>
              <w:t>110</w:t>
            </w:r>
          </w:p>
        </w:tc>
        <w:tc>
          <w:tcPr>
            <w:tcW w:w="1417" w:type="dxa"/>
            <w:tcBorders>
              <w:top w:val="single" w:sz="12" w:space="0" w:color="auto"/>
              <w:left w:val="single" w:sz="12" w:space="0" w:color="auto"/>
            </w:tcBorders>
            <w:shd w:val="clear" w:color="auto" w:fill="auto"/>
            <w:noWrap/>
            <w:vAlign w:val="center"/>
          </w:tcPr>
          <w:p w14:paraId="2C20C860" w14:textId="3FEC273F" w:rsidR="00B0358F" w:rsidRDefault="00B0358F" w:rsidP="00B0358F">
            <w:pPr>
              <w:jc w:val="right"/>
              <w:rPr>
                <w:rFonts w:ascii="Calibri" w:hAnsi="Calibri" w:cs="Calibri"/>
                <w:color w:val="000000"/>
              </w:rPr>
            </w:pPr>
            <w:r>
              <w:rPr>
                <w:rFonts w:ascii="Calibri" w:hAnsi="Calibri" w:cs="Calibri"/>
                <w:color w:val="000000"/>
              </w:rPr>
              <w:t>85,9 %</w:t>
            </w:r>
          </w:p>
        </w:tc>
      </w:tr>
      <w:tr w:rsidR="00B0358F" w:rsidRPr="00297F39" w14:paraId="3F0DD78E" w14:textId="77777777" w:rsidTr="00B0358F">
        <w:trPr>
          <w:trHeight w:val="58"/>
          <w:jc w:val="center"/>
        </w:trPr>
        <w:tc>
          <w:tcPr>
            <w:tcW w:w="6196" w:type="dxa"/>
            <w:tcBorders>
              <w:right w:val="single" w:sz="12" w:space="0" w:color="auto"/>
            </w:tcBorders>
            <w:shd w:val="clear" w:color="auto" w:fill="D9D9D9" w:themeFill="background1" w:themeFillShade="D9"/>
            <w:noWrap/>
            <w:vAlign w:val="center"/>
          </w:tcPr>
          <w:p w14:paraId="0C0A43D1" w14:textId="1E6BA3BE" w:rsidR="00B0358F" w:rsidRPr="00B77091" w:rsidRDefault="00B0358F" w:rsidP="00B0358F">
            <w:pPr>
              <w:rPr>
                <w:rFonts w:ascii="Calibri" w:hAnsi="Calibri" w:cs="Calibri"/>
                <w:b/>
                <w:color w:val="000000"/>
              </w:rPr>
            </w:pPr>
            <w:r>
              <w:rPr>
                <w:rFonts w:ascii="Calibri" w:hAnsi="Calibri" w:cs="Calibri"/>
                <w:color w:val="000000"/>
              </w:rPr>
              <w:t>dobré mezilidské vztahy</w:t>
            </w:r>
          </w:p>
        </w:tc>
        <w:tc>
          <w:tcPr>
            <w:tcW w:w="1418" w:type="dxa"/>
            <w:tcBorders>
              <w:left w:val="single" w:sz="12" w:space="0" w:color="auto"/>
              <w:right w:val="single" w:sz="12" w:space="0" w:color="auto"/>
            </w:tcBorders>
            <w:shd w:val="clear" w:color="auto" w:fill="auto"/>
            <w:noWrap/>
            <w:vAlign w:val="center"/>
          </w:tcPr>
          <w:p w14:paraId="00D8658C" w14:textId="1802872A" w:rsidR="00B0358F" w:rsidRDefault="00B0358F" w:rsidP="00B0358F">
            <w:pPr>
              <w:jc w:val="right"/>
              <w:rPr>
                <w:rFonts w:ascii="Calibri" w:hAnsi="Calibri" w:cs="Calibri"/>
                <w:color w:val="000000"/>
              </w:rPr>
            </w:pPr>
            <w:r>
              <w:rPr>
                <w:rFonts w:ascii="Calibri" w:hAnsi="Calibri" w:cs="Calibri"/>
                <w:color w:val="000000"/>
              </w:rPr>
              <w:t>21</w:t>
            </w:r>
          </w:p>
        </w:tc>
        <w:tc>
          <w:tcPr>
            <w:tcW w:w="1417" w:type="dxa"/>
            <w:tcBorders>
              <w:left w:val="single" w:sz="12" w:space="0" w:color="auto"/>
            </w:tcBorders>
            <w:shd w:val="clear" w:color="auto" w:fill="auto"/>
            <w:noWrap/>
            <w:vAlign w:val="center"/>
          </w:tcPr>
          <w:p w14:paraId="08BC68D1" w14:textId="63B82F23" w:rsidR="00B0358F" w:rsidRDefault="00B0358F" w:rsidP="00B0358F">
            <w:pPr>
              <w:jc w:val="right"/>
              <w:rPr>
                <w:rFonts w:ascii="Calibri" w:hAnsi="Calibri" w:cs="Calibri"/>
                <w:color w:val="000000"/>
              </w:rPr>
            </w:pPr>
            <w:r>
              <w:rPr>
                <w:rFonts w:ascii="Calibri" w:hAnsi="Calibri" w:cs="Calibri"/>
                <w:color w:val="000000"/>
              </w:rPr>
              <w:t>16,4 %</w:t>
            </w:r>
          </w:p>
        </w:tc>
      </w:tr>
      <w:tr w:rsidR="00B0358F" w:rsidRPr="00297F39" w14:paraId="6D018669" w14:textId="77777777" w:rsidTr="00B0358F">
        <w:trPr>
          <w:trHeight w:val="58"/>
          <w:jc w:val="center"/>
        </w:trPr>
        <w:tc>
          <w:tcPr>
            <w:tcW w:w="6196" w:type="dxa"/>
            <w:tcBorders>
              <w:right w:val="single" w:sz="12" w:space="0" w:color="auto"/>
            </w:tcBorders>
            <w:shd w:val="clear" w:color="auto" w:fill="D9D9D9" w:themeFill="background1" w:themeFillShade="D9"/>
            <w:noWrap/>
            <w:vAlign w:val="center"/>
          </w:tcPr>
          <w:p w14:paraId="11134412" w14:textId="61C7DD23" w:rsidR="00B0358F" w:rsidRPr="00B77091" w:rsidRDefault="00B0358F" w:rsidP="00B0358F">
            <w:pPr>
              <w:rPr>
                <w:rFonts w:ascii="Calibri" w:hAnsi="Calibri" w:cs="Calibri"/>
                <w:b/>
                <w:color w:val="000000"/>
              </w:rPr>
            </w:pPr>
            <w:r>
              <w:rPr>
                <w:rFonts w:ascii="Calibri" w:hAnsi="Calibri" w:cs="Calibri"/>
                <w:color w:val="000000"/>
              </w:rPr>
              <w:t>příznivé životní prostředí</w:t>
            </w:r>
          </w:p>
        </w:tc>
        <w:tc>
          <w:tcPr>
            <w:tcW w:w="1418" w:type="dxa"/>
            <w:tcBorders>
              <w:left w:val="single" w:sz="12" w:space="0" w:color="auto"/>
              <w:right w:val="single" w:sz="12" w:space="0" w:color="auto"/>
            </w:tcBorders>
            <w:shd w:val="clear" w:color="auto" w:fill="auto"/>
            <w:noWrap/>
            <w:vAlign w:val="center"/>
          </w:tcPr>
          <w:p w14:paraId="2B272614" w14:textId="31CCEF7D" w:rsidR="00B0358F" w:rsidRDefault="00B0358F" w:rsidP="00B0358F">
            <w:pPr>
              <w:jc w:val="right"/>
              <w:rPr>
                <w:rFonts w:ascii="Calibri" w:hAnsi="Calibri" w:cs="Calibri"/>
                <w:color w:val="000000"/>
              </w:rPr>
            </w:pPr>
            <w:r>
              <w:rPr>
                <w:rFonts w:ascii="Calibri" w:hAnsi="Calibri" w:cs="Calibri"/>
                <w:color w:val="000000"/>
              </w:rPr>
              <w:t>45</w:t>
            </w:r>
          </w:p>
        </w:tc>
        <w:tc>
          <w:tcPr>
            <w:tcW w:w="1417" w:type="dxa"/>
            <w:tcBorders>
              <w:left w:val="single" w:sz="12" w:space="0" w:color="auto"/>
            </w:tcBorders>
            <w:shd w:val="clear" w:color="auto" w:fill="auto"/>
            <w:noWrap/>
            <w:vAlign w:val="center"/>
          </w:tcPr>
          <w:p w14:paraId="17ECA84E" w14:textId="79F05D19" w:rsidR="00B0358F" w:rsidRDefault="00B0358F" w:rsidP="00B0358F">
            <w:pPr>
              <w:jc w:val="right"/>
              <w:rPr>
                <w:rFonts w:ascii="Calibri" w:hAnsi="Calibri" w:cs="Calibri"/>
                <w:color w:val="000000"/>
              </w:rPr>
            </w:pPr>
            <w:r>
              <w:rPr>
                <w:rFonts w:ascii="Calibri" w:hAnsi="Calibri" w:cs="Calibri"/>
                <w:color w:val="000000"/>
              </w:rPr>
              <w:t>35,2 %</w:t>
            </w:r>
          </w:p>
        </w:tc>
      </w:tr>
      <w:tr w:rsidR="00B0358F" w:rsidRPr="00297F39" w14:paraId="3231F544" w14:textId="77777777" w:rsidTr="00B0358F">
        <w:trPr>
          <w:trHeight w:val="58"/>
          <w:jc w:val="center"/>
        </w:trPr>
        <w:tc>
          <w:tcPr>
            <w:tcW w:w="6196" w:type="dxa"/>
            <w:tcBorders>
              <w:right w:val="single" w:sz="12" w:space="0" w:color="auto"/>
            </w:tcBorders>
            <w:shd w:val="clear" w:color="auto" w:fill="D9D9D9" w:themeFill="background1" w:themeFillShade="D9"/>
            <w:noWrap/>
            <w:vAlign w:val="center"/>
          </w:tcPr>
          <w:p w14:paraId="6E8E4E52" w14:textId="46ABFA16" w:rsidR="00B0358F" w:rsidRPr="00B77091" w:rsidRDefault="00B0358F" w:rsidP="00B0358F">
            <w:pPr>
              <w:rPr>
                <w:rFonts w:ascii="Calibri" w:hAnsi="Calibri" w:cs="Calibri"/>
                <w:b/>
                <w:color w:val="000000"/>
              </w:rPr>
            </w:pPr>
            <w:r>
              <w:rPr>
                <w:rFonts w:ascii="Calibri" w:hAnsi="Calibri" w:cs="Calibri"/>
                <w:color w:val="000000"/>
              </w:rPr>
              <w:t>blízkost přírody</w:t>
            </w:r>
          </w:p>
        </w:tc>
        <w:tc>
          <w:tcPr>
            <w:tcW w:w="1418" w:type="dxa"/>
            <w:tcBorders>
              <w:left w:val="single" w:sz="12" w:space="0" w:color="auto"/>
              <w:right w:val="single" w:sz="12" w:space="0" w:color="auto"/>
            </w:tcBorders>
            <w:shd w:val="clear" w:color="auto" w:fill="auto"/>
            <w:noWrap/>
            <w:vAlign w:val="center"/>
          </w:tcPr>
          <w:p w14:paraId="645F9A72" w14:textId="7CDC7C13" w:rsidR="00B0358F" w:rsidRDefault="00B0358F" w:rsidP="00B0358F">
            <w:pPr>
              <w:jc w:val="right"/>
              <w:rPr>
                <w:rFonts w:ascii="Calibri" w:hAnsi="Calibri" w:cs="Calibri"/>
                <w:color w:val="000000"/>
              </w:rPr>
            </w:pPr>
            <w:r>
              <w:rPr>
                <w:rFonts w:ascii="Calibri" w:hAnsi="Calibri" w:cs="Calibri"/>
                <w:color w:val="000000"/>
              </w:rPr>
              <w:t>112</w:t>
            </w:r>
          </w:p>
        </w:tc>
        <w:tc>
          <w:tcPr>
            <w:tcW w:w="1417" w:type="dxa"/>
            <w:tcBorders>
              <w:left w:val="single" w:sz="12" w:space="0" w:color="auto"/>
            </w:tcBorders>
            <w:shd w:val="clear" w:color="auto" w:fill="auto"/>
            <w:noWrap/>
            <w:vAlign w:val="center"/>
          </w:tcPr>
          <w:p w14:paraId="42B4EE97" w14:textId="7EA1D007" w:rsidR="00B0358F" w:rsidRDefault="00B0358F" w:rsidP="00B0358F">
            <w:pPr>
              <w:jc w:val="right"/>
              <w:rPr>
                <w:rFonts w:ascii="Calibri" w:hAnsi="Calibri" w:cs="Calibri"/>
                <w:color w:val="000000"/>
              </w:rPr>
            </w:pPr>
            <w:r>
              <w:rPr>
                <w:rFonts w:ascii="Calibri" w:hAnsi="Calibri" w:cs="Calibri"/>
                <w:color w:val="000000"/>
              </w:rPr>
              <w:t>87,5 %</w:t>
            </w:r>
          </w:p>
        </w:tc>
      </w:tr>
      <w:tr w:rsidR="00B0358F" w:rsidRPr="00297F39" w14:paraId="6684BF9A" w14:textId="77777777" w:rsidTr="00B0358F">
        <w:trPr>
          <w:trHeight w:val="58"/>
          <w:jc w:val="center"/>
        </w:trPr>
        <w:tc>
          <w:tcPr>
            <w:tcW w:w="6196" w:type="dxa"/>
            <w:tcBorders>
              <w:right w:val="single" w:sz="12" w:space="0" w:color="auto"/>
            </w:tcBorders>
            <w:shd w:val="clear" w:color="auto" w:fill="D9D9D9" w:themeFill="background1" w:themeFillShade="D9"/>
            <w:noWrap/>
            <w:vAlign w:val="center"/>
          </w:tcPr>
          <w:p w14:paraId="419B0672" w14:textId="5A162096" w:rsidR="00B0358F" w:rsidRPr="00B77091" w:rsidRDefault="00B0358F" w:rsidP="00B0358F">
            <w:pPr>
              <w:rPr>
                <w:rFonts w:ascii="Calibri" w:hAnsi="Calibri" w:cs="Calibri"/>
                <w:b/>
                <w:color w:val="000000"/>
              </w:rPr>
            </w:pPr>
            <w:r>
              <w:rPr>
                <w:rFonts w:ascii="Calibri" w:hAnsi="Calibri" w:cs="Calibri"/>
                <w:color w:val="000000"/>
              </w:rPr>
              <w:t>dostupnost pracovních příležitostí</w:t>
            </w:r>
          </w:p>
        </w:tc>
        <w:tc>
          <w:tcPr>
            <w:tcW w:w="1418" w:type="dxa"/>
            <w:tcBorders>
              <w:left w:val="single" w:sz="12" w:space="0" w:color="auto"/>
              <w:right w:val="single" w:sz="12" w:space="0" w:color="auto"/>
            </w:tcBorders>
            <w:shd w:val="clear" w:color="auto" w:fill="auto"/>
            <w:noWrap/>
            <w:vAlign w:val="center"/>
          </w:tcPr>
          <w:p w14:paraId="73532DF6" w14:textId="442149A7" w:rsidR="00B0358F" w:rsidRDefault="00B0358F" w:rsidP="00B0358F">
            <w:pPr>
              <w:jc w:val="right"/>
              <w:rPr>
                <w:rFonts w:ascii="Calibri" w:hAnsi="Calibri" w:cs="Calibri"/>
                <w:color w:val="000000"/>
              </w:rPr>
            </w:pPr>
            <w:r>
              <w:rPr>
                <w:rFonts w:ascii="Calibri" w:hAnsi="Calibri" w:cs="Calibri"/>
                <w:color w:val="000000"/>
              </w:rPr>
              <w:t>2</w:t>
            </w:r>
          </w:p>
        </w:tc>
        <w:tc>
          <w:tcPr>
            <w:tcW w:w="1417" w:type="dxa"/>
            <w:tcBorders>
              <w:left w:val="single" w:sz="12" w:space="0" w:color="auto"/>
            </w:tcBorders>
            <w:shd w:val="clear" w:color="auto" w:fill="auto"/>
            <w:noWrap/>
            <w:vAlign w:val="center"/>
          </w:tcPr>
          <w:p w14:paraId="59171B72" w14:textId="15FEDBDD" w:rsidR="00B0358F" w:rsidRDefault="00B0358F" w:rsidP="00B0358F">
            <w:pPr>
              <w:jc w:val="right"/>
              <w:rPr>
                <w:rFonts w:ascii="Calibri" w:hAnsi="Calibri" w:cs="Calibri"/>
                <w:color w:val="000000"/>
              </w:rPr>
            </w:pPr>
            <w:r>
              <w:rPr>
                <w:rFonts w:ascii="Calibri" w:hAnsi="Calibri" w:cs="Calibri"/>
                <w:color w:val="000000"/>
              </w:rPr>
              <w:t>1,6 %</w:t>
            </w:r>
          </w:p>
        </w:tc>
      </w:tr>
      <w:tr w:rsidR="00B0358F" w:rsidRPr="00297F39" w14:paraId="55D5E03E" w14:textId="77777777" w:rsidTr="00B0358F">
        <w:trPr>
          <w:trHeight w:val="58"/>
          <w:jc w:val="center"/>
        </w:trPr>
        <w:tc>
          <w:tcPr>
            <w:tcW w:w="6196" w:type="dxa"/>
            <w:tcBorders>
              <w:right w:val="single" w:sz="12" w:space="0" w:color="auto"/>
            </w:tcBorders>
            <w:shd w:val="clear" w:color="auto" w:fill="D9D9D9" w:themeFill="background1" w:themeFillShade="D9"/>
            <w:noWrap/>
            <w:vAlign w:val="center"/>
          </w:tcPr>
          <w:p w14:paraId="10F196C3" w14:textId="7B7449EF" w:rsidR="00B0358F" w:rsidRPr="00B77091" w:rsidRDefault="00B0358F" w:rsidP="00B0358F">
            <w:pPr>
              <w:rPr>
                <w:rFonts w:ascii="Calibri" w:hAnsi="Calibri" w:cs="Calibri"/>
                <w:b/>
                <w:color w:val="000000"/>
              </w:rPr>
            </w:pPr>
            <w:r>
              <w:rPr>
                <w:rFonts w:ascii="Calibri" w:hAnsi="Calibri" w:cs="Calibri"/>
                <w:color w:val="000000"/>
              </w:rPr>
              <w:t>dostupnost některých základních služeb (</w:t>
            </w:r>
            <w:r w:rsidRPr="00AB4ED2">
              <w:rPr>
                <w:rFonts w:ascii="Calibri" w:hAnsi="Calibri" w:cs="Calibri"/>
                <w:color w:val="000000"/>
              </w:rPr>
              <w:t>např. pošta partner, obecní knihovna</w:t>
            </w:r>
            <w:r>
              <w:rPr>
                <w:rFonts w:ascii="Calibri" w:hAnsi="Calibri" w:cs="Calibri"/>
                <w:color w:val="000000"/>
              </w:rPr>
              <w:t>)</w:t>
            </w:r>
          </w:p>
        </w:tc>
        <w:tc>
          <w:tcPr>
            <w:tcW w:w="1418" w:type="dxa"/>
            <w:tcBorders>
              <w:left w:val="single" w:sz="12" w:space="0" w:color="auto"/>
              <w:right w:val="single" w:sz="12" w:space="0" w:color="auto"/>
            </w:tcBorders>
            <w:shd w:val="clear" w:color="auto" w:fill="auto"/>
            <w:noWrap/>
            <w:vAlign w:val="center"/>
          </w:tcPr>
          <w:p w14:paraId="1F317362" w14:textId="3EE2EF81" w:rsidR="00B0358F" w:rsidRDefault="00B0358F" w:rsidP="00B0358F">
            <w:pPr>
              <w:jc w:val="right"/>
              <w:rPr>
                <w:rFonts w:ascii="Calibri" w:hAnsi="Calibri" w:cs="Calibri"/>
                <w:color w:val="000000"/>
              </w:rPr>
            </w:pPr>
            <w:r>
              <w:rPr>
                <w:rFonts w:ascii="Calibri" w:hAnsi="Calibri" w:cs="Calibri"/>
                <w:color w:val="000000"/>
              </w:rPr>
              <w:t>21</w:t>
            </w:r>
          </w:p>
        </w:tc>
        <w:tc>
          <w:tcPr>
            <w:tcW w:w="1417" w:type="dxa"/>
            <w:tcBorders>
              <w:left w:val="single" w:sz="12" w:space="0" w:color="auto"/>
            </w:tcBorders>
            <w:shd w:val="clear" w:color="auto" w:fill="auto"/>
            <w:noWrap/>
            <w:vAlign w:val="center"/>
          </w:tcPr>
          <w:p w14:paraId="47244773" w14:textId="1887170F" w:rsidR="00B0358F" w:rsidRDefault="00B0358F" w:rsidP="00B0358F">
            <w:pPr>
              <w:jc w:val="right"/>
              <w:rPr>
                <w:rFonts w:ascii="Calibri" w:hAnsi="Calibri" w:cs="Calibri"/>
                <w:color w:val="000000"/>
              </w:rPr>
            </w:pPr>
            <w:r>
              <w:rPr>
                <w:rFonts w:ascii="Calibri" w:hAnsi="Calibri" w:cs="Calibri"/>
                <w:color w:val="000000"/>
              </w:rPr>
              <w:t>16,4 %</w:t>
            </w:r>
          </w:p>
        </w:tc>
      </w:tr>
      <w:tr w:rsidR="00B0358F" w:rsidRPr="00297F39" w14:paraId="52EC0CD8" w14:textId="77777777" w:rsidTr="00B0358F">
        <w:trPr>
          <w:trHeight w:val="58"/>
          <w:jc w:val="center"/>
        </w:trPr>
        <w:tc>
          <w:tcPr>
            <w:tcW w:w="6196" w:type="dxa"/>
            <w:tcBorders>
              <w:right w:val="single" w:sz="12" w:space="0" w:color="auto"/>
            </w:tcBorders>
            <w:shd w:val="clear" w:color="auto" w:fill="D9D9D9" w:themeFill="background1" w:themeFillShade="D9"/>
            <w:noWrap/>
            <w:vAlign w:val="center"/>
          </w:tcPr>
          <w:p w14:paraId="09087FB8" w14:textId="19D37ADB" w:rsidR="00B0358F" w:rsidRPr="00B77091" w:rsidRDefault="00B0358F" w:rsidP="00B0358F">
            <w:pPr>
              <w:rPr>
                <w:rFonts w:ascii="Calibri" w:hAnsi="Calibri" w:cs="Calibri"/>
                <w:b/>
                <w:color w:val="000000"/>
              </w:rPr>
            </w:pPr>
            <w:r>
              <w:rPr>
                <w:rFonts w:ascii="Calibri" w:hAnsi="Calibri" w:cs="Calibri"/>
                <w:color w:val="000000"/>
              </w:rPr>
              <w:t>blízkost Trutnova</w:t>
            </w:r>
          </w:p>
        </w:tc>
        <w:tc>
          <w:tcPr>
            <w:tcW w:w="1418" w:type="dxa"/>
            <w:tcBorders>
              <w:left w:val="single" w:sz="12" w:space="0" w:color="auto"/>
              <w:right w:val="single" w:sz="12" w:space="0" w:color="auto"/>
            </w:tcBorders>
            <w:shd w:val="clear" w:color="auto" w:fill="auto"/>
            <w:noWrap/>
            <w:vAlign w:val="center"/>
          </w:tcPr>
          <w:p w14:paraId="26187D7A" w14:textId="78AFFDF4" w:rsidR="00B0358F" w:rsidRDefault="00B0358F" w:rsidP="00B0358F">
            <w:pPr>
              <w:jc w:val="right"/>
              <w:rPr>
                <w:rFonts w:ascii="Calibri" w:hAnsi="Calibri" w:cs="Calibri"/>
                <w:color w:val="000000"/>
              </w:rPr>
            </w:pPr>
            <w:r>
              <w:rPr>
                <w:rFonts w:ascii="Calibri" w:hAnsi="Calibri" w:cs="Calibri"/>
                <w:color w:val="000000"/>
              </w:rPr>
              <w:t>72</w:t>
            </w:r>
          </w:p>
        </w:tc>
        <w:tc>
          <w:tcPr>
            <w:tcW w:w="1417" w:type="dxa"/>
            <w:tcBorders>
              <w:left w:val="single" w:sz="12" w:space="0" w:color="auto"/>
            </w:tcBorders>
            <w:shd w:val="clear" w:color="auto" w:fill="auto"/>
            <w:noWrap/>
            <w:vAlign w:val="center"/>
          </w:tcPr>
          <w:p w14:paraId="14927DAD" w14:textId="50F1F39C" w:rsidR="00B0358F" w:rsidRDefault="00B0358F" w:rsidP="00B0358F">
            <w:pPr>
              <w:jc w:val="right"/>
              <w:rPr>
                <w:rFonts w:ascii="Calibri" w:hAnsi="Calibri" w:cs="Calibri"/>
                <w:color w:val="000000"/>
              </w:rPr>
            </w:pPr>
            <w:r>
              <w:rPr>
                <w:rFonts w:ascii="Calibri" w:hAnsi="Calibri" w:cs="Calibri"/>
                <w:color w:val="000000"/>
              </w:rPr>
              <w:t>56,3 %</w:t>
            </w:r>
          </w:p>
        </w:tc>
      </w:tr>
      <w:tr w:rsidR="00B0358F" w:rsidRPr="00297F39" w14:paraId="1E2FDACE" w14:textId="77777777" w:rsidTr="00B0358F">
        <w:trPr>
          <w:trHeight w:val="58"/>
          <w:jc w:val="center"/>
        </w:trPr>
        <w:tc>
          <w:tcPr>
            <w:tcW w:w="6196" w:type="dxa"/>
            <w:tcBorders>
              <w:right w:val="single" w:sz="12" w:space="0" w:color="auto"/>
            </w:tcBorders>
            <w:shd w:val="clear" w:color="auto" w:fill="D9D9D9" w:themeFill="background1" w:themeFillShade="D9"/>
            <w:noWrap/>
            <w:vAlign w:val="center"/>
          </w:tcPr>
          <w:p w14:paraId="44B5A0BF" w14:textId="0D97980D" w:rsidR="00B0358F" w:rsidRPr="00B77091" w:rsidRDefault="00B0358F" w:rsidP="00B0358F">
            <w:pPr>
              <w:rPr>
                <w:rFonts w:ascii="Calibri" w:hAnsi="Calibri" w:cs="Calibri"/>
                <w:b/>
                <w:color w:val="000000"/>
              </w:rPr>
            </w:pPr>
            <w:r>
              <w:rPr>
                <w:rFonts w:ascii="Calibri" w:hAnsi="Calibri" w:cs="Calibri"/>
                <w:color w:val="000000"/>
              </w:rPr>
              <w:t>kvalita dopravní infrastruktury (místní komunikace apod.)</w:t>
            </w:r>
          </w:p>
        </w:tc>
        <w:tc>
          <w:tcPr>
            <w:tcW w:w="1418" w:type="dxa"/>
            <w:tcBorders>
              <w:left w:val="single" w:sz="12" w:space="0" w:color="auto"/>
              <w:right w:val="single" w:sz="12" w:space="0" w:color="auto"/>
            </w:tcBorders>
            <w:shd w:val="clear" w:color="auto" w:fill="auto"/>
            <w:noWrap/>
            <w:vAlign w:val="center"/>
          </w:tcPr>
          <w:p w14:paraId="06E496E8" w14:textId="3BA5AFE7" w:rsidR="00B0358F" w:rsidRDefault="00B0358F" w:rsidP="00B0358F">
            <w:pPr>
              <w:jc w:val="right"/>
              <w:rPr>
                <w:rFonts w:ascii="Calibri" w:hAnsi="Calibri" w:cs="Calibri"/>
                <w:color w:val="000000"/>
              </w:rPr>
            </w:pPr>
            <w:r>
              <w:rPr>
                <w:rFonts w:ascii="Calibri" w:hAnsi="Calibri" w:cs="Calibri"/>
                <w:color w:val="000000"/>
              </w:rPr>
              <w:t>4</w:t>
            </w:r>
          </w:p>
        </w:tc>
        <w:tc>
          <w:tcPr>
            <w:tcW w:w="1417" w:type="dxa"/>
            <w:tcBorders>
              <w:left w:val="single" w:sz="12" w:space="0" w:color="auto"/>
            </w:tcBorders>
            <w:shd w:val="clear" w:color="auto" w:fill="auto"/>
            <w:noWrap/>
            <w:vAlign w:val="center"/>
          </w:tcPr>
          <w:p w14:paraId="0A7DFBC1" w14:textId="55BCB3CF" w:rsidR="00B0358F" w:rsidRDefault="00B0358F" w:rsidP="00B0358F">
            <w:pPr>
              <w:jc w:val="right"/>
              <w:rPr>
                <w:rFonts w:ascii="Calibri" w:hAnsi="Calibri" w:cs="Calibri"/>
                <w:color w:val="000000"/>
              </w:rPr>
            </w:pPr>
            <w:r>
              <w:rPr>
                <w:rFonts w:ascii="Calibri" w:hAnsi="Calibri" w:cs="Calibri"/>
                <w:color w:val="000000"/>
              </w:rPr>
              <w:t>3,1 %</w:t>
            </w:r>
          </w:p>
        </w:tc>
      </w:tr>
      <w:tr w:rsidR="00B0358F" w:rsidRPr="00297F39" w14:paraId="0043DA20" w14:textId="77777777" w:rsidTr="00B0358F">
        <w:trPr>
          <w:trHeight w:val="58"/>
          <w:jc w:val="center"/>
        </w:trPr>
        <w:tc>
          <w:tcPr>
            <w:tcW w:w="6196" w:type="dxa"/>
            <w:tcBorders>
              <w:right w:val="single" w:sz="12" w:space="0" w:color="auto"/>
            </w:tcBorders>
            <w:shd w:val="clear" w:color="auto" w:fill="D9D9D9" w:themeFill="background1" w:themeFillShade="D9"/>
            <w:noWrap/>
            <w:vAlign w:val="center"/>
          </w:tcPr>
          <w:p w14:paraId="2CE9D373" w14:textId="6D5E5BCA" w:rsidR="00B0358F" w:rsidRPr="00B77091" w:rsidRDefault="00B0358F" w:rsidP="00B0358F">
            <w:pPr>
              <w:rPr>
                <w:rFonts w:ascii="Calibri" w:hAnsi="Calibri" w:cs="Calibri"/>
                <w:b/>
                <w:color w:val="000000"/>
              </w:rPr>
            </w:pPr>
            <w:r>
              <w:rPr>
                <w:rFonts w:ascii="Calibri" w:hAnsi="Calibri" w:cs="Calibri"/>
                <w:color w:val="000000"/>
              </w:rPr>
              <w:t>dobrá dopravní dostupnost</w:t>
            </w:r>
          </w:p>
        </w:tc>
        <w:tc>
          <w:tcPr>
            <w:tcW w:w="1418" w:type="dxa"/>
            <w:tcBorders>
              <w:left w:val="single" w:sz="12" w:space="0" w:color="auto"/>
              <w:right w:val="single" w:sz="12" w:space="0" w:color="auto"/>
            </w:tcBorders>
            <w:shd w:val="clear" w:color="auto" w:fill="auto"/>
            <w:noWrap/>
            <w:vAlign w:val="center"/>
          </w:tcPr>
          <w:p w14:paraId="2161A89D" w14:textId="34F7FEFB" w:rsidR="00B0358F" w:rsidRDefault="00B0358F" w:rsidP="00B0358F">
            <w:pPr>
              <w:jc w:val="right"/>
              <w:rPr>
                <w:rFonts w:ascii="Calibri" w:hAnsi="Calibri" w:cs="Calibri"/>
                <w:color w:val="000000"/>
              </w:rPr>
            </w:pPr>
            <w:r>
              <w:rPr>
                <w:rFonts w:ascii="Calibri" w:hAnsi="Calibri" w:cs="Calibri"/>
                <w:color w:val="000000"/>
              </w:rPr>
              <w:t>11</w:t>
            </w:r>
          </w:p>
        </w:tc>
        <w:tc>
          <w:tcPr>
            <w:tcW w:w="1417" w:type="dxa"/>
            <w:tcBorders>
              <w:left w:val="single" w:sz="12" w:space="0" w:color="auto"/>
            </w:tcBorders>
            <w:shd w:val="clear" w:color="auto" w:fill="auto"/>
            <w:noWrap/>
            <w:vAlign w:val="center"/>
          </w:tcPr>
          <w:p w14:paraId="3A8E4D9A" w14:textId="2D78C783" w:rsidR="00B0358F" w:rsidRDefault="00B0358F" w:rsidP="00B0358F">
            <w:pPr>
              <w:jc w:val="right"/>
              <w:rPr>
                <w:rFonts w:ascii="Calibri" w:hAnsi="Calibri" w:cs="Calibri"/>
                <w:color w:val="000000"/>
              </w:rPr>
            </w:pPr>
            <w:r>
              <w:rPr>
                <w:rFonts w:ascii="Calibri" w:hAnsi="Calibri" w:cs="Calibri"/>
                <w:color w:val="000000"/>
              </w:rPr>
              <w:t>8,6 %</w:t>
            </w:r>
          </w:p>
        </w:tc>
      </w:tr>
      <w:tr w:rsidR="00B0358F" w:rsidRPr="00297F39" w14:paraId="52FCFB09" w14:textId="77777777" w:rsidTr="00B0358F">
        <w:trPr>
          <w:trHeight w:val="58"/>
          <w:jc w:val="center"/>
        </w:trPr>
        <w:tc>
          <w:tcPr>
            <w:tcW w:w="6196" w:type="dxa"/>
            <w:tcBorders>
              <w:right w:val="single" w:sz="12" w:space="0" w:color="auto"/>
            </w:tcBorders>
            <w:shd w:val="clear" w:color="auto" w:fill="D9D9D9" w:themeFill="background1" w:themeFillShade="D9"/>
            <w:noWrap/>
            <w:vAlign w:val="center"/>
          </w:tcPr>
          <w:p w14:paraId="31ADB05B" w14:textId="20856611" w:rsidR="00B0358F" w:rsidRDefault="00B0358F" w:rsidP="00B0358F">
            <w:pPr>
              <w:rPr>
                <w:rFonts w:ascii="Calibri" w:hAnsi="Calibri" w:cs="Calibri"/>
                <w:color w:val="000000"/>
              </w:rPr>
            </w:pPr>
            <w:r>
              <w:rPr>
                <w:rFonts w:ascii="Calibri" w:hAnsi="Calibri" w:cs="Calibri"/>
                <w:color w:val="000000"/>
              </w:rPr>
              <w:t>kulturní a společenský život</w:t>
            </w:r>
          </w:p>
        </w:tc>
        <w:tc>
          <w:tcPr>
            <w:tcW w:w="1418" w:type="dxa"/>
            <w:tcBorders>
              <w:left w:val="single" w:sz="12" w:space="0" w:color="auto"/>
              <w:right w:val="single" w:sz="12" w:space="0" w:color="auto"/>
            </w:tcBorders>
            <w:shd w:val="clear" w:color="auto" w:fill="auto"/>
            <w:noWrap/>
            <w:vAlign w:val="center"/>
          </w:tcPr>
          <w:p w14:paraId="6F535332" w14:textId="2C685C72" w:rsidR="00B0358F" w:rsidRDefault="00B0358F" w:rsidP="00B0358F">
            <w:pPr>
              <w:jc w:val="right"/>
              <w:rPr>
                <w:rFonts w:ascii="Calibri" w:hAnsi="Calibri" w:cs="Calibri"/>
                <w:color w:val="000000"/>
              </w:rPr>
            </w:pPr>
            <w:r>
              <w:rPr>
                <w:rFonts w:ascii="Calibri" w:hAnsi="Calibri" w:cs="Calibri"/>
                <w:color w:val="000000"/>
              </w:rPr>
              <w:t>3</w:t>
            </w:r>
          </w:p>
        </w:tc>
        <w:tc>
          <w:tcPr>
            <w:tcW w:w="1417" w:type="dxa"/>
            <w:tcBorders>
              <w:left w:val="single" w:sz="12" w:space="0" w:color="auto"/>
            </w:tcBorders>
            <w:shd w:val="clear" w:color="auto" w:fill="auto"/>
            <w:noWrap/>
            <w:vAlign w:val="center"/>
          </w:tcPr>
          <w:p w14:paraId="6AAB9195" w14:textId="1B732F1B" w:rsidR="00B0358F" w:rsidRDefault="00B0358F" w:rsidP="00B0358F">
            <w:pPr>
              <w:jc w:val="right"/>
              <w:rPr>
                <w:rFonts w:ascii="Calibri" w:hAnsi="Calibri" w:cs="Calibri"/>
                <w:color w:val="000000"/>
              </w:rPr>
            </w:pPr>
            <w:r>
              <w:rPr>
                <w:rFonts w:ascii="Calibri" w:hAnsi="Calibri" w:cs="Calibri"/>
                <w:color w:val="000000"/>
              </w:rPr>
              <w:t>2,3 %</w:t>
            </w:r>
          </w:p>
        </w:tc>
      </w:tr>
      <w:tr w:rsidR="00B0358F" w:rsidRPr="00297F39" w14:paraId="332EED68" w14:textId="77777777" w:rsidTr="00B0358F">
        <w:trPr>
          <w:trHeight w:val="58"/>
          <w:jc w:val="center"/>
        </w:trPr>
        <w:tc>
          <w:tcPr>
            <w:tcW w:w="6196" w:type="dxa"/>
            <w:tcBorders>
              <w:right w:val="single" w:sz="12" w:space="0" w:color="auto"/>
            </w:tcBorders>
            <w:shd w:val="clear" w:color="auto" w:fill="D9D9D9" w:themeFill="background1" w:themeFillShade="D9"/>
            <w:noWrap/>
            <w:vAlign w:val="center"/>
          </w:tcPr>
          <w:p w14:paraId="0DB752F6" w14:textId="5B75F2CB" w:rsidR="00B0358F" w:rsidRPr="00B77091" w:rsidRDefault="00B0358F" w:rsidP="00B0358F">
            <w:pPr>
              <w:rPr>
                <w:rFonts w:ascii="Calibri" w:hAnsi="Calibri" w:cs="Calibri"/>
                <w:b/>
                <w:color w:val="000000"/>
              </w:rPr>
            </w:pPr>
            <w:r>
              <w:rPr>
                <w:rFonts w:ascii="Calibri" w:hAnsi="Calibri" w:cs="Calibri"/>
                <w:color w:val="000000"/>
              </w:rPr>
              <w:t>sportovní vyžití</w:t>
            </w:r>
          </w:p>
        </w:tc>
        <w:tc>
          <w:tcPr>
            <w:tcW w:w="1418" w:type="dxa"/>
            <w:tcBorders>
              <w:left w:val="single" w:sz="12" w:space="0" w:color="auto"/>
              <w:right w:val="single" w:sz="12" w:space="0" w:color="auto"/>
            </w:tcBorders>
            <w:shd w:val="clear" w:color="auto" w:fill="auto"/>
            <w:noWrap/>
            <w:vAlign w:val="center"/>
          </w:tcPr>
          <w:p w14:paraId="4CF65CF1" w14:textId="585DEA26" w:rsidR="00B0358F" w:rsidRDefault="00B0358F" w:rsidP="00B0358F">
            <w:pPr>
              <w:jc w:val="right"/>
              <w:rPr>
                <w:rFonts w:ascii="Calibri" w:hAnsi="Calibri" w:cs="Calibri"/>
                <w:color w:val="000000"/>
              </w:rPr>
            </w:pPr>
            <w:r>
              <w:rPr>
                <w:rFonts w:ascii="Calibri" w:hAnsi="Calibri" w:cs="Calibri"/>
                <w:color w:val="000000"/>
              </w:rPr>
              <w:t>3</w:t>
            </w:r>
          </w:p>
        </w:tc>
        <w:tc>
          <w:tcPr>
            <w:tcW w:w="1417" w:type="dxa"/>
            <w:tcBorders>
              <w:left w:val="single" w:sz="12" w:space="0" w:color="auto"/>
            </w:tcBorders>
            <w:shd w:val="clear" w:color="auto" w:fill="auto"/>
            <w:noWrap/>
            <w:vAlign w:val="center"/>
          </w:tcPr>
          <w:p w14:paraId="22585E86" w14:textId="18EE5B0D" w:rsidR="00B0358F" w:rsidRDefault="00B0358F" w:rsidP="00B0358F">
            <w:pPr>
              <w:jc w:val="right"/>
              <w:rPr>
                <w:rFonts w:ascii="Calibri" w:hAnsi="Calibri" w:cs="Calibri"/>
                <w:color w:val="000000"/>
              </w:rPr>
            </w:pPr>
            <w:r>
              <w:rPr>
                <w:rFonts w:ascii="Calibri" w:hAnsi="Calibri" w:cs="Calibri"/>
                <w:color w:val="000000"/>
              </w:rPr>
              <w:t>2,3 %</w:t>
            </w:r>
          </w:p>
        </w:tc>
      </w:tr>
      <w:tr w:rsidR="00B0358F" w:rsidRPr="00297F39" w14:paraId="222E6BAB" w14:textId="77777777" w:rsidTr="00B0358F">
        <w:trPr>
          <w:trHeight w:val="58"/>
          <w:jc w:val="center"/>
        </w:trPr>
        <w:tc>
          <w:tcPr>
            <w:tcW w:w="6196" w:type="dxa"/>
            <w:tcBorders>
              <w:right w:val="single" w:sz="12" w:space="0" w:color="auto"/>
            </w:tcBorders>
            <w:shd w:val="clear" w:color="auto" w:fill="D9D9D9" w:themeFill="background1" w:themeFillShade="D9"/>
            <w:noWrap/>
            <w:vAlign w:val="center"/>
          </w:tcPr>
          <w:p w14:paraId="2A56877F" w14:textId="19631883" w:rsidR="00B0358F" w:rsidRPr="00B77091" w:rsidRDefault="00B0358F" w:rsidP="00B0358F">
            <w:pPr>
              <w:rPr>
                <w:rFonts w:ascii="Calibri" w:hAnsi="Calibri" w:cs="Calibri"/>
                <w:b/>
                <w:color w:val="000000"/>
              </w:rPr>
            </w:pPr>
            <w:r>
              <w:rPr>
                <w:rFonts w:ascii="Calibri" w:hAnsi="Calibri" w:cs="Calibri"/>
                <w:color w:val="000000"/>
              </w:rPr>
              <w:t>vzhled obce</w:t>
            </w:r>
          </w:p>
        </w:tc>
        <w:tc>
          <w:tcPr>
            <w:tcW w:w="1418" w:type="dxa"/>
            <w:tcBorders>
              <w:left w:val="single" w:sz="12" w:space="0" w:color="auto"/>
              <w:right w:val="single" w:sz="12" w:space="0" w:color="auto"/>
            </w:tcBorders>
            <w:shd w:val="clear" w:color="auto" w:fill="auto"/>
            <w:noWrap/>
            <w:vAlign w:val="center"/>
          </w:tcPr>
          <w:p w14:paraId="5498EF5F" w14:textId="0E4CDC87" w:rsidR="00B0358F" w:rsidRDefault="00B0358F" w:rsidP="00B0358F">
            <w:pPr>
              <w:jc w:val="right"/>
              <w:rPr>
                <w:rFonts w:ascii="Calibri" w:hAnsi="Calibri" w:cs="Calibri"/>
                <w:color w:val="000000"/>
              </w:rPr>
            </w:pPr>
            <w:r>
              <w:rPr>
                <w:rFonts w:ascii="Calibri" w:hAnsi="Calibri" w:cs="Calibri"/>
                <w:color w:val="000000"/>
              </w:rPr>
              <w:t>10</w:t>
            </w:r>
          </w:p>
        </w:tc>
        <w:tc>
          <w:tcPr>
            <w:tcW w:w="1417" w:type="dxa"/>
            <w:tcBorders>
              <w:left w:val="single" w:sz="12" w:space="0" w:color="auto"/>
            </w:tcBorders>
            <w:shd w:val="clear" w:color="auto" w:fill="auto"/>
            <w:noWrap/>
            <w:vAlign w:val="center"/>
          </w:tcPr>
          <w:p w14:paraId="0A24005B" w14:textId="0E566C15" w:rsidR="00B0358F" w:rsidRDefault="00B0358F" w:rsidP="00B0358F">
            <w:pPr>
              <w:jc w:val="right"/>
              <w:rPr>
                <w:rFonts w:ascii="Calibri" w:hAnsi="Calibri" w:cs="Calibri"/>
                <w:color w:val="000000"/>
              </w:rPr>
            </w:pPr>
            <w:r>
              <w:rPr>
                <w:rFonts w:ascii="Calibri" w:hAnsi="Calibri" w:cs="Calibri"/>
                <w:color w:val="000000"/>
              </w:rPr>
              <w:t>7,8 %</w:t>
            </w:r>
          </w:p>
        </w:tc>
      </w:tr>
      <w:tr w:rsidR="00B0358F" w:rsidRPr="00297F39" w14:paraId="67C7519A" w14:textId="77777777" w:rsidTr="00B0358F">
        <w:trPr>
          <w:trHeight w:val="58"/>
          <w:jc w:val="center"/>
        </w:trPr>
        <w:tc>
          <w:tcPr>
            <w:tcW w:w="6196" w:type="dxa"/>
            <w:tcBorders>
              <w:right w:val="single" w:sz="12" w:space="0" w:color="auto"/>
            </w:tcBorders>
            <w:shd w:val="clear" w:color="auto" w:fill="D9D9D9" w:themeFill="background1" w:themeFillShade="D9"/>
            <w:noWrap/>
            <w:vAlign w:val="center"/>
          </w:tcPr>
          <w:p w14:paraId="69E532F8" w14:textId="75647379" w:rsidR="00B0358F" w:rsidRPr="00B77091" w:rsidRDefault="00B0358F" w:rsidP="00B0358F">
            <w:pPr>
              <w:rPr>
                <w:rFonts w:ascii="Calibri" w:hAnsi="Calibri" w:cs="Calibri"/>
                <w:b/>
                <w:color w:val="000000"/>
              </w:rPr>
            </w:pPr>
            <w:r>
              <w:rPr>
                <w:rFonts w:ascii="Calibri" w:hAnsi="Calibri" w:cs="Calibri"/>
                <w:color w:val="000000"/>
              </w:rPr>
              <w:t>dobré podmínky pro podnikání</w:t>
            </w:r>
          </w:p>
        </w:tc>
        <w:tc>
          <w:tcPr>
            <w:tcW w:w="1418" w:type="dxa"/>
            <w:tcBorders>
              <w:left w:val="single" w:sz="12" w:space="0" w:color="auto"/>
              <w:right w:val="single" w:sz="12" w:space="0" w:color="auto"/>
            </w:tcBorders>
            <w:shd w:val="clear" w:color="auto" w:fill="auto"/>
            <w:noWrap/>
            <w:vAlign w:val="center"/>
          </w:tcPr>
          <w:p w14:paraId="18E1489C" w14:textId="56F30FEA" w:rsidR="00B0358F" w:rsidRDefault="00B0358F" w:rsidP="00B0358F">
            <w:pPr>
              <w:jc w:val="right"/>
              <w:rPr>
                <w:rFonts w:ascii="Calibri" w:hAnsi="Calibri" w:cs="Calibri"/>
                <w:color w:val="000000"/>
              </w:rPr>
            </w:pPr>
            <w:r>
              <w:rPr>
                <w:rFonts w:ascii="Calibri" w:hAnsi="Calibri" w:cs="Calibri"/>
                <w:color w:val="000000"/>
              </w:rPr>
              <w:t>0</w:t>
            </w:r>
          </w:p>
        </w:tc>
        <w:tc>
          <w:tcPr>
            <w:tcW w:w="1417" w:type="dxa"/>
            <w:tcBorders>
              <w:left w:val="single" w:sz="12" w:space="0" w:color="auto"/>
            </w:tcBorders>
            <w:shd w:val="clear" w:color="auto" w:fill="auto"/>
            <w:noWrap/>
            <w:vAlign w:val="center"/>
          </w:tcPr>
          <w:p w14:paraId="15AB4D75" w14:textId="6C2F8F08" w:rsidR="00B0358F" w:rsidRDefault="00B0358F" w:rsidP="00B0358F">
            <w:pPr>
              <w:jc w:val="right"/>
              <w:rPr>
                <w:rFonts w:ascii="Calibri" w:hAnsi="Calibri" w:cs="Calibri"/>
                <w:color w:val="000000"/>
              </w:rPr>
            </w:pPr>
            <w:r>
              <w:rPr>
                <w:rFonts w:ascii="Calibri" w:hAnsi="Calibri" w:cs="Calibri"/>
                <w:color w:val="000000"/>
              </w:rPr>
              <w:t>0,0 %</w:t>
            </w:r>
          </w:p>
        </w:tc>
      </w:tr>
      <w:tr w:rsidR="00B0358F" w:rsidRPr="00297F39" w14:paraId="0928EB93" w14:textId="77777777" w:rsidTr="00B0358F">
        <w:trPr>
          <w:trHeight w:val="58"/>
          <w:jc w:val="center"/>
        </w:trPr>
        <w:tc>
          <w:tcPr>
            <w:tcW w:w="6196" w:type="dxa"/>
            <w:tcBorders>
              <w:right w:val="single" w:sz="12" w:space="0" w:color="auto"/>
            </w:tcBorders>
            <w:shd w:val="clear" w:color="auto" w:fill="D9D9D9" w:themeFill="background1" w:themeFillShade="D9"/>
            <w:noWrap/>
            <w:vAlign w:val="center"/>
          </w:tcPr>
          <w:p w14:paraId="64926173" w14:textId="71737241" w:rsidR="00B0358F" w:rsidRPr="00B77091" w:rsidRDefault="00B0358F" w:rsidP="00B0358F">
            <w:pPr>
              <w:rPr>
                <w:rFonts w:ascii="Calibri" w:hAnsi="Calibri" w:cs="Calibri"/>
                <w:b/>
                <w:color w:val="000000"/>
              </w:rPr>
            </w:pPr>
            <w:r>
              <w:rPr>
                <w:rFonts w:ascii="Calibri" w:hAnsi="Calibri" w:cs="Calibri"/>
                <w:color w:val="000000"/>
              </w:rPr>
              <w:t>jiné</w:t>
            </w:r>
          </w:p>
        </w:tc>
        <w:tc>
          <w:tcPr>
            <w:tcW w:w="1418" w:type="dxa"/>
            <w:tcBorders>
              <w:left w:val="single" w:sz="12" w:space="0" w:color="auto"/>
              <w:right w:val="single" w:sz="12" w:space="0" w:color="auto"/>
            </w:tcBorders>
            <w:shd w:val="clear" w:color="auto" w:fill="auto"/>
            <w:noWrap/>
            <w:vAlign w:val="center"/>
          </w:tcPr>
          <w:p w14:paraId="5EB1772E" w14:textId="25D2BBA5" w:rsidR="00B0358F" w:rsidRDefault="00B0358F" w:rsidP="00B0358F">
            <w:pPr>
              <w:jc w:val="right"/>
              <w:rPr>
                <w:rFonts w:ascii="Calibri" w:hAnsi="Calibri" w:cs="Calibri"/>
                <w:color w:val="000000"/>
              </w:rPr>
            </w:pPr>
            <w:r>
              <w:rPr>
                <w:rFonts w:ascii="Calibri" w:hAnsi="Calibri" w:cs="Calibri"/>
                <w:color w:val="000000"/>
              </w:rPr>
              <w:t>1</w:t>
            </w:r>
          </w:p>
        </w:tc>
        <w:tc>
          <w:tcPr>
            <w:tcW w:w="1417" w:type="dxa"/>
            <w:tcBorders>
              <w:left w:val="single" w:sz="12" w:space="0" w:color="auto"/>
            </w:tcBorders>
            <w:shd w:val="clear" w:color="auto" w:fill="auto"/>
            <w:noWrap/>
            <w:vAlign w:val="center"/>
          </w:tcPr>
          <w:p w14:paraId="593609F5" w14:textId="4834A340" w:rsidR="00B0358F" w:rsidRDefault="00B0358F" w:rsidP="00B0358F">
            <w:pPr>
              <w:jc w:val="right"/>
              <w:rPr>
                <w:rFonts w:ascii="Calibri" w:hAnsi="Calibri" w:cs="Calibri"/>
                <w:color w:val="000000"/>
              </w:rPr>
            </w:pPr>
            <w:r>
              <w:rPr>
                <w:rFonts w:ascii="Calibri" w:hAnsi="Calibri" w:cs="Calibri"/>
                <w:color w:val="000000"/>
              </w:rPr>
              <w:t>0,8 %</w:t>
            </w:r>
          </w:p>
        </w:tc>
      </w:tr>
    </w:tbl>
    <w:p w14:paraId="01E22BA4" w14:textId="3F05B845" w:rsidR="00F47535" w:rsidRDefault="00B205A3" w:rsidP="00F47535">
      <w:pPr>
        <w:spacing w:after="160"/>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128</w:t>
      </w:r>
      <w:r w:rsidRPr="00DE3F03">
        <w:rPr>
          <w:sz w:val="20"/>
          <w:szCs w:val="20"/>
        </w:rPr>
        <w:t xml:space="preserve"> krát</w:t>
      </w:r>
      <w:r>
        <w:rPr>
          <w:sz w:val="20"/>
          <w:szCs w:val="20"/>
        </w:rPr>
        <w:t>, nezodpovězena</w:t>
      </w:r>
      <w:r>
        <w:rPr>
          <w:sz w:val="20"/>
          <w:szCs w:val="20"/>
        </w:rPr>
        <w:br/>
        <w:t>1 krát</w:t>
      </w:r>
      <w:r w:rsidRPr="00DE3F03">
        <w:rPr>
          <w:sz w:val="20"/>
          <w:szCs w:val="20"/>
        </w:rPr>
        <w:t>. Procentuální hodnota představuje podíl dané odpovědi z celkového počtu lidí/subjektů, kteří danou otázku zodpověděli.</w:t>
      </w:r>
    </w:p>
    <w:p w14:paraId="32D5B578" w14:textId="77777777" w:rsidR="00140FF3" w:rsidRDefault="00140FF3" w:rsidP="00F47535">
      <w:pPr>
        <w:spacing w:after="160" w:line="259" w:lineRule="auto"/>
        <w:jc w:val="both"/>
      </w:pPr>
    </w:p>
    <w:p w14:paraId="088503A1" w14:textId="2A918445" w:rsidR="00F47535" w:rsidRDefault="00F47535" w:rsidP="00F47535">
      <w:pPr>
        <w:spacing w:after="160" w:line="259" w:lineRule="auto"/>
        <w:jc w:val="both"/>
      </w:pPr>
      <w:r>
        <w:t>Nejvíce respondentům se na jejich obci líbí blízkost přírody (</w:t>
      </w:r>
      <w:r w:rsidR="00240DC3">
        <w:t>8</w:t>
      </w:r>
      <w:r w:rsidR="00140FF3">
        <w:t>7</w:t>
      </w:r>
      <w:r>
        <w:t xml:space="preserve"> % </w:t>
      </w:r>
      <w:r w:rsidR="00240DC3">
        <w:t>všech respondentů, kteří tuto otázku zodpověděli</w:t>
      </w:r>
      <w:r>
        <w:t>)</w:t>
      </w:r>
      <w:r w:rsidR="00CD5457">
        <w:t xml:space="preserve"> a klidný život (85 %)</w:t>
      </w:r>
      <w:r>
        <w:t>. Dále byl</w:t>
      </w:r>
      <w:r w:rsidR="00CD5457">
        <w:t>a</w:t>
      </w:r>
      <w:r>
        <w:t xml:space="preserve"> vyzdvihnut</w:t>
      </w:r>
      <w:r w:rsidR="00CD5457">
        <w:t>a</w:t>
      </w:r>
      <w:r>
        <w:t xml:space="preserve"> </w:t>
      </w:r>
      <w:r w:rsidR="006A3C9E">
        <w:t xml:space="preserve">blízkost </w:t>
      </w:r>
      <w:r w:rsidR="00CD5457">
        <w:t>Trutnova</w:t>
      </w:r>
      <w:r w:rsidR="006A3C9E">
        <w:t xml:space="preserve"> (</w:t>
      </w:r>
      <w:r w:rsidR="00CD5457">
        <w:t>56</w:t>
      </w:r>
      <w:r w:rsidR="006A3C9E">
        <w:t xml:space="preserve"> %)</w:t>
      </w:r>
      <w:r w:rsidR="00CD5457">
        <w:t xml:space="preserve"> a </w:t>
      </w:r>
      <w:r w:rsidR="00D072E7">
        <w:t>příznivé životní prostředí (</w:t>
      </w:r>
      <w:r w:rsidR="00CD5457">
        <w:t>35</w:t>
      </w:r>
      <w:r w:rsidR="00D072E7">
        <w:t xml:space="preserve"> %)</w:t>
      </w:r>
      <w:r w:rsidR="00CD5457">
        <w:t>.</w:t>
      </w:r>
    </w:p>
    <w:p w14:paraId="71E8DC0D" w14:textId="34A73C59" w:rsidR="00F47535" w:rsidRDefault="00F47535" w:rsidP="00F47535">
      <w:pPr>
        <w:spacing w:after="160" w:line="259" w:lineRule="auto"/>
        <w:jc w:val="both"/>
      </w:pPr>
      <w:r>
        <w:t xml:space="preserve">Možnost „Jiné“ byla zaškrtnuta </w:t>
      </w:r>
      <w:r w:rsidR="00CD5457">
        <w:t>jednou</w:t>
      </w:r>
      <w:r>
        <w:t>. Konkrétně byl</w:t>
      </w:r>
      <w:r w:rsidR="00FF2D9C">
        <w:t>a</w:t>
      </w:r>
      <w:r>
        <w:t xml:space="preserve"> zmíněn</w:t>
      </w:r>
      <w:r w:rsidR="00FF2D9C">
        <w:t>a</w:t>
      </w:r>
      <w:r>
        <w:t xml:space="preserve"> </w:t>
      </w:r>
      <w:r w:rsidR="00FF2D9C" w:rsidRPr="00FF2D9C">
        <w:t>blízkost rekreačního areálu Dolce</w:t>
      </w:r>
      <w:r w:rsidR="004B4715">
        <w:t>.</w:t>
      </w:r>
    </w:p>
    <w:p w14:paraId="0D4ED124" w14:textId="58F7A1E5" w:rsidR="00BF5349" w:rsidRDefault="00BF5349" w:rsidP="00F47535">
      <w:pPr>
        <w:spacing w:after="160" w:line="259" w:lineRule="auto"/>
      </w:pPr>
      <w:r>
        <w:br w:type="page"/>
      </w:r>
    </w:p>
    <w:p w14:paraId="23BA13A4" w14:textId="77777777" w:rsidR="00F47535" w:rsidRPr="00AE0FC9" w:rsidRDefault="00F47535" w:rsidP="00F47535">
      <w:pPr>
        <w:spacing w:after="160"/>
        <w:rPr>
          <w:sz w:val="24"/>
          <w:szCs w:val="24"/>
          <w:u w:val="single"/>
        </w:rPr>
      </w:pPr>
      <w:r w:rsidRPr="00343E2A">
        <w:rPr>
          <w:rFonts w:cstheme="minorHAnsi"/>
          <w:b/>
          <w:sz w:val="24"/>
          <w:szCs w:val="24"/>
          <w:u w:val="single"/>
          <w:lang w:eastAsia="cs-CZ"/>
        </w:rPr>
        <w:lastRenderedPageBreak/>
        <w:t>Otázka č</w:t>
      </w:r>
      <w:r w:rsidRPr="00AE0FC9">
        <w:rPr>
          <w:rFonts w:cstheme="minorHAnsi"/>
          <w:b/>
          <w:sz w:val="24"/>
          <w:szCs w:val="24"/>
          <w:u w:val="single"/>
          <w:lang w:eastAsia="cs-CZ"/>
        </w:rPr>
        <w:t>. 3: Co se Vám na Vaší obci nelíbí?</w:t>
      </w:r>
    </w:p>
    <w:p w14:paraId="349051F2" w14:textId="2AA9305B" w:rsidR="00F47535" w:rsidRDefault="00F47535" w:rsidP="00F47535">
      <w:pPr>
        <w:pStyle w:val="TABULKA0"/>
      </w:pPr>
      <w:bookmarkStart w:id="455" w:name="_Toc480751610"/>
      <w:bookmarkStart w:id="456" w:name="_Toc507022065"/>
      <w:bookmarkStart w:id="457" w:name="_Toc32577810"/>
      <w:bookmarkStart w:id="458" w:name="_Toc120651948"/>
      <w:r w:rsidRPr="000E7B38">
        <w:t xml:space="preserve">Tabulka </w:t>
      </w:r>
      <w:r w:rsidR="00BF5349">
        <w:t>26</w:t>
      </w:r>
      <w:r w:rsidRPr="000E7B38">
        <w:t>: Výsledky</w:t>
      </w:r>
      <w:r>
        <w:t xml:space="preserve"> odpovědí u otázky č. 3</w:t>
      </w:r>
      <w:bookmarkEnd w:id="455"/>
      <w:bookmarkEnd w:id="456"/>
      <w:bookmarkEnd w:id="457"/>
      <w:bookmarkEnd w:id="458"/>
    </w:p>
    <w:tbl>
      <w:tblPr>
        <w:tblW w:w="8224"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6304"/>
        <w:gridCol w:w="960"/>
        <w:gridCol w:w="960"/>
      </w:tblGrid>
      <w:tr w:rsidR="00F47535" w:rsidRPr="00405294" w14:paraId="0C4483E1" w14:textId="77777777" w:rsidTr="00B76B5E">
        <w:trPr>
          <w:trHeight w:val="300"/>
          <w:jc w:val="center"/>
        </w:trPr>
        <w:tc>
          <w:tcPr>
            <w:tcW w:w="6304" w:type="dxa"/>
            <w:tcBorders>
              <w:top w:val="single" w:sz="18" w:space="0" w:color="auto"/>
              <w:bottom w:val="single" w:sz="12" w:space="0" w:color="auto"/>
            </w:tcBorders>
            <w:shd w:val="clear" w:color="auto" w:fill="FFC000"/>
            <w:noWrap/>
            <w:vAlign w:val="center"/>
            <w:hideMark/>
          </w:tcPr>
          <w:p w14:paraId="1FA482D0" w14:textId="77777777" w:rsidR="00F47535" w:rsidRPr="00405294" w:rsidRDefault="00F47535" w:rsidP="0034794C">
            <w:pPr>
              <w:jc w:val="center"/>
              <w:rPr>
                <w:rFonts w:ascii="Calibri" w:eastAsia="Times New Roman" w:hAnsi="Calibri" w:cs="Calibri"/>
                <w:b/>
                <w:color w:val="000000"/>
                <w:lang w:eastAsia="cs-CZ"/>
              </w:rPr>
            </w:pPr>
            <w:r w:rsidRPr="00405294">
              <w:rPr>
                <w:rFonts w:ascii="Calibri" w:eastAsia="Times New Roman" w:hAnsi="Calibri" w:cs="Calibri"/>
                <w:b/>
                <w:color w:val="000000"/>
                <w:lang w:eastAsia="cs-CZ"/>
              </w:rPr>
              <w:t>Odpověď</w:t>
            </w:r>
          </w:p>
        </w:tc>
        <w:tc>
          <w:tcPr>
            <w:tcW w:w="960" w:type="dxa"/>
            <w:tcBorders>
              <w:top w:val="single" w:sz="18" w:space="0" w:color="auto"/>
              <w:bottom w:val="single" w:sz="12" w:space="0" w:color="auto"/>
            </w:tcBorders>
            <w:shd w:val="clear" w:color="auto" w:fill="FFC000"/>
            <w:noWrap/>
            <w:vAlign w:val="center"/>
            <w:hideMark/>
          </w:tcPr>
          <w:p w14:paraId="053B2D7F" w14:textId="77777777" w:rsidR="00F47535" w:rsidRPr="00405294" w:rsidRDefault="00F47535" w:rsidP="0034794C">
            <w:pPr>
              <w:jc w:val="center"/>
              <w:rPr>
                <w:rFonts w:ascii="Calibri" w:eastAsia="Times New Roman" w:hAnsi="Calibri" w:cs="Calibri"/>
                <w:b/>
                <w:color w:val="000000"/>
                <w:lang w:eastAsia="cs-CZ"/>
              </w:rPr>
            </w:pPr>
            <w:r w:rsidRPr="00405294">
              <w:rPr>
                <w:rFonts w:ascii="Calibri" w:eastAsia="Times New Roman" w:hAnsi="Calibri" w:cs="Calibri"/>
                <w:b/>
                <w:color w:val="000000"/>
                <w:lang w:eastAsia="cs-CZ"/>
              </w:rPr>
              <w:t>Responzí</w:t>
            </w:r>
          </w:p>
        </w:tc>
        <w:tc>
          <w:tcPr>
            <w:tcW w:w="960" w:type="dxa"/>
            <w:tcBorders>
              <w:top w:val="single" w:sz="18" w:space="0" w:color="auto"/>
              <w:bottom w:val="single" w:sz="12" w:space="0" w:color="auto"/>
            </w:tcBorders>
            <w:shd w:val="clear" w:color="auto" w:fill="FFC000"/>
            <w:noWrap/>
            <w:vAlign w:val="center"/>
            <w:hideMark/>
          </w:tcPr>
          <w:p w14:paraId="4A4D2300" w14:textId="77777777" w:rsidR="00F47535" w:rsidRPr="00405294" w:rsidRDefault="00F47535" w:rsidP="0034794C">
            <w:pPr>
              <w:jc w:val="center"/>
              <w:rPr>
                <w:rFonts w:ascii="Calibri" w:eastAsia="Times New Roman" w:hAnsi="Calibri" w:cs="Calibri"/>
                <w:b/>
                <w:color w:val="000000"/>
                <w:lang w:eastAsia="cs-CZ"/>
              </w:rPr>
            </w:pPr>
            <w:r w:rsidRPr="00405294">
              <w:rPr>
                <w:rFonts w:ascii="Calibri" w:eastAsia="Times New Roman" w:hAnsi="Calibri" w:cs="Calibri"/>
                <w:b/>
                <w:color w:val="000000"/>
                <w:lang w:eastAsia="cs-CZ"/>
              </w:rPr>
              <w:t>Podíl</w:t>
            </w:r>
          </w:p>
        </w:tc>
      </w:tr>
      <w:tr w:rsidR="008744C9" w:rsidRPr="00405294" w14:paraId="6E438463" w14:textId="77777777" w:rsidTr="008744C9">
        <w:trPr>
          <w:trHeight w:val="300"/>
          <w:jc w:val="center"/>
        </w:trPr>
        <w:tc>
          <w:tcPr>
            <w:tcW w:w="6304" w:type="dxa"/>
            <w:tcBorders>
              <w:top w:val="single" w:sz="12" w:space="0" w:color="auto"/>
            </w:tcBorders>
            <w:shd w:val="clear" w:color="auto" w:fill="D9D9D9" w:themeFill="background1" w:themeFillShade="D9"/>
            <w:noWrap/>
            <w:vAlign w:val="center"/>
          </w:tcPr>
          <w:p w14:paraId="3B841027" w14:textId="03B96097" w:rsidR="008744C9" w:rsidRPr="00AE0FC9" w:rsidRDefault="008744C9" w:rsidP="008744C9">
            <w:pPr>
              <w:rPr>
                <w:rFonts w:ascii="Calibri" w:hAnsi="Calibri" w:cs="Calibri"/>
                <w:b/>
                <w:color w:val="000000"/>
              </w:rPr>
            </w:pPr>
            <w:r>
              <w:rPr>
                <w:rFonts w:ascii="Calibri" w:hAnsi="Calibri" w:cs="Calibri"/>
                <w:color w:val="000000"/>
              </w:rPr>
              <w:t>špatné vztahy mezi lidmi</w:t>
            </w:r>
          </w:p>
        </w:tc>
        <w:tc>
          <w:tcPr>
            <w:tcW w:w="960" w:type="dxa"/>
            <w:tcBorders>
              <w:top w:val="single" w:sz="12" w:space="0" w:color="auto"/>
            </w:tcBorders>
            <w:shd w:val="clear" w:color="auto" w:fill="auto"/>
            <w:noWrap/>
            <w:vAlign w:val="center"/>
          </w:tcPr>
          <w:p w14:paraId="546C7199" w14:textId="33C73B7D" w:rsidR="008744C9" w:rsidRDefault="008744C9" w:rsidP="008744C9">
            <w:pPr>
              <w:jc w:val="right"/>
              <w:rPr>
                <w:rFonts w:ascii="Calibri" w:hAnsi="Calibri" w:cs="Calibri"/>
                <w:color w:val="000000"/>
              </w:rPr>
            </w:pPr>
            <w:r>
              <w:rPr>
                <w:rFonts w:ascii="Calibri" w:hAnsi="Calibri" w:cs="Calibri"/>
                <w:color w:val="000000"/>
              </w:rPr>
              <w:t>24</w:t>
            </w:r>
          </w:p>
        </w:tc>
        <w:tc>
          <w:tcPr>
            <w:tcW w:w="960" w:type="dxa"/>
            <w:tcBorders>
              <w:top w:val="single" w:sz="12" w:space="0" w:color="auto"/>
            </w:tcBorders>
            <w:shd w:val="clear" w:color="auto" w:fill="auto"/>
            <w:noWrap/>
            <w:vAlign w:val="center"/>
          </w:tcPr>
          <w:p w14:paraId="5F4ED4B8" w14:textId="0D199E83" w:rsidR="008744C9" w:rsidRDefault="008744C9" w:rsidP="008744C9">
            <w:pPr>
              <w:jc w:val="right"/>
              <w:rPr>
                <w:rFonts w:ascii="Calibri" w:hAnsi="Calibri" w:cs="Calibri"/>
                <w:color w:val="000000"/>
              </w:rPr>
            </w:pPr>
            <w:r>
              <w:rPr>
                <w:rFonts w:ascii="Calibri" w:hAnsi="Calibri" w:cs="Calibri"/>
                <w:color w:val="000000"/>
              </w:rPr>
              <w:t>19,0 %</w:t>
            </w:r>
          </w:p>
        </w:tc>
      </w:tr>
      <w:tr w:rsidR="008744C9" w:rsidRPr="00405294" w14:paraId="5A9D6281" w14:textId="77777777" w:rsidTr="008744C9">
        <w:trPr>
          <w:trHeight w:val="300"/>
          <w:jc w:val="center"/>
        </w:trPr>
        <w:tc>
          <w:tcPr>
            <w:tcW w:w="6304" w:type="dxa"/>
            <w:shd w:val="clear" w:color="auto" w:fill="D9D9D9" w:themeFill="background1" w:themeFillShade="D9"/>
            <w:noWrap/>
            <w:vAlign w:val="center"/>
          </w:tcPr>
          <w:p w14:paraId="2F3AB93C" w14:textId="200F78D1" w:rsidR="008744C9" w:rsidRPr="00AE0FC9" w:rsidRDefault="008744C9" w:rsidP="008744C9">
            <w:pPr>
              <w:rPr>
                <w:rFonts w:ascii="Calibri" w:hAnsi="Calibri" w:cs="Calibri"/>
                <w:b/>
                <w:color w:val="000000"/>
              </w:rPr>
            </w:pPr>
            <w:r>
              <w:rPr>
                <w:rFonts w:ascii="Calibri" w:hAnsi="Calibri" w:cs="Calibri"/>
                <w:color w:val="000000"/>
              </w:rPr>
              <w:t>nezájem lidí o obec</w:t>
            </w:r>
          </w:p>
        </w:tc>
        <w:tc>
          <w:tcPr>
            <w:tcW w:w="960" w:type="dxa"/>
            <w:shd w:val="clear" w:color="auto" w:fill="auto"/>
            <w:noWrap/>
            <w:vAlign w:val="center"/>
          </w:tcPr>
          <w:p w14:paraId="7AE10298" w14:textId="6864E006" w:rsidR="008744C9" w:rsidRDefault="008744C9" w:rsidP="008744C9">
            <w:pPr>
              <w:jc w:val="right"/>
              <w:rPr>
                <w:rFonts w:ascii="Calibri" w:hAnsi="Calibri" w:cs="Calibri"/>
                <w:color w:val="000000"/>
              </w:rPr>
            </w:pPr>
            <w:r>
              <w:rPr>
                <w:rFonts w:ascii="Calibri" w:hAnsi="Calibri" w:cs="Calibri"/>
                <w:color w:val="000000"/>
              </w:rPr>
              <w:t>30</w:t>
            </w:r>
          </w:p>
        </w:tc>
        <w:tc>
          <w:tcPr>
            <w:tcW w:w="960" w:type="dxa"/>
            <w:shd w:val="clear" w:color="auto" w:fill="auto"/>
            <w:noWrap/>
            <w:vAlign w:val="center"/>
          </w:tcPr>
          <w:p w14:paraId="252D6C38" w14:textId="5585DFFD" w:rsidR="008744C9" w:rsidRDefault="008744C9" w:rsidP="008744C9">
            <w:pPr>
              <w:jc w:val="right"/>
              <w:rPr>
                <w:rFonts w:ascii="Calibri" w:hAnsi="Calibri" w:cs="Calibri"/>
                <w:color w:val="000000"/>
              </w:rPr>
            </w:pPr>
            <w:r>
              <w:rPr>
                <w:rFonts w:ascii="Calibri" w:hAnsi="Calibri" w:cs="Calibri"/>
                <w:color w:val="000000"/>
              </w:rPr>
              <w:t>23,8 %</w:t>
            </w:r>
          </w:p>
        </w:tc>
      </w:tr>
      <w:tr w:rsidR="008744C9" w:rsidRPr="00405294" w14:paraId="0DE41F78" w14:textId="77777777" w:rsidTr="008744C9">
        <w:trPr>
          <w:trHeight w:val="300"/>
          <w:jc w:val="center"/>
        </w:trPr>
        <w:tc>
          <w:tcPr>
            <w:tcW w:w="6304" w:type="dxa"/>
            <w:shd w:val="clear" w:color="auto" w:fill="D9D9D9" w:themeFill="background1" w:themeFillShade="D9"/>
            <w:noWrap/>
            <w:vAlign w:val="center"/>
          </w:tcPr>
          <w:p w14:paraId="62D8D79C" w14:textId="261BE17C" w:rsidR="008744C9" w:rsidRPr="00AE0FC9" w:rsidRDefault="008744C9" w:rsidP="008744C9">
            <w:pPr>
              <w:rPr>
                <w:rFonts w:ascii="Calibri" w:hAnsi="Calibri" w:cs="Calibri"/>
                <w:b/>
                <w:color w:val="000000"/>
              </w:rPr>
            </w:pPr>
            <w:r>
              <w:rPr>
                <w:rFonts w:ascii="Calibri" w:hAnsi="Calibri" w:cs="Calibri"/>
                <w:color w:val="000000"/>
              </w:rPr>
              <w:t>málo kvalitní životní prostředí</w:t>
            </w:r>
          </w:p>
        </w:tc>
        <w:tc>
          <w:tcPr>
            <w:tcW w:w="960" w:type="dxa"/>
            <w:shd w:val="clear" w:color="auto" w:fill="auto"/>
            <w:noWrap/>
            <w:vAlign w:val="center"/>
          </w:tcPr>
          <w:p w14:paraId="33D47954" w14:textId="0D678BBA" w:rsidR="008744C9" w:rsidRDefault="008744C9" w:rsidP="008744C9">
            <w:pPr>
              <w:jc w:val="right"/>
              <w:rPr>
                <w:rFonts w:ascii="Calibri" w:hAnsi="Calibri" w:cs="Calibri"/>
                <w:color w:val="000000"/>
              </w:rPr>
            </w:pPr>
            <w:r>
              <w:rPr>
                <w:rFonts w:ascii="Calibri" w:hAnsi="Calibri" w:cs="Calibri"/>
                <w:color w:val="000000"/>
              </w:rPr>
              <w:t>2</w:t>
            </w:r>
          </w:p>
        </w:tc>
        <w:tc>
          <w:tcPr>
            <w:tcW w:w="960" w:type="dxa"/>
            <w:shd w:val="clear" w:color="auto" w:fill="auto"/>
            <w:noWrap/>
            <w:vAlign w:val="center"/>
          </w:tcPr>
          <w:p w14:paraId="793F5671" w14:textId="61A4CCEC" w:rsidR="008744C9" w:rsidRDefault="008744C9" w:rsidP="008744C9">
            <w:pPr>
              <w:jc w:val="right"/>
              <w:rPr>
                <w:rFonts w:ascii="Calibri" w:hAnsi="Calibri" w:cs="Calibri"/>
                <w:color w:val="000000"/>
              </w:rPr>
            </w:pPr>
            <w:r>
              <w:rPr>
                <w:rFonts w:ascii="Calibri" w:hAnsi="Calibri" w:cs="Calibri"/>
                <w:color w:val="000000"/>
              </w:rPr>
              <w:t>1,6 %</w:t>
            </w:r>
          </w:p>
        </w:tc>
      </w:tr>
      <w:tr w:rsidR="008744C9" w:rsidRPr="00405294" w14:paraId="6623EC25" w14:textId="77777777" w:rsidTr="008744C9">
        <w:trPr>
          <w:trHeight w:val="300"/>
          <w:jc w:val="center"/>
        </w:trPr>
        <w:tc>
          <w:tcPr>
            <w:tcW w:w="6304" w:type="dxa"/>
            <w:shd w:val="clear" w:color="auto" w:fill="D9D9D9" w:themeFill="background1" w:themeFillShade="D9"/>
            <w:noWrap/>
            <w:vAlign w:val="center"/>
          </w:tcPr>
          <w:p w14:paraId="03980029" w14:textId="7BAA2647" w:rsidR="008744C9" w:rsidRPr="00AE0FC9" w:rsidRDefault="008744C9" w:rsidP="008744C9">
            <w:pPr>
              <w:rPr>
                <w:rFonts w:ascii="Calibri" w:hAnsi="Calibri" w:cs="Calibri"/>
                <w:b/>
                <w:color w:val="000000"/>
              </w:rPr>
            </w:pPr>
            <w:r>
              <w:rPr>
                <w:rFonts w:ascii="Calibri" w:hAnsi="Calibri" w:cs="Calibri"/>
                <w:color w:val="000000"/>
              </w:rPr>
              <w:t>nedostatek pracovních příležitostí</w:t>
            </w:r>
          </w:p>
        </w:tc>
        <w:tc>
          <w:tcPr>
            <w:tcW w:w="960" w:type="dxa"/>
            <w:shd w:val="clear" w:color="auto" w:fill="auto"/>
            <w:noWrap/>
            <w:vAlign w:val="center"/>
          </w:tcPr>
          <w:p w14:paraId="794AD5E5" w14:textId="2F1B4A69" w:rsidR="008744C9" w:rsidRDefault="008744C9" w:rsidP="008744C9">
            <w:pPr>
              <w:jc w:val="right"/>
              <w:rPr>
                <w:rFonts w:ascii="Calibri" w:hAnsi="Calibri" w:cs="Calibri"/>
                <w:color w:val="000000"/>
              </w:rPr>
            </w:pPr>
            <w:r>
              <w:rPr>
                <w:rFonts w:ascii="Calibri" w:hAnsi="Calibri" w:cs="Calibri"/>
                <w:color w:val="000000"/>
              </w:rPr>
              <w:t>16</w:t>
            </w:r>
          </w:p>
        </w:tc>
        <w:tc>
          <w:tcPr>
            <w:tcW w:w="960" w:type="dxa"/>
            <w:shd w:val="clear" w:color="auto" w:fill="auto"/>
            <w:noWrap/>
            <w:vAlign w:val="center"/>
          </w:tcPr>
          <w:p w14:paraId="46FCAA74" w14:textId="2E12F197" w:rsidR="008744C9" w:rsidRDefault="008744C9" w:rsidP="008744C9">
            <w:pPr>
              <w:jc w:val="right"/>
              <w:rPr>
                <w:rFonts w:ascii="Calibri" w:hAnsi="Calibri" w:cs="Calibri"/>
                <w:color w:val="000000"/>
              </w:rPr>
            </w:pPr>
            <w:r>
              <w:rPr>
                <w:rFonts w:ascii="Calibri" w:hAnsi="Calibri" w:cs="Calibri"/>
                <w:color w:val="000000"/>
              </w:rPr>
              <w:t>12,7 %</w:t>
            </w:r>
          </w:p>
        </w:tc>
      </w:tr>
      <w:tr w:rsidR="008744C9" w:rsidRPr="00405294" w14:paraId="1A3E6BF3" w14:textId="77777777" w:rsidTr="008744C9">
        <w:trPr>
          <w:trHeight w:val="300"/>
          <w:jc w:val="center"/>
        </w:trPr>
        <w:tc>
          <w:tcPr>
            <w:tcW w:w="6304" w:type="dxa"/>
            <w:shd w:val="clear" w:color="auto" w:fill="D9D9D9" w:themeFill="background1" w:themeFillShade="D9"/>
            <w:noWrap/>
            <w:vAlign w:val="center"/>
          </w:tcPr>
          <w:p w14:paraId="0B2736A3" w14:textId="04876210" w:rsidR="008744C9" w:rsidRPr="00AE0FC9" w:rsidRDefault="008744C9" w:rsidP="008744C9">
            <w:pPr>
              <w:rPr>
                <w:rFonts w:ascii="Calibri" w:hAnsi="Calibri" w:cs="Calibri"/>
                <w:b/>
                <w:color w:val="000000"/>
              </w:rPr>
            </w:pPr>
            <w:r>
              <w:rPr>
                <w:rFonts w:ascii="Calibri" w:hAnsi="Calibri" w:cs="Calibri"/>
                <w:color w:val="000000"/>
              </w:rPr>
              <w:t>absence základních obchodů a služeb typu potraviny apod.</w:t>
            </w:r>
          </w:p>
        </w:tc>
        <w:tc>
          <w:tcPr>
            <w:tcW w:w="960" w:type="dxa"/>
            <w:shd w:val="clear" w:color="auto" w:fill="auto"/>
            <w:noWrap/>
            <w:vAlign w:val="center"/>
          </w:tcPr>
          <w:p w14:paraId="7A67D3F8" w14:textId="0635A499" w:rsidR="008744C9" w:rsidRDefault="008744C9" w:rsidP="008744C9">
            <w:pPr>
              <w:jc w:val="right"/>
              <w:rPr>
                <w:rFonts w:ascii="Calibri" w:hAnsi="Calibri" w:cs="Calibri"/>
                <w:color w:val="000000"/>
              </w:rPr>
            </w:pPr>
            <w:r>
              <w:rPr>
                <w:rFonts w:ascii="Calibri" w:hAnsi="Calibri" w:cs="Calibri"/>
                <w:color w:val="000000"/>
              </w:rPr>
              <w:t>105</w:t>
            </w:r>
          </w:p>
        </w:tc>
        <w:tc>
          <w:tcPr>
            <w:tcW w:w="960" w:type="dxa"/>
            <w:shd w:val="clear" w:color="auto" w:fill="auto"/>
            <w:noWrap/>
            <w:vAlign w:val="center"/>
          </w:tcPr>
          <w:p w14:paraId="7C3BB93E" w14:textId="32B3CC2F" w:rsidR="008744C9" w:rsidRDefault="008744C9" w:rsidP="008744C9">
            <w:pPr>
              <w:jc w:val="right"/>
              <w:rPr>
                <w:rFonts w:ascii="Calibri" w:hAnsi="Calibri" w:cs="Calibri"/>
                <w:color w:val="000000"/>
              </w:rPr>
            </w:pPr>
            <w:r>
              <w:rPr>
                <w:rFonts w:ascii="Calibri" w:hAnsi="Calibri" w:cs="Calibri"/>
                <w:color w:val="000000"/>
              </w:rPr>
              <w:t>83,3 %</w:t>
            </w:r>
          </w:p>
        </w:tc>
      </w:tr>
      <w:tr w:rsidR="008744C9" w:rsidRPr="00405294" w14:paraId="246CA257" w14:textId="77777777" w:rsidTr="008744C9">
        <w:trPr>
          <w:trHeight w:val="300"/>
          <w:jc w:val="center"/>
        </w:trPr>
        <w:tc>
          <w:tcPr>
            <w:tcW w:w="6304" w:type="dxa"/>
            <w:shd w:val="clear" w:color="auto" w:fill="D9D9D9" w:themeFill="background1" w:themeFillShade="D9"/>
            <w:noWrap/>
            <w:vAlign w:val="center"/>
          </w:tcPr>
          <w:p w14:paraId="67BFF675" w14:textId="4B32639A" w:rsidR="008744C9" w:rsidRPr="00AE0FC9" w:rsidRDefault="008744C9" w:rsidP="008744C9">
            <w:pPr>
              <w:rPr>
                <w:rFonts w:ascii="Calibri" w:hAnsi="Calibri" w:cs="Calibri"/>
                <w:b/>
                <w:color w:val="000000"/>
              </w:rPr>
            </w:pPr>
            <w:r>
              <w:rPr>
                <w:rFonts w:ascii="Calibri" w:hAnsi="Calibri" w:cs="Calibri"/>
                <w:color w:val="000000"/>
              </w:rPr>
              <w:t>nedostatečný kulturní a společenský život</w:t>
            </w:r>
          </w:p>
        </w:tc>
        <w:tc>
          <w:tcPr>
            <w:tcW w:w="960" w:type="dxa"/>
            <w:shd w:val="clear" w:color="auto" w:fill="auto"/>
            <w:noWrap/>
            <w:vAlign w:val="center"/>
          </w:tcPr>
          <w:p w14:paraId="4A5ED4A6" w14:textId="19EF9167" w:rsidR="008744C9" w:rsidRDefault="008744C9" w:rsidP="008744C9">
            <w:pPr>
              <w:jc w:val="right"/>
              <w:rPr>
                <w:rFonts w:ascii="Calibri" w:hAnsi="Calibri" w:cs="Calibri"/>
                <w:color w:val="000000"/>
              </w:rPr>
            </w:pPr>
            <w:r>
              <w:rPr>
                <w:rFonts w:ascii="Calibri" w:hAnsi="Calibri" w:cs="Calibri"/>
                <w:color w:val="000000"/>
              </w:rPr>
              <w:t>22</w:t>
            </w:r>
          </w:p>
        </w:tc>
        <w:tc>
          <w:tcPr>
            <w:tcW w:w="960" w:type="dxa"/>
            <w:shd w:val="clear" w:color="auto" w:fill="auto"/>
            <w:noWrap/>
            <w:vAlign w:val="center"/>
          </w:tcPr>
          <w:p w14:paraId="3310BE98" w14:textId="224E8D9E" w:rsidR="008744C9" w:rsidRDefault="008744C9" w:rsidP="008744C9">
            <w:pPr>
              <w:jc w:val="right"/>
              <w:rPr>
                <w:rFonts w:ascii="Calibri" w:hAnsi="Calibri" w:cs="Calibri"/>
                <w:color w:val="000000"/>
              </w:rPr>
            </w:pPr>
            <w:r>
              <w:rPr>
                <w:rFonts w:ascii="Calibri" w:hAnsi="Calibri" w:cs="Calibri"/>
                <w:color w:val="000000"/>
              </w:rPr>
              <w:t>17,5 %</w:t>
            </w:r>
          </w:p>
        </w:tc>
      </w:tr>
      <w:tr w:rsidR="008744C9" w:rsidRPr="00405294" w14:paraId="011C4CC8" w14:textId="77777777" w:rsidTr="008744C9">
        <w:trPr>
          <w:trHeight w:val="300"/>
          <w:jc w:val="center"/>
        </w:trPr>
        <w:tc>
          <w:tcPr>
            <w:tcW w:w="6304" w:type="dxa"/>
            <w:shd w:val="clear" w:color="auto" w:fill="D9D9D9" w:themeFill="background1" w:themeFillShade="D9"/>
            <w:noWrap/>
            <w:vAlign w:val="center"/>
          </w:tcPr>
          <w:p w14:paraId="4738DE70" w14:textId="64F8FC9D" w:rsidR="008744C9" w:rsidRPr="00AE0FC9" w:rsidRDefault="008744C9" w:rsidP="008744C9">
            <w:pPr>
              <w:rPr>
                <w:rFonts w:ascii="Calibri" w:hAnsi="Calibri" w:cs="Calibri"/>
                <w:b/>
                <w:color w:val="000000"/>
              </w:rPr>
            </w:pPr>
            <w:r>
              <w:rPr>
                <w:rFonts w:ascii="Calibri" w:hAnsi="Calibri" w:cs="Calibri"/>
                <w:color w:val="000000"/>
              </w:rPr>
              <w:t>blízkost Trutnova</w:t>
            </w:r>
          </w:p>
        </w:tc>
        <w:tc>
          <w:tcPr>
            <w:tcW w:w="960" w:type="dxa"/>
            <w:shd w:val="clear" w:color="auto" w:fill="auto"/>
            <w:noWrap/>
            <w:vAlign w:val="center"/>
          </w:tcPr>
          <w:p w14:paraId="6BBA4946" w14:textId="10424032" w:rsidR="008744C9" w:rsidRDefault="008744C9" w:rsidP="008744C9">
            <w:pPr>
              <w:jc w:val="right"/>
              <w:rPr>
                <w:rFonts w:ascii="Calibri" w:hAnsi="Calibri" w:cs="Calibri"/>
                <w:color w:val="000000"/>
              </w:rPr>
            </w:pPr>
            <w:r>
              <w:rPr>
                <w:rFonts w:ascii="Calibri" w:hAnsi="Calibri" w:cs="Calibri"/>
                <w:color w:val="000000"/>
              </w:rPr>
              <w:t>2</w:t>
            </w:r>
          </w:p>
        </w:tc>
        <w:tc>
          <w:tcPr>
            <w:tcW w:w="960" w:type="dxa"/>
            <w:shd w:val="clear" w:color="auto" w:fill="auto"/>
            <w:noWrap/>
            <w:vAlign w:val="center"/>
          </w:tcPr>
          <w:p w14:paraId="6499F36B" w14:textId="022B0CDB" w:rsidR="008744C9" w:rsidRDefault="008744C9" w:rsidP="008744C9">
            <w:pPr>
              <w:jc w:val="right"/>
              <w:rPr>
                <w:rFonts w:ascii="Calibri" w:hAnsi="Calibri" w:cs="Calibri"/>
                <w:color w:val="000000"/>
              </w:rPr>
            </w:pPr>
            <w:r>
              <w:rPr>
                <w:rFonts w:ascii="Calibri" w:hAnsi="Calibri" w:cs="Calibri"/>
                <w:color w:val="000000"/>
              </w:rPr>
              <w:t>1,6 %</w:t>
            </w:r>
          </w:p>
        </w:tc>
      </w:tr>
      <w:tr w:rsidR="008744C9" w:rsidRPr="00405294" w14:paraId="05687DA1" w14:textId="77777777" w:rsidTr="008744C9">
        <w:trPr>
          <w:trHeight w:val="300"/>
          <w:jc w:val="center"/>
        </w:trPr>
        <w:tc>
          <w:tcPr>
            <w:tcW w:w="6304" w:type="dxa"/>
            <w:shd w:val="clear" w:color="auto" w:fill="D9D9D9" w:themeFill="background1" w:themeFillShade="D9"/>
            <w:noWrap/>
            <w:vAlign w:val="center"/>
          </w:tcPr>
          <w:p w14:paraId="26D4276C" w14:textId="0022C605" w:rsidR="008744C9" w:rsidRPr="00AE0FC9" w:rsidRDefault="008744C9" w:rsidP="008744C9">
            <w:pPr>
              <w:rPr>
                <w:rFonts w:ascii="Calibri" w:hAnsi="Calibri" w:cs="Calibri"/>
                <w:b/>
                <w:color w:val="000000"/>
              </w:rPr>
            </w:pPr>
            <w:r>
              <w:rPr>
                <w:rFonts w:ascii="Calibri" w:hAnsi="Calibri" w:cs="Calibri"/>
                <w:color w:val="000000"/>
              </w:rPr>
              <w:t>absence školy</w:t>
            </w:r>
          </w:p>
        </w:tc>
        <w:tc>
          <w:tcPr>
            <w:tcW w:w="960" w:type="dxa"/>
            <w:shd w:val="clear" w:color="auto" w:fill="auto"/>
            <w:noWrap/>
            <w:vAlign w:val="center"/>
          </w:tcPr>
          <w:p w14:paraId="33F9102F" w14:textId="605E3738" w:rsidR="008744C9" w:rsidRDefault="008744C9" w:rsidP="008744C9">
            <w:pPr>
              <w:jc w:val="right"/>
              <w:rPr>
                <w:rFonts w:ascii="Calibri" w:hAnsi="Calibri" w:cs="Calibri"/>
                <w:color w:val="000000"/>
              </w:rPr>
            </w:pPr>
            <w:r>
              <w:rPr>
                <w:rFonts w:ascii="Calibri" w:hAnsi="Calibri" w:cs="Calibri"/>
                <w:color w:val="000000"/>
              </w:rPr>
              <w:t>29</w:t>
            </w:r>
          </w:p>
        </w:tc>
        <w:tc>
          <w:tcPr>
            <w:tcW w:w="960" w:type="dxa"/>
            <w:shd w:val="clear" w:color="auto" w:fill="auto"/>
            <w:noWrap/>
            <w:vAlign w:val="center"/>
          </w:tcPr>
          <w:p w14:paraId="74EEBA28" w14:textId="2C9EE0B4" w:rsidR="008744C9" w:rsidRDefault="008744C9" w:rsidP="008744C9">
            <w:pPr>
              <w:jc w:val="right"/>
              <w:rPr>
                <w:rFonts w:ascii="Calibri" w:hAnsi="Calibri" w:cs="Calibri"/>
                <w:color w:val="000000"/>
              </w:rPr>
            </w:pPr>
            <w:r>
              <w:rPr>
                <w:rFonts w:ascii="Calibri" w:hAnsi="Calibri" w:cs="Calibri"/>
                <w:color w:val="000000"/>
              </w:rPr>
              <w:t>23,0 %</w:t>
            </w:r>
          </w:p>
        </w:tc>
      </w:tr>
      <w:tr w:rsidR="008744C9" w:rsidRPr="00405294" w14:paraId="18379517" w14:textId="77777777" w:rsidTr="008744C9">
        <w:trPr>
          <w:trHeight w:val="300"/>
          <w:jc w:val="center"/>
        </w:trPr>
        <w:tc>
          <w:tcPr>
            <w:tcW w:w="6304" w:type="dxa"/>
            <w:shd w:val="clear" w:color="auto" w:fill="D9D9D9" w:themeFill="background1" w:themeFillShade="D9"/>
            <w:noWrap/>
            <w:vAlign w:val="center"/>
          </w:tcPr>
          <w:p w14:paraId="14A84EF3" w14:textId="6D520565" w:rsidR="008744C9" w:rsidRPr="00AE0FC9" w:rsidRDefault="008744C9" w:rsidP="008744C9">
            <w:pPr>
              <w:rPr>
                <w:rFonts w:ascii="Calibri" w:hAnsi="Calibri" w:cs="Calibri"/>
                <w:b/>
                <w:color w:val="000000"/>
              </w:rPr>
            </w:pPr>
            <w:r>
              <w:rPr>
                <w:rFonts w:ascii="Calibri" w:hAnsi="Calibri" w:cs="Calibri"/>
                <w:color w:val="000000"/>
              </w:rPr>
              <w:t>kvalita dopravní infrastruktury (místní komunikace apod.)</w:t>
            </w:r>
          </w:p>
        </w:tc>
        <w:tc>
          <w:tcPr>
            <w:tcW w:w="960" w:type="dxa"/>
            <w:shd w:val="clear" w:color="auto" w:fill="auto"/>
            <w:noWrap/>
            <w:vAlign w:val="center"/>
          </w:tcPr>
          <w:p w14:paraId="17E9825E" w14:textId="5DAA0E2E" w:rsidR="008744C9" w:rsidRDefault="008744C9" w:rsidP="008744C9">
            <w:pPr>
              <w:jc w:val="right"/>
              <w:rPr>
                <w:rFonts w:ascii="Calibri" w:hAnsi="Calibri" w:cs="Calibri"/>
                <w:color w:val="000000"/>
              </w:rPr>
            </w:pPr>
            <w:r>
              <w:rPr>
                <w:rFonts w:ascii="Calibri" w:hAnsi="Calibri" w:cs="Calibri"/>
                <w:color w:val="000000"/>
              </w:rPr>
              <w:t>28</w:t>
            </w:r>
          </w:p>
        </w:tc>
        <w:tc>
          <w:tcPr>
            <w:tcW w:w="960" w:type="dxa"/>
            <w:shd w:val="clear" w:color="auto" w:fill="auto"/>
            <w:noWrap/>
            <w:vAlign w:val="center"/>
          </w:tcPr>
          <w:p w14:paraId="743B0B90" w14:textId="5387AC6D" w:rsidR="008744C9" w:rsidRDefault="008744C9" w:rsidP="008744C9">
            <w:pPr>
              <w:jc w:val="right"/>
              <w:rPr>
                <w:rFonts w:ascii="Calibri" w:hAnsi="Calibri" w:cs="Calibri"/>
                <w:color w:val="000000"/>
              </w:rPr>
            </w:pPr>
            <w:r>
              <w:rPr>
                <w:rFonts w:ascii="Calibri" w:hAnsi="Calibri" w:cs="Calibri"/>
                <w:color w:val="000000"/>
              </w:rPr>
              <w:t>22,2 %</w:t>
            </w:r>
          </w:p>
        </w:tc>
      </w:tr>
      <w:tr w:rsidR="008744C9" w:rsidRPr="00405294" w14:paraId="4921BB6A" w14:textId="77777777" w:rsidTr="008744C9">
        <w:trPr>
          <w:trHeight w:val="300"/>
          <w:jc w:val="center"/>
        </w:trPr>
        <w:tc>
          <w:tcPr>
            <w:tcW w:w="6304" w:type="dxa"/>
            <w:shd w:val="clear" w:color="auto" w:fill="D9D9D9" w:themeFill="background1" w:themeFillShade="D9"/>
            <w:noWrap/>
            <w:vAlign w:val="center"/>
          </w:tcPr>
          <w:p w14:paraId="371B4A0A" w14:textId="3CCFE94A" w:rsidR="008744C9" w:rsidRPr="00AE0FC9" w:rsidRDefault="008744C9" w:rsidP="008744C9">
            <w:pPr>
              <w:rPr>
                <w:rFonts w:ascii="Calibri" w:hAnsi="Calibri" w:cs="Calibri"/>
                <w:b/>
                <w:color w:val="000000"/>
              </w:rPr>
            </w:pPr>
            <w:r>
              <w:rPr>
                <w:rFonts w:ascii="Calibri" w:hAnsi="Calibri" w:cs="Calibri"/>
                <w:color w:val="000000"/>
              </w:rPr>
              <w:t>absence zdravotní péče</w:t>
            </w:r>
          </w:p>
        </w:tc>
        <w:tc>
          <w:tcPr>
            <w:tcW w:w="960" w:type="dxa"/>
            <w:shd w:val="clear" w:color="auto" w:fill="auto"/>
            <w:noWrap/>
            <w:vAlign w:val="center"/>
          </w:tcPr>
          <w:p w14:paraId="2CF44404" w14:textId="6AEF3947" w:rsidR="008744C9" w:rsidRDefault="008744C9" w:rsidP="008744C9">
            <w:pPr>
              <w:jc w:val="right"/>
              <w:rPr>
                <w:rFonts w:ascii="Calibri" w:hAnsi="Calibri" w:cs="Calibri"/>
                <w:color w:val="000000"/>
              </w:rPr>
            </w:pPr>
            <w:r>
              <w:rPr>
                <w:rFonts w:ascii="Calibri" w:hAnsi="Calibri" w:cs="Calibri"/>
                <w:color w:val="000000"/>
              </w:rPr>
              <w:t>33</w:t>
            </w:r>
          </w:p>
        </w:tc>
        <w:tc>
          <w:tcPr>
            <w:tcW w:w="960" w:type="dxa"/>
            <w:shd w:val="clear" w:color="auto" w:fill="auto"/>
            <w:noWrap/>
            <w:vAlign w:val="center"/>
          </w:tcPr>
          <w:p w14:paraId="31E213E3" w14:textId="6027B758" w:rsidR="008744C9" w:rsidRDefault="008744C9" w:rsidP="008744C9">
            <w:pPr>
              <w:jc w:val="right"/>
              <w:rPr>
                <w:rFonts w:ascii="Calibri" w:hAnsi="Calibri" w:cs="Calibri"/>
                <w:color w:val="000000"/>
              </w:rPr>
            </w:pPr>
            <w:r>
              <w:rPr>
                <w:rFonts w:ascii="Calibri" w:hAnsi="Calibri" w:cs="Calibri"/>
                <w:color w:val="000000"/>
              </w:rPr>
              <w:t>26,2 %</w:t>
            </w:r>
          </w:p>
        </w:tc>
      </w:tr>
      <w:tr w:rsidR="008744C9" w:rsidRPr="00405294" w14:paraId="2119B8AC" w14:textId="77777777" w:rsidTr="008744C9">
        <w:trPr>
          <w:trHeight w:val="300"/>
          <w:jc w:val="center"/>
        </w:trPr>
        <w:tc>
          <w:tcPr>
            <w:tcW w:w="6304" w:type="dxa"/>
            <w:shd w:val="clear" w:color="auto" w:fill="D9D9D9" w:themeFill="background1" w:themeFillShade="D9"/>
            <w:noWrap/>
            <w:vAlign w:val="center"/>
          </w:tcPr>
          <w:p w14:paraId="2E1FA415" w14:textId="1647A5AD" w:rsidR="008744C9" w:rsidRPr="00AE0FC9" w:rsidRDefault="008744C9" w:rsidP="008744C9">
            <w:pPr>
              <w:rPr>
                <w:rFonts w:ascii="Calibri" w:hAnsi="Calibri" w:cs="Calibri"/>
                <w:b/>
                <w:color w:val="000000"/>
              </w:rPr>
            </w:pPr>
            <w:r>
              <w:rPr>
                <w:rFonts w:ascii="Calibri" w:hAnsi="Calibri" w:cs="Calibri"/>
                <w:color w:val="000000"/>
              </w:rPr>
              <w:t>nevyhovující veřejná doprava</w:t>
            </w:r>
          </w:p>
        </w:tc>
        <w:tc>
          <w:tcPr>
            <w:tcW w:w="960" w:type="dxa"/>
            <w:shd w:val="clear" w:color="auto" w:fill="auto"/>
            <w:noWrap/>
            <w:vAlign w:val="center"/>
          </w:tcPr>
          <w:p w14:paraId="0EE6738D" w14:textId="0B6048F1" w:rsidR="008744C9" w:rsidRDefault="008744C9" w:rsidP="008744C9">
            <w:pPr>
              <w:jc w:val="right"/>
              <w:rPr>
                <w:rFonts w:ascii="Calibri" w:hAnsi="Calibri" w:cs="Calibri"/>
                <w:color w:val="000000"/>
              </w:rPr>
            </w:pPr>
            <w:r>
              <w:rPr>
                <w:rFonts w:ascii="Calibri" w:hAnsi="Calibri" w:cs="Calibri"/>
                <w:color w:val="000000"/>
              </w:rPr>
              <w:t>26</w:t>
            </w:r>
          </w:p>
        </w:tc>
        <w:tc>
          <w:tcPr>
            <w:tcW w:w="960" w:type="dxa"/>
            <w:shd w:val="clear" w:color="auto" w:fill="auto"/>
            <w:noWrap/>
            <w:vAlign w:val="center"/>
          </w:tcPr>
          <w:p w14:paraId="39EBAB5C" w14:textId="2F7C7A1E" w:rsidR="008744C9" w:rsidRDefault="008744C9" w:rsidP="008744C9">
            <w:pPr>
              <w:jc w:val="right"/>
              <w:rPr>
                <w:rFonts w:ascii="Calibri" w:hAnsi="Calibri" w:cs="Calibri"/>
                <w:color w:val="000000"/>
              </w:rPr>
            </w:pPr>
            <w:r>
              <w:rPr>
                <w:rFonts w:ascii="Calibri" w:hAnsi="Calibri" w:cs="Calibri"/>
                <w:color w:val="000000"/>
              </w:rPr>
              <w:t>20,6 %</w:t>
            </w:r>
          </w:p>
        </w:tc>
      </w:tr>
      <w:tr w:rsidR="008744C9" w:rsidRPr="00405294" w14:paraId="5FBF8436" w14:textId="77777777" w:rsidTr="008744C9">
        <w:trPr>
          <w:trHeight w:val="300"/>
          <w:jc w:val="center"/>
        </w:trPr>
        <w:tc>
          <w:tcPr>
            <w:tcW w:w="6304" w:type="dxa"/>
            <w:shd w:val="clear" w:color="auto" w:fill="D9D9D9" w:themeFill="background1" w:themeFillShade="D9"/>
            <w:noWrap/>
            <w:vAlign w:val="center"/>
          </w:tcPr>
          <w:p w14:paraId="275F5DE9" w14:textId="30FBB9F3" w:rsidR="008744C9" w:rsidRPr="00AE0FC9" w:rsidRDefault="008744C9" w:rsidP="008744C9">
            <w:pPr>
              <w:rPr>
                <w:rFonts w:ascii="Calibri" w:hAnsi="Calibri" w:cs="Calibri"/>
                <w:b/>
                <w:color w:val="000000"/>
              </w:rPr>
            </w:pPr>
            <w:r>
              <w:rPr>
                <w:rFonts w:ascii="Calibri" w:hAnsi="Calibri" w:cs="Calibri"/>
                <w:color w:val="000000"/>
              </w:rPr>
              <w:t>nedostatečná bytová výstavba</w:t>
            </w:r>
          </w:p>
        </w:tc>
        <w:tc>
          <w:tcPr>
            <w:tcW w:w="960" w:type="dxa"/>
            <w:shd w:val="clear" w:color="auto" w:fill="auto"/>
            <w:noWrap/>
            <w:vAlign w:val="center"/>
          </w:tcPr>
          <w:p w14:paraId="10A28339" w14:textId="766DD4C4" w:rsidR="008744C9" w:rsidRDefault="008744C9" w:rsidP="008744C9">
            <w:pPr>
              <w:jc w:val="right"/>
              <w:rPr>
                <w:rFonts w:ascii="Calibri" w:hAnsi="Calibri" w:cs="Calibri"/>
                <w:color w:val="000000"/>
              </w:rPr>
            </w:pPr>
            <w:r>
              <w:rPr>
                <w:rFonts w:ascii="Calibri" w:hAnsi="Calibri" w:cs="Calibri"/>
                <w:color w:val="000000"/>
              </w:rPr>
              <w:t>12</w:t>
            </w:r>
          </w:p>
        </w:tc>
        <w:tc>
          <w:tcPr>
            <w:tcW w:w="960" w:type="dxa"/>
            <w:shd w:val="clear" w:color="auto" w:fill="auto"/>
            <w:noWrap/>
            <w:vAlign w:val="center"/>
          </w:tcPr>
          <w:p w14:paraId="4590D170" w14:textId="356887F5" w:rsidR="008744C9" w:rsidRDefault="008744C9" w:rsidP="008744C9">
            <w:pPr>
              <w:jc w:val="right"/>
              <w:rPr>
                <w:rFonts w:ascii="Calibri" w:hAnsi="Calibri" w:cs="Calibri"/>
                <w:color w:val="000000"/>
              </w:rPr>
            </w:pPr>
            <w:r>
              <w:rPr>
                <w:rFonts w:ascii="Calibri" w:hAnsi="Calibri" w:cs="Calibri"/>
                <w:color w:val="000000"/>
              </w:rPr>
              <w:t>9,5 %</w:t>
            </w:r>
          </w:p>
        </w:tc>
      </w:tr>
      <w:tr w:rsidR="008744C9" w:rsidRPr="00405294" w14:paraId="1E9C1B30" w14:textId="77777777" w:rsidTr="008744C9">
        <w:trPr>
          <w:trHeight w:val="300"/>
          <w:jc w:val="center"/>
        </w:trPr>
        <w:tc>
          <w:tcPr>
            <w:tcW w:w="6304" w:type="dxa"/>
            <w:shd w:val="clear" w:color="auto" w:fill="D9D9D9" w:themeFill="background1" w:themeFillShade="D9"/>
            <w:noWrap/>
            <w:vAlign w:val="center"/>
          </w:tcPr>
          <w:p w14:paraId="35BA4044" w14:textId="1BD5F8C9" w:rsidR="008744C9" w:rsidRPr="00AE0FC9" w:rsidRDefault="008744C9" w:rsidP="008744C9">
            <w:pPr>
              <w:rPr>
                <w:rFonts w:ascii="Calibri" w:hAnsi="Calibri" w:cs="Calibri"/>
                <w:b/>
                <w:color w:val="000000"/>
              </w:rPr>
            </w:pPr>
            <w:r>
              <w:rPr>
                <w:rFonts w:ascii="Calibri" w:hAnsi="Calibri" w:cs="Calibri"/>
                <w:color w:val="000000"/>
              </w:rPr>
              <w:t>nepořádek v obci</w:t>
            </w:r>
          </w:p>
        </w:tc>
        <w:tc>
          <w:tcPr>
            <w:tcW w:w="960" w:type="dxa"/>
            <w:shd w:val="clear" w:color="auto" w:fill="auto"/>
            <w:noWrap/>
            <w:vAlign w:val="center"/>
          </w:tcPr>
          <w:p w14:paraId="45403F9B" w14:textId="7D32CE60" w:rsidR="008744C9" w:rsidRDefault="008744C9" w:rsidP="008744C9">
            <w:pPr>
              <w:jc w:val="right"/>
              <w:rPr>
                <w:rFonts w:ascii="Calibri" w:hAnsi="Calibri" w:cs="Calibri"/>
                <w:color w:val="000000"/>
              </w:rPr>
            </w:pPr>
            <w:r>
              <w:rPr>
                <w:rFonts w:ascii="Calibri" w:hAnsi="Calibri" w:cs="Calibri"/>
                <w:color w:val="000000"/>
              </w:rPr>
              <w:t>10</w:t>
            </w:r>
          </w:p>
        </w:tc>
        <w:tc>
          <w:tcPr>
            <w:tcW w:w="960" w:type="dxa"/>
            <w:shd w:val="clear" w:color="auto" w:fill="auto"/>
            <w:noWrap/>
            <w:vAlign w:val="center"/>
          </w:tcPr>
          <w:p w14:paraId="4CD4E683" w14:textId="2AD2C493" w:rsidR="008744C9" w:rsidRDefault="008744C9" w:rsidP="008744C9">
            <w:pPr>
              <w:jc w:val="right"/>
              <w:rPr>
                <w:rFonts w:ascii="Calibri" w:hAnsi="Calibri" w:cs="Calibri"/>
                <w:color w:val="000000"/>
              </w:rPr>
            </w:pPr>
            <w:r>
              <w:rPr>
                <w:rFonts w:ascii="Calibri" w:hAnsi="Calibri" w:cs="Calibri"/>
                <w:color w:val="000000"/>
              </w:rPr>
              <w:t>7,9 %</w:t>
            </w:r>
          </w:p>
        </w:tc>
      </w:tr>
      <w:tr w:rsidR="008744C9" w:rsidRPr="00405294" w14:paraId="3D2AA5F4" w14:textId="77777777" w:rsidTr="008744C9">
        <w:trPr>
          <w:trHeight w:val="300"/>
          <w:jc w:val="center"/>
        </w:trPr>
        <w:tc>
          <w:tcPr>
            <w:tcW w:w="6304" w:type="dxa"/>
            <w:tcBorders>
              <w:bottom w:val="single" w:sz="4" w:space="0" w:color="auto"/>
            </w:tcBorders>
            <w:shd w:val="clear" w:color="auto" w:fill="D9D9D9" w:themeFill="background1" w:themeFillShade="D9"/>
            <w:noWrap/>
            <w:vAlign w:val="center"/>
          </w:tcPr>
          <w:p w14:paraId="65CBD3FB" w14:textId="32F9F8E4" w:rsidR="008744C9" w:rsidRPr="00AE0FC9" w:rsidRDefault="008744C9" w:rsidP="008744C9">
            <w:pPr>
              <w:rPr>
                <w:rFonts w:ascii="Calibri" w:hAnsi="Calibri" w:cs="Calibri"/>
                <w:b/>
                <w:color w:val="000000"/>
              </w:rPr>
            </w:pPr>
            <w:r>
              <w:rPr>
                <w:rFonts w:ascii="Calibri" w:hAnsi="Calibri" w:cs="Calibri"/>
                <w:color w:val="000000"/>
              </w:rPr>
              <w:t>špatné podmínky pro podnikání</w:t>
            </w:r>
          </w:p>
        </w:tc>
        <w:tc>
          <w:tcPr>
            <w:tcW w:w="960" w:type="dxa"/>
            <w:tcBorders>
              <w:bottom w:val="single" w:sz="4" w:space="0" w:color="auto"/>
            </w:tcBorders>
            <w:shd w:val="clear" w:color="auto" w:fill="auto"/>
            <w:noWrap/>
            <w:vAlign w:val="center"/>
          </w:tcPr>
          <w:p w14:paraId="57903254" w14:textId="0535CB73" w:rsidR="008744C9" w:rsidRDefault="008744C9" w:rsidP="008744C9">
            <w:pPr>
              <w:jc w:val="right"/>
              <w:rPr>
                <w:rFonts w:ascii="Calibri" w:hAnsi="Calibri" w:cs="Calibri"/>
                <w:color w:val="000000"/>
              </w:rPr>
            </w:pPr>
            <w:r>
              <w:rPr>
                <w:rFonts w:ascii="Calibri" w:hAnsi="Calibri" w:cs="Calibri"/>
                <w:color w:val="000000"/>
              </w:rPr>
              <w:t>0</w:t>
            </w:r>
          </w:p>
        </w:tc>
        <w:tc>
          <w:tcPr>
            <w:tcW w:w="960" w:type="dxa"/>
            <w:tcBorders>
              <w:bottom w:val="single" w:sz="4" w:space="0" w:color="auto"/>
            </w:tcBorders>
            <w:shd w:val="clear" w:color="auto" w:fill="auto"/>
            <w:noWrap/>
            <w:vAlign w:val="center"/>
          </w:tcPr>
          <w:p w14:paraId="51E79ACE" w14:textId="1777DE4E" w:rsidR="008744C9" w:rsidRDefault="008744C9" w:rsidP="008744C9">
            <w:pPr>
              <w:jc w:val="right"/>
              <w:rPr>
                <w:rFonts w:ascii="Calibri" w:hAnsi="Calibri" w:cs="Calibri"/>
                <w:color w:val="000000"/>
              </w:rPr>
            </w:pPr>
            <w:r>
              <w:rPr>
                <w:rFonts w:ascii="Calibri" w:hAnsi="Calibri" w:cs="Calibri"/>
                <w:color w:val="000000"/>
              </w:rPr>
              <w:t>0,0 %</w:t>
            </w:r>
          </w:p>
        </w:tc>
      </w:tr>
      <w:tr w:rsidR="008744C9" w:rsidRPr="00405294" w14:paraId="7D6040C3" w14:textId="77777777" w:rsidTr="008744C9">
        <w:trPr>
          <w:trHeight w:val="300"/>
          <w:jc w:val="center"/>
        </w:trPr>
        <w:tc>
          <w:tcPr>
            <w:tcW w:w="6304" w:type="dxa"/>
            <w:tcBorders>
              <w:bottom w:val="single" w:sz="18" w:space="0" w:color="auto"/>
            </w:tcBorders>
            <w:shd w:val="clear" w:color="auto" w:fill="D9D9D9" w:themeFill="background1" w:themeFillShade="D9"/>
            <w:noWrap/>
            <w:vAlign w:val="center"/>
          </w:tcPr>
          <w:p w14:paraId="282D68AB" w14:textId="10179ED5" w:rsidR="008744C9" w:rsidRPr="00AE0FC9" w:rsidRDefault="008744C9" w:rsidP="008744C9">
            <w:pPr>
              <w:rPr>
                <w:rFonts w:ascii="Calibri" w:hAnsi="Calibri" w:cs="Calibri"/>
                <w:b/>
                <w:color w:val="000000"/>
              </w:rPr>
            </w:pPr>
            <w:r>
              <w:rPr>
                <w:rFonts w:ascii="Calibri" w:hAnsi="Calibri" w:cs="Calibri"/>
                <w:color w:val="000000"/>
              </w:rPr>
              <w:t>jiné</w:t>
            </w:r>
          </w:p>
        </w:tc>
        <w:tc>
          <w:tcPr>
            <w:tcW w:w="960" w:type="dxa"/>
            <w:tcBorders>
              <w:bottom w:val="single" w:sz="18" w:space="0" w:color="auto"/>
            </w:tcBorders>
            <w:shd w:val="clear" w:color="auto" w:fill="auto"/>
            <w:noWrap/>
            <w:vAlign w:val="center"/>
          </w:tcPr>
          <w:p w14:paraId="71153897" w14:textId="27B73A5E" w:rsidR="008744C9" w:rsidRDefault="008744C9" w:rsidP="008744C9">
            <w:pPr>
              <w:jc w:val="right"/>
              <w:rPr>
                <w:rFonts w:ascii="Calibri" w:hAnsi="Calibri" w:cs="Calibri"/>
                <w:color w:val="000000"/>
              </w:rPr>
            </w:pPr>
            <w:r>
              <w:rPr>
                <w:rFonts w:ascii="Calibri" w:hAnsi="Calibri" w:cs="Calibri"/>
                <w:color w:val="000000"/>
              </w:rPr>
              <w:t>22</w:t>
            </w:r>
          </w:p>
        </w:tc>
        <w:tc>
          <w:tcPr>
            <w:tcW w:w="960" w:type="dxa"/>
            <w:tcBorders>
              <w:bottom w:val="single" w:sz="18" w:space="0" w:color="auto"/>
            </w:tcBorders>
            <w:shd w:val="clear" w:color="auto" w:fill="auto"/>
            <w:noWrap/>
            <w:vAlign w:val="center"/>
          </w:tcPr>
          <w:p w14:paraId="5628FC34" w14:textId="2291A1A5" w:rsidR="008744C9" w:rsidRDefault="008744C9" w:rsidP="008744C9">
            <w:pPr>
              <w:jc w:val="right"/>
              <w:rPr>
                <w:rFonts w:ascii="Calibri" w:hAnsi="Calibri" w:cs="Calibri"/>
                <w:color w:val="000000"/>
              </w:rPr>
            </w:pPr>
            <w:r>
              <w:rPr>
                <w:rFonts w:ascii="Calibri" w:hAnsi="Calibri" w:cs="Calibri"/>
                <w:color w:val="000000"/>
              </w:rPr>
              <w:t>17,5 %</w:t>
            </w:r>
          </w:p>
        </w:tc>
      </w:tr>
    </w:tbl>
    <w:p w14:paraId="70A16BED" w14:textId="5BF53651" w:rsidR="00F47535" w:rsidRDefault="00F47535" w:rsidP="00F47535">
      <w:pPr>
        <w:spacing w:after="160"/>
        <w:jc w:val="both"/>
      </w:pPr>
      <w:r w:rsidRPr="00DE3F03">
        <w:rPr>
          <w:b/>
          <w:sz w:val="20"/>
          <w:szCs w:val="20"/>
        </w:rPr>
        <w:t>Poznámky:</w:t>
      </w:r>
      <w:r w:rsidRPr="00DE3F03">
        <w:rPr>
          <w:sz w:val="20"/>
          <w:szCs w:val="20"/>
        </w:rPr>
        <w:t xml:space="preserve"> </w:t>
      </w:r>
      <w:r>
        <w:rPr>
          <w:sz w:val="20"/>
          <w:szCs w:val="20"/>
        </w:rPr>
        <w:t xml:space="preserve">Otázka byla zodpovězena v odevzdaných vyplněných dotaznících celkem </w:t>
      </w:r>
      <w:r w:rsidR="00A8062C">
        <w:rPr>
          <w:sz w:val="20"/>
          <w:szCs w:val="20"/>
        </w:rPr>
        <w:t>1</w:t>
      </w:r>
      <w:r w:rsidR="008744C9">
        <w:rPr>
          <w:sz w:val="20"/>
          <w:szCs w:val="20"/>
        </w:rPr>
        <w:t>2</w:t>
      </w:r>
      <w:r w:rsidR="00A8062C">
        <w:rPr>
          <w:sz w:val="20"/>
          <w:szCs w:val="20"/>
        </w:rPr>
        <w:t>6</w:t>
      </w:r>
      <w:r w:rsidRPr="00DE3F03">
        <w:rPr>
          <w:sz w:val="20"/>
          <w:szCs w:val="20"/>
        </w:rPr>
        <w:t xml:space="preserve"> krát</w:t>
      </w:r>
      <w:r>
        <w:rPr>
          <w:sz w:val="20"/>
          <w:szCs w:val="20"/>
        </w:rPr>
        <w:t>, nezodpovězena</w:t>
      </w:r>
      <w:r>
        <w:rPr>
          <w:sz w:val="20"/>
          <w:szCs w:val="20"/>
        </w:rPr>
        <w:br/>
      </w:r>
      <w:r w:rsidR="008744C9">
        <w:rPr>
          <w:sz w:val="20"/>
          <w:szCs w:val="20"/>
        </w:rPr>
        <w:t>3</w:t>
      </w:r>
      <w:r>
        <w:rPr>
          <w:sz w:val="20"/>
          <w:szCs w:val="20"/>
        </w:rPr>
        <w:t xml:space="preserve"> krát</w:t>
      </w:r>
      <w:r w:rsidRPr="00DE3F03">
        <w:rPr>
          <w:sz w:val="20"/>
          <w:szCs w:val="20"/>
        </w:rPr>
        <w:t>. Procentuální hodnota představuje podíl dané odpovědi z celkového počtu lidí/subjektů, kteří danou otázku zodpověděli.</w:t>
      </w:r>
    </w:p>
    <w:p w14:paraId="7BB6634C" w14:textId="77777777" w:rsidR="00F47535" w:rsidRDefault="00F47535" w:rsidP="00F47535">
      <w:pPr>
        <w:spacing w:after="160" w:line="259" w:lineRule="auto"/>
        <w:jc w:val="both"/>
      </w:pPr>
    </w:p>
    <w:p w14:paraId="1F0C52B9" w14:textId="329AACF6" w:rsidR="00F47535" w:rsidRDefault="00F47535" w:rsidP="00F47535">
      <w:pPr>
        <w:spacing w:after="160" w:line="259" w:lineRule="auto"/>
        <w:jc w:val="both"/>
      </w:pPr>
      <w:r>
        <w:t>Na otázku, co se obyvatelům na jejich obci nelíbí, byl</w:t>
      </w:r>
      <w:r w:rsidR="0079317F">
        <w:t>a</w:t>
      </w:r>
      <w:r>
        <w:t xml:space="preserve"> nejčastěji zmiňován</w:t>
      </w:r>
      <w:r w:rsidR="0079317F">
        <w:t>a</w:t>
      </w:r>
      <w:r>
        <w:t xml:space="preserve"> </w:t>
      </w:r>
      <w:r w:rsidR="00682865">
        <w:rPr>
          <w:rFonts w:ascii="Calibri" w:hAnsi="Calibri" w:cs="Calibri"/>
          <w:color w:val="000000"/>
        </w:rPr>
        <w:t>absence základních obchodů a služeb typu potraviny apod.</w:t>
      </w:r>
      <w:r w:rsidR="00682865" w:rsidRPr="0079317F">
        <w:t xml:space="preserve"> </w:t>
      </w:r>
      <w:r>
        <w:t>(</w:t>
      </w:r>
      <w:r w:rsidR="00E516F6">
        <w:t>83</w:t>
      </w:r>
      <w:r>
        <w:t xml:space="preserve"> % všech respondentů, kteří tuto otázku zodpověděli). Dál</w:t>
      </w:r>
      <w:r w:rsidR="00682865">
        <w:t>e</w:t>
      </w:r>
      <w:r>
        <w:t xml:space="preserve"> byl</w:t>
      </w:r>
      <w:r w:rsidR="00682865">
        <w:t>a</w:t>
      </w:r>
      <w:r>
        <w:t xml:space="preserve"> častěji zmíněn</w:t>
      </w:r>
      <w:r w:rsidR="00682865">
        <w:t>a</w:t>
      </w:r>
      <w:r w:rsidR="00682865" w:rsidRPr="00682865">
        <w:t xml:space="preserve"> </w:t>
      </w:r>
      <w:r w:rsidR="00E516F6">
        <w:t>absence zdravotní péče</w:t>
      </w:r>
      <w:r>
        <w:t xml:space="preserve"> </w:t>
      </w:r>
      <w:r w:rsidR="00682865">
        <w:t>(</w:t>
      </w:r>
      <w:r w:rsidR="00E516F6">
        <w:t>26</w:t>
      </w:r>
      <w:r w:rsidR="00682865">
        <w:t xml:space="preserve"> %), </w:t>
      </w:r>
      <w:r w:rsidR="00E516F6">
        <w:t xml:space="preserve">nezájem lidí o obec </w:t>
      </w:r>
      <w:r w:rsidR="00682865">
        <w:t>(</w:t>
      </w:r>
      <w:r w:rsidR="00E516F6">
        <w:t>24</w:t>
      </w:r>
      <w:r w:rsidR="00682865">
        <w:t xml:space="preserve"> %)</w:t>
      </w:r>
      <w:r w:rsidR="00E516F6">
        <w:t>, absence školy (23 %)</w:t>
      </w:r>
      <w:r w:rsidR="00682865">
        <w:t xml:space="preserve"> a </w:t>
      </w:r>
      <w:r w:rsidR="00E516F6">
        <w:rPr>
          <w:rFonts w:ascii="Calibri" w:hAnsi="Calibri" w:cs="Calibri"/>
          <w:color w:val="000000"/>
        </w:rPr>
        <w:t>kvalita dopravní infrastruktury (místní komunikace apod.)</w:t>
      </w:r>
      <w:r w:rsidR="00E516F6">
        <w:t xml:space="preserve"> </w:t>
      </w:r>
      <w:r w:rsidR="0079317F">
        <w:t>(</w:t>
      </w:r>
      <w:r w:rsidR="00E516F6">
        <w:t>22</w:t>
      </w:r>
      <w:r w:rsidR="0079317F">
        <w:t xml:space="preserve"> %)</w:t>
      </w:r>
      <w:r w:rsidR="00682865">
        <w:t>.</w:t>
      </w:r>
    </w:p>
    <w:p w14:paraId="6A9F2923" w14:textId="30DBB578" w:rsidR="00AC5921" w:rsidRDefault="004C326E" w:rsidP="00D54561">
      <w:pPr>
        <w:spacing w:after="60" w:line="259" w:lineRule="auto"/>
        <w:jc w:val="both"/>
      </w:pPr>
      <w:r>
        <w:t>Možnost „</w:t>
      </w:r>
      <w:r w:rsidR="003C4522">
        <w:t>j</w:t>
      </w:r>
      <w:r>
        <w:t xml:space="preserve">iné“ byla zaškrtnuta </w:t>
      </w:r>
      <w:r w:rsidR="00185B08">
        <w:t>22x</w:t>
      </w:r>
      <w:r>
        <w:t xml:space="preserve">. </w:t>
      </w:r>
      <w:r w:rsidR="0066522A">
        <w:t>Zmiňováno bylo následující (</w:t>
      </w:r>
      <w:r w:rsidR="00BA0240">
        <w:t>číslo vyjadřuje, kolikrát byla daná věc zmíněna</w:t>
      </w:r>
      <w:r w:rsidR="0066522A">
        <w:t>):</w:t>
      </w:r>
    </w:p>
    <w:p w14:paraId="680BF5C2" w14:textId="0BDB7125" w:rsidR="00D54561" w:rsidRDefault="002C4AE5">
      <w:pPr>
        <w:pStyle w:val="Odstavecseseznamem"/>
        <w:numPr>
          <w:ilvl w:val="0"/>
          <w:numId w:val="14"/>
        </w:numPr>
        <w:spacing w:after="60"/>
        <w:ind w:left="425" w:hanging="357"/>
        <w:contextualSpacing w:val="0"/>
        <w:jc w:val="both"/>
      </w:pPr>
      <w:r>
        <w:t>souvislost s bezpečností</w:t>
      </w:r>
      <w:r w:rsidR="00D54561">
        <w:t xml:space="preserve"> – </w:t>
      </w:r>
      <w:r w:rsidR="000C0757">
        <w:t>10</w:t>
      </w:r>
      <w:r w:rsidR="00D54561">
        <w:t>x</w:t>
      </w:r>
      <w:r>
        <w:t xml:space="preserve">, </w:t>
      </w:r>
      <w:r w:rsidR="00D54561">
        <w:t>z toho:</w:t>
      </w:r>
    </w:p>
    <w:p w14:paraId="07FA9805" w14:textId="30F01B2D" w:rsidR="002C4AE5" w:rsidRDefault="000C0757">
      <w:pPr>
        <w:pStyle w:val="Odstavecseseznamem"/>
        <w:numPr>
          <w:ilvl w:val="1"/>
          <w:numId w:val="14"/>
        </w:numPr>
        <w:spacing w:after="60"/>
        <w:ind w:left="851"/>
        <w:contextualSpacing w:val="0"/>
        <w:jc w:val="both"/>
      </w:pPr>
      <w:r>
        <w:t>absence chodníku/chodníků – 7x</w:t>
      </w:r>
    </w:p>
    <w:p w14:paraId="064F6A7D" w14:textId="1F5AE302" w:rsidR="000C0757" w:rsidRDefault="000C0757">
      <w:pPr>
        <w:pStyle w:val="Odstavecseseznamem"/>
        <w:numPr>
          <w:ilvl w:val="1"/>
          <w:numId w:val="14"/>
        </w:numPr>
        <w:spacing w:after="60"/>
        <w:ind w:left="851"/>
        <w:contextualSpacing w:val="0"/>
        <w:jc w:val="both"/>
      </w:pPr>
      <w:r>
        <w:t>v</w:t>
      </w:r>
      <w:r w:rsidRPr="000C0757">
        <w:t>ysoká rychlost projíždějících vozidel (chybí zpomalovací pásy, kontrola policie</w:t>
      </w:r>
      <w:r>
        <w:t xml:space="preserve"> apod.</w:t>
      </w:r>
      <w:r w:rsidRPr="000C0757">
        <w:t>)</w:t>
      </w:r>
      <w:r>
        <w:t xml:space="preserve"> – 1x</w:t>
      </w:r>
    </w:p>
    <w:p w14:paraId="26331B68" w14:textId="66E0109A" w:rsidR="000C0757" w:rsidRDefault="000C0757">
      <w:pPr>
        <w:pStyle w:val="Odstavecseseznamem"/>
        <w:numPr>
          <w:ilvl w:val="1"/>
          <w:numId w:val="14"/>
        </w:numPr>
        <w:spacing w:after="60"/>
        <w:ind w:left="851"/>
        <w:contextualSpacing w:val="0"/>
        <w:jc w:val="both"/>
      </w:pPr>
      <w:r w:rsidRPr="000C0757">
        <w:t>absence chodníku nebo alternativní cesty pro pěší a nedodržování povolené rychlosti</w:t>
      </w:r>
      <w:r>
        <w:t xml:space="preserve"> – 1x</w:t>
      </w:r>
    </w:p>
    <w:p w14:paraId="4F78C73E" w14:textId="7C5D3C4E" w:rsidR="000C0757" w:rsidRDefault="000C0757">
      <w:pPr>
        <w:pStyle w:val="Odstavecseseznamem"/>
        <w:numPr>
          <w:ilvl w:val="1"/>
          <w:numId w:val="14"/>
        </w:numPr>
        <w:spacing w:after="60"/>
        <w:ind w:left="851"/>
        <w:contextualSpacing w:val="0"/>
        <w:jc w:val="both"/>
      </w:pPr>
      <w:r>
        <w:t>b</w:t>
      </w:r>
      <w:r w:rsidRPr="000C0757">
        <w:t>ezpečnost při chůzi podél hlavní komunikace</w:t>
      </w:r>
      <w:r>
        <w:t xml:space="preserve"> – 1x</w:t>
      </w:r>
    </w:p>
    <w:p w14:paraId="6D9AB1C6" w14:textId="3A8801D8" w:rsidR="00D54561" w:rsidRDefault="00855D19">
      <w:pPr>
        <w:pStyle w:val="Odstavecseseznamem"/>
        <w:numPr>
          <w:ilvl w:val="0"/>
          <w:numId w:val="14"/>
        </w:numPr>
        <w:spacing w:before="120" w:after="60"/>
        <w:ind w:left="425" w:hanging="357"/>
        <w:contextualSpacing w:val="0"/>
        <w:jc w:val="both"/>
      </w:pPr>
      <w:r w:rsidRPr="00855D19">
        <w:t>chybějící kanalizace</w:t>
      </w:r>
      <w:r w:rsidR="00D54561">
        <w:t xml:space="preserve"> – </w:t>
      </w:r>
      <w:r>
        <w:t>5</w:t>
      </w:r>
      <w:r w:rsidR="00D54561">
        <w:t>x</w:t>
      </w:r>
    </w:p>
    <w:p w14:paraId="62A2F037" w14:textId="50316490" w:rsidR="00D54561" w:rsidRDefault="00855D19">
      <w:pPr>
        <w:pStyle w:val="Odstavecseseznamem"/>
        <w:numPr>
          <w:ilvl w:val="0"/>
          <w:numId w:val="14"/>
        </w:numPr>
        <w:spacing w:after="60"/>
        <w:ind w:left="425" w:hanging="357"/>
        <w:contextualSpacing w:val="0"/>
        <w:jc w:val="both"/>
      </w:pPr>
      <w:r w:rsidRPr="00855D19">
        <w:t>chybějící vodovod</w:t>
      </w:r>
      <w:r w:rsidR="00D54561">
        <w:t xml:space="preserve"> – </w:t>
      </w:r>
      <w:r>
        <w:t>3</w:t>
      </w:r>
      <w:r w:rsidR="00D54561">
        <w:t>x</w:t>
      </w:r>
    </w:p>
    <w:p w14:paraId="1FE64E6A" w14:textId="60434E84" w:rsidR="00D54561" w:rsidRDefault="00855D19">
      <w:pPr>
        <w:pStyle w:val="Odstavecseseznamem"/>
        <w:numPr>
          <w:ilvl w:val="0"/>
          <w:numId w:val="14"/>
        </w:numPr>
        <w:spacing w:after="60"/>
        <w:ind w:left="425" w:hanging="357"/>
        <w:contextualSpacing w:val="0"/>
        <w:jc w:val="both"/>
      </w:pPr>
      <w:r w:rsidRPr="00855D19">
        <w:t>špatný stav potoka</w:t>
      </w:r>
      <w:r>
        <w:t xml:space="preserve"> </w:t>
      </w:r>
      <w:r w:rsidR="00D54561">
        <w:t xml:space="preserve">– </w:t>
      </w:r>
      <w:r>
        <w:t>3</w:t>
      </w:r>
      <w:r w:rsidR="00D54561">
        <w:t>x</w:t>
      </w:r>
    </w:p>
    <w:p w14:paraId="30A6C98C" w14:textId="2CE5C22C" w:rsidR="005955EF" w:rsidRDefault="005955EF">
      <w:pPr>
        <w:pStyle w:val="Odstavecseseznamem"/>
        <w:numPr>
          <w:ilvl w:val="0"/>
          <w:numId w:val="14"/>
        </w:numPr>
        <w:spacing w:after="60"/>
        <w:ind w:left="426"/>
        <w:contextualSpacing w:val="0"/>
        <w:jc w:val="both"/>
      </w:pPr>
      <w:r>
        <w:t>stav budovy obecního úřadu</w:t>
      </w:r>
      <w:r w:rsidR="00BD4DB3">
        <w:t xml:space="preserve"> – 1x</w:t>
      </w:r>
    </w:p>
    <w:p w14:paraId="098EBB6E" w14:textId="439C4038" w:rsidR="005955EF" w:rsidRDefault="00167FA7">
      <w:pPr>
        <w:pStyle w:val="Odstavecseseznamem"/>
        <w:numPr>
          <w:ilvl w:val="0"/>
          <w:numId w:val="14"/>
        </w:numPr>
        <w:spacing w:after="60"/>
        <w:ind w:left="426"/>
        <w:contextualSpacing w:val="0"/>
        <w:jc w:val="both"/>
      </w:pPr>
      <w:r>
        <w:t>n</w:t>
      </w:r>
      <w:r w:rsidR="005955EF">
        <w:t>a zač</w:t>
      </w:r>
      <w:r>
        <w:t>átku</w:t>
      </w:r>
      <w:r w:rsidR="005955EF">
        <w:t xml:space="preserve"> Adventu </w:t>
      </w:r>
      <w:r>
        <w:t>a</w:t>
      </w:r>
      <w:r w:rsidR="005955EF">
        <w:t xml:space="preserve"> na Velikonoce někdo ze St</w:t>
      </w:r>
      <w:r>
        <w:t>arých</w:t>
      </w:r>
      <w:r w:rsidR="005955EF">
        <w:t xml:space="preserve"> Buků pořádá nauč</w:t>
      </w:r>
      <w:r>
        <w:t>nou</w:t>
      </w:r>
      <w:r w:rsidR="005955EF">
        <w:t xml:space="preserve"> stezku pro děti s</w:t>
      </w:r>
      <w:r>
        <w:t> </w:t>
      </w:r>
      <w:r w:rsidR="005955EF">
        <w:t>úkoly</w:t>
      </w:r>
      <w:r>
        <w:t xml:space="preserve"> – p</w:t>
      </w:r>
      <w:r w:rsidR="005955EF">
        <w:t>o ukončení neuklidí vyvěš</w:t>
      </w:r>
      <w:r>
        <w:t>ené</w:t>
      </w:r>
      <w:r w:rsidR="005955EF">
        <w:t xml:space="preserve"> úkoly </w:t>
      </w:r>
      <w:r>
        <w:rPr>
          <w:rFonts w:cstheme="minorHAnsi"/>
        </w:rPr>
        <w:t>→</w:t>
      </w:r>
      <w:r w:rsidR="005955EF">
        <w:t xml:space="preserve"> znečištění přírody</w:t>
      </w:r>
      <w:r w:rsidR="000848C2">
        <w:t xml:space="preserve"> – 1x</w:t>
      </w:r>
    </w:p>
    <w:p w14:paraId="43B92DF2" w14:textId="5C58738B" w:rsidR="005955EF" w:rsidRDefault="005955EF">
      <w:pPr>
        <w:pStyle w:val="Odstavecseseznamem"/>
        <w:numPr>
          <w:ilvl w:val="0"/>
          <w:numId w:val="14"/>
        </w:numPr>
        <w:spacing w:after="60"/>
        <w:ind w:left="426"/>
        <w:contextualSpacing w:val="0"/>
        <w:jc w:val="both"/>
      </w:pPr>
      <w:r>
        <w:t xml:space="preserve">komunikace přes </w:t>
      </w:r>
      <w:r w:rsidR="00CD09B9">
        <w:t>lokalitu s místně zažitým názvem S</w:t>
      </w:r>
      <w:r>
        <w:t>tarost</w:t>
      </w:r>
      <w:r w:rsidR="000848C2">
        <w:t xml:space="preserve"> – 1x</w:t>
      </w:r>
    </w:p>
    <w:p w14:paraId="32248597" w14:textId="14ED0E9A" w:rsidR="005955EF" w:rsidRDefault="00CD09B9">
      <w:pPr>
        <w:pStyle w:val="Odstavecseseznamem"/>
        <w:numPr>
          <w:ilvl w:val="0"/>
          <w:numId w:val="14"/>
        </w:numPr>
        <w:spacing w:after="60"/>
        <w:ind w:left="426"/>
        <w:contextualSpacing w:val="0"/>
        <w:jc w:val="both"/>
      </w:pPr>
      <w:r>
        <w:t>t</w:t>
      </w:r>
      <w:r w:rsidR="005955EF">
        <w:t>ábor M</w:t>
      </w:r>
      <w:r>
        <w:t>ASH</w:t>
      </w:r>
      <w:r w:rsidR="005955EF">
        <w:t xml:space="preserve"> a soustavné rušení nočního klidu, hlasitá hudba nonstop</w:t>
      </w:r>
      <w:r w:rsidR="000848C2">
        <w:t xml:space="preserve"> – 1x</w:t>
      </w:r>
    </w:p>
    <w:p w14:paraId="3E25C22E" w14:textId="48558C1D" w:rsidR="005955EF" w:rsidRDefault="00CD09B9">
      <w:pPr>
        <w:pStyle w:val="Odstavecseseznamem"/>
        <w:numPr>
          <w:ilvl w:val="0"/>
          <w:numId w:val="14"/>
        </w:numPr>
        <w:spacing w:after="60"/>
        <w:ind w:left="426"/>
        <w:contextualSpacing w:val="0"/>
        <w:jc w:val="both"/>
      </w:pPr>
      <w:r>
        <w:t>b</w:t>
      </w:r>
      <w:r w:rsidR="005955EF">
        <w:t>ývalý kravín v tzv. centru obce u zámečku</w:t>
      </w:r>
      <w:r w:rsidR="000848C2">
        <w:t xml:space="preserve"> – 1x</w:t>
      </w:r>
    </w:p>
    <w:p w14:paraId="49972DC3" w14:textId="6555EA28" w:rsidR="005955EF" w:rsidRDefault="005955EF">
      <w:pPr>
        <w:pStyle w:val="Odstavecseseznamem"/>
        <w:numPr>
          <w:ilvl w:val="0"/>
          <w:numId w:val="14"/>
        </w:numPr>
        <w:spacing w:after="60"/>
        <w:ind w:left="426"/>
        <w:contextualSpacing w:val="0"/>
        <w:jc w:val="both"/>
      </w:pPr>
      <w:r>
        <w:lastRenderedPageBreak/>
        <w:t>o víkendu nejede žádné spojení</w:t>
      </w:r>
      <w:r w:rsidR="000848C2">
        <w:t xml:space="preserve"> – 1x</w:t>
      </w:r>
    </w:p>
    <w:p w14:paraId="47C35D84" w14:textId="77777777" w:rsidR="005955EF" w:rsidRDefault="005955EF">
      <w:pPr>
        <w:pStyle w:val="Odstavecseseznamem"/>
        <w:numPr>
          <w:ilvl w:val="0"/>
          <w:numId w:val="14"/>
        </w:numPr>
        <w:spacing w:after="60"/>
        <w:ind w:left="426"/>
        <w:contextualSpacing w:val="0"/>
        <w:jc w:val="both"/>
      </w:pPr>
      <w:r>
        <w:t>zakázaný přístup na fotbalové hřiště</w:t>
      </w:r>
    </w:p>
    <w:p w14:paraId="2CE77C54" w14:textId="2C04F3EC" w:rsidR="005955EF" w:rsidRDefault="005955EF">
      <w:pPr>
        <w:pStyle w:val="Odstavecseseznamem"/>
        <w:numPr>
          <w:ilvl w:val="0"/>
          <w:numId w:val="14"/>
        </w:numPr>
        <w:spacing w:after="60"/>
        <w:ind w:left="426"/>
        <w:contextualSpacing w:val="0"/>
        <w:jc w:val="both"/>
      </w:pPr>
      <w:r>
        <w:t>vzhled obce (zast</w:t>
      </w:r>
      <w:r w:rsidR="00BD4DB3">
        <w:t>á</w:t>
      </w:r>
      <w:r>
        <w:t>vky a st</w:t>
      </w:r>
      <w:r w:rsidR="00BD4DB3">
        <w:t>á</w:t>
      </w:r>
      <w:r>
        <w:t>n</w:t>
      </w:r>
      <w:r w:rsidR="00BD4DB3">
        <w:t>í</w:t>
      </w:r>
      <w:r>
        <w:t xml:space="preserve"> pro popelnice)</w:t>
      </w:r>
      <w:r w:rsidR="000848C2">
        <w:t xml:space="preserve"> – 1x</w:t>
      </w:r>
    </w:p>
    <w:p w14:paraId="47996128" w14:textId="2241BB2E" w:rsidR="005955EF" w:rsidRDefault="00BD4DB3">
      <w:pPr>
        <w:pStyle w:val="Odstavecseseznamem"/>
        <w:numPr>
          <w:ilvl w:val="0"/>
          <w:numId w:val="14"/>
        </w:numPr>
        <w:spacing w:after="60"/>
        <w:ind w:left="426"/>
        <w:contextualSpacing w:val="0"/>
        <w:jc w:val="both"/>
      </w:pPr>
      <w:r>
        <w:t>n</w:t>
      </w:r>
      <w:r w:rsidR="005955EF">
        <w:t>akládání s odpady</w:t>
      </w:r>
      <w:r w:rsidR="000848C2">
        <w:t xml:space="preserve"> – 1x</w:t>
      </w:r>
    </w:p>
    <w:p w14:paraId="62310FAD" w14:textId="151D5B3C" w:rsidR="005955EF" w:rsidRDefault="00BD4DB3">
      <w:pPr>
        <w:pStyle w:val="Odstavecseseznamem"/>
        <w:numPr>
          <w:ilvl w:val="0"/>
          <w:numId w:val="14"/>
        </w:numPr>
        <w:spacing w:after="60"/>
        <w:ind w:left="426"/>
        <w:contextualSpacing w:val="0"/>
        <w:jc w:val="both"/>
      </w:pPr>
      <w:r>
        <w:t>s</w:t>
      </w:r>
      <w:r w:rsidR="005955EF">
        <w:t>tav zámečku a jeho okolí, chybí něco jako náves nebo obecn</w:t>
      </w:r>
      <w:r>
        <w:t>í</w:t>
      </w:r>
      <w:r w:rsidR="005955EF">
        <w:t xml:space="preserve"> park</w:t>
      </w:r>
      <w:r w:rsidR="000848C2">
        <w:t xml:space="preserve"> – 1x</w:t>
      </w:r>
    </w:p>
    <w:p w14:paraId="0F333904" w14:textId="581ABEFA" w:rsidR="005955EF" w:rsidRDefault="005955EF">
      <w:pPr>
        <w:pStyle w:val="Odstavecseseznamem"/>
        <w:numPr>
          <w:ilvl w:val="0"/>
          <w:numId w:val="14"/>
        </w:numPr>
        <w:spacing w:after="60"/>
        <w:ind w:left="426"/>
        <w:contextualSpacing w:val="0"/>
        <w:jc w:val="both"/>
      </w:pPr>
      <w:r>
        <w:t>hektické zastavování zemědělsky vyu</w:t>
      </w:r>
      <w:r w:rsidR="00BD4DB3">
        <w:t>ž</w:t>
      </w:r>
      <w:r>
        <w:t>itelných ploch bez vazby na přístup a služby</w:t>
      </w:r>
      <w:r w:rsidR="000848C2">
        <w:t xml:space="preserve"> – 1x</w:t>
      </w:r>
    </w:p>
    <w:p w14:paraId="3B1F07C6" w14:textId="03B88032" w:rsidR="005955EF" w:rsidRDefault="00BD4DB3">
      <w:pPr>
        <w:pStyle w:val="Odstavecseseznamem"/>
        <w:numPr>
          <w:ilvl w:val="0"/>
          <w:numId w:val="14"/>
        </w:numPr>
        <w:spacing w:after="60"/>
        <w:ind w:left="426"/>
        <w:contextualSpacing w:val="0"/>
        <w:jc w:val="both"/>
      </w:pPr>
      <w:r>
        <w:t>k</w:t>
      </w:r>
      <w:r w:rsidR="005955EF">
        <w:t>valita n</w:t>
      </w:r>
      <w:r>
        <w:t>ě</w:t>
      </w:r>
      <w:r w:rsidR="005955EF">
        <w:t>kter</w:t>
      </w:r>
      <w:r>
        <w:t>ý</w:t>
      </w:r>
      <w:r w:rsidR="005955EF">
        <w:t>ch provedených práci pro obec, bez jejich nápravy</w:t>
      </w:r>
      <w:r>
        <w:t xml:space="preserve"> – v</w:t>
      </w:r>
      <w:r w:rsidR="005955EF">
        <w:t xml:space="preserve">iz dětské hřiště, památník u pošty, </w:t>
      </w:r>
      <w:r>
        <w:t>z</w:t>
      </w:r>
      <w:r w:rsidR="005955EF">
        <w:t>pustlé sportovní hřiště</w:t>
      </w:r>
      <w:r>
        <w:t xml:space="preserve"> </w:t>
      </w:r>
      <w:r w:rsidR="005955EF">
        <w:t>atd.</w:t>
      </w:r>
      <w:r w:rsidR="000848C2">
        <w:t xml:space="preserve"> – 1x</w:t>
      </w:r>
    </w:p>
    <w:p w14:paraId="307A0F0C" w14:textId="2A01020D" w:rsidR="005955EF" w:rsidRDefault="005955EF">
      <w:pPr>
        <w:pStyle w:val="Odstavecseseznamem"/>
        <w:numPr>
          <w:ilvl w:val="0"/>
          <w:numId w:val="14"/>
        </w:numPr>
        <w:spacing w:after="60"/>
        <w:ind w:left="426"/>
        <w:contextualSpacing w:val="0"/>
        <w:jc w:val="both"/>
      </w:pPr>
      <w:r>
        <w:t>vypouštění výkalů do potoka</w:t>
      </w:r>
      <w:r w:rsidR="000848C2">
        <w:t xml:space="preserve"> – 1x</w:t>
      </w:r>
    </w:p>
    <w:p w14:paraId="55A00A36" w14:textId="3BC5B016" w:rsidR="005955EF" w:rsidRDefault="005955EF">
      <w:pPr>
        <w:pStyle w:val="Odstavecseseznamem"/>
        <w:numPr>
          <w:ilvl w:val="0"/>
          <w:numId w:val="14"/>
        </w:numPr>
        <w:spacing w:after="60"/>
        <w:ind w:left="426"/>
        <w:contextualSpacing w:val="0"/>
        <w:jc w:val="both"/>
      </w:pPr>
      <w:r>
        <w:t>zhasínání veřejného osvětlení v noci</w:t>
      </w:r>
      <w:r w:rsidR="000848C2">
        <w:t xml:space="preserve"> – 1x</w:t>
      </w:r>
    </w:p>
    <w:p w14:paraId="77B4A510" w14:textId="51D38C99" w:rsidR="005955EF" w:rsidRDefault="005955EF">
      <w:pPr>
        <w:pStyle w:val="Odstavecseseznamem"/>
        <w:numPr>
          <w:ilvl w:val="0"/>
          <w:numId w:val="14"/>
        </w:numPr>
        <w:spacing w:after="60"/>
        <w:ind w:left="426"/>
        <w:contextualSpacing w:val="0"/>
        <w:jc w:val="both"/>
      </w:pPr>
      <w:r>
        <w:t>cyklostezka do Trutnova</w:t>
      </w:r>
      <w:r w:rsidR="000848C2">
        <w:t xml:space="preserve"> – 1x</w:t>
      </w:r>
    </w:p>
    <w:p w14:paraId="682D42C8" w14:textId="2688312F" w:rsidR="005955EF" w:rsidRDefault="005955EF">
      <w:pPr>
        <w:pStyle w:val="Odstavecseseznamem"/>
        <w:numPr>
          <w:ilvl w:val="0"/>
          <w:numId w:val="14"/>
        </w:numPr>
        <w:spacing w:after="60"/>
        <w:ind w:left="426"/>
        <w:contextualSpacing w:val="0"/>
        <w:jc w:val="both"/>
      </w:pPr>
      <w:r>
        <w:t>vyu</w:t>
      </w:r>
      <w:r w:rsidR="00BD4DB3">
        <w:t>ž</w:t>
      </w:r>
      <w:r>
        <w:t>it</w:t>
      </w:r>
      <w:r w:rsidR="00BD4DB3">
        <w:t>í</w:t>
      </w:r>
      <w:r>
        <w:t xml:space="preserve"> pro d</w:t>
      </w:r>
      <w:r w:rsidR="00BD4DB3">
        <w:t>ě</w:t>
      </w:r>
      <w:r>
        <w:t>ti a star</w:t>
      </w:r>
      <w:r w:rsidR="00BD4DB3">
        <w:t>ší</w:t>
      </w:r>
      <w:r>
        <w:t xml:space="preserve"> (pump track)</w:t>
      </w:r>
      <w:r w:rsidR="000848C2">
        <w:t xml:space="preserve"> – 1x</w:t>
      </w:r>
    </w:p>
    <w:p w14:paraId="3E0449C5" w14:textId="550E7415" w:rsidR="00D54561" w:rsidRDefault="005955EF">
      <w:pPr>
        <w:pStyle w:val="Odstavecseseznamem"/>
        <w:numPr>
          <w:ilvl w:val="0"/>
          <w:numId w:val="14"/>
        </w:numPr>
        <w:spacing w:after="60"/>
        <w:ind w:left="426"/>
        <w:contextualSpacing w:val="0"/>
        <w:jc w:val="both"/>
      </w:pPr>
      <w:r>
        <w:t>čerpání dotací</w:t>
      </w:r>
      <w:r w:rsidR="000848C2">
        <w:t xml:space="preserve"> – 1x</w:t>
      </w:r>
    </w:p>
    <w:p w14:paraId="1BC19F60" w14:textId="77777777" w:rsidR="00D54561" w:rsidRDefault="00D54561" w:rsidP="00F47535">
      <w:pPr>
        <w:spacing w:after="160" w:line="259" w:lineRule="auto"/>
        <w:jc w:val="both"/>
      </w:pPr>
    </w:p>
    <w:p w14:paraId="7CDC5B96" w14:textId="77777777" w:rsidR="00F47535" w:rsidRDefault="00F47535" w:rsidP="00F47535">
      <w:r w:rsidRPr="00970EAA">
        <w:rPr>
          <w:rFonts w:cstheme="minorHAnsi"/>
          <w:b/>
          <w:sz w:val="24"/>
          <w:szCs w:val="24"/>
          <w:u w:val="single"/>
          <w:lang w:eastAsia="cs-CZ"/>
        </w:rPr>
        <w:t xml:space="preserve">Otázka č. 4: </w:t>
      </w:r>
      <w:bookmarkStart w:id="459" w:name="_Hlk83845644"/>
      <w:r w:rsidRPr="00970EAA">
        <w:rPr>
          <w:rFonts w:cstheme="minorHAnsi"/>
          <w:b/>
          <w:sz w:val="24"/>
          <w:szCs w:val="24"/>
          <w:u w:val="single"/>
          <w:lang w:eastAsia="cs-CZ"/>
        </w:rPr>
        <w:t>Jaké</w:t>
      </w:r>
      <w:r w:rsidRPr="008B1A28">
        <w:rPr>
          <w:rFonts w:cstheme="minorHAnsi"/>
          <w:b/>
          <w:sz w:val="24"/>
          <w:szCs w:val="24"/>
          <w:u w:val="single"/>
          <w:lang w:eastAsia="cs-CZ"/>
        </w:rPr>
        <w:t xml:space="preserve"> služby Vám v obci nejvíce chybí</w:t>
      </w:r>
      <w:bookmarkEnd w:id="459"/>
      <w:r w:rsidRPr="008B1A28">
        <w:rPr>
          <w:rFonts w:cstheme="minorHAnsi"/>
          <w:b/>
          <w:sz w:val="24"/>
          <w:szCs w:val="24"/>
          <w:u w:val="single"/>
          <w:lang w:eastAsia="cs-CZ"/>
        </w:rPr>
        <w:t>?</w:t>
      </w:r>
    </w:p>
    <w:p w14:paraId="2CB27B76" w14:textId="2239C9AA" w:rsidR="00F47535" w:rsidRDefault="00F47535" w:rsidP="00F47535">
      <w:pPr>
        <w:spacing w:after="160"/>
      </w:pPr>
      <w:r>
        <w:rPr>
          <w:sz w:val="20"/>
          <w:szCs w:val="20"/>
        </w:rPr>
        <w:t xml:space="preserve">(zodpovězena </w:t>
      </w:r>
      <w:r w:rsidR="00476948">
        <w:rPr>
          <w:sz w:val="20"/>
          <w:szCs w:val="20"/>
        </w:rPr>
        <w:t>111</w:t>
      </w:r>
      <w:r>
        <w:rPr>
          <w:sz w:val="20"/>
          <w:szCs w:val="20"/>
        </w:rPr>
        <w:t xml:space="preserve"> krát, nezodpovězena </w:t>
      </w:r>
      <w:r w:rsidR="00476948">
        <w:rPr>
          <w:sz w:val="20"/>
          <w:szCs w:val="20"/>
        </w:rPr>
        <w:t>18</w:t>
      </w:r>
      <w:r>
        <w:rPr>
          <w:sz w:val="20"/>
          <w:szCs w:val="20"/>
        </w:rPr>
        <w:t xml:space="preserve"> </w:t>
      </w:r>
      <w:r w:rsidRPr="001642C5">
        <w:rPr>
          <w:sz w:val="20"/>
          <w:szCs w:val="20"/>
        </w:rPr>
        <w:t>krát)</w:t>
      </w:r>
    </w:p>
    <w:p w14:paraId="56371BFB" w14:textId="2599125B" w:rsidR="00F47535" w:rsidRDefault="00F47535" w:rsidP="002260BD">
      <w:pPr>
        <w:spacing w:after="60" w:line="259" w:lineRule="auto"/>
        <w:jc w:val="both"/>
      </w:pPr>
      <w:r w:rsidRPr="007A555F">
        <w:t>Na otázku, jaké</w:t>
      </w:r>
      <w:r>
        <w:t xml:space="preserve"> služby obyvatelům v obci chybí, odpověděli respondenti následovně (číslo vyjadřuje, kolikrát byla daná služba zmíněna)</w:t>
      </w:r>
      <w:r w:rsidR="005C5299">
        <w:t>. Odpovědi</w:t>
      </w:r>
      <w:r w:rsidR="005C5299" w:rsidRPr="005C5299">
        <w:t xml:space="preserve"> </w:t>
      </w:r>
      <w:r w:rsidR="005C5299" w:rsidRPr="00450912">
        <w:t>byly v rámci možností shrnuty do tematických celků, nicméně důraz byl kladen na to ponechat co největší autentičnost</w:t>
      </w:r>
      <w:r w:rsidR="005C5299">
        <w:t xml:space="preserve"> odpovědí.</w:t>
      </w:r>
    </w:p>
    <w:p w14:paraId="7B70DFC8" w14:textId="308E2E43" w:rsidR="002260BD" w:rsidRPr="002260BD" w:rsidRDefault="002260BD">
      <w:pPr>
        <w:pStyle w:val="Odstavecseseznamem"/>
        <w:numPr>
          <w:ilvl w:val="1"/>
          <w:numId w:val="15"/>
        </w:numPr>
        <w:spacing w:after="60"/>
        <w:ind w:left="425" w:hanging="357"/>
        <w:contextualSpacing w:val="0"/>
        <w:jc w:val="both"/>
      </w:pPr>
      <w:r w:rsidRPr="002260BD">
        <w:t>prodejna potravin</w:t>
      </w:r>
      <w:r>
        <w:t xml:space="preserve"> – </w:t>
      </w:r>
      <w:r w:rsidR="00565DE4">
        <w:t>97</w:t>
      </w:r>
      <w:r>
        <w:t>x</w:t>
      </w:r>
    </w:p>
    <w:p w14:paraId="7CEFEC40" w14:textId="0ACAB72E" w:rsidR="002260BD" w:rsidRDefault="002260BD">
      <w:pPr>
        <w:pStyle w:val="Odstavecseseznamem"/>
        <w:numPr>
          <w:ilvl w:val="1"/>
          <w:numId w:val="15"/>
        </w:numPr>
        <w:spacing w:after="60"/>
        <w:ind w:left="425" w:hanging="357"/>
        <w:contextualSpacing w:val="0"/>
        <w:jc w:val="both"/>
      </w:pPr>
      <w:r w:rsidRPr="002260BD">
        <w:t xml:space="preserve">lékař </w:t>
      </w:r>
      <w:r>
        <w:t xml:space="preserve">– </w:t>
      </w:r>
      <w:r w:rsidR="00565DE4">
        <w:t>30</w:t>
      </w:r>
      <w:r>
        <w:t xml:space="preserve">x </w:t>
      </w:r>
      <w:r w:rsidRPr="002260BD">
        <w:t>(</w:t>
      </w:r>
      <w:r>
        <w:t xml:space="preserve">z toho: </w:t>
      </w:r>
      <w:r w:rsidR="00565DE4">
        <w:t>18</w:t>
      </w:r>
      <w:r w:rsidRPr="002260BD">
        <w:t>x praktický lékař</w:t>
      </w:r>
      <w:r w:rsidR="00565DE4">
        <w:t>, 12x obecně lékař</w:t>
      </w:r>
      <w:r w:rsidRPr="002260BD">
        <w:t>)</w:t>
      </w:r>
    </w:p>
    <w:p w14:paraId="1DE20BEC" w14:textId="0D1BE950" w:rsidR="00C548FE" w:rsidRDefault="00C548FE">
      <w:pPr>
        <w:pStyle w:val="Odstavecseseznamem"/>
        <w:numPr>
          <w:ilvl w:val="1"/>
          <w:numId w:val="15"/>
        </w:numPr>
        <w:spacing w:after="40"/>
        <w:ind w:left="425" w:hanging="357"/>
        <w:contextualSpacing w:val="0"/>
        <w:jc w:val="both"/>
      </w:pPr>
      <w:r>
        <w:t>souvislost se sportovní vybaveností – 18</w:t>
      </w:r>
      <w:r w:rsidR="0068112A">
        <w:t>x</w:t>
      </w:r>
      <w:r>
        <w:t>, z toho:</w:t>
      </w:r>
    </w:p>
    <w:p w14:paraId="09A99A5D" w14:textId="2E6E3AA4" w:rsidR="00C548FE" w:rsidRDefault="00C548FE">
      <w:pPr>
        <w:pStyle w:val="Odstavecseseznamem"/>
        <w:numPr>
          <w:ilvl w:val="2"/>
          <w:numId w:val="15"/>
        </w:numPr>
        <w:spacing w:after="40"/>
        <w:ind w:left="850" w:hanging="357"/>
        <w:contextualSpacing w:val="0"/>
        <w:jc w:val="both"/>
      </w:pPr>
      <w:r>
        <w:t>víceúčelové hřiště – 2x</w:t>
      </w:r>
    </w:p>
    <w:p w14:paraId="4A939DE1" w14:textId="658257C7" w:rsidR="00C548FE" w:rsidRDefault="00C548FE">
      <w:pPr>
        <w:pStyle w:val="Odstavecseseznamem"/>
        <w:numPr>
          <w:ilvl w:val="2"/>
          <w:numId w:val="15"/>
        </w:numPr>
        <w:spacing w:after="40"/>
        <w:ind w:left="850" w:hanging="357"/>
        <w:contextualSpacing w:val="0"/>
        <w:jc w:val="both"/>
      </w:pPr>
      <w:r>
        <w:t>venkovní posilovna – 2x</w:t>
      </w:r>
    </w:p>
    <w:p w14:paraId="1C1C8E24" w14:textId="0FD4A9E5" w:rsidR="00C548FE" w:rsidRDefault="00C548FE">
      <w:pPr>
        <w:pStyle w:val="Odstavecseseznamem"/>
        <w:numPr>
          <w:ilvl w:val="2"/>
          <w:numId w:val="15"/>
        </w:numPr>
        <w:spacing w:after="40"/>
        <w:ind w:left="850" w:hanging="357"/>
        <w:contextualSpacing w:val="0"/>
        <w:jc w:val="both"/>
      </w:pPr>
      <w:r>
        <w:t>tělocvična – 2x</w:t>
      </w:r>
    </w:p>
    <w:p w14:paraId="0E85C6E9" w14:textId="2939219C" w:rsidR="00C548FE" w:rsidRDefault="00C548FE">
      <w:pPr>
        <w:pStyle w:val="Odstavecseseznamem"/>
        <w:numPr>
          <w:ilvl w:val="2"/>
          <w:numId w:val="15"/>
        </w:numPr>
        <w:spacing w:after="40"/>
        <w:ind w:left="850" w:hanging="357"/>
        <w:contextualSpacing w:val="0"/>
        <w:jc w:val="both"/>
      </w:pPr>
      <w:r>
        <w:t>sportoviště pro děti – 1x</w:t>
      </w:r>
    </w:p>
    <w:p w14:paraId="3D2C853A" w14:textId="7F490ED9" w:rsidR="00C548FE" w:rsidRDefault="00C548FE">
      <w:pPr>
        <w:pStyle w:val="Odstavecseseznamem"/>
        <w:numPr>
          <w:ilvl w:val="2"/>
          <w:numId w:val="15"/>
        </w:numPr>
        <w:spacing w:after="40"/>
        <w:ind w:left="850" w:hanging="357"/>
        <w:contextualSpacing w:val="0"/>
        <w:jc w:val="both"/>
      </w:pPr>
      <w:r>
        <w:t>sportovní vyžití pro děti – 1x</w:t>
      </w:r>
    </w:p>
    <w:p w14:paraId="6FFFDED4" w14:textId="30CB9D49" w:rsidR="00C548FE" w:rsidRDefault="00C548FE">
      <w:pPr>
        <w:pStyle w:val="Odstavecseseznamem"/>
        <w:numPr>
          <w:ilvl w:val="2"/>
          <w:numId w:val="15"/>
        </w:numPr>
        <w:spacing w:after="40"/>
        <w:ind w:left="850" w:hanging="357"/>
        <w:contextualSpacing w:val="0"/>
        <w:jc w:val="both"/>
      </w:pPr>
      <w:r>
        <w:t>sportovní aktivity – 1x</w:t>
      </w:r>
    </w:p>
    <w:p w14:paraId="46146646" w14:textId="0E5DB624" w:rsidR="00C548FE" w:rsidRDefault="00C548FE">
      <w:pPr>
        <w:pStyle w:val="Odstavecseseznamem"/>
        <w:numPr>
          <w:ilvl w:val="2"/>
          <w:numId w:val="15"/>
        </w:numPr>
        <w:spacing w:after="40"/>
        <w:ind w:left="850" w:hanging="357"/>
        <w:contextualSpacing w:val="0"/>
        <w:jc w:val="both"/>
      </w:pPr>
      <w:r>
        <w:t>sportovní hřiště – 1x</w:t>
      </w:r>
    </w:p>
    <w:p w14:paraId="17A45DA1" w14:textId="3C213488" w:rsidR="00C548FE" w:rsidRDefault="00C548FE">
      <w:pPr>
        <w:pStyle w:val="Odstavecseseznamem"/>
        <w:numPr>
          <w:ilvl w:val="2"/>
          <w:numId w:val="15"/>
        </w:numPr>
        <w:spacing w:after="40"/>
        <w:ind w:left="850" w:hanging="357"/>
        <w:contextualSpacing w:val="0"/>
        <w:jc w:val="both"/>
      </w:pPr>
      <w:r>
        <w:t>nedostatečné hřiště pro děti – 1x</w:t>
      </w:r>
    </w:p>
    <w:p w14:paraId="17A8A6EF" w14:textId="3B6FC6E6" w:rsidR="00C548FE" w:rsidRDefault="00C548FE">
      <w:pPr>
        <w:pStyle w:val="Odstavecseseznamem"/>
        <w:numPr>
          <w:ilvl w:val="2"/>
          <w:numId w:val="15"/>
        </w:numPr>
        <w:spacing w:after="40"/>
        <w:ind w:left="850" w:hanging="357"/>
        <w:contextualSpacing w:val="0"/>
        <w:jc w:val="both"/>
      </w:pPr>
      <w:r>
        <w:t>zkulturnění a udržování obecního hřiště – 1x</w:t>
      </w:r>
    </w:p>
    <w:p w14:paraId="3C18D034" w14:textId="0BFA77F2" w:rsidR="00C548FE" w:rsidRDefault="00C548FE">
      <w:pPr>
        <w:pStyle w:val="Odstavecseseznamem"/>
        <w:numPr>
          <w:ilvl w:val="2"/>
          <w:numId w:val="15"/>
        </w:numPr>
        <w:spacing w:after="40"/>
        <w:ind w:left="850" w:hanging="357"/>
        <w:contextualSpacing w:val="0"/>
        <w:jc w:val="both"/>
      </w:pPr>
      <w:r>
        <w:t>sportovní vybavenost žádná, veřejné hřiště bez údržby – 1x</w:t>
      </w:r>
    </w:p>
    <w:p w14:paraId="1EF82945" w14:textId="4C6F805A" w:rsidR="00C548FE" w:rsidRDefault="00C548FE">
      <w:pPr>
        <w:pStyle w:val="Odstavecseseznamem"/>
        <w:numPr>
          <w:ilvl w:val="2"/>
          <w:numId w:val="15"/>
        </w:numPr>
        <w:spacing w:after="40"/>
        <w:ind w:left="850" w:hanging="357"/>
        <w:contextualSpacing w:val="0"/>
        <w:jc w:val="both"/>
      </w:pPr>
      <w:r>
        <w:t xml:space="preserve">sportovní vybavenost pro menší i starší děti (pump track jako </w:t>
      </w:r>
      <w:r w:rsidR="003B7CFD">
        <w:t xml:space="preserve">je </w:t>
      </w:r>
      <w:r>
        <w:t xml:space="preserve">v Rudníku </w:t>
      </w:r>
      <w:r w:rsidR="003B7CFD">
        <w:t>č</w:t>
      </w:r>
      <w:r>
        <w:t>i Hostinném)</w:t>
      </w:r>
      <w:r w:rsidR="003B7CFD">
        <w:t xml:space="preserve"> – 1x</w:t>
      </w:r>
    </w:p>
    <w:p w14:paraId="3153EF65" w14:textId="48A6A4F0" w:rsidR="00C548FE" w:rsidRDefault="003B7CFD">
      <w:pPr>
        <w:pStyle w:val="Odstavecseseznamem"/>
        <w:numPr>
          <w:ilvl w:val="2"/>
          <w:numId w:val="15"/>
        </w:numPr>
        <w:spacing w:after="40"/>
        <w:ind w:left="850" w:hanging="357"/>
        <w:contextualSpacing w:val="0"/>
        <w:jc w:val="both"/>
      </w:pPr>
      <w:r>
        <w:t>s</w:t>
      </w:r>
      <w:r w:rsidR="00C548FE">
        <w:t>portovní společenské vyžití pro obyvatele a děti (nap</w:t>
      </w:r>
      <w:r>
        <w:t>ř</w:t>
      </w:r>
      <w:r w:rsidR="00C548FE">
        <w:t>. pump track, který mohou využívat děti i dospělí jako je třeba v Hostinném)</w:t>
      </w:r>
      <w:r>
        <w:t xml:space="preserve"> – 1x</w:t>
      </w:r>
    </w:p>
    <w:p w14:paraId="7C13B96C" w14:textId="7CD8FFF0" w:rsidR="00C548FE" w:rsidRDefault="003B7CFD">
      <w:pPr>
        <w:pStyle w:val="Odstavecseseznamem"/>
        <w:numPr>
          <w:ilvl w:val="2"/>
          <w:numId w:val="15"/>
        </w:numPr>
        <w:spacing w:after="40"/>
        <w:ind w:left="850" w:hanging="357"/>
        <w:contextualSpacing w:val="0"/>
        <w:jc w:val="both"/>
      </w:pPr>
      <w:r>
        <w:t>v</w:t>
      </w:r>
      <w:r w:rsidR="00C548FE">
        <w:t>ětší zázemí pro děti z obce (zmodernizování hřiště, výstavba sportovního hřiště)</w:t>
      </w:r>
      <w:r>
        <w:t xml:space="preserve"> – 1x</w:t>
      </w:r>
    </w:p>
    <w:p w14:paraId="1BBD6C3B" w14:textId="4ED8B81A" w:rsidR="00C548FE" w:rsidRDefault="00C548FE">
      <w:pPr>
        <w:pStyle w:val="Odstavecseseznamem"/>
        <w:numPr>
          <w:ilvl w:val="2"/>
          <w:numId w:val="15"/>
        </w:numPr>
        <w:spacing w:after="40"/>
        <w:ind w:left="850" w:hanging="357"/>
        <w:contextualSpacing w:val="0"/>
        <w:jc w:val="both"/>
      </w:pPr>
      <w:r>
        <w:t>vnitřní herna pro d</w:t>
      </w:r>
      <w:r w:rsidR="003B7CFD">
        <w:t>ě</w:t>
      </w:r>
      <w:r>
        <w:t>ti</w:t>
      </w:r>
      <w:r w:rsidR="003B7CFD">
        <w:t xml:space="preserve"> – 1x</w:t>
      </w:r>
    </w:p>
    <w:p w14:paraId="7200B65F" w14:textId="6B1BA42B" w:rsidR="00C548FE" w:rsidRPr="002260BD" w:rsidRDefault="00C548FE">
      <w:pPr>
        <w:pStyle w:val="Odstavecseseznamem"/>
        <w:numPr>
          <w:ilvl w:val="2"/>
          <w:numId w:val="15"/>
        </w:numPr>
        <w:spacing w:after="40"/>
        <w:ind w:left="850" w:hanging="357"/>
        <w:contextualSpacing w:val="0"/>
        <w:jc w:val="both"/>
      </w:pPr>
      <w:r>
        <w:t>sportovní vybavenost</w:t>
      </w:r>
      <w:r w:rsidR="003B7CFD">
        <w:t xml:space="preserve"> – 1x</w:t>
      </w:r>
    </w:p>
    <w:p w14:paraId="1B474DFC" w14:textId="403F3A53" w:rsidR="002260BD" w:rsidRPr="002260BD" w:rsidRDefault="009F2BE5">
      <w:pPr>
        <w:pStyle w:val="Odstavecseseznamem"/>
        <w:numPr>
          <w:ilvl w:val="1"/>
          <w:numId w:val="15"/>
        </w:numPr>
        <w:spacing w:before="120" w:after="60"/>
        <w:ind w:left="425" w:hanging="357"/>
        <w:contextualSpacing w:val="0"/>
        <w:jc w:val="both"/>
      </w:pPr>
      <w:r>
        <w:t>mateřská škola</w:t>
      </w:r>
      <w:r w:rsidR="002260BD">
        <w:t xml:space="preserve"> – </w:t>
      </w:r>
      <w:r>
        <w:t>9</w:t>
      </w:r>
      <w:r w:rsidR="002260BD">
        <w:t>x</w:t>
      </w:r>
    </w:p>
    <w:p w14:paraId="19878468" w14:textId="7D1DF35A" w:rsidR="002260BD" w:rsidRPr="002260BD" w:rsidRDefault="009F2BE5">
      <w:pPr>
        <w:pStyle w:val="Odstavecseseznamem"/>
        <w:numPr>
          <w:ilvl w:val="1"/>
          <w:numId w:val="15"/>
        </w:numPr>
        <w:spacing w:after="60"/>
        <w:ind w:left="425" w:hanging="357"/>
        <w:contextualSpacing w:val="0"/>
        <w:jc w:val="both"/>
      </w:pPr>
      <w:r>
        <w:t>chodník/chodníky</w:t>
      </w:r>
      <w:r w:rsidR="002260BD">
        <w:t xml:space="preserve"> – </w:t>
      </w:r>
      <w:r>
        <w:t>4</w:t>
      </w:r>
      <w:r w:rsidR="002260BD">
        <w:t>x</w:t>
      </w:r>
    </w:p>
    <w:p w14:paraId="73493B11" w14:textId="6A39F0C1" w:rsidR="00B57CA4" w:rsidRDefault="009F2BE5">
      <w:pPr>
        <w:pStyle w:val="Odstavecseseznamem"/>
        <w:numPr>
          <w:ilvl w:val="1"/>
          <w:numId w:val="15"/>
        </w:numPr>
        <w:spacing w:after="60"/>
        <w:ind w:left="425" w:hanging="357"/>
        <w:contextualSpacing w:val="0"/>
        <w:jc w:val="both"/>
      </w:pPr>
      <w:r>
        <w:t>základní</w:t>
      </w:r>
      <w:r w:rsidR="002260BD" w:rsidRPr="002260BD">
        <w:t xml:space="preserve"> škola</w:t>
      </w:r>
      <w:r w:rsidR="002260BD">
        <w:t xml:space="preserve"> – </w:t>
      </w:r>
      <w:r>
        <w:t>4</w:t>
      </w:r>
      <w:r w:rsidR="002260BD">
        <w:t>x</w:t>
      </w:r>
    </w:p>
    <w:p w14:paraId="65F85CAE" w14:textId="77777777" w:rsidR="00970EAA" w:rsidRDefault="00970EAA">
      <w:pPr>
        <w:pStyle w:val="Odstavecseseznamem"/>
        <w:numPr>
          <w:ilvl w:val="1"/>
          <w:numId w:val="15"/>
        </w:numPr>
        <w:spacing w:after="40"/>
        <w:ind w:left="425" w:hanging="357"/>
        <w:contextualSpacing w:val="0"/>
        <w:jc w:val="both"/>
      </w:pPr>
      <w:r>
        <w:br w:type="page"/>
      </w:r>
    </w:p>
    <w:p w14:paraId="435E52F2" w14:textId="490528BB" w:rsidR="002260BD" w:rsidRDefault="009F2BE5">
      <w:pPr>
        <w:pStyle w:val="Odstavecseseznamem"/>
        <w:numPr>
          <w:ilvl w:val="1"/>
          <w:numId w:val="15"/>
        </w:numPr>
        <w:spacing w:after="40"/>
        <w:ind w:left="425" w:hanging="357"/>
        <w:contextualSpacing w:val="0"/>
        <w:jc w:val="both"/>
      </w:pPr>
      <w:r w:rsidRPr="009F2BE5">
        <w:lastRenderedPageBreak/>
        <w:t>souvislost s kulturními a společenskými aktivitami</w:t>
      </w:r>
      <w:r w:rsidR="002260BD">
        <w:t xml:space="preserve"> – </w:t>
      </w:r>
      <w:r>
        <w:t>4</w:t>
      </w:r>
      <w:r w:rsidR="002260BD">
        <w:t>x</w:t>
      </w:r>
      <w:r>
        <w:t>, z toho:</w:t>
      </w:r>
    </w:p>
    <w:p w14:paraId="51454902" w14:textId="3435DC96" w:rsidR="009F2BE5" w:rsidRDefault="009F2BE5">
      <w:pPr>
        <w:pStyle w:val="Odstavecseseznamem"/>
        <w:numPr>
          <w:ilvl w:val="2"/>
          <w:numId w:val="15"/>
        </w:numPr>
        <w:spacing w:after="40"/>
        <w:ind w:left="850" w:hanging="357"/>
        <w:contextualSpacing w:val="0"/>
        <w:jc w:val="both"/>
      </w:pPr>
      <w:r>
        <w:t>více prostoru, kde by se lidi potkávali a mohli společně pobýt – 1x</w:t>
      </w:r>
    </w:p>
    <w:p w14:paraId="6A0EB00A" w14:textId="2E478964" w:rsidR="009F2BE5" w:rsidRDefault="009F2BE5">
      <w:pPr>
        <w:pStyle w:val="Odstavecseseznamem"/>
        <w:numPr>
          <w:ilvl w:val="2"/>
          <w:numId w:val="15"/>
        </w:numPr>
        <w:spacing w:after="40"/>
        <w:ind w:left="850" w:hanging="357"/>
        <w:contextualSpacing w:val="0"/>
        <w:jc w:val="both"/>
      </w:pPr>
      <w:r>
        <w:t>kulturní akce např. vánoční rozsvěcení stromu, málo akcí pořádaných obcí – 1x</w:t>
      </w:r>
    </w:p>
    <w:p w14:paraId="50846BA3" w14:textId="6D44C0A6" w:rsidR="009F2BE5" w:rsidRDefault="009F2BE5">
      <w:pPr>
        <w:pStyle w:val="Odstavecseseznamem"/>
        <w:numPr>
          <w:ilvl w:val="2"/>
          <w:numId w:val="15"/>
        </w:numPr>
        <w:spacing w:after="40"/>
        <w:ind w:left="850" w:hanging="357"/>
        <w:contextualSpacing w:val="0"/>
        <w:jc w:val="both"/>
      </w:pPr>
      <w:r>
        <w:t>společenská a kulturní vybavenost – 1x</w:t>
      </w:r>
    </w:p>
    <w:p w14:paraId="4B07224D" w14:textId="58B4BDE5" w:rsidR="009F2BE5" w:rsidRPr="002260BD" w:rsidRDefault="009F2BE5">
      <w:pPr>
        <w:pStyle w:val="Odstavecseseznamem"/>
        <w:numPr>
          <w:ilvl w:val="2"/>
          <w:numId w:val="15"/>
        </w:numPr>
        <w:spacing w:after="40"/>
        <w:ind w:left="850" w:hanging="357"/>
        <w:contextualSpacing w:val="0"/>
        <w:jc w:val="both"/>
      </w:pPr>
      <w:r>
        <w:t>absence kulturních akcí: Dětský den, sportovní dny apod. – 1x</w:t>
      </w:r>
    </w:p>
    <w:p w14:paraId="14A0E1D6" w14:textId="250AD141" w:rsidR="002260BD" w:rsidRDefault="00902E81">
      <w:pPr>
        <w:pStyle w:val="Odstavecseseznamem"/>
        <w:numPr>
          <w:ilvl w:val="1"/>
          <w:numId w:val="15"/>
        </w:numPr>
        <w:spacing w:before="120" w:after="40"/>
        <w:ind w:left="425" w:hanging="357"/>
        <w:contextualSpacing w:val="0"/>
        <w:jc w:val="both"/>
      </w:pPr>
      <w:r w:rsidRPr="00902E81">
        <w:t>souvislost s dopravní obslužností</w:t>
      </w:r>
      <w:r w:rsidR="002260BD">
        <w:t xml:space="preserve"> – </w:t>
      </w:r>
      <w:r>
        <w:t>4</w:t>
      </w:r>
      <w:r w:rsidR="002260BD">
        <w:t>x</w:t>
      </w:r>
      <w:r>
        <w:t>, z toho:</w:t>
      </w:r>
    </w:p>
    <w:p w14:paraId="2B0A825B" w14:textId="042FE9B2" w:rsidR="00902E81" w:rsidRDefault="00902E81">
      <w:pPr>
        <w:pStyle w:val="Odstavecseseznamem"/>
        <w:numPr>
          <w:ilvl w:val="2"/>
          <w:numId w:val="15"/>
        </w:numPr>
        <w:spacing w:after="40"/>
        <w:ind w:left="851"/>
        <w:contextualSpacing w:val="0"/>
        <w:jc w:val="both"/>
      </w:pPr>
      <w:r w:rsidRPr="00902E81">
        <w:t>veřejná doprava i o víkendech</w:t>
      </w:r>
      <w:r>
        <w:t xml:space="preserve"> – 2x</w:t>
      </w:r>
    </w:p>
    <w:p w14:paraId="3D24F9D3" w14:textId="6C8796EC" w:rsidR="00902E81" w:rsidRDefault="00902E81">
      <w:pPr>
        <w:pStyle w:val="Odstavecseseznamem"/>
        <w:numPr>
          <w:ilvl w:val="2"/>
          <w:numId w:val="15"/>
        </w:numPr>
        <w:spacing w:after="40"/>
        <w:ind w:left="851"/>
        <w:contextualSpacing w:val="0"/>
        <w:jc w:val="both"/>
      </w:pPr>
      <w:r w:rsidRPr="00902E81">
        <w:t>nedostatečné dopravní spojení</w:t>
      </w:r>
      <w:r>
        <w:t xml:space="preserve"> – 1x</w:t>
      </w:r>
    </w:p>
    <w:p w14:paraId="28B5CA2E" w14:textId="52AD82C5" w:rsidR="00902E81" w:rsidRPr="002260BD" w:rsidRDefault="00902E81">
      <w:pPr>
        <w:pStyle w:val="Odstavecseseznamem"/>
        <w:numPr>
          <w:ilvl w:val="2"/>
          <w:numId w:val="15"/>
        </w:numPr>
        <w:spacing w:after="40"/>
        <w:ind w:left="851"/>
        <w:contextualSpacing w:val="0"/>
        <w:jc w:val="both"/>
      </w:pPr>
      <w:r w:rsidRPr="00902E81">
        <w:t>autobusy</w:t>
      </w:r>
      <w:r>
        <w:t xml:space="preserve"> – 1x</w:t>
      </w:r>
    </w:p>
    <w:p w14:paraId="7B049300" w14:textId="45A02D51" w:rsidR="002260BD" w:rsidRDefault="001D3D8E">
      <w:pPr>
        <w:pStyle w:val="Odstavecseseznamem"/>
        <w:numPr>
          <w:ilvl w:val="1"/>
          <w:numId w:val="15"/>
        </w:numPr>
        <w:spacing w:before="120" w:after="40"/>
        <w:ind w:left="425" w:hanging="357"/>
        <w:contextualSpacing w:val="0"/>
        <w:jc w:val="both"/>
      </w:pPr>
      <w:r w:rsidRPr="001D3D8E">
        <w:t>souvislost se stravovacími zařízeními</w:t>
      </w:r>
      <w:r w:rsidR="002260BD" w:rsidRPr="002260BD">
        <w:t xml:space="preserve"> </w:t>
      </w:r>
      <w:r w:rsidR="002260BD">
        <w:t xml:space="preserve">– </w:t>
      </w:r>
      <w:r>
        <w:t>3</w:t>
      </w:r>
      <w:r w:rsidR="002260BD">
        <w:t>x</w:t>
      </w:r>
      <w:r>
        <w:t>, z toho:</w:t>
      </w:r>
    </w:p>
    <w:p w14:paraId="29671871" w14:textId="3E00970F" w:rsidR="001D3D8E" w:rsidRDefault="001D3D8E">
      <w:pPr>
        <w:pStyle w:val="Odstavecseseznamem"/>
        <w:numPr>
          <w:ilvl w:val="2"/>
          <w:numId w:val="15"/>
        </w:numPr>
        <w:spacing w:after="40"/>
        <w:ind w:left="850" w:hanging="357"/>
        <w:contextualSpacing w:val="0"/>
        <w:jc w:val="both"/>
      </w:pPr>
      <w:r>
        <w:t>kulturní restaurace a nejen pivnice – 1x</w:t>
      </w:r>
    </w:p>
    <w:p w14:paraId="73216623" w14:textId="201FE685" w:rsidR="001D3D8E" w:rsidRDefault="001D3D8E">
      <w:pPr>
        <w:pStyle w:val="Odstavecseseznamem"/>
        <w:numPr>
          <w:ilvl w:val="2"/>
          <w:numId w:val="15"/>
        </w:numPr>
        <w:spacing w:after="40"/>
        <w:ind w:left="850" w:hanging="357"/>
        <w:contextualSpacing w:val="0"/>
        <w:jc w:val="both"/>
      </w:pPr>
      <w:r>
        <w:t>restaurace – 1x</w:t>
      </w:r>
    </w:p>
    <w:p w14:paraId="2CF75C09" w14:textId="7B240E7B" w:rsidR="001D3D8E" w:rsidRPr="002260BD" w:rsidRDefault="001D3D8E">
      <w:pPr>
        <w:pStyle w:val="Odstavecseseznamem"/>
        <w:numPr>
          <w:ilvl w:val="2"/>
          <w:numId w:val="15"/>
        </w:numPr>
        <w:spacing w:after="40"/>
        <w:ind w:left="850" w:hanging="357"/>
        <w:contextualSpacing w:val="0"/>
        <w:jc w:val="both"/>
      </w:pPr>
      <w:r>
        <w:t>kvalitní hospoda – 1x</w:t>
      </w:r>
    </w:p>
    <w:p w14:paraId="7988530B" w14:textId="028994E6" w:rsidR="002260BD" w:rsidRDefault="00A165CB">
      <w:pPr>
        <w:pStyle w:val="Odstavecseseznamem"/>
        <w:numPr>
          <w:ilvl w:val="1"/>
          <w:numId w:val="15"/>
        </w:numPr>
        <w:spacing w:before="120" w:after="40"/>
        <w:ind w:left="425" w:hanging="357"/>
        <w:contextualSpacing w:val="0"/>
        <w:jc w:val="both"/>
      </w:pPr>
      <w:r w:rsidRPr="00A165CB">
        <w:t>souvislost s odpadovým hospodářstvím</w:t>
      </w:r>
      <w:r>
        <w:t xml:space="preserve"> – 3x, z toho:</w:t>
      </w:r>
    </w:p>
    <w:p w14:paraId="7321DE8B" w14:textId="22FE0325" w:rsidR="00A165CB" w:rsidRDefault="00A165CB">
      <w:pPr>
        <w:pStyle w:val="Odstavecseseznamem"/>
        <w:numPr>
          <w:ilvl w:val="2"/>
          <w:numId w:val="15"/>
        </w:numPr>
        <w:spacing w:after="40"/>
        <w:ind w:left="850" w:hanging="357"/>
        <w:contextualSpacing w:val="0"/>
        <w:jc w:val="both"/>
      </w:pPr>
      <w:r w:rsidRPr="00A165CB">
        <w:t>odpadkové koše</w:t>
      </w:r>
      <w:r>
        <w:t xml:space="preserve"> – 1x</w:t>
      </w:r>
    </w:p>
    <w:p w14:paraId="0447C342" w14:textId="29D9BF20" w:rsidR="00A165CB" w:rsidRDefault="00A165CB">
      <w:pPr>
        <w:pStyle w:val="Odstavecseseznamem"/>
        <w:numPr>
          <w:ilvl w:val="2"/>
          <w:numId w:val="15"/>
        </w:numPr>
        <w:spacing w:after="40"/>
        <w:ind w:left="850" w:hanging="357"/>
        <w:contextualSpacing w:val="0"/>
        <w:jc w:val="both"/>
      </w:pPr>
      <w:r w:rsidRPr="00A165CB">
        <w:t>kontejnery na třídění skla, papíru na více místech v</w:t>
      </w:r>
      <w:r>
        <w:t> </w:t>
      </w:r>
      <w:r w:rsidRPr="00A165CB">
        <w:t>obci</w:t>
      </w:r>
      <w:r>
        <w:t xml:space="preserve"> – 1x</w:t>
      </w:r>
    </w:p>
    <w:p w14:paraId="40916D30" w14:textId="29B49E56" w:rsidR="00A165CB" w:rsidRPr="002260BD" w:rsidRDefault="00A165CB">
      <w:pPr>
        <w:pStyle w:val="Odstavecseseznamem"/>
        <w:numPr>
          <w:ilvl w:val="2"/>
          <w:numId w:val="15"/>
        </w:numPr>
        <w:spacing w:after="40"/>
        <w:ind w:left="850" w:hanging="357"/>
        <w:contextualSpacing w:val="0"/>
        <w:jc w:val="both"/>
      </w:pPr>
      <w:r w:rsidRPr="00A165CB">
        <w:t>sběrný dvůr</w:t>
      </w:r>
      <w:r>
        <w:t xml:space="preserve"> – 1x</w:t>
      </w:r>
    </w:p>
    <w:p w14:paraId="7DE6CA7F" w14:textId="703380EB" w:rsidR="002260BD" w:rsidRPr="002260BD" w:rsidRDefault="00727F97">
      <w:pPr>
        <w:pStyle w:val="Odstavecseseznamem"/>
        <w:numPr>
          <w:ilvl w:val="1"/>
          <w:numId w:val="15"/>
        </w:numPr>
        <w:spacing w:before="120" w:after="60"/>
        <w:ind w:left="425" w:hanging="357"/>
        <w:contextualSpacing w:val="0"/>
        <w:jc w:val="both"/>
      </w:pPr>
      <w:r>
        <w:t>kroužky</w:t>
      </w:r>
      <w:r w:rsidR="002260BD">
        <w:t xml:space="preserve"> – </w:t>
      </w:r>
      <w:r>
        <w:t>2</w:t>
      </w:r>
      <w:r w:rsidR="002260BD">
        <w:t>x</w:t>
      </w:r>
      <w:r>
        <w:t xml:space="preserve"> (z toho: 1x </w:t>
      </w:r>
      <w:r w:rsidRPr="00727F97">
        <w:t xml:space="preserve">kroužky pro děti </w:t>
      </w:r>
      <w:r>
        <w:t>–</w:t>
      </w:r>
      <w:r w:rsidRPr="00727F97">
        <w:t xml:space="preserve"> sportovní, tvořivé</w:t>
      </w:r>
      <w:r>
        <w:t>, 1x obecně kroužky)</w:t>
      </w:r>
    </w:p>
    <w:p w14:paraId="19F373EF" w14:textId="5552DCED" w:rsidR="002260BD" w:rsidRPr="002260BD" w:rsidRDefault="007A5978">
      <w:pPr>
        <w:pStyle w:val="Odstavecseseznamem"/>
        <w:numPr>
          <w:ilvl w:val="1"/>
          <w:numId w:val="15"/>
        </w:numPr>
        <w:spacing w:after="60"/>
        <w:ind w:left="425" w:hanging="357"/>
        <w:contextualSpacing w:val="0"/>
        <w:jc w:val="both"/>
      </w:pPr>
      <w:r>
        <w:t>cyklostezka</w:t>
      </w:r>
      <w:r w:rsidR="002260BD">
        <w:t xml:space="preserve"> – </w:t>
      </w:r>
      <w:r>
        <w:t>2</w:t>
      </w:r>
      <w:r w:rsidR="002260BD">
        <w:t>x</w:t>
      </w:r>
      <w:r>
        <w:t xml:space="preserve"> (z toho: 1x </w:t>
      </w:r>
      <w:r w:rsidRPr="007A5978">
        <w:t>cyklostezka do města</w:t>
      </w:r>
      <w:r>
        <w:t xml:space="preserve">, 1x </w:t>
      </w:r>
      <w:r w:rsidRPr="007A5978">
        <w:t>cyklostezka na Dolce</w:t>
      </w:r>
      <w:r>
        <w:t>)</w:t>
      </w:r>
    </w:p>
    <w:p w14:paraId="6BCF7F6B" w14:textId="261C2F3B" w:rsidR="007A5978" w:rsidRDefault="007A5978">
      <w:pPr>
        <w:pStyle w:val="Odstavecseseznamem"/>
        <w:numPr>
          <w:ilvl w:val="1"/>
          <w:numId w:val="15"/>
        </w:numPr>
        <w:spacing w:after="60"/>
        <w:ind w:left="425" w:hanging="357"/>
        <w:contextualSpacing w:val="0"/>
        <w:jc w:val="both"/>
      </w:pPr>
      <w:r>
        <w:t>zubař – 2x</w:t>
      </w:r>
    </w:p>
    <w:p w14:paraId="12582928" w14:textId="58AE3DAC" w:rsidR="007A5978" w:rsidRDefault="007A5978">
      <w:pPr>
        <w:pStyle w:val="Odstavecseseznamem"/>
        <w:numPr>
          <w:ilvl w:val="1"/>
          <w:numId w:val="15"/>
        </w:numPr>
        <w:spacing w:after="60"/>
        <w:ind w:left="425" w:hanging="357"/>
        <w:contextualSpacing w:val="0"/>
        <w:jc w:val="both"/>
      </w:pPr>
      <w:r>
        <w:t>drogerie – 2x</w:t>
      </w:r>
    </w:p>
    <w:p w14:paraId="5B2F8B9E" w14:textId="3DBF5CDF" w:rsidR="007A5978" w:rsidRDefault="007A5978">
      <w:pPr>
        <w:pStyle w:val="Odstavecseseznamem"/>
        <w:numPr>
          <w:ilvl w:val="1"/>
          <w:numId w:val="15"/>
        </w:numPr>
        <w:spacing w:after="60"/>
        <w:ind w:left="425" w:hanging="357"/>
        <w:contextualSpacing w:val="0"/>
        <w:jc w:val="both"/>
      </w:pPr>
      <w:r>
        <w:t>komunitní dětská skupina – 1x</w:t>
      </w:r>
    </w:p>
    <w:p w14:paraId="4A0C0D0E" w14:textId="630529DD" w:rsidR="007A5978" w:rsidRDefault="007A5978">
      <w:pPr>
        <w:pStyle w:val="Odstavecseseznamem"/>
        <w:numPr>
          <w:ilvl w:val="1"/>
          <w:numId w:val="15"/>
        </w:numPr>
        <w:spacing w:after="60"/>
        <w:ind w:left="425" w:hanging="357"/>
        <w:contextualSpacing w:val="0"/>
        <w:jc w:val="both"/>
      </w:pPr>
      <w:r>
        <w:t>kanalizace – 1x</w:t>
      </w:r>
    </w:p>
    <w:p w14:paraId="4B5DB810" w14:textId="6617BF8A" w:rsidR="007A5978" w:rsidRDefault="007A5978">
      <w:pPr>
        <w:pStyle w:val="Odstavecseseznamem"/>
        <w:numPr>
          <w:ilvl w:val="1"/>
          <w:numId w:val="15"/>
        </w:numPr>
        <w:spacing w:after="60"/>
        <w:ind w:left="425" w:hanging="357"/>
        <w:contextualSpacing w:val="0"/>
        <w:jc w:val="both"/>
      </w:pPr>
      <w:r>
        <w:t>vodovod – 1x</w:t>
      </w:r>
    </w:p>
    <w:p w14:paraId="656B1FD1" w14:textId="5274F8E8" w:rsidR="007A5978" w:rsidRDefault="007A5978">
      <w:pPr>
        <w:pStyle w:val="Odstavecseseznamem"/>
        <w:numPr>
          <w:ilvl w:val="1"/>
          <w:numId w:val="15"/>
        </w:numPr>
        <w:spacing w:after="60"/>
        <w:ind w:left="425" w:hanging="357"/>
        <w:contextualSpacing w:val="0"/>
        <w:jc w:val="both"/>
      </w:pPr>
      <w:r>
        <w:t>jednou za týden kadeřnice – 1x</w:t>
      </w:r>
    </w:p>
    <w:p w14:paraId="351FF6D3" w14:textId="7C3754D5" w:rsidR="002260BD" w:rsidRPr="002260BD" w:rsidRDefault="007A5978">
      <w:pPr>
        <w:pStyle w:val="Odstavecseseznamem"/>
        <w:numPr>
          <w:ilvl w:val="1"/>
          <w:numId w:val="15"/>
        </w:numPr>
        <w:spacing w:after="160"/>
        <w:ind w:left="425" w:hanging="357"/>
        <w:contextualSpacing w:val="0"/>
        <w:jc w:val="both"/>
      </w:pPr>
      <w:r>
        <w:t>možnost využití nakoupených strojů (štěpkovačka aj.) – 1x</w:t>
      </w:r>
    </w:p>
    <w:p w14:paraId="3464C011" w14:textId="77777777" w:rsidR="002260BD" w:rsidRDefault="002260BD" w:rsidP="00FD6AED">
      <w:pPr>
        <w:spacing w:after="160" w:line="259" w:lineRule="auto"/>
        <w:jc w:val="both"/>
      </w:pPr>
    </w:p>
    <w:p w14:paraId="4C488B79" w14:textId="6E11DE0E" w:rsidR="00F47535" w:rsidRDefault="007A5978" w:rsidP="00725222">
      <w:pPr>
        <w:spacing w:before="240" w:after="160" w:line="259" w:lineRule="auto"/>
        <w:jc w:val="both"/>
      </w:pPr>
      <w:r>
        <w:t>Dva</w:t>
      </w:r>
      <w:r w:rsidR="002260BD">
        <w:t xml:space="preserve"> respondenti uvedli, že jim nic nechybí</w:t>
      </w:r>
      <w:r w:rsidR="00EA0C02" w:rsidRPr="00EA0C02">
        <w:t>.</w:t>
      </w:r>
      <w:r w:rsidR="002260BD">
        <w:t xml:space="preserve"> </w:t>
      </w:r>
      <w:r>
        <w:t>Dvě</w:t>
      </w:r>
      <w:r w:rsidR="002260BD">
        <w:t xml:space="preserve"> osob</w:t>
      </w:r>
      <w:r>
        <w:t>y</w:t>
      </w:r>
      <w:r w:rsidR="002260BD">
        <w:t xml:space="preserve"> konstatoval</w:t>
      </w:r>
      <w:r>
        <w:t xml:space="preserve">y </w:t>
      </w:r>
      <w:r w:rsidRPr="007A5978">
        <w:t>"-"</w:t>
      </w:r>
      <w:r w:rsidR="002260BD">
        <w:t>.</w:t>
      </w:r>
    </w:p>
    <w:p w14:paraId="161B7BB3" w14:textId="30492C73" w:rsidR="00FD6AED" w:rsidRDefault="00FD6AED" w:rsidP="00F47535">
      <w:pPr>
        <w:spacing w:after="120"/>
      </w:pPr>
      <w:r>
        <w:br w:type="page"/>
      </w:r>
    </w:p>
    <w:p w14:paraId="3765343B" w14:textId="77777777" w:rsidR="00F47535" w:rsidRDefault="00F47535" w:rsidP="00F47535">
      <w:pPr>
        <w:spacing w:after="160"/>
        <w:rPr>
          <w:rFonts w:cstheme="minorHAnsi"/>
          <w:b/>
          <w:sz w:val="24"/>
          <w:szCs w:val="24"/>
          <w:u w:val="single"/>
          <w:lang w:eastAsia="cs-CZ"/>
        </w:rPr>
      </w:pPr>
      <w:r w:rsidRPr="00B061CC">
        <w:rPr>
          <w:rFonts w:cstheme="minorHAnsi"/>
          <w:b/>
          <w:sz w:val="24"/>
          <w:szCs w:val="24"/>
          <w:u w:val="single"/>
          <w:lang w:eastAsia="cs-CZ"/>
        </w:rPr>
        <w:lastRenderedPageBreak/>
        <w:t>Otázka č. 5: Pokuste</w:t>
      </w:r>
      <w:r w:rsidRPr="00343E5F">
        <w:rPr>
          <w:rFonts w:cstheme="minorHAnsi"/>
          <w:b/>
          <w:sz w:val="24"/>
          <w:szCs w:val="24"/>
          <w:u w:val="single"/>
          <w:lang w:eastAsia="cs-CZ"/>
        </w:rPr>
        <w:t xml:space="preserve"> se zhodnotit obec z hlediska níže uvedených podmínek</w:t>
      </w:r>
    </w:p>
    <w:p w14:paraId="409189BC" w14:textId="393E6C2F" w:rsidR="00F47535" w:rsidRDefault="00F47535" w:rsidP="00F47535">
      <w:pPr>
        <w:pStyle w:val="TABULKA0"/>
      </w:pPr>
      <w:bookmarkStart w:id="460" w:name="_Toc480751611"/>
      <w:bookmarkStart w:id="461" w:name="_Toc507022066"/>
      <w:bookmarkStart w:id="462" w:name="_Toc32577811"/>
      <w:bookmarkStart w:id="463" w:name="_Toc120651949"/>
      <w:r w:rsidRPr="000E7B38">
        <w:t xml:space="preserve">Tabulka </w:t>
      </w:r>
      <w:r w:rsidR="00155876">
        <w:t>27</w:t>
      </w:r>
      <w:r w:rsidRPr="000E7B38">
        <w:t>: Výsledky</w:t>
      </w:r>
      <w:r>
        <w:t xml:space="preserve"> odpovědí u otázky č. 5</w:t>
      </w:r>
      <w:bookmarkEnd w:id="460"/>
      <w:bookmarkEnd w:id="461"/>
      <w:bookmarkEnd w:id="462"/>
      <w:bookmarkEnd w:id="463"/>
    </w:p>
    <w:tbl>
      <w:tblPr>
        <w:tblW w:w="8564"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3120"/>
        <w:gridCol w:w="1009"/>
        <w:gridCol w:w="1009"/>
        <w:gridCol w:w="1202"/>
        <w:gridCol w:w="1202"/>
        <w:gridCol w:w="1022"/>
      </w:tblGrid>
      <w:tr w:rsidR="00F47535" w:rsidRPr="00B8304B" w14:paraId="4483FFFD" w14:textId="77777777" w:rsidTr="00155876">
        <w:trPr>
          <w:trHeight w:val="300"/>
          <w:jc w:val="center"/>
        </w:trPr>
        <w:tc>
          <w:tcPr>
            <w:tcW w:w="3120" w:type="dxa"/>
            <w:tcBorders>
              <w:top w:val="single" w:sz="18" w:space="0" w:color="auto"/>
              <w:bottom w:val="single" w:sz="12" w:space="0" w:color="auto"/>
            </w:tcBorders>
            <w:shd w:val="clear" w:color="auto" w:fill="FFC000"/>
            <w:noWrap/>
            <w:vAlign w:val="center"/>
            <w:hideMark/>
          </w:tcPr>
          <w:p w14:paraId="2A5DC405" w14:textId="77777777" w:rsidR="00F47535" w:rsidRPr="00B8304B" w:rsidRDefault="00F47535" w:rsidP="0034794C">
            <w:pPr>
              <w:jc w:val="center"/>
              <w:rPr>
                <w:rFonts w:eastAsia="Times New Roman" w:cstheme="minorHAnsi"/>
                <w:b/>
                <w:color w:val="000000"/>
                <w:lang w:eastAsia="cs-CZ"/>
              </w:rPr>
            </w:pPr>
            <w:r w:rsidRPr="00B8304B">
              <w:rPr>
                <w:rFonts w:eastAsia="Times New Roman" w:cstheme="minorHAnsi"/>
                <w:b/>
                <w:color w:val="000000"/>
                <w:lang w:eastAsia="cs-CZ"/>
              </w:rPr>
              <w:t>Odpověď</w:t>
            </w:r>
          </w:p>
        </w:tc>
        <w:tc>
          <w:tcPr>
            <w:tcW w:w="1009" w:type="dxa"/>
            <w:tcBorders>
              <w:top w:val="single" w:sz="18" w:space="0" w:color="auto"/>
              <w:bottom w:val="single" w:sz="12" w:space="0" w:color="auto"/>
            </w:tcBorders>
            <w:shd w:val="clear" w:color="auto" w:fill="FFC000"/>
            <w:vAlign w:val="center"/>
            <w:hideMark/>
          </w:tcPr>
          <w:p w14:paraId="6A35BBAC" w14:textId="77777777" w:rsidR="00F47535" w:rsidRPr="008D15E9" w:rsidRDefault="00F47535" w:rsidP="0034794C">
            <w:pPr>
              <w:jc w:val="center"/>
              <w:rPr>
                <w:b/>
              </w:rPr>
            </w:pPr>
            <w:r w:rsidRPr="008D15E9">
              <w:rPr>
                <w:b/>
              </w:rPr>
              <w:t>Velmi spokojen</w:t>
            </w:r>
          </w:p>
        </w:tc>
        <w:tc>
          <w:tcPr>
            <w:tcW w:w="1009" w:type="dxa"/>
            <w:tcBorders>
              <w:top w:val="single" w:sz="18" w:space="0" w:color="auto"/>
              <w:bottom w:val="single" w:sz="12" w:space="0" w:color="auto"/>
            </w:tcBorders>
            <w:shd w:val="clear" w:color="auto" w:fill="FFC000"/>
            <w:vAlign w:val="center"/>
            <w:hideMark/>
          </w:tcPr>
          <w:p w14:paraId="2A6D96BE" w14:textId="77777777" w:rsidR="00F47535" w:rsidRPr="008D15E9" w:rsidRDefault="00F47535" w:rsidP="0034794C">
            <w:pPr>
              <w:jc w:val="center"/>
              <w:rPr>
                <w:b/>
              </w:rPr>
            </w:pPr>
            <w:r w:rsidRPr="008D15E9">
              <w:rPr>
                <w:b/>
              </w:rPr>
              <w:t>Spíše spokojen</w:t>
            </w:r>
          </w:p>
        </w:tc>
        <w:tc>
          <w:tcPr>
            <w:tcW w:w="1202" w:type="dxa"/>
            <w:tcBorders>
              <w:top w:val="single" w:sz="18" w:space="0" w:color="auto"/>
              <w:bottom w:val="single" w:sz="12" w:space="0" w:color="auto"/>
            </w:tcBorders>
            <w:shd w:val="clear" w:color="auto" w:fill="FFC000"/>
            <w:vAlign w:val="center"/>
            <w:hideMark/>
          </w:tcPr>
          <w:p w14:paraId="493CC805" w14:textId="77777777" w:rsidR="00F47535" w:rsidRPr="008D15E9" w:rsidRDefault="00F47535" w:rsidP="0034794C">
            <w:pPr>
              <w:jc w:val="center"/>
              <w:rPr>
                <w:b/>
              </w:rPr>
            </w:pPr>
            <w:r w:rsidRPr="008D15E9">
              <w:rPr>
                <w:b/>
              </w:rPr>
              <w:t>Spíše nespokojen</w:t>
            </w:r>
          </w:p>
        </w:tc>
        <w:tc>
          <w:tcPr>
            <w:tcW w:w="1202" w:type="dxa"/>
            <w:tcBorders>
              <w:top w:val="single" w:sz="18" w:space="0" w:color="auto"/>
              <w:bottom w:val="single" w:sz="12" w:space="0" w:color="auto"/>
            </w:tcBorders>
            <w:shd w:val="clear" w:color="auto" w:fill="FFC000"/>
            <w:vAlign w:val="center"/>
            <w:hideMark/>
          </w:tcPr>
          <w:p w14:paraId="3BD24F38" w14:textId="77777777" w:rsidR="00F47535" w:rsidRPr="008D15E9" w:rsidRDefault="00F47535" w:rsidP="0034794C">
            <w:pPr>
              <w:jc w:val="center"/>
              <w:rPr>
                <w:b/>
              </w:rPr>
            </w:pPr>
            <w:r w:rsidRPr="008D15E9">
              <w:rPr>
                <w:b/>
              </w:rPr>
              <w:t>Velmi nespokojen</w:t>
            </w:r>
          </w:p>
        </w:tc>
        <w:tc>
          <w:tcPr>
            <w:tcW w:w="1022" w:type="dxa"/>
            <w:tcBorders>
              <w:top w:val="single" w:sz="18" w:space="0" w:color="auto"/>
              <w:bottom w:val="single" w:sz="12" w:space="0" w:color="auto"/>
            </w:tcBorders>
            <w:shd w:val="clear" w:color="auto" w:fill="FFC000"/>
            <w:vAlign w:val="center"/>
            <w:hideMark/>
          </w:tcPr>
          <w:p w14:paraId="0E35E44C" w14:textId="77777777" w:rsidR="00F47535" w:rsidRPr="008D15E9" w:rsidRDefault="00F47535" w:rsidP="0034794C">
            <w:pPr>
              <w:jc w:val="center"/>
              <w:rPr>
                <w:b/>
              </w:rPr>
            </w:pPr>
            <w:r w:rsidRPr="008D15E9">
              <w:rPr>
                <w:b/>
              </w:rPr>
              <w:t>Je mi to lhostejné</w:t>
            </w:r>
          </w:p>
        </w:tc>
      </w:tr>
      <w:tr w:rsidR="00FE396B" w:rsidRPr="00B8304B" w14:paraId="5B1B070E" w14:textId="77777777" w:rsidTr="00200E62">
        <w:trPr>
          <w:trHeight w:val="300"/>
          <w:jc w:val="center"/>
        </w:trPr>
        <w:tc>
          <w:tcPr>
            <w:tcW w:w="3120" w:type="dxa"/>
            <w:tcBorders>
              <w:top w:val="single" w:sz="12" w:space="0" w:color="auto"/>
            </w:tcBorders>
            <w:shd w:val="clear" w:color="auto" w:fill="D9D9D9" w:themeFill="background1" w:themeFillShade="D9"/>
            <w:vAlign w:val="center"/>
          </w:tcPr>
          <w:p w14:paraId="17007896" w14:textId="77777777" w:rsidR="00FE396B" w:rsidRPr="00873A9D" w:rsidRDefault="00FE396B" w:rsidP="00BB572A">
            <w:pPr>
              <w:rPr>
                <w:rFonts w:cstheme="minorHAnsi"/>
                <w:bCs/>
              </w:rPr>
            </w:pPr>
            <w:r w:rsidRPr="00873A9D">
              <w:rPr>
                <w:rFonts w:cstheme="minorHAnsi"/>
                <w:bCs/>
              </w:rPr>
              <w:t>Bydlení</w:t>
            </w:r>
          </w:p>
        </w:tc>
        <w:tc>
          <w:tcPr>
            <w:tcW w:w="1009" w:type="dxa"/>
            <w:tcBorders>
              <w:top w:val="single" w:sz="12" w:space="0" w:color="auto"/>
            </w:tcBorders>
            <w:shd w:val="clear" w:color="auto" w:fill="C2D69B" w:themeFill="accent3" w:themeFillTint="99"/>
            <w:vAlign w:val="center"/>
          </w:tcPr>
          <w:p w14:paraId="35BEC3C9" w14:textId="77777777" w:rsidR="001075D9" w:rsidRDefault="0090097C" w:rsidP="00BB572A">
            <w:pPr>
              <w:jc w:val="center"/>
              <w:rPr>
                <w:rFonts w:cstheme="minorHAnsi"/>
                <w:color w:val="363636"/>
              </w:rPr>
            </w:pPr>
            <w:r>
              <w:rPr>
                <w:rFonts w:cstheme="minorHAnsi"/>
                <w:color w:val="363636"/>
              </w:rPr>
              <w:t>69</w:t>
            </w:r>
          </w:p>
          <w:p w14:paraId="1FB76B9B" w14:textId="38FFE7DE" w:rsidR="003E4A3D" w:rsidRPr="004905ED" w:rsidRDefault="003E4A3D" w:rsidP="00BB572A">
            <w:pPr>
              <w:jc w:val="center"/>
              <w:rPr>
                <w:rFonts w:cstheme="minorHAnsi"/>
                <w:color w:val="363636"/>
              </w:rPr>
            </w:pPr>
            <w:r>
              <w:rPr>
                <w:rFonts w:cstheme="minorHAnsi"/>
                <w:color w:val="363636"/>
              </w:rPr>
              <w:t>(53,9 %)</w:t>
            </w:r>
          </w:p>
        </w:tc>
        <w:tc>
          <w:tcPr>
            <w:tcW w:w="1009" w:type="dxa"/>
            <w:tcBorders>
              <w:top w:val="single" w:sz="12" w:space="0" w:color="auto"/>
            </w:tcBorders>
            <w:shd w:val="clear" w:color="auto" w:fill="C2D69B" w:themeFill="accent3" w:themeFillTint="99"/>
            <w:vAlign w:val="center"/>
          </w:tcPr>
          <w:p w14:paraId="5A981469" w14:textId="77777777" w:rsidR="001075D9" w:rsidRDefault="0090097C" w:rsidP="00BB572A">
            <w:pPr>
              <w:jc w:val="center"/>
              <w:rPr>
                <w:rFonts w:cstheme="minorHAnsi"/>
                <w:color w:val="363636"/>
              </w:rPr>
            </w:pPr>
            <w:r>
              <w:rPr>
                <w:rFonts w:cstheme="minorHAnsi"/>
                <w:color w:val="363636"/>
              </w:rPr>
              <w:t>49</w:t>
            </w:r>
          </w:p>
          <w:p w14:paraId="7287AB44" w14:textId="43A2CE27" w:rsidR="003E4A3D" w:rsidRPr="004905ED" w:rsidRDefault="003E4A3D" w:rsidP="00BB572A">
            <w:pPr>
              <w:jc w:val="center"/>
              <w:rPr>
                <w:rFonts w:cstheme="minorHAnsi"/>
                <w:color w:val="363636"/>
              </w:rPr>
            </w:pPr>
            <w:r>
              <w:rPr>
                <w:rFonts w:cstheme="minorHAnsi"/>
                <w:color w:val="363636"/>
              </w:rPr>
              <w:t>(38,3 %)</w:t>
            </w:r>
          </w:p>
        </w:tc>
        <w:tc>
          <w:tcPr>
            <w:tcW w:w="1202" w:type="dxa"/>
            <w:tcBorders>
              <w:top w:val="single" w:sz="12" w:space="0" w:color="auto"/>
            </w:tcBorders>
            <w:shd w:val="clear" w:color="auto" w:fill="auto"/>
            <w:vAlign w:val="center"/>
          </w:tcPr>
          <w:p w14:paraId="37F971B5" w14:textId="77777777" w:rsidR="001075D9" w:rsidRDefault="0090097C" w:rsidP="00BB572A">
            <w:pPr>
              <w:jc w:val="center"/>
              <w:rPr>
                <w:rFonts w:cstheme="minorHAnsi"/>
                <w:color w:val="363636"/>
              </w:rPr>
            </w:pPr>
            <w:r>
              <w:rPr>
                <w:rFonts w:cstheme="minorHAnsi"/>
                <w:color w:val="363636"/>
              </w:rPr>
              <w:t>5</w:t>
            </w:r>
          </w:p>
          <w:p w14:paraId="59C2487C" w14:textId="208E9D56" w:rsidR="003E4A3D" w:rsidRPr="004905ED" w:rsidRDefault="003E4A3D" w:rsidP="00BB572A">
            <w:pPr>
              <w:jc w:val="center"/>
              <w:rPr>
                <w:rFonts w:cstheme="minorHAnsi"/>
                <w:color w:val="363636"/>
              </w:rPr>
            </w:pPr>
            <w:r>
              <w:rPr>
                <w:rFonts w:cstheme="minorHAnsi"/>
                <w:color w:val="363636"/>
              </w:rPr>
              <w:t>(3,9 %)</w:t>
            </w:r>
          </w:p>
        </w:tc>
        <w:tc>
          <w:tcPr>
            <w:tcW w:w="1202" w:type="dxa"/>
            <w:tcBorders>
              <w:top w:val="single" w:sz="12" w:space="0" w:color="auto"/>
            </w:tcBorders>
            <w:shd w:val="clear" w:color="auto" w:fill="auto"/>
            <w:vAlign w:val="center"/>
          </w:tcPr>
          <w:p w14:paraId="407F9AA4" w14:textId="77777777" w:rsidR="00FE396B" w:rsidRDefault="0090097C" w:rsidP="00B747FA">
            <w:pPr>
              <w:jc w:val="center"/>
              <w:rPr>
                <w:rFonts w:cstheme="minorHAnsi"/>
                <w:color w:val="363636"/>
              </w:rPr>
            </w:pPr>
            <w:r>
              <w:rPr>
                <w:rFonts w:cstheme="minorHAnsi"/>
                <w:color w:val="363636"/>
              </w:rPr>
              <w:t>1</w:t>
            </w:r>
          </w:p>
          <w:p w14:paraId="0D63B5C2" w14:textId="5CACCA5B" w:rsidR="003E4A3D" w:rsidRPr="004905ED" w:rsidRDefault="003E4A3D" w:rsidP="00B747FA">
            <w:pPr>
              <w:jc w:val="center"/>
              <w:rPr>
                <w:rFonts w:cstheme="minorHAnsi"/>
                <w:color w:val="363636"/>
              </w:rPr>
            </w:pPr>
            <w:r>
              <w:rPr>
                <w:rFonts w:cstheme="minorHAnsi"/>
                <w:color w:val="363636"/>
              </w:rPr>
              <w:t>(0,8 %)</w:t>
            </w:r>
          </w:p>
        </w:tc>
        <w:tc>
          <w:tcPr>
            <w:tcW w:w="1022" w:type="dxa"/>
            <w:tcBorders>
              <w:top w:val="single" w:sz="12" w:space="0" w:color="auto"/>
            </w:tcBorders>
            <w:shd w:val="clear" w:color="auto" w:fill="auto"/>
            <w:vAlign w:val="center"/>
          </w:tcPr>
          <w:p w14:paraId="7197BA75" w14:textId="77777777" w:rsidR="001075D9" w:rsidRDefault="0090097C" w:rsidP="00BB572A">
            <w:pPr>
              <w:jc w:val="center"/>
              <w:rPr>
                <w:rFonts w:cstheme="minorHAnsi"/>
                <w:color w:val="363636"/>
              </w:rPr>
            </w:pPr>
            <w:r>
              <w:rPr>
                <w:rFonts w:cstheme="minorHAnsi"/>
                <w:color w:val="363636"/>
              </w:rPr>
              <w:t>1</w:t>
            </w:r>
          </w:p>
          <w:p w14:paraId="45409EDB" w14:textId="26D9EDF9" w:rsidR="003E4A3D" w:rsidRPr="004905ED" w:rsidRDefault="003E4A3D" w:rsidP="00BB572A">
            <w:pPr>
              <w:jc w:val="center"/>
              <w:rPr>
                <w:rFonts w:cstheme="minorHAnsi"/>
                <w:color w:val="363636"/>
              </w:rPr>
            </w:pPr>
            <w:r>
              <w:rPr>
                <w:rFonts w:cstheme="minorHAnsi"/>
                <w:color w:val="363636"/>
              </w:rPr>
              <w:t>(0,8 %)</w:t>
            </w:r>
          </w:p>
        </w:tc>
      </w:tr>
      <w:tr w:rsidR="00FE396B" w:rsidRPr="00B8304B" w14:paraId="5249636F" w14:textId="77777777" w:rsidTr="00200E62">
        <w:trPr>
          <w:trHeight w:val="300"/>
          <w:jc w:val="center"/>
        </w:trPr>
        <w:tc>
          <w:tcPr>
            <w:tcW w:w="3120" w:type="dxa"/>
            <w:shd w:val="clear" w:color="auto" w:fill="D9D9D9" w:themeFill="background1" w:themeFillShade="D9"/>
            <w:vAlign w:val="center"/>
          </w:tcPr>
          <w:p w14:paraId="070143AE" w14:textId="77777777" w:rsidR="00FE396B" w:rsidRPr="00873A9D" w:rsidRDefault="00FE396B" w:rsidP="00BB572A">
            <w:pPr>
              <w:rPr>
                <w:rFonts w:cstheme="minorHAnsi"/>
                <w:bCs/>
              </w:rPr>
            </w:pPr>
            <w:r w:rsidRPr="00873A9D">
              <w:rPr>
                <w:rFonts w:cstheme="minorHAnsi"/>
                <w:bCs/>
              </w:rPr>
              <w:t>Veřejná doprava</w:t>
            </w:r>
          </w:p>
        </w:tc>
        <w:tc>
          <w:tcPr>
            <w:tcW w:w="1009" w:type="dxa"/>
            <w:shd w:val="clear" w:color="auto" w:fill="auto"/>
            <w:vAlign w:val="center"/>
          </w:tcPr>
          <w:p w14:paraId="07B7653D" w14:textId="77777777" w:rsidR="001075D9" w:rsidRDefault="0090097C" w:rsidP="00BB572A">
            <w:pPr>
              <w:jc w:val="center"/>
              <w:rPr>
                <w:rFonts w:cstheme="minorHAnsi"/>
                <w:color w:val="363636"/>
              </w:rPr>
            </w:pPr>
            <w:r>
              <w:rPr>
                <w:rFonts w:cstheme="minorHAnsi"/>
                <w:color w:val="363636"/>
              </w:rPr>
              <w:t>11</w:t>
            </w:r>
          </w:p>
          <w:p w14:paraId="264F0C84" w14:textId="21BCAF5A" w:rsidR="003E4A3D" w:rsidRPr="004905ED" w:rsidRDefault="003E4A3D" w:rsidP="00BB572A">
            <w:pPr>
              <w:jc w:val="center"/>
              <w:rPr>
                <w:rFonts w:cstheme="minorHAnsi"/>
                <w:color w:val="363636"/>
              </w:rPr>
            </w:pPr>
            <w:r>
              <w:rPr>
                <w:rFonts w:cstheme="minorHAnsi"/>
                <w:color w:val="363636"/>
              </w:rPr>
              <w:t>(8,6 %)</w:t>
            </w:r>
          </w:p>
        </w:tc>
        <w:tc>
          <w:tcPr>
            <w:tcW w:w="1009" w:type="dxa"/>
            <w:shd w:val="clear" w:color="auto" w:fill="C2D69B" w:themeFill="accent3" w:themeFillTint="99"/>
            <w:vAlign w:val="center"/>
          </w:tcPr>
          <w:p w14:paraId="357079BB" w14:textId="77777777" w:rsidR="001075D9" w:rsidRDefault="0090097C" w:rsidP="007A0358">
            <w:pPr>
              <w:jc w:val="center"/>
              <w:rPr>
                <w:rFonts w:cstheme="minorHAnsi"/>
                <w:color w:val="363636"/>
              </w:rPr>
            </w:pPr>
            <w:r>
              <w:rPr>
                <w:rFonts w:cstheme="minorHAnsi"/>
                <w:color w:val="363636"/>
              </w:rPr>
              <w:t>42</w:t>
            </w:r>
          </w:p>
          <w:p w14:paraId="2DB37624" w14:textId="77562C41" w:rsidR="003E4A3D" w:rsidRPr="004905ED" w:rsidRDefault="003E4A3D" w:rsidP="007A0358">
            <w:pPr>
              <w:jc w:val="center"/>
              <w:rPr>
                <w:rFonts w:cstheme="minorHAnsi"/>
                <w:color w:val="363636"/>
              </w:rPr>
            </w:pPr>
            <w:r>
              <w:rPr>
                <w:rFonts w:cstheme="minorHAnsi"/>
                <w:color w:val="363636"/>
              </w:rPr>
              <w:t>(32,8 %)</w:t>
            </w:r>
          </w:p>
        </w:tc>
        <w:tc>
          <w:tcPr>
            <w:tcW w:w="1202" w:type="dxa"/>
            <w:shd w:val="clear" w:color="auto" w:fill="FBD4B4" w:themeFill="accent6" w:themeFillTint="66"/>
            <w:vAlign w:val="center"/>
          </w:tcPr>
          <w:p w14:paraId="78F7695B" w14:textId="77777777" w:rsidR="001075D9" w:rsidRDefault="0090097C" w:rsidP="00BB572A">
            <w:pPr>
              <w:jc w:val="center"/>
              <w:rPr>
                <w:rFonts w:cstheme="minorHAnsi"/>
                <w:color w:val="363636"/>
              </w:rPr>
            </w:pPr>
            <w:r>
              <w:rPr>
                <w:rFonts w:cstheme="minorHAnsi"/>
                <w:color w:val="363636"/>
              </w:rPr>
              <w:t>36</w:t>
            </w:r>
          </w:p>
          <w:p w14:paraId="0DE52DBF" w14:textId="26D3805B" w:rsidR="003E4A3D" w:rsidRPr="004905ED" w:rsidRDefault="003E4A3D" w:rsidP="00BB572A">
            <w:pPr>
              <w:jc w:val="center"/>
              <w:rPr>
                <w:rFonts w:cstheme="minorHAnsi"/>
                <w:color w:val="363636"/>
              </w:rPr>
            </w:pPr>
            <w:r>
              <w:rPr>
                <w:rFonts w:cstheme="minorHAnsi"/>
                <w:color w:val="363636"/>
              </w:rPr>
              <w:t>(28,1 %)</w:t>
            </w:r>
          </w:p>
        </w:tc>
        <w:tc>
          <w:tcPr>
            <w:tcW w:w="1202" w:type="dxa"/>
            <w:shd w:val="clear" w:color="auto" w:fill="FBD4B4" w:themeFill="accent6" w:themeFillTint="66"/>
            <w:vAlign w:val="center"/>
          </w:tcPr>
          <w:p w14:paraId="02DCFFB5" w14:textId="77777777" w:rsidR="00DC2F7E" w:rsidRDefault="0090097C" w:rsidP="001075D9">
            <w:pPr>
              <w:jc w:val="center"/>
              <w:rPr>
                <w:rFonts w:cstheme="minorHAnsi"/>
                <w:color w:val="363636"/>
              </w:rPr>
            </w:pPr>
            <w:r>
              <w:rPr>
                <w:rFonts w:cstheme="minorHAnsi"/>
                <w:color w:val="363636"/>
              </w:rPr>
              <w:t>16</w:t>
            </w:r>
          </w:p>
          <w:p w14:paraId="4C6E8D76" w14:textId="7C3454A3" w:rsidR="003E4A3D" w:rsidRPr="004905ED" w:rsidRDefault="003E4A3D" w:rsidP="001075D9">
            <w:pPr>
              <w:jc w:val="center"/>
              <w:rPr>
                <w:rFonts w:cstheme="minorHAnsi"/>
                <w:color w:val="363636"/>
              </w:rPr>
            </w:pPr>
            <w:r>
              <w:rPr>
                <w:rFonts w:cstheme="minorHAnsi"/>
                <w:color w:val="363636"/>
              </w:rPr>
              <w:t>(12,5 %)</w:t>
            </w:r>
          </w:p>
        </w:tc>
        <w:tc>
          <w:tcPr>
            <w:tcW w:w="1022" w:type="dxa"/>
            <w:shd w:val="clear" w:color="auto" w:fill="auto"/>
            <w:vAlign w:val="center"/>
          </w:tcPr>
          <w:p w14:paraId="585F4EA8" w14:textId="77777777" w:rsidR="001075D9" w:rsidRDefault="0090097C" w:rsidP="00BB572A">
            <w:pPr>
              <w:jc w:val="center"/>
              <w:rPr>
                <w:rFonts w:cstheme="minorHAnsi"/>
                <w:color w:val="363636"/>
              </w:rPr>
            </w:pPr>
            <w:r>
              <w:rPr>
                <w:rFonts w:cstheme="minorHAnsi"/>
                <w:color w:val="363636"/>
              </w:rPr>
              <w:t>7</w:t>
            </w:r>
          </w:p>
          <w:p w14:paraId="4835C813" w14:textId="26A641FE" w:rsidR="003E4A3D" w:rsidRPr="004905ED" w:rsidRDefault="003E4A3D" w:rsidP="00BB572A">
            <w:pPr>
              <w:jc w:val="center"/>
              <w:rPr>
                <w:rFonts w:cstheme="minorHAnsi"/>
                <w:color w:val="363636"/>
              </w:rPr>
            </w:pPr>
            <w:r>
              <w:rPr>
                <w:rFonts w:cstheme="minorHAnsi"/>
                <w:color w:val="363636"/>
              </w:rPr>
              <w:t>(5,5 %)</w:t>
            </w:r>
          </w:p>
        </w:tc>
      </w:tr>
      <w:tr w:rsidR="00FE396B" w:rsidRPr="00B8304B" w14:paraId="1BBBC3EC" w14:textId="77777777" w:rsidTr="00200E62">
        <w:trPr>
          <w:trHeight w:val="300"/>
          <w:jc w:val="center"/>
        </w:trPr>
        <w:tc>
          <w:tcPr>
            <w:tcW w:w="3120" w:type="dxa"/>
            <w:shd w:val="clear" w:color="auto" w:fill="D9D9D9" w:themeFill="background1" w:themeFillShade="D9"/>
            <w:vAlign w:val="center"/>
          </w:tcPr>
          <w:p w14:paraId="64786DB1" w14:textId="77777777" w:rsidR="00FE396B" w:rsidRPr="00873A9D" w:rsidRDefault="00FE396B" w:rsidP="00BB572A">
            <w:pPr>
              <w:rPr>
                <w:rFonts w:cstheme="minorHAnsi"/>
                <w:bCs/>
              </w:rPr>
            </w:pPr>
            <w:r w:rsidRPr="00873A9D">
              <w:rPr>
                <w:rFonts w:cstheme="minorHAnsi"/>
                <w:bCs/>
              </w:rPr>
              <w:t>Kultura a společenský život</w:t>
            </w:r>
          </w:p>
        </w:tc>
        <w:tc>
          <w:tcPr>
            <w:tcW w:w="1009" w:type="dxa"/>
            <w:shd w:val="clear" w:color="auto" w:fill="auto"/>
            <w:vAlign w:val="center"/>
          </w:tcPr>
          <w:p w14:paraId="1F42A730" w14:textId="77777777" w:rsidR="001075D9" w:rsidRDefault="0090097C" w:rsidP="00BB572A">
            <w:pPr>
              <w:jc w:val="center"/>
              <w:rPr>
                <w:rFonts w:cstheme="minorHAnsi"/>
                <w:color w:val="363636"/>
              </w:rPr>
            </w:pPr>
            <w:r>
              <w:rPr>
                <w:rFonts w:cstheme="minorHAnsi"/>
                <w:color w:val="363636"/>
              </w:rPr>
              <w:t>4</w:t>
            </w:r>
          </w:p>
          <w:p w14:paraId="71AEC8D4" w14:textId="4C026FC4" w:rsidR="003E4A3D" w:rsidRPr="004905ED" w:rsidRDefault="003E4A3D" w:rsidP="00BB572A">
            <w:pPr>
              <w:jc w:val="center"/>
              <w:rPr>
                <w:rFonts w:cstheme="minorHAnsi"/>
                <w:color w:val="363636"/>
              </w:rPr>
            </w:pPr>
            <w:r>
              <w:rPr>
                <w:rFonts w:cstheme="minorHAnsi"/>
                <w:color w:val="363636"/>
              </w:rPr>
              <w:t>(3,1 %)</w:t>
            </w:r>
          </w:p>
        </w:tc>
        <w:tc>
          <w:tcPr>
            <w:tcW w:w="1009" w:type="dxa"/>
            <w:shd w:val="clear" w:color="auto" w:fill="C2D69B" w:themeFill="accent3" w:themeFillTint="99"/>
            <w:vAlign w:val="center"/>
          </w:tcPr>
          <w:p w14:paraId="40A647EB" w14:textId="77777777" w:rsidR="001075D9" w:rsidRDefault="0090097C" w:rsidP="00BB572A">
            <w:pPr>
              <w:jc w:val="center"/>
              <w:rPr>
                <w:rFonts w:cstheme="minorHAnsi"/>
                <w:color w:val="363636"/>
              </w:rPr>
            </w:pPr>
            <w:r>
              <w:rPr>
                <w:rFonts w:cstheme="minorHAnsi"/>
                <w:color w:val="363636"/>
              </w:rPr>
              <w:t>43</w:t>
            </w:r>
          </w:p>
          <w:p w14:paraId="2362D021" w14:textId="64BC6F0A" w:rsidR="003E4A3D" w:rsidRPr="004905ED" w:rsidRDefault="003E4A3D" w:rsidP="00BB572A">
            <w:pPr>
              <w:jc w:val="center"/>
              <w:rPr>
                <w:rFonts w:cstheme="minorHAnsi"/>
                <w:color w:val="363636"/>
              </w:rPr>
            </w:pPr>
            <w:r>
              <w:rPr>
                <w:rFonts w:cstheme="minorHAnsi"/>
                <w:color w:val="363636"/>
              </w:rPr>
              <w:t>(33,6 %)</w:t>
            </w:r>
          </w:p>
        </w:tc>
        <w:tc>
          <w:tcPr>
            <w:tcW w:w="1202" w:type="dxa"/>
            <w:shd w:val="clear" w:color="auto" w:fill="FBD4B4" w:themeFill="accent6" w:themeFillTint="66"/>
            <w:vAlign w:val="center"/>
          </w:tcPr>
          <w:p w14:paraId="19E6F34F" w14:textId="77777777" w:rsidR="001075D9" w:rsidRDefault="0090097C" w:rsidP="007A0358">
            <w:pPr>
              <w:jc w:val="center"/>
              <w:rPr>
                <w:rFonts w:cstheme="minorHAnsi"/>
                <w:color w:val="363636"/>
              </w:rPr>
            </w:pPr>
            <w:r>
              <w:rPr>
                <w:rFonts w:cstheme="minorHAnsi"/>
                <w:color w:val="363636"/>
              </w:rPr>
              <w:t>38</w:t>
            </w:r>
          </w:p>
          <w:p w14:paraId="7B5605F6" w14:textId="4189DB04" w:rsidR="003E4A3D" w:rsidRPr="004905ED" w:rsidRDefault="003E4A3D" w:rsidP="007A0358">
            <w:pPr>
              <w:jc w:val="center"/>
              <w:rPr>
                <w:rFonts w:cstheme="minorHAnsi"/>
                <w:color w:val="363636"/>
              </w:rPr>
            </w:pPr>
            <w:r>
              <w:rPr>
                <w:rFonts w:cstheme="minorHAnsi"/>
                <w:color w:val="363636"/>
              </w:rPr>
              <w:t>(29,7 %)</w:t>
            </w:r>
          </w:p>
        </w:tc>
        <w:tc>
          <w:tcPr>
            <w:tcW w:w="1202" w:type="dxa"/>
            <w:shd w:val="clear" w:color="auto" w:fill="FBD4B4" w:themeFill="accent6" w:themeFillTint="66"/>
            <w:vAlign w:val="center"/>
          </w:tcPr>
          <w:p w14:paraId="1006FCC4" w14:textId="77777777" w:rsidR="004B4005" w:rsidRDefault="0090097C" w:rsidP="001075D9">
            <w:pPr>
              <w:jc w:val="center"/>
              <w:rPr>
                <w:rFonts w:cstheme="minorHAnsi"/>
                <w:color w:val="363636"/>
              </w:rPr>
            </w:pPr>
            <w:r>
              <w:rPr>
                <w:rFonts w:cstheme="minorHAnsi"/>
                <w:color w:val="363636"/>
              </w:rPr>
              <w:t>13</w:t>
            </w:r>
          </w:p>
          <w:p w14:paraId="2E2F96AB" w14:textId="62B840F2" w:rsidR="003E4A3D" w:rsidRPr="004905ED" w:rsidRDefault="003E4A3D" w:rsidP="001075D9">
            <w:pPr>
              <w:jc w:val="center"/>
              <w:rPr>
                <w:rFonts w:cstheme="minorHAnsi"/>
                <w:color w:val="363636"/>
              </w:rPr>
            </w:pPr>
            <w:r>
              <w:rPr>
                <w:rFonts w:cstheme="minorHAnsi"/>
                <w:color w:val="363636"/>
              </w:rPr>
              <w:t>(10,2 %)</w:t>
            </w:r>
          </w:p>
        </w:tc>
        <w:tc>
          <w:tcPr>
            <w:tcW w:w="1022" w:type="dxa"/>
            <w:shd w:val="clear" w:color="auto" w:fill="B6DDE8" w:themeFill="accent5" w:themeFillTint="66"/>
            <w:vAlign w:val="center"/>
          </w:tcPr>
          <w:p w14:paraId="6C4D5982" w14:textId="77777777" w:rsidR="003E4A3D" w:rsidRDefault="003E4A3D" w:rsidP="003E4A3D">
            <w:pPr>
              <w:jc w:val="center"/>
              <w:rPr>
                <w:rFonts w:cstheme="minorHAnsi"/>
                <w:color w:val="363636"/>
              </w:rPr>
            </w:pPr>
            <w:r>
              <w:rPr>
                <w:rFonts w:cstheme="minorHAnsi"/>
                <w:color w:val="363636"/>
              </w:rPr>
              <w:t>13</w:t>
            </w:r>
          </w:p>
          <w:p w14:paraId="7C567462" w14:textId="6E6FC111" w:rsidR="004B4005" w:rsidRPr="004905ED" w:rsidRDefault="003E4A3D" w:rsidP="003E4A3D">
            <w:pPr>
              <w:jc w:val="center"/>
              <w:rPr>
                <w:rFonts w:cstheme="minorHAnsi"/>
                <w:color w:val="363636"/>
              </w:rPr>
            </w:pPr>
            <w:r>
              <w:rPr>
                <w:rFonts w:cstheme="minorHAnsi"/>
                <w:color w:val="363636"/>
              </w:rPr>
              <w:t>(10,2 %)</w:t>
            </w:r>
          </w:p>
        </w:tc>
      </w:tr>
      <w:tr w:rsidR="00FE396B" w:rsidRPr="00B8304B" w14:paraId="2C9179D7" w14:textId="77777777" w:rsidTr="00200E62">
        <w:trPr>
          <w:trHeight w:val="300"/>
          <w:jc w:val="center"/>
        </w:trPr>
        <w:tc>
          <w:tcPr>
            <w:tcW w:w="3120" w:type="dxa"/>
            <w:shd w:val="clear" w:color="auto" w:fill="D9D9D9" w:themeFill="background1" w:themeFillShade="D9"/>
            <w:vAlign w:val="center"/>
          </w:tcPr>
          <w:p w14:paraId="0D57F301" w14:textId="77777777" w:rsidR="00FE396B" w:rsidRPr="00873A9D" w:rsidRDefault="00FE396B" w:rsidP="00BB572A">
            <w:pPr>
              <w:rPr>
                <w:rFonts w:cstheme="minorHAnsi"/>
                <w:bCs/>
              </w:rPr>
            </w:pPr>
            <w:r w:rsidRPr="00873A9D">
              <w:rPr>
                <w:rFonts w:cstheme="minorHAnsi"/>
                <w:bCs/>
              </w:rPr>
              <w:t>Sportovní vyžití</w:t>
            </w:r>
          </w:p>
        </w:tc>
        <w:tc>
          <w:tcPr>
            <w:tcW w:w="1009" w:type="dxa"/>
            <w:shd w:val="clear" w:color="auto" w:fill="auto"/>
            <w:vAlign w:val="center"/>
          </w:tcPr>
          <w:p w14:paraId="6764DDB3" w14:textId="77777777" w:rsidR="001075D9" w:rsidRDefault="0090097C" w:rsidP="007A0358">
            <w:pPr>
              <w:jc w:val="center"/>
              <w:rPr>
                <w:rFonts w:cstheme="minorHAnsi"/>
                <w:color w:val="363636"/>
              </w:rPr>
            </w:pPr>
            <w:r>
              <w:rPr>
                <w:rFonts w:cstheme="minorHAnsi"/>
                <w:color w:val="363636"/>
              </w:rPr>
              <w:t>9</w:t>
            </w:r>
          </w:p>
          <w:p w14:paraId="0C2F4D88" w14:textId="59FD31D2" w:rsidR="003E4A3D" w:rsidRPr="004905ED" w:rsidRDefault="003E4A3D" w:rsidP="007A0358">
            <w:pPr>
              <w:jc w:val="center"/>
              <w:rPr>
                <w:rFonts w:cstheme="minorHAnsi"/>
                <w:color w:val="363636"/>
              </w:rPr>
            </w:pPr>
            <w:r>
              <w:rPr>
                <w:rFonts w:cstheme="minorHAnsi"/>
                <w:color w:val="363636"/>
              </w:rPr>
              <w:t>(7,0 %)</w:t>
            </w:r>
          </w:p>
        </w:tc>
        <w:tc>
          <w:tcPr>
            <w:tcW w:w="1009" w:type="dxa"/>
            <w:shd w:val="clear" w:color="auto" w:fill="C2D69B" w:themeFill="accent3" w:themeFillTint="99"/>
            <w:vAlign w:val="center"/>
          </w:tcPr>
          <w:p w14:paraId="346AFE73" w14:textId="77777777" w:rsidR="001075D9" w:rsidRDefault="0090097C" w:rsidP="005F1A38">
            <w:pPr>
              <w:jc w:val="center"/>
              <w:rPr>
                <w:rFonts w:cstheme="minorHAnsi"/>
                <w:color w:val="363636"/>
              </w:rPr>
            </w:pPr>
            <w:r>
              <w:rPr>
                <w:rFonts w:cstheme="minorHAnsi"/>
                <w:color w:val="363636"/>
              </w:rPr>
              <w:t>28</w:t>
            </w:r>
          </w:p>
          <w:p w14:paraId="4FBFD8EA" w14:textId="22B7D5D4" w:rsidR="003E4A3D" w:rsidRPr="004905ED" w:rsidRDefault="003E4A3D" w:rsidP="005F1A38">
            <w:pPr>
              <w:jc w:val="center"/>
              <w:rPr>
                <w:rFonts w:cstheme="minorHAnsi"/>
                <w:color w:val="363636"/>
              </w:rPr>
            </w:pPr>
            <w:r>
              <w:rPr>
                <w:rFonts w:cstheme="minorHAnsi"/>
                <w:color w:val="363636"/>
              </w:rPr>
              <w:t>(21,9 %)</w:t>
            </w:r>
          </w:p>
        </w:tc>
        <w:tc>
          <w:tcPr>
            <w:tcW w:w="1202" w:type="dxa"/>
            <w:shd w:val="clear" w:color="auto" w:fill="FBD4B4" w:themeFill="accent6" w:themeFillTint="66"/>
            <w:vAlign w:val="center"/>
          </w:tcPr>
          <w:p w14:paraId="399BD0F9" w14:textId="77777777" w:rsidR="003E4A3D" w:rsidRDefault="003E4A3D" w:rsidP="003E4A3D">
            <w:pPr>
              <w:jc w:val="center"/>
              <w:rPr>
                <w:rFonts w:cstheme="minorHAnsi"/>
                <w:color w:val="363636"/>
              </w:rPr>
            </w:pPr>
            <w:r>
              <w:rPr>
                <w:rFonts w:cstheme="minorHAnsi"/>
                <w:color w:val="363636"/>
              </w:rPr>
              <w:t>28</w:t>
            </w:r>
          </w:p>
          <w:p w14:paraId="7E7736E7" w14:textId="29ACC40A" w:rsidR="001075D9" w:rsidRPr="004905ED" w:rsidRDefault="003E4A3D" w:rsidP="003E4A3D">
            <w:pPr>
              <w:jc w:val="center"/>
              <w:rPr>
                <w:rFonts w:cstheme="minorHAnsi"/>
                <w:color w:val="363636"/>
              </w:rPr>
            </w:pPr>
            <w:r>
              <w:rPr>
                <w:rFonts w:cstheme="minorHAnsi"/>
                <w:color w:val="363636"/>
              </w:rPr>
              <w:t>(21,9 %)</w:t>
            </w:r>
          </w:p>
        </w:tc>
        <w:tc>
          <w:tcPr>
            <w:tcW w:w="1202" w:type="dxa"/>
            <w:shd w:val="clear" w:color="auto" w:fill="FBD4B4" w:themeFill="accent6" w:themeFillTint="66"/>
            <w:vAlign w:val="center"/>
          </w:tcPr>
          <w:p w14:paraId="0E72B456" w14:textId="77777777" w:rsidR="001075D9" w:rsidRDefault="0090097C" w:rsidP="00B747FA">
            <w:pPr>
              <w:jc w:val="center"/>
              <w:rPr>
                <w:rFonts w:cstheme="minorHAnsi"/>
                <w:color w:val="363636"/>
              </w:rPr>
            </w:pPr>
            <w:r>
              <w:rPr>
                <w:rFonts w:cstheme="minorHAnsi"/>
                <w:color w:val="363636"/>
              </w:rPr>
              <w:t>19</w:t>
            </w:r>
          </w:p>
          <w:p w14:paraId="3E822A4A" w14:textId="3417DBE7" w:rsidR="003E4A3D" w:rsidRPr="004905ED" w:rsidRDefault="003E4A3D" w:rsidP="00B747FA">
            <w:pPr>
              <w:jc w:val="center"/>
              <w:rPr>
                <w:rFonts w:cstheme="minorHAnsi"/>
                <w:color w:val="363636"/>
              </w:rPr>
            </w:pPr>
            <w:r>
              <w:rPr>
                <w:rFonts w:cstheme="minorHAnsi"/>
                <w:color w:val="363636"/>
              </w:rPr>
              <w:t>(14,8 %)</w:t>
            </w:r>
          </w:p>
        </w:tc>
        <w:tc>
          <w:tcPr>
            <w:tcW w:w="1022" w:type="dxa"/>
            <w:shd w:val="clear" w:color="auto" w:fill="B6DDE8" w:themeFill="accent5" w:themeFillTint="66"/>
            <w:vAlign w:val="center"/>
          </w:tcPr>
          <w:p w14:paraId="70C98325" w14:textId="77777777" w:rsidR="007A0358" w:rsidRDefault="0090097C" w:rsidP="001075D9">
            <w:pPr>
              <w:jc w:val="center"/>
              <w:rPr>
                <w:rFonts w:cstheme="minorHAnsi"/>
                <w:color w:val="363636"/>
              </w:rPr>
            </w:pPr>
            <w:r>
              <w:rPr>
                <w:rFonts w:cstheme="minorHAnsi"/>
                <w:color w:val="363636"/>
              </w:rPr>
              <w:t>24</w:t>
            </w:r>
          </w:p>
          <w:p w14:paraId="0126121C" w14:textId="59FA7B9C" w:rsidR="003E4A3D" w:rsidRPr="004905ED" w:rsidRDefault="003E4A3D" w:rsidP="001075D9">
            <w:pPr>
              <w:jc w:val="center"/>
              <w:rPr>
                <w:rFonts w:cstheme="minorHAnsi"/>
                <w:color w:val="363636"/>
              </w:rPr>
            </w:pPr>
            <w:r>
              <w:rPr>
                <w:rFonts w:cstheme="minorHAnsi"/>
                <w:color w:val="363636"/>
              </w:rPr>
              <w:t>(18,8 %)</w:t>
            </w:r>
          </w:p>
        </w:tc>
      </w:tr>
      <w:tr w:rsidR="00FE396B" w:rsidRPr="00B8304B" w14:paraId="7A579155" w14:textId="77777777" w:rsidTr="00200E62">
        <w:trPr>
          <w:trHeight w:val="300"/>
          <w:jc w:val="center"/>
        </w:trPr>
        <w:tc>
          <w:tcPr>
            <w:tcW w:w="3120" w:type="dxa"/>
            <w:shd w:val="clear" w:color="auto" w:fill="D9D9D9" w:themeFill="background1" w:themeFillShade="D9"/>
            <w:vAlign w:val="center"/>
          </w:tcPr>
          <w:p w14:paraId="63FBF363" w14:textId="77777777" w:rsidR="00FE396B" w:rsidRPr="00873A9D" w:rsidRDefault="00FE396B" w:rsidP="00BB572A">
            <w:pPr>
              <w:rPr>
                <w:rFonts w:cstheme="minorHAnsi"/>
                <w:bCs/>
              </w:rPr>
            </w:pPr>
            <w:r w:rsidRPr="00873A9D">
              <w:rPr>
                <w:rFonts w:cstheme="minorHAnsi"/>
                <w:bCs/>
              </w:rPr>
              <w:t>Životní prostředí</w:t>
            </w:r>
          </w:p>
        </w:tc>
        <w:tc>
          <w:tcPr>
            <w:tcW w:w="1009" w:type="dxa"/>
            <w:shd w:val="clear" w:color="auto" w:fill="C2D69B" w:themeFill="accent3" w:themeFillTint="99"/>
            <w:vAlign w:val="center"/>
          </w:tcPr>
          <w:p w14:paraId="31927EEA" w14:textId="77777777" w:rsidR="001075D9" w:rsidRDefault="0090097C" w:rsidP="00BB572A">
            <w:pPr>
              <w:jc w:val="center"/>
              <w:rPr>
                <w:rFonts w:cstheme="minorHAnsi"/>
                <w:color w:val="363636"/>
              </w:rPr>
            </w:pPr>
            <w:r>
              <w:rPr>
                <w:rFonts w:cstheme="minorHAnsi"/>
                <w:color w:val="363636"/>
              </w:rPr>
              <w:t>56</w:t>
            </w:r>
          </w:p>
          <w:p w14:paraId="6453F19A" w14:textId="68AEF3DA" w:rsidR="003E4A3D" w:rsidRPr="004905ED" w:rsidRDefault="003E4A3D" w:rsidP="00BB572A">
            <w:pPr>
              <w:jc w:val="center"/>
              <w:rPr>
                <w:rFonts w:cstheme="minorHAnsi"/>
                <w:color w:val="363636"/>
              </w:rPr>
            </w:pPr>
            <w:r>
              <w:rPr>
                <w:rFonts w:cstheme="minorHAnsi"/>
                <w:color w:val="363636"/>
              </w:rPr>
              <w:t>(43,8 %)</w:t>
            </w:r>
          </w:p>
        </w:tc>
        <w:tc>
          <w:tcPr>
            <w:tcW w:w="1009" w:type="dxa"/>
            <w:shd w:val="clear" w:color="auto" w:fill="C2D69B" w:themeFill="accent3" w:themeFillTint="99"/>
            <w:vAlign w:val="center"/>
          </w:tcPr>
          <w:p w14:paraId="66A2E9B6" w14:textId="77777777" w:rsidR="004B4005" w:rsidRDefault="0090097C" w:rsidP="001075D9">
            <w:pPr>
              <w:jc w:val="center"/>
              <w:rPr>
                <w:rFonts w:cstheme="minorHAnsi"/>
                <w:color w:val="363636"/>
              </w:rPr>
            </w:pPr>
            <w:r>
              <w:rPr>
                <w:rFonts w:cstheme="minorHAnsi"/>
                <w:color w:val="363636"/>
              </w:rPr>
              <w:t>48</w:t>
            </w:r>
          </w:p>
          <w:p w14:paraId="5E8B1107" w14:textId="69EDD083" w:rsidR="003E4A3D" w:rsidRPr="004905ED" w:rsidRDefault="003E4A3D" w:rsidP="001075D9">
            <w:pPr>
              <w:jc w:val="center"/>
              <w:rPr>
                <w:rFonts w:cstheme="minorHAnsi"/>
                <w:color w:val="363636"/>
              </w:rPr>
            </w:pPr>
            <w:r>
              <w:rPr>
                <w:rFonts w:cstheme="minorHAnsi"/>
                <w:color w:val="363636"/>
              </w:rPr>
              <w:t>(37,5 %)</w:t>
            </w:r>
          </w:p>
        </w:tc>
        <w:tc>
          <w:tcPr>
            <w:tcW w:w="1202" w:type="dxa"/>
            <w:shd w:val="clear" w:color="auto" w:fill="auto"/>
            <w:vAlign w:val="center"/>
          </w:tcPr>
          <w:p w14:paraId="3879B55B" w14:textId="77777777" w:rsidR="001075D9" w:rsidRDefault="0090097C" w:rsidP="00B747FA">
            <w:pPr>
              <w:jc w:val="center"/>
              <w:rPr>
                <w:rFonts w:cstheme="minorHAnsi"/>
                <w:color w:val="363636"/>
              </w:rPr>
            </w:pPr>
            <w:r>
              <w:rPr>
                <w:rFonts w:cstheme="minorHAnsi"/>
                <w:color w:val="363636"/>
              </w:rPr>
              <w:t>7</w:t>
            </w:r>
          </w:p>
          <w:p w14:paraId="1947F764" w14:textId="1ECB5837" w:rsidR="003E4A3D" w:rsidRPr="004905ED" w:rsidRDefault="003E4A3D" w:rsidP="00B747FA">
            <w:pPr>
              <w:jc w:val="center"/>
              <w:rPr>
                <w:rFonts w:cstheme="minorHAnsi"/>
                <w:color w:val="363636"/>
              </w:rPr>
            </w:pPr>
            <w:r>
              <w:rPr>
                <w:rFonts w:cstheme="minorHAnsi"/>
                <w:color w:val="363636"/>
              </w:rPr>
              <w:t>(5,5 %)</w:t>
            </w:r>
          </w:p>
        </w:tc>
        <w:tc>
          <w:tcPr>
            <w:tcW w:w="1202" w:type="dxa"/>
            <w:shd w:val="clear" w:color="auto" w:fill="auto"/>
            <w:vAlign w:val="center"/>
          </w:tcPr>
          <w:p w14:paraId="77C68ED6" w14:textId="77777777" w:rsidR="00FE396B" w:rsidRDefault="0090097C" w:rsidP="001075D9">
            <w:pPr>
              <w:jc w:val="center"/>
              <w:rPr>
                <w:rFonts w:cstheme="minorHAnsi"/>
                <w:color w:val="363636"/>
              </w:rPr>
            </w:pPr>
            <w:r>
              <w:rPr>
                <w:rFonts w:cstheme="minorHAnsi"/>
                <w:color w:val="363636"/>
              </w:rPr>
              <w:t>2</w:t>
            </w:r>
          </w:p>
          <w:p w14:paraId="78EA797D" w14:textId="25D2609D" w:rsidR="003E4A3D" w:rsidRPr="004905ED" w:rsidRDefault="003E4A3D" w:rsidP="001075D9">
            <w:pPr>
              <w:jc w:val="center"/>
              <w:rPr>
                <w:rFonts w:cstheme="minorHAnsi"/>
                <w:color w:val="363636"/>
              </w:rPr>
            </w:pPr>
            <w:r>
              <w:rPr>
                <w:rFonts w:cstheme="minorHAnsi"/>
                <w:color w:val="363636"/>
              </w:rPr>
              <w:t>(1,6 %)</w:t>
            </w:r>
          </w:p>
        </w:tc>
        <w:tc>
          <w:tcPr>
            <w:tcW w:w="1022" w:type="dxa"/>
            <w:shd w:val="clear" w:color="auto" w:fill="auto"/>
            <w:vAlign w:val="center"/>
          </w:tcPr>
          <w:p w14:paraId="66D06BF9" w14:textId="77777777" w:rsidR="003E4A3D" w:rsidRDefault="003E4A3D" w:rsidP="003E4A3D">
            <w:pPr>
              <w:jc w:val="center"/>
              <w:rPr>
                <w:rFonts w:cstheme="minorHAnsi"/>
                <w:color w:val="363636"/>
              </w:rPr>
            </w:pPr>
            <w:r>
              <w:rPr>
                <w:rFonts w:cstheme="minorHAnsi"/>
                <w:color w:val="363636"/>
              </w:rPr>
              <w:t>1</w:t>
            </w:r>
          </w:p>
          <w:p w14:paraId="56439929" w14:textId="64CB0EFD" w:rsidR="00FE396B" w:rsidRPr="004905ED" w:rsidRDefault="003E4A3D" w:rsidP="003E4A3D">
            <w:pPr>
              <w:jc w:val="center"/>
              <w:rPr>
                <w:rFonts w:cstheme="minorHAnsi"/>
                <w:color w:val="363636"/>
              </w:rPr>
            </w:pPr>
            <w:r>
              <w:rPr>
                <w:rFonts w:cstheme="minorHAnsi"/>
                <w:color w:val="363636"/>
              </w:rPr>
              <w:t>(0,8 %)</w:t>
            </w:r>
          </w:p>
        </w:tc>
      </w:tr>
      <w:tr w:rsidR="00FE396B" w:rsidRPr="00B8304B" w14:paraId="152B7AA5" w14:textId="77777777" w:rsidTr="00200E62">
        <w:trPr>
          <w:trHeight w:val="300"/>
          <w:jc w:val="center"/>
        </w:trPr>
        <w:tc>
          <w:tcPr>
            <w:tcW w:w="3120" w:type="dxa"/>
            <w:shd w:val="clear" w:color="auto" w:fill="D9D9D9" w:themeFill="background1" w:themeFillShade="D9"/>
            <w:vAlign w:val="center"/>
          </w:tcPr>
          <w:p w14:paraId="0C6F691C" w14:textId="77777777" w:rsidR="00FE396B" w:rsidRPr="00873A9D" w:rsidRDefault="00FE396B" w:rsidP="00BB572A">
            <w:pPr>
              <w:rPr>
                <w:rFonts w:cstheme="minorHAnsi"/>
                <w:bCs/>
              </w:rPr>
            </w:pPr>
            <w:r w:rsidRPr="00873A9D">
              <w:rPr>
                <w:rFonts w:cstheme="minorHAnsi"/>
                <w:bCs/>
              </w:rPr>
              <w:t>Péče obce o své prostředí</w:t>
            </w:r>
          </w:p>
        </w:tc>
        <w:tc>
          <w:tcPr>
            <w:tcW w:w="1009" w:type="dxa"/>
            <w:shd w:val="clear" w:color="auto" w:fill="C2D69B" w:themeFill="accent3" w:themeFillTint="99"/>
            <w:vAlign w:val="center"/>
          </w:tcPr>
          <w:p w14:paraId="7FD26D21" w14:textId="77777777" w:rsidR="001075D9" w:rsidRDefault="0090097C" w:rsidP="005F1A38">
            <w:pPr>
              <w:jc w:val="center"/>
              <w:rPr>
                <w:rFonts w:cstheme="minorHAnsi"/>
                <w:color w:val="363636"/>
              </w:rPr>
            </w:pPr>
            <w:r>
              <w:rPr>
                <w:rFonts w:cstheme="minorHAnsi"/>
                <w:color w:val="363636"/>
              </w:rPr>
              <w:t>16</w:t>
            </w:r>
          </w:p>
          <w:p w14:paraId="4FBDB786" w14:textId="7C8C7545" w:rsidR="003E4A3D" w:rsidRPr="004905ED" w:rsidRDefault="003E4A3D" w:rsidP="005F1A38">
            <w:pPr>
              <w:jc w:val="center"/>
              <w:rPr>
                <w:rFonts w:cstheme="minorHAnsi"/>
                <w:color w:val="363636"/>
              </w:rPr>
            </w:pPr>
            <w:r>
              <w:rPr>
                <w:rFonts w:cstheme="minorHAnsi"/>
                <w:color w:val="363636"/>
              </w:rPr>
              <w:t>(12,5 %)</w:t>
            </w:r>
          </w:p>
        </w:tc>
        <w:tc>
          <w:tcPr>
            <w:tcW w:w="1009" w:type="dxa"/>
            <w:shd w:val="clear" w:color="auto" w:fill="C2D69B" w:themeFill="accent3" w:themeFillTint="99"/>
            <w:vAlign w:val="center"/>
          </w:tcPr>
          <w:p w14:paraId="08483CC7" w14:textId="77777777" w:rsidR="001075D9" w:rsidRDefault="0090097C" w:rsidP="00032FE4">
            <w:pPr>
              <w:jc w:val="center"/>
              <w:rPr>
                <w:rFonts w:cstheme="minorHAnsi"/>
                <w:color w:val="363636"/>
              </w:rPr>
            </w:pPr>
            <w:r>
              <w:rPr>
                <w:rFonts w:cstheme="minorHAnsi"/>
                <w:color w:val="363636"/>
              </w:rPr>
              <w:t>47</w:t>
            </w:r>
          </w:p>
          <w:p w14:paraId="10860D74" w14:textId="73F41A7C" w:rsidR="003E4A3D" w:rsidRPr="004905ED" w:rsidRDefault="003E4A3D" w:rsidP="00032FE4">
            <w:pPr>
              <w:jc w:val="center"/>
              <w:rPr>
                <w:rFonts w:cstheme="minorHAnsi"/>
                <w:color w:val="363636"/>
              </w:rPr>
            </w:pPr>
            <w:r>
              <w:rPr>
                <w:rFonts w:cstheme="minorHAnsi"/>
                <w:color w:val="363636"/>
              </w:rPr>
              <w:t>(36,7 %)</w:t>
            </w:r>
          </w:p>
        </w:tc>
        <w:tc>
          <w:tcPr>
            <w:tcW w:w="1202" w:type="dxa"/>
            <w:shd w:val="clear" w:color="auto" w:fill="FBD4B4" w:themeFill="accent6" w:themeFillTint="66"/>
            <w:vAlign w:val="center"/>
          </w:tcPr>
          <w:p w14:paraId="22D3893F" w14:textId="77777777" w:rsidR="001075D9" w:rsidRDefault="0090097C" w:rsidP="00BB572A">
            <w:pPr>
              <w:jc w:val="center"/>
              <w:rPr>
                <w:rFonts w:cstheme="minorHAnsi"/>
                <w:color w:val="363636"/>
              </w:rPr>
            </w:pPr>
            <w:r>
              <w:rPr>
                <w:rFonts w:cstheme="minorHAnsi"/>
                <w:color w:val="363636"/>
              </w:rPr>
              <w:t>33</w:t>
            </w:r>
          </w:p>
          <w:p w14:paraId="128D381B" w14:textId="716F9333" w:rsidR="003E4A3D" w:rsidRPr="004905ED" w:rsidRDefault="003E4A3D" w:rsidP="00BB572A">
            <w:pPr>
              <w:jc w:val="center"/>
              <w:rPr>
                <w:rFonts w:cstheme="minorHAnsi"/>
                <w:color w:val="363636"/>
              </w:rPr>
            </w:pPr>
            <w:r>
              <w:rPr>
                <w:rFonts w:cstheme="minorHAnsi"/>
                <w:color w:val="363636"/>
              </w:rPr>
              <w:t>(25,8 %)</w:t>
            </w:r>
          </w:p>
        </w:tc>
        <w:tc>
          <w:tcPr>
            <w:tcW w:w="1202" w:type="dxa"/>
            <w:shd w:val="clear" w:color="auto" w:fill="auto"/>
            <w:vAlign w:val="center"/>
          </w:tcPr>
          <w:p w14:paraId="72355D78" w14:textId="77777777" w:rsidR="003E4A3D" w:rsidRDefault="003E4A3D" w:rsidP="003E4A3D">
            <w:pPr>
              <w:jc w:val="center"/>
              <w:rPr>
                <w:rFonts w:cstheme="minorHAnsi"/>
                <w:color w:val="363636"/>
              </w:rPr>
            </w:pPr>
            <w:r>
              <w:rPr>
                <w:rFonts w:cstheme="minorHAnsi"/>
                <w:color w:val="363636"/>
              </w:rPr>
              <w:t>13</w:t>
            </w:r>
          </w:p>
          <w:p w14:paraId="4EAE1470" w14:textId="044FB7D6" w:rsidR="001075D9" w:rsidRPr="004905ED" w:rsidRDefault="003E4A3D" w:rsidP="003E4A3D">
            <w:pPr>
              <w:jc w:val="center"/>
              <w:rPr>
                <w:rFonts w:cstheme="minorHAnsi"/>
                <w:color w:val="363636"/>
              </w:rPr>
            </w:pPr>
            <w:r>
              <w:rPr>
                <w:rFonts w:cstheme="minorHAnsi"/>
                <w:color w:val="363636"/>
              </w:rPr>
              <w:t>(10,2 %)</w:t>
            </w:r>
          </w:p>
        </w:tc>
        <w:tc>
          <w:tcPr>
            <w:tcW w:w="1022" w:type="dxa"/>
            <w:shd w:val="clear" w:color="auto" w:fill="auto"/>
            <w:vAlign w:val="center"/>
          </w:tcPr>
          <w:p w14:paraId="4C180712" w14:textId="77777777" w:rsidR="00FE396B" w:rsidRDefault="0090097C" w:rsidP="00BB572A">
            <w:pPr>
              <w:jc w:val="center"/>
              <w:rPr>
                <w:rFonts w:cstheme="minorHAnsi"/>
                <w:color w:val="363636"/>
              </w:rPr>
            </w:pPr>
            <w:r>
              <w:rPr>
                <w:rFonts w:cstheme="minorHAnsi"/>
                <w:color w:val="363636"/>
              </w:rPr>
              <w:t>3</w:t>
            </w:r>
          </w:p>
          <w:p w14:paraId="0752F91D" w14:textId="45BB1DB7" w:rsidR="003E4A3D" w:rsidRPr="004905ED" w:rsidRDefault="003E4A3D" w:rsidP="00BB572A">
            <w:pPr>
              <w:jc w:val="center"/>
              <w:rPr>
                <w:rFonts w:cstheme="minorHAnsi"/>
                <w:color w:val="363636"/>
              </w:rPr>
            </w:pPr>
            <w:r>
              <w:rPr>
                <w:rFonts w:cstheme="minorHAnsi"/>
                <w:color w:val="363636"/>
              </w:rPr>
              <w:t>(2,3 %)</w:t>
            </w:r>
          </w:p>
        </w:tc>
      </w:tr>
      <w:tr w:rsidR="001075D9" w:rsidRPr="00B8304B" w14:paraId="168508D1" w14:textId="77777777" w:rsidTr="00200E62">
        <w:trPr>
          <w:trHeight w:val="300"/>
          <w:jc w:val="center"/>
        </w:trPr>
        <w:tc>
          <w:tcPr>
            <w:tcW w:w="3120" w:type="dxa"/>
            <w:shd w:val="clear" w:color="auto" w:fill="D9D9D9" w:themeFill="background1" w:themeFillShade="D9"/>
            <w:vAlign w:val="center"/>
          </w:tcPr>
          <w:p w14:paraId="4A410309" w14:textId="3E23FCC1" w:rsidR="001075D9" w:rsidRPr="00873A9D" w:rsidRDefault="001075D9" w:rsidP="001075D9">
            <w:pPr>
              <w:rPr>
                <w:rFonts w:cstheme="minorHAnsi"/>
                <w:bCs/>
              </w:rPr>
            </w:pPr>
            <w:r w:rsidRPr="00873A9D">
              <w:rPr>
                <w:rFonts w:cstheme="minorHAnsi"/>
                <w:bCs/>
              </w:rPr>
              <w:t>Kvalita dopravní infrastruktury</w:t>
            </w:r>
          </w:p>
        </w:tc>
        <w:tc>
          <w:tcPr>
            <w:tcW w:w="1009" w:type="dxa"/>
            <w:shd w:val="clear" w:color="auto" w:fill="auto"/>
            <w:vAlign w:val="center"/>
          </w:tcPr>
          <w:p w14:paraId="7D8A0968" w14:textId="77777777" w:rsidR="001075D9" w:rsidRDefault="0090097C" w:rsidP="001075D9">
            <w:pPr>
              <w:jc w:val="center"/>
              <w:rPr>
                <w:rFonts w:cstheme="minorHAnsi"/>
                <w:color w:val="363636"/>
              </w:rPr>
            </w:pPr>
            <w:r>
              <w:rPr>
                <w:rFonts w:cstheme="minorHAnsi"/>
                <w:color w:val="363636"/>
              </w:rPr>
              <w:t>8</w:t>
            </w:r>
          </w:p>
          <w:p w14:paraId="3B1E5CFE" w14:textId="4EB843CC" w:rsidR="003E4A3D" w:rsidRPr="004905ED" w:rsidRDefault="003E4A3D" w:rsidP="001075D9">
            <w:pPr>
              <w:jc w:val="center"/>
              <w:rPr>
                <w:rFonts w:cstheme="minorHAnsi"/>
                <w:color w:val="363636"/>
              </w:rPr>
            </w:pPr>
            <w:r>
              <w:rPr>
                <w:rFonts w:cstheme="minorHAnsi"/>
                <w:color w:val="363636"/>
              </w:rPr>
              <w:t>(</w:t>
            </w:r>
            <w:r w:rsidR="00A21B4B">
              <w:rPr>
                <w:rFonts w:cstheme="minorHAnsi"/>
                <w:color w:val="363636"/>
              </w:rPr>
              <w:t>6,3 %)</w:t>
            </w:r>
          </w:p>
        </w:tc>
        <w:tc>
          <w:tcPr>
            <w:tcW w:w="1009" w:type="dxa"/>
            <w:shd w:val="clear" w:color="auto" w:fill="C2D69B" w:themeFill="accent3" w:themeFillTint="99"/>
            <w:vAlign w:val="center"/>
          </w:tcPr>
          <w:p w14:paraId="5E4DDCBE" w14:textId="77777777" w:rsidR="003E4A3D" w:rsidRDefault="003E4A3D" w:rsidP="003E4A3D">
            <w:pPr>
              <w:jc w:val="center"/>
              <w:rPr>
                <w:rFonts w:cstheme="minorHAnsi"/>
                <w:color w:val="363636"/>
              </w:rPr>
            </w:pPr>
            <w:r>
              <w:rPr>
                <w:rFonts w:cstheme="minorHAnsi"/>
                <w:color w:val="363636"/>
              </w:rPr>
              <w:t>47</w:t>
            </w:r>
          </w:p>
          <w:p w14:paraId="16E24542" w14:textId="6C1A5650" w:rsidR="001075D9" w:rsidRPr="004905ED" w:rsidRDefault="003E4A3D" w:rsidP="003E4A3D">
            <w:pPr>
              <w:jc w:val="center"/>
              <w:rPr>
                <w:rFonts w:cstheme="minorHAnsi"/>
                <w:color w:val="363636"/>
              </w:rPr>
            </w:pPr>
            <w:r>
              <w:rPr>
                <w:rFonts w:cstheme="minorHAnsi"/>
                <w:color w:val="363636"/>
              </w:rPr>
              <w:t>(36,7 %)</w:t>
            </w:r>
          </w:p>
        </w:tc>
        <w:tc>
          <w:tcPr>
            <w:tcW w:w="1202" w:type="dxa"/>
            <w:shd w:val="clear" w:color="auto" w:fill="FBD4B4" w:themeFill="accent6" w:themeFillTint="66"/>
            <w:vAlign w:val="center"/>
          </w:tcPr>
          <w:p w14:paraId="2FAAF994" w14:textId="77777777" w:rsidR="001075D9" w:rsidRDefault="0090097C" w:rsidP="001075D9">
            <w:pPr>
              <w:jc w:val="center"/>
              <w:rPr>
                <w:rFonts w:cstheme="minorHAnsi"/>
                <w:color w:val="363636"/>
              </w:rPr>
            </w:pPr>
            <w:r>
              <w:rPr>
                <w:rFonts w:cstheme="minorHAnsi"/>
                <w:color w:val="363636"/>
              </w:rPr>
              <w:t>38</w:t>
            </w:r>
          </w:p>
          <w:p w14:paraId="0187A54F" w14:textId="17B7D2A1" w:rsidR="00A21B4B" w:rsidRPr="004905ED" w:rsidRDefault="00A21B4B" w:rsidP="001075D9">
            <w:pPr>
              <w:jc w:val="center"/>
              <w:rPr>
                <w:rFonts w:cstheme="minorHAnsi"/>
                <w:color w:val="363636"/>
              </w:rPr>
            </w:pPr>
            <w:r>
              <w:rPr>
                <w:rFonts w:cstheme="minorHAnsi"/>
                <w:color w:val="363636"/>
              </w:rPr>
              <w:t>(29,7 %)</w:t>
            </w:r>
          </w:p>
        </w:tc>
        <w:tc>
          <w:tcPr>
            <w:tcW w:w="1202" w:type="dxa"/>
            <w:shd w:val="clear" w:color="auto" w:fill="auto"/>
            <w:vAlign w:val="center"/>
          </w:tcPr>
          <w:p w14:paraId="73BAED75" w14:textId="77777777" w:rsidR="001075D9" w:rsidRDefault="0090097C" w:rsidP="001075D9">
            <w:pPr>
              <w:jc w:val="center"/>
              <w:rPr>
                <w:rFonts w:cstheme="minorHAnsi"/>
                <w:color w:val="363636"/>
              </w:rPr>
            </w:pPr>
            <w:r>
              <w:rPr>
                <w:rFonts w:cstheme="minorHAnsi"/>
                <w:color w:val="363636"/>
              </w:rPr>
              <w:t>12</w:t>
            </w:r>
          </w:p>
          <w:p w14:paraId="4BDD813E" w14:textId="7EEF1B76" w:rsidR="00A21B4B" w:rsidRPr="004905ED" w:rsidRDefault="00A21B4B" w:rsidP="001075D9">
            <w:pPr>
              <w:jc w:val="center"/>
              <w:rPr>
                <w:rFonts w:cstheme="minorHAnsi"/>
                <w:color w:val="363636"/>
              </w:rPr>
            </w:pPr>
            <w:r>
              <w:rPr>
                <w:rFonts w:cstheme="minorHAnsi"/>
                <w:color w:val="363636"/>
              </w:rPr>
              <w:t>(9,4 %)</w:t>
            </w:r>
          </w:p>
        </w:tc>
        <w:tc>
          <w:tcPr>
            <w:tcW w:w="1022" w:type="dxa"/>
            <w:shd w:val="clear" w:color="auto" w:fill="auto"/>
            <w:vAlign w:val="center"/>
          </w:tcPr>
          <w:p w14:paraId="5D38BB0C" w14:textId="77777777" w:rsidR="003E4A3D" w:rsidRDefault="003E4A3D" w:rsidP="003E4A3D">
            <w:pPr>
              <w:jc w:val="center"/>
              <w:rPr>
                <w:rFonts w:cstheme="minorHAnsi"/>
                <w:color w:val="363636"/>
              </w:rPr>
            </w:pPr>
            <w:r>
              <w:rPr>
                <w:rFonts w:cstheme="minorHAnsi"/>
                <w:color w:val="363636"/>
              </w:rPr>
              <w:t>3</w:t>
            </w:r>
          </w:p>
          <w:p w14:paraId="0BB4148C" w14:textId="646C91E6" w:rsidR="001075D9" w:rsidRPr="004905ED" w:rsidRDefault="003E4A3D" w:rsidP="003E4A3D">
            <w:pPr>
              <w:jc w:val="center"/>
              <w:rPr>
                <w:rFonts w:cstheme="minorHAnsi"/>
                <w:color w:val="363636"/>
              </w:rPr>
            </w:pPr>
            <w:r>
              <w:rPr>
                <w:rFonts w:cstheme="minorHAnsi"/>
                <w:color w:val="363636"/>
              </w:rPr>
              <w:t>(2,3 %)</w:t>
            </w:r>
          </w:p>
        </w:tc>
      </w:tr>
      <w:tr w:rsidR="001075D9" w:rsidRPr="00B8304B" w14:paraId="21CC41D2" w14:textId="77777777" w:rsidTr="00200E62">
        <w:trPr>
          <w:trHeight w:val="300"/>
          <w:jc w:val="center"/>
        </w:trPr>
        <w:tc>
          <w:tcPr>
            <w:tcW w:w="3120" w:type="dxa"/>
            <w:shd w:val="clear" w:color="auto" w:fill="D9D9D9" w:themeFill="background1" w:themeFillShade="D9"/>
            <w:vAlign w:val="center"/>
          </w:tcPr>
          <w:p w14:paraId="400CCCC1" w14:textId="77777777" w:rsidR="001075D9" w:rsidRPr="00873A9D" w:rsidRDefault="001075D9" w:rsidP="001075D9">
            <w:pPr>
              <w:rPr>
                <w:rFonts w:cstheme="minorHAnsi"/>
                <w:bCs/>
              </w:rPr>
            </w:pPr>
            <w:r w:rsidRPr="00873A9D">
              <w:rPr>
                <w:rFonts w:cstheme="minorHAnsi"/>
                <w:bCs/>
              </w:rPr>
              <w:t>Podmínky pro podnikání</w:t>
            </w:r>
          </w:p>
        </w:tc>
        <w:tc>
          <w:tcPr>
            <w:tcW w:w="1009" w:type="dxa"/>
            <w:shd w:val="clear" w:color="auto" w:fill="auto"/>
            <w:vAlign w:val="center"/>
          </w:tcPr>
          <w:p w14:paraId="352F25BB" w14:textId="77777777" w:rsidR="003E4A3D" w:rsidRDefault="003E4A3D" w:rsidP="003E4A3D">
            <w:pPr>
              <w:jc w:val="center"/>
              <w:rPr>
                <w:rFonts w:cstheme="minorHAnsi"/>
                <w:color w:val="363636"/>
              </w:rPr>
            </w:pPr>
            <w:r>
              <w:rPr>
                <w:rFonts w:cstheme="minorHAnsi"/>
                <w:color w:val="363636"/>
              </w:rPr>
              <w:t>3</w:t>
            </w:r>
          </w:p>
          <w:p w14:paraId="1DF3776D" w14:textId="6CC734AC" w:rsidR="001075D9" w:rsidRPr="004905ED" w:rsidRDefault="003E4A3D" w:rsidP="003E4A3D">
            <w:pPr>
              <w:jc w:val="center"/>
              <w:rPr>
                <w:rFonts w:cstheme="minorHAnsi"/>
                <w:color w:val="363636"/>
              </w:rPr>
            </w:pPr>
            <w:r>
              <w:rPr>
                <w:rFonts w:cstheme="minorHAnsi"/>
                <w:color w:val="363636"/>
              </w:rPr>
              <w:t>(2,3 %)</w:t>
            </w:r>
          </w:p>
        </w:tc>
        <w:tc>
          <w:tcPr>
            <w:tcW w:w="1009" w:type="dxa"/>
            <w:shd w:val="clear" w:color="auto" w:fill="C2D69B" w:themeFill="accent3" w:themeFillTint="99"/>
            <w:vAlign w:val="center"/>
          </w:tcPr>
          <w:p w14:paraId="7BE666D4" w14:textId="77777777" w:rsidR="003E4A3D" w:rsidRDefault="003E4A3D" w:rsidP="003E4A3D">
            <w:pPr>
              <w:jc w:val="center"/>
              <w:rPr>
                <w:rFonts w:cstheme="minorHAnsi"/>
                <w:color w:val="363636"/>
              </w:rPr>
            </w:pPr>
            <w:r>
              <w:rPr>
                <w:rFonts w:cstheme="minorHAnsi"/>
                <w:color w:val="363636"/>
              </w:rPr>
              <w:t>16</w:t>
            </w:r>
          </w:p>
          <w:p w14:paraId="527661BC" w14:textId="5103DBD5" w:rsidR="001075D9" w:rsidRPr="004905ED" w:rsidRDefault="003E4A3D" w:rsidP="003E4A3D">
            <w:pPr>
              <w:jc w:val="center"/>
              <w:rPr>
                <w:rFonts w:cstheme="minorHAnsi"/>
                <w:color w:val="363636"/>
              </w:rPr>
            </w:pPr>
            <w:r>
              <w:rPr>
                <w:rFonts w:cstheme="minorHAnsi"/>
                <w:color w:val="363636"/>
              </w:rPr>
              <w:t>(12,5 %)</w:t>
            </w:r>
          </w:p>
        </w:tc>
        <w:tc>
          <w:tcPr>
            <w:tcW w:w="1202" w:type="dxa"/>
            <w:shd w:val="clear" w:color="auto" w:fill="FBD4B4" w:themeFill="accent6" w:themeFillTint="66"/>
            <w:vAlign w:val="center"/>
          </w:tcPr>
          <w:p w14:paraId="56C3A257" w14:textId="77777777" w:rsidR="001075D9" w:rsidRDefault="0090097C" w:rsidP="001075D9">
            <w:pPr>
              <w:jc w:val="center"/>
              <w:rPr>
                <w:rFonts w:cstheme="minorHAnsi"/>
                <w:color w:val="363636"/>
              </w:rPr>
            </w:pPr>
            <w:r>
              <w:rPr>
                <w:rFonts w:cstheme="minorHAnsi"/>
                <w:color w:val="363636"/>
              </w:rPr>
              <w:t>19</w:t>
            </w:r>
          </w:p>
          <w:p w14:paraId="139D4531" w14:textId="12AFE8D7" w:rsidR="00A21B4B" w:rsidRPr="004905ED" w:rsidRDefault="00A21B4B" w:rsidP="001075D9">
            <w:pPr>
              <w:jc w:val="center"/>
              <w:rPr>
                <w:rFonts w:cstheme="minorHAnsi"/>
                <w:color w:val="363636"/>
              </w:rPr>
            </w:pPr>
            <w:r>
              <w:rPr>
                <w:rFonts w:cstheme="minorHAnsi"/>
                <w:color w:val="363636"/>
              </w:rPr>
              <w:t>(14,8 %)</w:t>
            </w:r>
          </w:p>
        </w:tc>
        <w:tc>
          <w:tcPr>
            <w:tcW w:w="1202" w:type="dxa"/>
            <w:shd w:val="clear" w:color="auto" w:fill="FBD4B4" w:themeFill="accent6" w:themeFillTint="66"/>
            <w:vAlign w:val="center"/>
          </w:tcPr>
          <w:p w14:paraId="7D350D02" w14:textId="77777777" w:rsidR="003E4A3D" w:rsidRDefault="003E4A3D" w:rsidP="003E4A3D">
            <w:pPr>
              <w:jc w:val="center"/>
              <w:rPr>
                <w:rFonts w:cstheme="minorHAnsi"/>
                <w:color w:val="363636"/>
              </w:rPr>
            </w:pPr>
            <w:r>
              <w:rPr>
                <w:rFonts w:cstheme="minorHAnsi"/>
                <w:color w:val="363636"/>
              </w:rPr>
              <w:t>16</w:t>
            </w:r>
          </w:p>
          <w:p w14:paraId="13742280" w14:textId="7740F6CA" w:rsidR="001075D9" w:rsidRPr="004905ED" w:rsidRDefault="003E4A3D" w:rsidP="003E4A3D">
            <w:pPr>
              <w:jc w:val="center"/>
              <w:rPr>
                <w:rFonts w:cstheme="minorHAnsi"/>
                <w:color w:val="363636"/>
              </w:rPr>
            </w:pPr>
            <w:r>
              <w:rPr>
                <w:rFonts w:cstheme="minorHAnsi"/>
                <w:color w:val="363636"/>
              </w:rPr>
              <w:t>(12,5 %)</w:t>
            </w:r>
          </w:p>
        </w:tc>
        <w:tc>
          <w:tcPr>
            <w:tcW w:w="1022" w:type="dxa"/>
            <w:shd w:val="clear" w:color="auto" w:fill="B6DDE8" w:themeFill="accent5" w:themeFillTint="66"/>
            <w:vAlign w:val="center"/>
          </w:tcPr>
          <w:p w14:paraId="485405F2" w14:textId="77777777" w:rsidR="001075D9" w:rsidRDefault="0090097C" w:rsidP="001075D9">
            <w:pPr>
              <w:jc w:val="center"/>
              <w:rPr>
                <w:rFonts w:cstheme="minorHAnsi"/>
                <w:color w:val="363636"/>
              </w:rPr>
            </w:pPr>
            <w:r>
              <w:rPr>
                <w:rFonts w:cstheme="minorHAnsi"/>
                <w:color w:val="363636"/>
              </w:rPr>
              <w:t>43</w:t>
            </w:r>
          </w:p>
          <w:p w14:paraId="11AC808C" w14:textId="7A5B2955" w:rsidR="00A21B4B" w:rsidRPr="004905ED" w:rsidRDefault="00A21B4B" w:rsidP="001075D9">
            <w:pPr>
              <w:jc w:val="center"/>
              <w:rPr>
                <w:rFonts w:cstheme="minorHAnsi"/>
                <w:color w:val="363636"/>
              </w:rPr>
            </w:pPr>
            <w:r>
              <w:rPr>
                <w:rFonts w:cstheme="minorHAnsi"/>
                <w:color w:val="363636"/>
              </w:rPr>
              <w:t>(33,6 %)</w:t>
            </w:r>
          </w:p>
        </w:tc>
      </w:tr>
      <w:tr w:rsidR="001075D9" w:rsidRPr="00B8304B" w14:paraId="48270DCD" w14:textId="77777777" w:rsidTr="00200E62">
        <w:trPr>
          <w:trHeight w:val="58"/>
          <w:jc w:val="center"/>
        </w:trPr>
        <w:tc>
          <w:tcPr>
            <w:tcW w:w="3120" w:type="dxa"/>
            <w:shd w:val="clear" w:color="auto" w:fill="D9D9D9" w:themeFill="background1" w:themeFillShade="D9"/>
            <w:vAlign w:val="center"/>
          </w:tcPr>
          <w:p w14:paraId="3405C94A" w14:textId="77777777" w:rsidR="001075D9" w:rsidRPr="00873A9D" w:rsidRDefault="001075D9" w:rsidP="001075D9">
            <w:pPr>
              <w:rPr>
                <w:rFonts w:cstheme="minorHAnsi"/>
                <w:bCs/>
              </w:rPr>
            </w:pPr>
            <w:r w:rsidRPr="00873A9D">
              <w:rPr>
                <w:rFonts w:cstheme="minorHAnsi"/>
                <w:bCs/>
              </w:rPr>
              <w:t>Rozvoj obce</w:t>
            </w:r>
          </w:p>
        </w:tc>
        <w:tc>
          <w:tcPr>
            <w:tcW w:w="1009" w:type="dxa"/>
            <w:shd w:val="clear" w:color="auto" w:fill="auto"/>
            <w:vAlign w:val="center"/>
          </w:tcPr>
          <w:p w14:paraId="142D821F" w14:textId="77777777" w:rsidR="00A21B4B" w:rsidRDefault="00A21B4B" w:rsidP="00A21B4B">
            <w:pPr>
              <w:jc w:val="center"/>
              <w:rPr>
                <w:rFonts w:cstheme="minorHAnsi"/>
                <w:color w:val="363636"/>
              </w:rPr>
            </w:pPr>
            <w:r>
              <w:rPr>
                <w:rFonts w:cstheme="minorHAnsi"/>
                <w:color w:val="363636"/>
              </w:rPr>
              <w:t>8</w:t>
            </w:r>
          </w:p>
          <w:p w14:paraId="15C0C801" w14:textId="30E5A924" w:rsidR="001075D9" w:rsidRPr="004905ED" w:rsidRDefault="00A21B4B" w:rsidP="00A21B4B">
            <w:pPr>
              <w:jc w:val="center"/>
              <w:rPr>
                <w:rFonts w:cstheme="minorHAnsi"/>
                <w:color w:val="363636"/>
              </w:rPr>
            </w:pPr>
            <w:r>
              <w:rPr>
                <w:rFonts w:cstheme="minorHAnsi"/>
                <w:color w:val="363636"/>
              </w:rPr>
              <w:t>(6,3 %)</w:t>
            </w:r>
          </w:p>
        </w:tc>
        <w:tc>
          <w:tcPr>
            <w:tcW w:w="1009" w:type="dxa"/>
            <w:shd w:val="clear" w:color="auto" w:fill="C2D69B" w:themeFill="accent3" w:themeFillTint="99"/>
            <w:vAlign w:val="center"/>
          </w:tcPr>
          <w:p w14:paraId="3775DDA9" w14:textId="77777777" w:rsidR="001075D9" w:rsidRDefault="0090097C" w:rsidP="001075D9">
            <w:pPr>
              <w:jc w:val="center"/>
              <w:rPr>
                <w:rFonts w:cstheme="minorHAnsi"/>
                <w:color w:val="363636"/>
              </w:rPr>
            </w:pPr>
            <w:r>
              <w:rPr>
                <w:rFonts w:cstheme="minorHAnsi"/>
                <w:color w:val="363636"/>
              </w:rPr>
              <w:t>46</w:t>
            </w:r>
          </w:p>
          <w:p w14:paraId="75B9F64B" w14:textId="55BD09E2" w:rsidR="00A21B4B" w:rsidRPr="004905ED" w:rsidRDefault="00A21B4B" w:rsidP="001075D9">
            <w:pPr>
              <w:jc w:val="center"/>
              <w:rPr>
                <w:rFonts w:cstheme="minorHAnsi"/>
                <w:color w:val="363636"/>
              </w:rPr>
            </w:pPr>
            <w:r>
              <w:rPr>
                <w:rFonts w:cstheme="minorHAnsi"/>
                <w:color w:val="363636"/>
              </w:rPr>
              <w:t>(35,9 %)</w:t>
            </w:r>
          </w:p>
        </w:tc>
        <w:tc>
          <w:tcPr>
            <w:tcW w:w="1202" w:type="dxa"/>
            <w:shd w:val="clear" w:color="auto" w:fill="FBD4B4" w:themeFill="accent6" w:themeFillTint="66"/>
            <w:vAlign w:val="center"/>
          </w:tcPr>
          <w:p w14:paraId="24314FF7" w14:textId="77777777" w:rsidR="001075D9" w:rsidRDefault="0090097C" w:rsidP="001075D9">
            <w:pPr>
              <w:jc w:val="center"/>
              <w:rPr>
                <w:rFonts w:cstheme="minorHAnsi"/>
                <w:color w:val="363636"/>
              </w:rPr>
            </w:pPr>
            <w:r>
              <w:rPr>
                <w:rFonts w:cstheme="minorHAnsi"/>
                <w:color w:val="363636"/>
              </w:rPr>
              <w:t>35</w:t>
            </w:r>
          </w:p>
          <w:p w14:paraId="4EE8248B" w14:textId="666D13BA" w:rsidR="00A21B4B" w:rsidRPr="004905ED" w:rsidRDefault="00A21B4B" w:rsidP="001075D9">
            <w:pPr>
              <w:jc w:val="center"/>
              <w:rPr>
                <w:rFonts w:cstheme="minorHAnsi"/>
                <w:color w:val="363636"/>
              </w:rPr>
            </w:pPr>
            <w:r>
              <w:rPr>
                <w:rFonts w:cstheme="minorHAnsi"/>
                <w:color w:val="363636"/>
              </w:rPr>
              <w:t>(27,3 %)</w:t>
            </w:r>
          </w:p>
        </w:tc>
        <w:tc>
          <w:tcPr>
            <w:tcW w:w="1202" w:type="dxa"/>
            <w:shd w:val="clear" w:color="auto" w:fill="FBD4B4" w:themeFill="accent6" w:themeFillTint="66"/>
            <w:vAlign w:val="center"/>
          </w:tcPr>
          <w:p w14:paraId="298C0E52" w14:textId="77777777" w:rsidR="001075D9" w:rsidRDefault="0090097C" w:rsidP="001075D9">
            <w:pPr>
              <w:jc w:val="center"/>
              <w:rPr>
                <w:rFonts w:cstheme="minorHAnsi"/>
                <w:color w:val="363636"/>
              </w:rPr>
            </w:pPr>
            <w:r>
              <w:rPr>
                <w:rFonts w:cstheme="minorHAnsi"/>
                <w:color w:val="363636"/>
              </w:rPr>
              <w:t>17</w:t>
            </w:r>
          </w:p>
          <w:p w14:paraId="3ACEBBE4" w14:textId="60D469EB" w:rsidR="00A21B4B" w:rsidRPr="004905ED" w:rsidRDefault="00A21B4B" w:rsidP="001075D9">
            <w:pPr>
              <w:jc w:val="center"/>
              <w:rPr>
                <w:rFonts w:cstheme="minorHAnsi"/>
                <w:color w:val="363636"/>
              </w:rPr>
            </w:pPr>
            <w:r>
              <w:rPr>
                <w:rFonts w:cstheme="minorHAnsi"/>
                <w:color w:val="363636"/>
              </w:rPr>
              <w:t>(13,3 %)</w:t>
            </w:r>
          </w:p>
        </w:tc>
        <w:tc>
          <w:tcPr>
            <w:tcW w:w="1022" w:type="dxa"/>
            <w:shd w:val="clear" w:color="auto" w:fill="auto"/>
            <w:vAlign w:val="center"/>
          </w:tcPr>
          <w:p w14:paraId="0E2BD703" w14:textId="77777777" w:rsidR="003E4A3D" w:rsidRDefault="003E4A3D" w:rsidP="003E4A3D">
            <w:pPr>
              <w:jc w:val="center"/>
              <w:rPr>
                <w:rFonts w:cstheme="minorHAnsi"/>
                <w:color w:val="363636"/>
              </w:rPr>
            </w:pPr>
            <w:r>
              <w:rPr>
                <w:rFonts w:cstheme="minorHAnsi"/>
                <w:color w:val="363636"/>
              </w:rPr>
              <w:t>7</w:t>
            </w:r>
          </w:p>
          <w:p w14:paraId="280AFA0A" w14:textId="42E454AC" w:rsidR="001075D9" w:rsidRPr="004905ED" w:rsidRDefault="003E4A3D" w:rsidP="003E4A3D">
            <w:pPr>
              <w:jc w:val="center"/>
              <w:rPr>
                <w:rFonts w:cstheme="minorHAnsi"/>
                <w:color w:val="363636"/>
              </w:rPr>
            </w:pPr>
            <w:r>
              <w:rPr>
                <w:rFonts w:cstheme="minorHAnsi"/>
                <w:color w:val="363636"/>
              </w:rPr>
              <w:t>(5,5 %)</w:t>
            </w:r>
          </w:p>
        </w:tc>
      </w:tr>
      <w:tr w:rsidR="001075D9" w:rsidRPr="00B8304B" w14:paraId="4E624C2F" w14:textId="77777777" w:rsidTr="00200E62">
        <w:trPr>
          <w:trHeight w:val="300"/>
          <w:jc w:val="center"/>
        </w:trPr>
        <w:tc>
          <w:tcPr>
            <w:tcW w:w="3120" w:type="dxa"/>
            <w:shd w:val="clear" w:color="auto" w:fill="D9D9D9" w:themeFill="background1" w:themeFillShade="D9"/>
            <w:vAlign w:val="center"/>
          </w:tcPr>
          <w:p w14:paraId="1D4945D8" w14:textId="77777777" w:rsidR="001075D9" w:rsidRPr="00873A9D" w:rsidRDefault="001075D9" w:rsidP="001075D9">
            <w:pPr>
              <w:rPr>
                <w:rFonts w:cstheme="minorHAnsi"/>
                <w:bCs/>
              </w:rPr>
            </w:pPr>
            <w:r w:rsidRPr="00873A9D">
              <w:rPr>
                <w:rFonts w:cstheme="minorHAnsi"/>
                <w:bCs/>
              </w:rPr>
              <w:t>Informovanost o dění v obci</w:t>
            </w:r>
          </w:p>
        </w:tc>
        <w:tc>
          <w:tcPr>
            <w:tcW w:w="1009" w:type="dxa"/>
            <w:shd w:val="clear" w:color="auto" w:fill="C2D69B" w:themeFill="accent3" w:themeFillTint="99"/>
            <w:vAlign w:val="center"/>
          </w:tcPr>
          <w:p w14:paraId="520E113B" w14:textId="77777777" w:rsidR="001075D9" w:rsidRDefault="0090097C" w:rsidP="001075D9">
            <w:pPr>
              <w:jc w:val="center"/>
              <w:rPr>
                <w:rFonts w:cstheme="minorHAnsi"/>
                <w:color w:val="363636"/>
              </w:rPr>
            </w:pPr>
            <w:r>
              <w:rPr>
                <w:rFonts w:cstheme="minorHAnsi"/>
                <w:color w:val="363636"/>
              </w:rPr>
              <w:t>28</w:t>
            </w:r>
          </w:p>
          <w:p w14:paraId="3F968CAB" w14:textId="1E19B6CE" w:rsidR="00A21B4B" w:rsidRPr="004905ED" w:rsidRDefault="00A21B4B" w:rsidP="001075D9">
            <w:pPr>
              <w:jc w:val="center"/>
              <w:rPr>
                <w:rFonts w:cstheme="minorHAnsi"/>
                <w:color w:val="363636"/>
              </w:rPr>
            </w:pPr>
            <w:r>
              <w:rPr>
                <w:rFonts w:cstheme="minorHAnsi"/>
                <w:color w:val="363636"/>
              </w:rPr>
              <w:t>(21,9 %)</w:t>
            </w:r>
          </w:p>
        </w:tc>
        <w:tc>
          <w:tcPr>
            <w:tcW w:w="1009" w:type="dxa"/>
            <w:shd w:val="clear" w:color="auto" w:fill="C2D69B" w:themeFill="accent3" w:themeFillTint="99"/>
            <w:vAlign w:val="center"/>
          </w:tcPr>
          <w:p w14:paraId="7AA7D976" w14:textId="77777777" w:rsidR="00A21B4B" w:rsidRDefault="00A21B4B" w:rsidP="00A21B4B">
            <w:pPr>
              <w:jc w:val="center"/>
              <w:rPr>
                <w:rFonts w:cstheme="minorHAnsi"/>
                <w:color w:val="363636"/>
              </w:rPr>
            </w:pPr>
            <w:r>
              <w:rPr>
                <w:rFonts w:cstheme="minorHAnsi"/>
                <w:color w:val="363636"/>
              </w:rPr>
              <w:t>46</w:t>
            </w:r>
          </w:p>
          <w:p w14:paraId="349A9113" w14:textId="144E8BA4" w:rsidR="001075D9" w:rsidRPr="004905ED" w:rsidRDefault="00A21B4B" w:rsidP="00A21B4B">
            <w:pPr>
              <w:jc w:val="center"/>
              <w:rPr>
                <w:rFonts w:cstheme="minorHAnsi"/>
                <w:color w:val="363636"/>
              </w:rPr>
            </w:pPr>
            <w:r>
              <w:rPr>
                <w:rFonts w:cstheme="minorHAnsi"/>
                <w:color w:val="363636"/>
              </w:rPr>
              <w:t>(35,9 %)</w:t>
            </w:r>
          </w:p>
        </w:tc>
        <w:tc>
          <w:tcPr>
            <w:tcW w:w="1202" w:type="dxa"/>
            <w:shd w:val="clear" w:color="auto" w:fill="FBD4B4" w:themeFill="accent6" w:themeFillTint="66"/>
            <w:vAlign w:val="center"/>
          </w:tcPr>
          <w:p w14:paraId="79BC44E3" w14:textId="77777777" w:rsidR="003E4A3D" w:rsidRDefault="003E4A3D" w:rsidP="003E4A3D">
            <w:pPr>
              <w:jc w:val="center"/>
              <w:rPr>
                <w:rFonts w:cstheme="minorHAnsi"/>
                <w:color w:val="363636"/>
              </w:rPr>
            </w:pPr>
            <w:r>
              <w:rPr>
                <w:rFonts w:cstheme="minorHAnsi"/>
                <w:color w:val="363636"/>
              </w:rPr>
              <w:t>33</w:t>
            </w:r>
          </w:p>
          <w:p w14:paraId="5CD197C8" w14:textId="46ABC029" w:rsidR="001075D9" w:rsidRPr="004905ED" w:rsidRDefault="003E4A3D" w:rsidP="003E4A3D">
            <w:pPr>
              <w:jc w:val="center"/>
              <w:rPr>
                <w:rFonts w:cstheme="minorHAnsi"/>
                <w:color w:val="363636"/>
              </w:rPr>
            </w:pPr>
            <w:r>
              <w:rPr>
                <w:rFonts w:cstheme="minorHAnsi"/>
                <w:color w:val="363636"/>
              </w:rPr>
              <w:t>(25,8 %)</w:t>
            </w:r>
          </w:p>
        </w:tc>
        <w:tc>
          <w:tcPr>
            <w:tcW w:w="1202" w:type="dxa"/>
            <w:shd w:val="clear" w:color="auto" w:fill="auto"/>
            <w:vAlign w:val="center"/>
          </w:tcPr>
          <w:p w14:paraId="5DE6A807" w14:textId="77777777" w:rsidR="001075D9" w:rsidRDefault="0090097C" w:rsidP="001075D9">
            <w:pPr>
              <w:jc w:val="center"/>
              <w:rPr>
                <w:rFonts w:cstheme="minorHAnsi"/>
                <w:color w:val="363636"/>
              </w:rPr>
            </w:pPr>
            <w:r>
              <w:rPr>
                <w:rFonts w:cstheme="minorHAnsi"/>
                <w:color w:val="363636"/>
              </w:rPr>
              <w:t>5</w:t>
            </w:r>
          </w:p>
          <w:p w14:paraId="6FB8BB94" w14:textId="6673B296" w:rsidR="00A21B4B" w:rsidRPr="004905ED" w:rsidRDefault="00A21B4B" w:rsidP="001075D9">
            <w:pPr>
              <w:jc w:val="center"/>
              <w:rPr>
                <w:rFonts w:cstheme="minorHAnsi"/>
                <w:color w:val="363636"/>
              </w:rPr>
            </w:pPr>
            <w:r>
              <w:rPr>
                <w:rFonts w:cstheme="minorHAnsi"/>
                <w:color w:val="363636"/>
              </w:rPr>
              <w:t>(3,9 %)</w:t>
            </w:r>
          </w:p>
        </w:tc>
        <w:tc>
          <w:tcPr>
            <w:tcW w:w="1022" w:type="dxa"/>
            <w:shd w:val="clear" w:color="auto" w:fill="auto"/>
            <w:vAlign w:val="center"/>
          </w:tcPr>
          <w:p w14:paraId="545B1829" w14:textId="77777777" w:rsidR="003E4A3D" w:rsidRDefault="003E4A3D" w:rsidP="003E4A3D">
            <w:pPr>
              <w:jc w:val="center"/>
              <w:rPr>
                <w:rFonts w:cstheme="minorHAnsi"/>
                <w:color w:val="363636"/>
              </w:rPr>
            </w:pPr>
            <w:r>
              <w:rPr>
                <w:rFonts w:cstheme="minorHAnsi"/>
                <w:color w:val="363636"/>
              </w:rPr>
              <w:t>4</w:t>
            </w:r>
          </w:p>
          <w:p w14:paraId="1D011A7F" w14:textId="45BAD288" w:rsidR="001075D9" w:rsidRPr="004905ED" w:rsidRDefault="003E4A3D" w:rsidP="003E4A3D">
            <w:pPr>
              <w:jc w:val="center"/>
              <w:rPr>
                <w:rFonts w:cstheme="minorHAnsi"/>
                <w:color w:val="363636"/>
              </w:rPr>
            </w:pPr>
            <w:r>
              <w:rPr>
                <w:rFonts w:cstheme="minorHAnsi"/>
                <w:color w:val="363636"/>
              </w:rPr>
              <w:t>(3,1 %)</w:t>
            </w:r>
          </w:p>
        </w:tc>
      </w:tr>
    </w:tbl>
    <w:p w14:paraId="2C117CF2" w14:textId="3699FF82" w:rsidR="00F47535" w:rsidRDefault="00F47535" w:rsidP="00F47535">
      <w:pPr>
        <w:spacing w:after="160"/>
        <w:jc w:val="both"/>
      </w:pPr>
      <w:r w:rsidRPr="00DE3F03">
        <w:rPr>
          <w:b/>
          <w:sz w:val="20"/>
          <w:szCs w:val="20"/>
        </w:rPr>
        <w:t>Poznámky:</w:t>
      </w:r>
      <w:r w:rsidRPr="00DE3F03">
        <w:rPr>
          <w:sz w:val="20"/>
          <w:szCs w:val="20"/>
        </w:rPr>
        <w:t xml:space="preserve"> </w:t>
      </w:r>
      <w:r w:rsidR="001E019E">
        <w:rPr>
          <w:sz w:val="20"/>
          <w:szCs w:val="20"/>
        </w:rPr>
        <w:t>Otázka byla zodpovězena v odevzdaných vyplněných dotaznících celkem 12</w:t>
      </w:r>
      <w:r w:rsidR="00B1605D">
        <w:rPr>
          <w:sz w:val="20"/>
          <w:szCs w:val="20"/>
        </w:rPr>
        <w:t>8</w:t>
      </w:r>
      <w:r w:rsidR="001E019E" w:rsidRPr="00DE3F03">
        <w:rPr>
          <w:sz w:val="20"/>
          <w:szCs w:val="20"/>
        </w:rPr>
        <w:t xml:space="preserve"> krát</w:t>
      </w:r>
      <w:r w:rsidR="001E019E">
        <w:rPr>
          <w:sz w:val="20"/>
          <w:szCs w:val="20"/>
        </w:rPr>
        <w:t>, nezodpovězena</w:t>
      </w:r>
      <w:r w:rsidR="001E019E">
        <w:rPr>
          <w:sz w:val="20"/>
          <w:szCs w:val="20"/>
        </w:rPr>
        <w:br/>
        <w:t>1 krát</w:t>
      </w:r>
      <w:r w:rsidR="001E019E" w:rsidRPr="00DE3F03">
        <w:rPr>
          <w:sz w:val="20"/>
          <w:szCs w:val="20"/>
        </w:rPr>
        <w:t>. Procentuální hodnota představuje podíl dané odpovědi z celkového počtu lidí/subjektů, kteří danou otázku zodpověděli.</w:t>
      </w:r>
    </w:p>
    <w:p w14:paraId="5E203490" w14:textId="77777777" w:rsidR="001E019E" w:rsidRDefault="001E019E" w:rsidP="00725222">
      <w:pPr>
        <w:spacing w:after="160" w:line="259" w:lineRule="auto"/>
        <w:jc w:val="both"/>
        <w:rPr>
          <w:rFonts w:ascii="Calibri" w:eastAsia="Calibri" w:hAnsi="Calibri" w:cs="Times New Roman"/>
        </w:rPr>
      </w:pPr>
    </w:p>
    <w:p w14:paraId="083CFEA6" w14:textId="670A7AED" w:rsidR="00365DDD" w:rsidRDefault="00554612" w:rsidP="00725222">
      <w:pPr>
        <w:spacing w:after="160" w:line="259" w:lineRule="auto"/>
        <w:jc w:val="both"/>
        <w:rPr>
          <w:rFonts w:ascii="Calibri" w:eastAsia="Calibri" w:hAnsi="Calibri" w:cs="Times New Roman"/>
        </w:rPr>
      </w:pPr>
      <w:r>
        <w:t xml:space="preserve">Spokojenost nebo spíše spokojenost byla vyjádřena </w:t>
      </w:r>
      <w:r w:rsidR="00725222" w:rsidRPr="00494B79">
        <w:rPr>
          <w:rFonts w:ascii="Calibri" w:eastAsia="Calibri" w:hAnsi="Calibri" w:cs="Times New Roman"/>
        </w:rPr>
        <w:t>u oblastí</w:t>
      </w:r>
      <w:r w:rsidR="00200E62">
        <w:rPr>
          <w:rFonts w:ascii="Calibri" w:eastAsia="Calibri" w:hAnsi="Calibri" w:cs="Times New Roman"/>
        </w:rPr>
        <w:t>:</w:t>
      </w:r>
      <w:r w:rsidR="00725222" w:rsidRPr="00494B79">
        <w:rPr>
          <w:rFonts w:ascii="Calibri" w:eastAsia="Calibri" w:hAnsi="Calibri" w:cs="Times New Roman"/>
        </w:rPr>
        <w:t xml:space="preserve"> </w:t>
      </w:r>
      <w:r>
        <w:rPr>
          <w:rFonts w:ascii="Calibri" w:eastAsia="Calibri" w:hAnsi="Calibri" w:cs="Times New Roman"/>
        </w:rPr>
        <w:t xml:space="preserve">bydlení, </w:t>
      </w:r>
      <w:r w:rsidR="00200E62">
        <w:rPr>
          <w:rFonts w:ascii="Calibri" w:eastAsia="Calibri" w:hAnsi="Calibri" w:cs="Times New Roman"/>
        </w:rPr>
        <w:t xml:space="preserve">životní </w:t>
      </w:r>
      <w:r w:rsidRPr="002B5CA8">
        <w:rPr>
          <w:rFonts w:ascii="Calibri" w:eastAsia="Calibri" w:hAnsi="Calibri" w:cs="Times New Roman"/>
        </w:rPr>
        <w:t>prostředí</w:t>
      </w:r>
      <w:r>
        <w:rPr>
          <w:rFonts w:ascii="Calibri" w:eastAsia="Calibri" w:hAnsi="Calibri" w:cs="Times New Roman"/>
        </w:rPr>
        <w:t xml:space="preserve">, </w:t>
      </w:r>
      <w:r w:rsidR="00200E62">
        <w:rPr>
          <w:rFonts w:ascii="Calibri" w:eastAsia="Calibri" w:hAnsi="Calibri" w:cs="Times New Roman"/>
        </w:rPr>
        <w:t xml:space="preserve">péče obce o své prostředí a </w:t>
      </w:r>
      <w:r>
        <w:rPr>
          <w:rFonts w:ascii="Calibri" w:eastAsia="Calibri" w:hAnsi="Calibri" w:cs="Times New Roman"/>
        </w:rPr>
        <w:t>informovanost o dění v obci.</w:t>
      </w:r>
    </w:p>
    <w:p w14:paraId="181ACA50" w14:textId="3297F8E5" w:rsidR="00873A9D" w:rsidRDefault="00873A9D" w:rsidP="00725222">
      <w:pPr>
        <w:spacing w:after="160" w:line="259" w:lineRule="auto"/>
        <w:jc w:val="both"/>
        <w:rPr>
          <w:rFonts w:ascii="Calibri" w:eastAsia="Calibri" w:hAnsi="Calibri" w:cs="Times New Roman"/>
        </w:rPr>
      </w:pPr>
      <w:r w:rsidRPr="00494B79">
        <w:rPr>
          <w:rFonts w:ascii="Calibri" w:eastAsia="Calibri" w:hAnsi="Calibri" w:cs="Times New Roman"/>
        </w:rPr>
        <w:t>Na hraně spokojenosti a nespokojenosti lze považovat oblasti:</w:t>
      </w:r>
      <w:r>
        <w:rPr>
          <w:rFonts w:ascii="Calibri" w:eastAsia="Calibri" w:hAnsi="Calibri" w:cs="Times New Roman"/>
        </w:rPr>
        <w:t xml:space="preserve"> veřejná doprava, kvalita dopravní infrastruktury a rozvoj obce.</w:t>
      </w:r>
    </w:p>
    <w:p w14:paraId="0F5D791D" w14:textId="22A5BAE0" w:rsidR="00554612" w:rsidRDefault="00554612" w:rsidP="00554612">
      <w:pPr>
        <w:spacing w:after="160" w:line="259" w:lineRule="auto"/>
        <w:jc w:val="both"/>
      </w:pPr>
      <w:r>
        <w:t xml:space="preserve">Spíše nespokojenost </w:t>
      </w:r>
      <w:r w:rsidR="00EC26F9">
        <w:t xml:space="preserve">či nespokojenost </w:t>
      </w:r>
      <w:r>
        <w:t xml:space="preserve">byla </w:t>
      </w:r>
      <w:r w:rsidR="00B11645">
        <w:t xml:space="preserve">vyjádřena </w:t>
      </w:r>
      <w:r w:rsidR="00B11645" w:rsidRPr="00494B79">
        <w:rPr>
          <w:rFonts w:ascii="Calibri" w:eastAsia="Calibri" w:hAnsi="Calibri" w:cs="Times New Roman"/>
        </w:rPr>
        <w:t>u oblastí</w:t>
      </w:r>
      <w:r w:rsidR="00B11645">
        <w:rPr>
          <w:rFonts w:ascii="Calibri" w:eastAsia="Calibri" w:hAnsi="Calibri" w:cs="Times New Roman"/>
        </w:rPr>
        <w:t>:</w:t>
      </w:r>
      <w:r w:rsidR="00B11645">
        <w:t xml:space="preserve"> k</w:t>
      </w:r>
      <w:r w:rsidR="00B11645" w:rsidRPr="00B11645">
        <w:t>ultura a společenský život</w:t>
      </w:r>
      <w:r>
        <w:t xml:space="preserve">, </w:t>
      </w:r>
      <w:r w:rsidR="00B11645">
        <w:t>sportovní vyžití a podmínky pro podnikání</w:t>
      </w:r>
      <w:r>
        <w:t>.</w:t>
      </w:r>
    </w:p>
    <w:p w14:paraId="4AFEE7DC" w14:textId="77777777" w:rsidR="00873A9D" w:rsidRDefault="00873A9D" w:rsidP="00554612">
      <w:pPr>
        <w:spacing w:after="160" w:line="259" w:lineRule="auto"/>
        <w:jc w:val="both"/>
      </w:pPr>
    </w:p>
    <w:p w14:paraId="48701D2E" w14:textId="27DE7F94" w:rsidR="00F47535" w:rsidRDefault="00554612" w:rsidP="00725222">
      <w:pPr>
        <w:spacing w:after="160" w:line="259" w:lineRule="auto"/>
        <w:jc w:val="both"/>
      </w:pPr>
      <w:r>
        <w:t xml:space="preserve">Co se týče odpovědi číslo 5 „Je mi to lhostejné“, zaškrtnuta byla výrazněji u </w:t>
      </w:r>
      <w:r w:rsidR="00BE7792">
        <w:t xml:space="preserve">oblastí </w:t>
      </w:r>
      <w:r>
        <w:t>„podmín</w:t>
      </w:r>
      <w:r w:rsidR="00BE7792">
        <w:t>ky</w:t>
      </w:r>
      <w:r>
        <w:t xml:space="preserve"> </w:t>
      </w:r>
      <w:r>
        <w:br/>
        <w:t>pro podnikání“, „sportovní vyžití“ a „k</w:t>
      </w:r>
      <w:r w:rsidRPr="00554612">
        <w:t>ultura a společenský život</w:t>
      </w:r>
      <w:r>
        <w:t>“.</w:t>
      </w:r>
    </w:p>
    <w:p w14:paraId="101C4B99" w14:textId="203709CA" w:rsidR="00F13431" w:rsidRDefault="00F13431" w:rsidP="00F47535">
      <w:pPr>
        <w:spacing w:after="160" w:line="259" w:lineRule="auto"/>
        <w:jc w:val="both"/>
      </w:pPr>
      <w:r>
        <w:br w:type="page"/>
      </w:r>
    </w:p>
    <w:p w14:paraId="288CF6EA" w14:textId="77777777" w:rsidR="00F47535" w:rsidRDefault="00F47535" w:rsidP="00F47535">
      <w:pPr>
        <w:spacing w:after="160"/>
        <w:jc w:val="both"/>
      </w:pPr>
      <w:r w:rsidRPr="00373B2E">
        <w:rPr>
          <w:rFonts w:cstheme="minorHAnsi"/>
          <w:b/>
          <w:sz w:val="24"/>
          <w:szCs w:val="24"/>
          <w:u w:val="single"/>
          <w:lang w:eastAsia="cs-CZ"/>
        </w:rPr>
        <w:lastRenderedPageBreak/>
        <w:t>Otázka č. 6: Mezilidské</w:t>
      </w:r>
      <w:r w:rsidRPr="000A3F8E">
        <w:rPr>
          <w:rFonts w:cstheme="minorHAnsi"/>
          <w:b/>
          <w:sz w:val="24"/>
          <w:szCs w:val="24"/>
          <w:u w:val="single"/>
          <w:lang w:eastAsia="cs-CZ"/>
        </w:rPr>
        <w:t xml:space="preserve"> vztahy v obci považujete za:</w:t>
      </w:r>
    </w:p>
    <w:p w14:paraId="42E929AD" w14:textId="19E038BB" w:rsidR="00F47535" w:rsidRDefault="00F47535" w:rsidP="00F47535">
      <w:pPr>
        <w:pStyle w:val="GRAF0"/>
      </w:pPr>
      <w:bookmarkStart w:id="464" w:name="_Toc480751831"/>
      <w:bookmarkStart w:id="465" w:name="_Toc507022161"/>
      <w:bookmarkStart w:id="466" w:name="_Toc32577917"/>
      <w:bookmarkStart w:id="467" w:name="_Toc104472760"/>
      <w:bookmarkStart w:id="468" w:name="_Toc120651994"/>
      <w:r w:rsidRPr="000E7B38">
        <w:t xml:space="preserve">Graf </w:t>
      </w:r>
      <w:r w:rsidR="000E7B38">
        <w:t>1</w:t>
      </w:r>
      <w:r w:rsidR="003C0EE9">
        <w:t>5</w:t>
      </w:r>
      <w:r>
        <w:t>: Výsledky odpovědí u otázky č. 6</w:t>
      </w:r>
      <w:bookmarkEnd w:id="464"/>
      <w:bookmarkEnd w:id="465"/>
      <w:bookmarkEnd w:id="466"/>
      <w:bookmarkEnd w:id="467"/>
      <w:bookmarkEnd w:id="468"/>
    </w:p>
    <w:p w14:paraId="05F0B44F" w14:textId="72BAD438" w:rsidR="00F47535" w:rsidRDefault="002C3829" w:rsidP="00F47535">
      <w:pPr>
        <w:jc w:val="center"/>
      </w:pPr>
      <w:r>
        <w:rPr>
          <w:noProof/>
        </w:rPr>
        <w:drawing>
          <wp:inline distT="0" distB="0" distL="0" distR="0" wp14:anchorId="046C59A4" wp14:editId="335ED0BD">
            <wp:extent cx="3810000" cy="2766060"/>
            <wp:effectExtent l="0" t="0" r="0" b="0"/>
            <wp:docPr id="24" name="Graf 24">
              <a:extLst xmlns:a="http://schemas.openxmlformats.org/drawingml/2006/main">
                <a:ext uri="{FF2B5EF4-FFF2-40B4-BE49-F238E27FC236}">
                  <a16:creationId xmlns:a16="http://schemas.microsoft.com/office/drawing/2014/main" id="{C0D13354-D625-4882-AB93-FB636C937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E41E1BC" w14:textId="4FBEC4AB" w:rsidR="00F47535" w:rsidRDefault="00993FF6" w:rsidP="00F47535">
      <w:pPr>
        <w:spacing w:after="160"/>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129</w:t>
      </w:r>
      <w:r w:rsidRPr="00DE3F03">
        <w:rPr>
          <w:sz w:val="20"/>
          <w:szCs w:val="20"/>
        </w:rPr>
        <w:t xml:space="preserve"> krát. Procentuální hodnota představuje podíl dané odpovědi z celkového počtu lidí/subjektů, kteří danou otázku zodpověděli.</w:t>
      </w:r>
    </w:p>
    <w:p w14:paraId="407DDB7D" w14:textId="77777777" w:rsidR="00F47535" w:rsidRDefault="00F47535" w:rsidP="00F47535">
      <w:pPr>
        <w:spacing w:after="160" w:line="259" w:lineRule="auto"/>
        <w:jc w:val="both"/>
      </w:pPr>
    </w:p>
    <w:p w14:paraId="375A1D5B" w14:textId="67BB883D" w:rsidR="00F47535" w:rsidRDefault="006D4BAC" w:rsidP="00F47535">
      <w:pPr>
        <w:spacing w:after="160" w:line="259" w:lineRule="auto"/>
        <w:jc w:val="both"/>
      </w:pPr>
      <w:r>
        <w:t>Necelá polovina</w:t>
      </w:r>
      <w:r w:rsidR="00F47535">
        <w:t xml:space="preserve"> respondentů považuje mezilidské vztahy v obci za docela dobré (</w:t>
      </w:r>
      <w:r>
        <w:t xml:space="preserve">45 </w:t>
      </w:r>
      <w:r w:rsidR="00F47535">
        <w:t xml:space="preserve">% respondentů). </w:t>
      </w:r>
      <w:r>
        <w:t>14</w:t>
      </w:r>
      <w:r w:rsidR="00D67185">
        <w:t xml:space="preserve"> respondent</w:t>
      </w:r>
      <w:r w:rsidR="00C952A6">
        <w:t xml:space="preserve">ů </w:t>
      </w:r>
      <w:r w:rsidR="00D67185">
        <w:t>považuj</w:t>
      </w:r>
      <w:r w:rsidR="00C952A6">
        <w:t>e</w:t>
      </w:r>
      <w:r w:rsidR="00D67185">
        <w:t xml:space="preserve"> mezilidské vztahy v obci jako velmi dobré. </w:t>
      </w:r>
      <w:r w:rsidR="00C952A6">
        <w:t>1</w:t>
      </w:r>
      <w:r>
        <w:t>8</w:t>
      </w:r>
      <w:r w:rsidR="00C952A6">
        <w:t xml:space="preserve"> % </w:t>
      </w:r>
      <w:r w:rsidR="00D67185">
        <w:t>respondentů naopak</w:t>
      </w:r>
      <w:r w:rsidR="00F47535">
        <w:t xml:space="preserve"> mezilidské vztahy v obci považuj</w:t>
      </w:r>
      <w:r w:rsidR="00D67185">
        <w:t>e</w:t>
      </w:r>
      <w:r w:rsidR="00F47535">
        <w:t xml:space="preserve"> za ne moc dobré</w:t>
      </w:r>
      <w:r w:rsidR="003E042F">
        <w:t>.</w:t>
      </w:r>
      <w:r w:rsidR="00D67185">
        <w:t xml:space="preserve"> </w:t>
      </w:r>
      <w:r>
        <w:t>8</w:t>
      </w:r>
      <w:r w:rsidR="00D67185">
        <w:t xml:space="preserve"> respondent</w:t>
      </w:r>
      <w:r>
        <w:t>ů</w:t>
      </w:r>
      <w:r w:rsidR="00D67185">
        <w:t xml:space="preserve"> uvedl</w:t>
      </w:r>
      <w:r>
        <w:t>o</w:t>
      </w:r>
      <w:r w:rsidR="00D67185">
        <w:t>, že je považuj</w:t>
      </w:r>
      <w:r w:rsidR="00C952A6">
        <w:t>í</w:t>
      </w:r>
      <w:r w:rsidR="00D67185">
        <w:t xml:space="preserve"> za špatné (</w:t>
      </w:r>
      <w:r>
        <w:t>6</w:t>
      </w:r>
      <w:r w:rsidR="00D67185">
        <w:t xml:space="preserve"> %)</w:t>
      </w:r>
      <w:r w:rsidR="00F47535">
        <w:t xml:space="preserve">. </w:t>
      </w:r>
      <w:r>
        <w:t>26</w:t>
      </w:r>
      <w:r w:rsidR="00F47535">
        <w:t xml:space="preserve"> respondent</w:t>
      </w:r>
      <w:r w:rsidR="003E042F">
        <w:t>ů</w:t>
      </w:r>
      <w:r>
        <w:t xml:space="preserve"> (1/5)</w:t>
      </w:r>
      <w:r w:rsidR="00F47535">
        <w:t xml:space="preserve"> označil</w:t>
      </w:r>
      <w:r w:rsidR="003E042F">
        <w:t>o</w:t>
      </w:r>
      <w:r w:rsidR="00F47535">
        <w:t xml:space="preserve"> možnost, že mezilidské vztahy v obci nedokáž</w:t>
      </w:r>
      <w:r w:rsidR="003E042F">
        <w:t>e</w:t>
      </w:r>
      <w:r w:rsidR="00F47535">
        <w:t xml:space="preserve"> posoudit.</w:t>
      </w:r>
    </w:p>
    <w:p w14:paraId="172508D3" w14:textId="199A0195" w:rsidR="009636AC" w:rsidRDefault="009636AC" w:rsidP="00F47535">
      <w:pPr>
        <w:spacing w:after="160" w:line="259" w:lineRule="auto"/>
        <w:jc w:val="both"/>
      </w:pPr>
    </w:p>
    <w:p w14:paraId="02D03530" w14:textId="77777777" w:rsidR="00F47535" w:rsidRDefault="00F47535" w:rsidP="00F47535">
      <w:pPr>
        <w:spacing w:after="160"/>
        <w:jc w:val="both"/>
      </w:pPr>
      <w:r w:rsidRPr="000A3F8E">
        <w:rPr>
          <w:rFonts w:cstheme="minorHAnsi"/>
          <w:b/>
          <w:sz w:val="24"/>
          <w:szCs w:val="24"/>
          <w:u w:val="single"/>
          <w:lang w:eastAsia="cs-CZ"/>
        </w:rPr>
        <w:t xml:space="preserve">Otázka č. </w:t>
      </w:r>
      <w:r>
        <w:rPr>
          <w:rFonts w:cstheme="minorHAnsi"/>
          <w:b/>
          <w:sz w:val="24"/>
          <w:szCs w:val="24"/>
          <w:u w:val="single"/>
          <w:lang w:eastAsia="cs-CZ"/>
        </w:rPr>
        <w:t>7</w:t>
      </w:r>
      <w:r w:rsidRPr="000A3F8E">
        <w:rPr>
          <w:rFonts w:cstheme="minorHAnsi"/>
          <w:b/>
          <w:sz w:val="24"/>
          <w:szCs w:val="24"/>
          <w:u w:val="single"/>
          <w:lang w:eastAsia="cs-CZ"/>
        </w:rPr>
        <w:t>:</w:t>
      </w:r>
      <w:r>
        <w:rPr>
          <w:rFonts w:cstheme="minorHAnsi"/>
          <w:b/>
          <w:sz w:val="24"/>
          <w:szCs w:val="24"/>
          <w:u w:val="single"/>
          <w:lang w:eastAsia="cs-CZ"/>
        </w:rPr>
        <w:t xml:space="preserve"> </w:t>
      </w:r>
      <w:r w:rsidRPr="000A3F8E">
        <w:rPr>
          <w:rFonts w:cstheme="minorHAnsi"/>
          <w:b/>
          <w:sz w:val="24"/>
          <w:szCs w:val="24"/>
          <w:u w:val="single"/>
          <w:lang w:eastAsia="cs-CZ"/>
        </w:rPr>
        <w:t>Myslíte si, že obyvatelé obce mají dostatek příležitostí ke vzájemným</w:t>
      </w:r>
      <w:r>
        <w:rPr>
          <w:rFonts w:cstheme="minorHAnsi"/>
          <w:b/>
          <w:sz w:val="24"/>
          <w:szCs w:val="24"/>
          <w:u w:val="single"/>
          <w:lang w:eastAsia="cs-CZ"/>
        </w:rPr>
        <w:t xml:space="preserve"> </w:t>
      </w:r>
      <w:r w:rsidRPr="000A3F8E">
        <w:rPr>
          <w:rFonts w:cstheme="minorHAnsi"/>
          <w:b/>
          <w:sz w:val="24"/>
          <w:szCs w:val="24"/>
          <w:u w:val="single"/>
          <w:lang w:eastAsia="cs-CZ"/>
        </w:rPr>
        <w:t>společenským kontaktům?</w:t>
      </w:r>
    </w:p>
    <w:p w14:paraId="08951E33" w14:textId="0809CE31" w:rsidR="00F47535" w:rsidRDefault="00F47535" w:rsidP="00F47535">
      <w:pPr>
        <w:pStyle w:val="GRAF0"/>
      </w:pPr>
      <w:bookmarkStart w:id="469" w:name="_Toc480751832"/>
      <w:bookmarkStart w:id="470" w:name="_Toc507022162"/>
      <w:bookmarkStart w:id="471" w:name="_Toc32577918"/>
      <w:bookmarkStart w:id="472" w:name="_Toc104472761"/>
      <w:bookmarkStart w:id="473" w:name="_Toc120651995"/>
      <w:r w:rsidRPr="000E7B38">
        <w:t xml:space="preserve">Graf </w:t>
      </w:r>
      <w:r w:rsidR="000E7B38">
        <w:t>1</w:t>
      </w:r>
      <w:r w:rsidR="00D609B9">
        <w:t>6</w:t>
      </w:r>
      <w:r>
        <w:t>: Výsledky odpovědí u otázky č. 7</w:t>
      </w:r>
      <w:bookmarkEnd w:id="469"/>
      <w:bookmarkEnd w:id="470"/>
      <w:bookmarkEnd w:id="471"/>
      <w:bookmarkEnd w:id="472"/>
      <w:bookmarkEnd w:id="473"/>
    </w:p>
    <w:p w14:paraId="5BB44100" w14:textId="4A006C09" w:rsidR="00F47535" w:rsidRDefault="00713A6A" w:rsidP="005B3AC0">
      <w:pPr>
        <w:spacing w:after="60"/>
        <w:jc w:val="center"/>
      </w:pPr>
      <w:r>
        <w:rPr>
          <w:noProof/>
        </w:rPr>
        <w:drawing>
          <wp:inline distT="0" distB="0" distL="0" distR="0" wp14:anchorId="0D3D6C90" wp14:editId="3AE9B8AE">
            <wp:extent cx="3977640" cy="2705100"/>
            <wp:effectExtent l="0" t="0" r="0" b="0"/>
            <wp:docPr id="26" name="Graf 26">
              <a:extLst xmlns:a="http://schemas.openxmlformats.org/drawingml/2006/main">
                <a:ext uri="{FF2B5EF4-FFF2-40B4-BE49-F238E27FC236}">
                  <a16:creationId xmlns:a16="http://schemas.microsoft.com/office/drawing/2014/main" id="{75E45AE8-9047-4ED1-A232-2131B59A2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2D2E8FDB" w14:textId="2810102A" w:rsidR="00F47535" w:rsidRDefault="00713A6A" w:rsidP="00F47535">
      <w:pPr>
        <w:spacing w:after="160"/>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129</w:t>
      </w:r>
      <w:r w:rsidRPr="00DE3F03">
        <w:rPr>
          <w:sz w:val="20"/>
          <w:szCs w:val="20"/>
        </w:rPr>
        <w:t xml:space="preserve"> krát. Procentuální hodnota představuje podíl dané odpovědi z celkového počtu lidí/subjektů, kteří danou otázku zodpověděli.</w:t>
      </w:r>
    </w:p>
    <w:p w14:paraId="36419117" w14:textId="33D76D03" w:rsidR="00F9423A" w:rsidRDefault="00F9423A" w:rsidP="00F9423A">
      <w:pPr>
        <w:spacing w:after="160" w:line="259" w:lineRule="auto"/>
        <w:jc w:val="both"/>
      </w:pPr>
      <w:r>
        <w:lastRenderedPageBreak/>
        <w:t>Téměř</w:t>
      </w:r>
      <w:r w:rsidR="00842929">
        <w:t xml:space="preserve"> ½ </w:t>
      </w:r>
      <w:r w:rsidR="00F328B3">
        <w:t xml:space="preserve">(44 %) </w:t>
      </w:r>
      <w:r w:rsidR="00F47535">
        <w:t xml:space="preserve">respondentů si myslí, že obyvatelé obce </w:t>
      </w:r>
      <w:r w:rsidR="00F328B3">
        <w:t>spíše nemají dostatek příležitostí ke vzájemným společenským kontaktům</w:t>
      </w:r>
      <w:r w:rsidR="00F47535">
        <w:t xml:space="preserve">. </w:t>
      </w:r>
      <w:r w:rsidR="00F328B3">
        <w:t>30 %</w:t>
      </w:r>
      <w:r>
        <w:t xml:space="preserve"> </w:t>
      </w:r>
      <w:r w:rsidR="00F47535">
        <w:t xml:space="preserve">respondentů si </w:t>
      </w:r>
      <w:r w:rsidR="00F328B3">
        <w:t xml:space="preserve">naopak </w:t>
      </w:r>
      <w:r w:rsidR="00F47535">
        <w:t xml:space="preserve">myslí, že </w:t>
      </w:r>
      <w:r w:rsidR="00F328B3">
        <w:t xml:space="preserve">obyvatelé obce </w:t>
      </w:r>
      <w:r w:rsidR="00F47535">
        <w:t xml:space="preserve">mají </w:t>
      </w:r>
      <w:r w:rsidR="00F328B3">
        <w:t xml:space="preserve">spíše dostatek </w:t>
      </w:r>
      <w:r w:rsidR="00F47535">
        <w:t>příležitostí ke vzájemným společenským kontaktům.</w:t>
      </w:r>
      <w:r w:rsidR="00F47535" w:rsidRPr="00AD5B8F">
        <w:t xml:space="preserve"> </w:t>
      </w:r>
      <w:r w:rsidR="002735D0">
        <w:t xml:space="preserve">Možnosti „rozhodně ano“ a „rozhodně ne“ byly označeny několika málo osobami. </w:t>
      </w:r>
      <w:r w:rsidR="00843803">
        <w:t xml:space="preserve">Celkem </w:t>
      </w:r>
      <w:r>
        <w:t>1</w:t>
      </w:r>
      <w:r w:rsidR="002735D0">
        <w:t>8</w:t>
      </w:r>
      <w:r w:rsidR="00F47535">
        <w:t xml:space="preserve"> respondent</w:t>
      </w:r>
      <w:r w:rsidR="00843803">
        <w:t>ů (1</w:t>
      </w:r>
      <w:r w:rsidR="002735D0">
        <w:t>4</w:t>
      </w:r>
      <w:r w:rsidR="00843803">
        <w:t xml:space="preserve"> %)</w:t>
      </w:r>
      <w:r w:rsidR="00F47535">
        <w:t xml:space="preserve"> označil</w:t>
      </w:r>
      <w:r w:rsidR="00843803">
        <w:t>o</w:t>
      </w:r>
      <w:r w:rsidR="00F47535">
        <w:t xml:space="preserve"> možnost, že nedokáž</w:t>
      </w:r>
      <w:r w:rsidR="00843803">
        <w:t>e</w:t>
      </w:r>
      <w:r w:rsidR="00F47535">
        <w:t xml:space="preserve"> posoudit, jestli mají </w:t>
      </w:r>
      <w:r w:rsidR="00F47535" w:rsidRPr="00AD5B8F">
        <w:t>obyvatelé obce</w:t>
      </w:r>
      <w:r w:rsidR="00F47535">
        <w:t xml:space="preserve"> </w:t>
      </w:r>
      <w:r w:rsidR="00F47535" w:rsidRPr="00AD5B8F">
        <w:t>dostatek příležitostí ke vzájemným společenským kontaktům</w:t>
      </w:r>
      <w:r w:rsidR="00F47535">
        <w:t xml:space="preserve"> či nikoliv.</w:t>
      </w:r>
    </w:p>
    <w:p w14:paraId="0C528EFE" w14:textId="77777777" w:rsidR="00F9423A" w:rsidRDefault="00F9423A" w:rsidP="00F9423A">
      <w:pPr>
        <w:spacing w:after="160" w:line="259" w:lineRule="auto"/>
        <w:jc w:val="both"/>
      </w:pPr>
    </w:p>
    <w:p w14:paraId="773EF957" w14:textId="56446117" w:rsidR="00F47535" w:rsidRDefault="00F47535" w:rsidP="00F9423A">
      <w:pPr>
        <w:spacing w:after="160" w:line="259" w:lineRule="auto"/>
        <w:jc w:val="both"/>
      </w:pPr>
      <w:r w:rsidRPr="000A3F8E">
        <w:rPr>
          <w:rFonts w:cstheme="minorHAnsi"/>
          <w:b/>
          <w:sz w:val="24"/>
          <w:szCs w:val="24"/>
          <w:u w:val="single"/>
          <w:lang w:eastAsia="cs-CZ"/>
        </w:rPr>
        <w:t xml:space="preserve">Otázka č. </w:t>
      </w:r>
      <w:r>
        <w:rPr>
          <w:rFonts w:cstheme="minorHAnsi"/>
          <w:b/>
          <w:sz w:val="24"/>
          <w:szCs w:val="24"/>
          <w:u w:val="single"/>
          <w:lang w:eastAsia="cs-CZ"/>
        </w:rPr>
        <w:t>8</w:t>
      </w:r>
      <w:r w:rsidRPr="000A3F8E">
        <w:rPr>
          <w:rFonts w:cstheme="minorHAnsi"/>
          <w:b/>
          <w:sz w:val="24"/>
          <w:szCs w:val="24"/>
          <w:u w:val="single"/>
          <w:lang w:eastAsia="cs-CZ"/>
        </w:rPr>
        <w:t>:</w:t>
      </w:r>
      <w:r>
        <w:rPr>
          <w:rFonts w:cstheme="minorHAnsi"/>
          <w:b/>
          <w:sz w:val="24"/>
          <w:szCs w:val="24"/>
          <w:u w:val="single"/>
          <w:lang w:eastAsia="cs-CZ"/>
        </w:rPr>
        <w:t xml:space="preserve"> </w:t>
      </w:r>
      <w:r w:rsidRPr="003F5E1B">
        <w:rPr>
          <w:rFonts w:cstheme="minorHAnsi"/>
          <w:b/>
          <w:sz w:val="24"/>
          <w:szCs w:val="24"/>
          <w:u w:val="single"/>
          <w:lang w:eastAsia="cs-CZ"/>
        </w:rPr>
        <w:t>Jaké komunikační kanály Vám nejvíce vyhovují?</w:t>
      </w:r>
    </w:p>
    <w:p w14:paraId="45F07990" w14:textId="19D256A0" w:rsidR="00F47535" w:rsidRDefault="00F47535" w:rsidP="00F47535">
      <w:pPr>
        <w:pStyle w:val="GRAF0"/>
      </w:pPr>
      <w:bookmarkStart w:id="474" w:name="_Toc480751833"/>
      <w:bookmarkStart w:id="475" w:name="_Toc507022163"/>
      <w:bookmarkStart w:id="476" w:name="_Toc32577919"/>
      <w:bookmarkStart w:id="477" w:name="_Toc104472762"/>
      <w:bookmarkStart w:id="478" w:name="_Toc120651996"/>
      <w:r w:rsidRPr="000E7B38">
        <w:t xml:space="preserve">Graf </w:t>
      </w:r>
      <w:r w:rsidR="000E7B38">
        <w:t>1</w:t>
      </w:r>
      <w:r w:rsidR="00997286">
        <w:t>7</w:t>
      </w:r>
      <w:r>
        <w:t>: Výsledky odpovědí u otázky č. 8</w:t>
      </w:r>
      <w:bookmarkEnd w:id="474"/>
      <w:bookmarkEnd w:id="475"/>
      <w:bookmarkEnd w:id="476"/>
      <w:bookmarkEnd w:id="477"/>
      <w:bookmarkEnd w:id="478"/>
    </w:p>
    <w:p w14:paraId="35746600" w14:textId="69CC6C6C" w:rsidR="00F47535" w:rsidRDefault="00392EC3" w:rsidP="005B3AC0">
      <w:pPr>
        <w:spacing w:after="60"/>
        <w:jc w:val="center"/>
      </w:pPr>
      <w:r w:rsidRPr="008727E4">
        <w:rPr>
          <w:noProof/>
        </w:rPr>
        <mc:AlternateContent>
          <mc:Choice Requires="cx1">
            <w:drawing>
              <wp:inline distT="0" distB="0" distL="0" distR="0" wp14:anchorId="02F9773B" wp14:editId="352F11D8">
                <wp:extent cx="5414010" cy="3810000"/>
                <wp:effectExtent l="0" t="0" r="0" b="0"/>
                <wp:docPr id="315" name="Graf 29"/>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3"/>
                  </a:graphicData>
                </a:graphic>
              </wp:inline>
            </w:drawing>
          </mc:Choice>
          <mc:Fallback>
            <w:drawing>
              <wp:inline distT="0" distB="0" distL="0" distR="0" wp14:anchorId="02F9773B" wp14:editId="352F11D8">
                <wp:extent cx="5414010" cy="3810000"/>
                <wp:effectExtent l="0" t="0" r="0" b="0"/>
                <wp:docPr id="315" name="Graf 2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5" name="Graf 29"/>
                        <pic:cNvPicPr>
                          <a:picLocks noGrp="1" noRot="1" noChangeAspect="1" noMove="1" noResize="1" noEditPoints="1" noAdjustHandles="1" noChangeArrowheads="1" noChangeShapeType="1"/>
                        </pic:cNvPicPr>
                      </pic:nvPicPr>
                      <pic:blipFill>
                        <a:blip r:embed="rId114"/>
                        <a:stretch>
                          <a:fillRect/>
                        </a:stretch>
                      </pic:blipFill>
                      <pic:spPr>
                        <a:xfrm>
                          <a:off x="0" y="0"/>
                          <a:ext cx="5414010" cy="3810000"/>
                        </a:xfrm>
                        <a:prstGeom prst="rect">
                          <a:avLst/>
                        </a:prstGeom>
                      </pic:spPr>
                    </pic:pic>
                  </a:graphicData>
                </a:graphic>
              </wp:inline>
            </w:drawing>
          </mc:Fallback>
        </mc:AlternateContent>
      </w:r>
    </w:p>
    <w:p w14:paraId="4D79DBED" w14:textId="3FED1D4B" w:rsidR="00F47535" w:rsidRDefault="003543BD" w:rsidP="00F47535">
      <w:pPr>
        <w:spacing w:after="160"/>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127</w:t>
      </w:r>
      <w:r w:rsidRPr="00DE3F03">
        <w:rPr>
          <w:sz w:val="20"/>
          <w:szCs w:val="20"/>
        </w:rPr>
        <w:t xml:space="preserve"> krát</w:t>
      </w:r>
      <w:r>
        <w:rPr>
          <w:sz w:val="20"/>
          <w:szCs w:val="20"/>
        </w:rPr>
        <w:t>, nezodpovězena</w:t>
      </w:r>
      <w:r>
        <w:rPr>
          <w:sz w:val="20"/>
          <w:szCs w:val="20"/>
        </w:rPr>
        <w:br/>
        <w:t>2 krát</w:t>
      </w:r>
      <w:r w:rsidRPr="00DE3F03">
        <w:rPr>
          <w:sz w:val="20"/>
          <w:szCs w:val="20"/>
        </w:rPr>
        <w:t>.</w:t>
      </w:r>
    </w:p>
    <w:p w14:paraId="56F6E957" w14:textId="77777777" w:rsidR="00F47535" w:rsidRDefault="00F47535" w:rsidP="00F47535">
      <w:pPr>
        <w:spacing w:after="160" w:line="259" w:lineRule="auto"/>
        <w:jc w:val="both"/>
      </w:pPr>
    </w:p>
    <w:p w14:paraId="4FEC853F" w14:textId="19770251" w:rsidR="00763EDE" w:rsidRDefault="00F47535" w:rsidP="00F47535">
      <w:pPr>
        <w:spacing w:after="160" w:line="259" w:lineRule="auto"/>
        <w:jc w:val="both"/>
      </w:pPr>
      <w:r>
        <w:t xml:space="preserve">Co se týče komunikačních kanálů, nejčastěji respondentům vyhovuje informování </w:t>
      </w:r>
      <w:r w:rsidR="00707B98">
        <w:t>prostřednictvím</w:t>
      </w:r>
      <w:r>
        <w:t xml:space="preserve"> </w:t>
      </w:r>
      <w:r w:rsidR="007B2903">
        <w:t>Facebooku</w:t>
      </w:r>
      <w:r>
        <w:t xml:space="preserve"> (</w:t>
      </w:r>
      <w:r w:rsidR="007B2903">
        <w:t>56</w:t>
      </w:r>
      <w:r>
        <w:t xml:space="preserve"> % všech respondentů, kteří tuto otázku zodpověděli). </w:t>
      </w:r>
      <w:r w:rsidR="007B2903">
        <w:t>55</w:t>
      </w:r>
      <w:r w:rsidR="00145BCC">
        <w:t xml:space="preserve"> %</w:t>
      </w:r>
      <w:r>
        <w:t xml:space="preserve"> respondentů zaškrtnul</w:t>
      </w:r>
      <w:r w:rsidR="00145BCC">
        <w:t>o</w:t>
      </w:r>
      <w:r>
        <w:t xml:space="preserve"> možnost </w:t>
      </w:r>
      <w:r w:rsidR="007B2903">
        <w:t>webové stránky obce</w:t>
      </w:r>
      <w:r w:rsidR="00707B98">
        <w:t xml:space="preserve">, </w:t>
      </w:r>
      <w:r w:rsidR="007B2903">
        <w:t>47</w:t>
      </w:r>
      <w:r w:rsidR="00707B98">
        <w:t xml:space="preserve"> % </w:t>
      </w:r>
      <w:r w:rsidR="007B2903">
        <w:t xml:space="preserve">výlepové plochy </w:t>
      </w:r>
      <w:r w:rsidR="00707B98">
        <w:t xml:space="preserve">a </w:t>
      </w:r>
      <w:r w:rsidR="00AE3CA4">
        <w:t>3</w:t>
      </w:r>
      <w:r w:rsidR="007B2903">
        <w:t>9</w:t>
      </w:r>
      <w:r w:rsidR="00AE3CA4">
        <w:t xml:space="preserve"> %</w:t>
      </w:r>
      <w:r w:rsidR="00185DA0">
        <w:t xml:space="preserve"> respondentů označilo možnost </w:t>
      </w:r>
      <w:r w:rsidR="00AE3CA4">
        <w:t>email</w:t>
      </w:r>
      <w:r>
        <w:t xml:space="preserve">. Dohromady </w:t>
      </w:r>
      <w:r w:rsidR="007B2903">
        <w:t>tyto</w:t>
      </w:r>
      <w:r>
        <w:t xml:space="preserve"> </w:t>
      </w:r>
      <w:r w:rsidR="007B2903">
        <w:t>čtyři</w:t>
      </w:r>
      <w:r>
        <w:t xml:space="preserve"> </w:t>
      </w:r>
      <w:r w:rsidRPr="00942F82">
        <w:t>odpově</w:t>
      </w:r>
      <w:r>
        <w:t>d</w:t>
      </w:r>
      <w:r w:rsidR="007B2903">
        <w:t>i</w:t>
      </w:r>
      <w:r w:rsidRPr="00942F82">
        <w:t xml:space="preserve"> představuj</w:t>
      </w:r>
      <w:r w:rsidR="007B2903">
        <w:t>í</w:t>
      </w:r>
      <w:r w:rsidRPr="00942F82">
        <w:t xml:space="preserve"> </w:t>
      </w:r>
      <w:r w:rsidR="007B2903">
        <w:t>téměř</w:t>
      </w:r>
      <w:r w:rsidRPr="00942F82">
        <w:t xml:space="preserve"> </w:t>
      </w:r>
      <w:r w:rsidR="00707B98">
        <w:t>90</w:t>
      </w:r>
      <w:r w:rsidRPr="00942F82">
        <w:t xml:space="preserve"> % odpovědí na tuto otázku (viz křivka v grafu)</w:t>
      </w:r>
      <w:r>
        <w:t xml:space="preserve">. Další možnosti měly již zastoupení </w:t>
      </w:r>
      <w:r w:rsidR="00AE3CA4">
        <w:t>n</w:t>
      </w:r>
      <w:r>
        <w:t>ižší.</w:t>
      </w:r>
      <w:r w:rsidR="00AE3CA4">
        <w:t xml:space="preserve"> </w:t>
      </w:r>
    </w:p>
    <w:p w14:paraId="347DEA8F" w14:textId="0C3896C2" w:rsidR="00F47535" w:rsidRDefault="00F47535" w:rsidP="00F47535">
      <w:pPr>
        <w:spacing w:after="160" w:line="259" w:lineRule="auto"/>
        <w:jc w:val="both"/>
      </w:pPr>
      <w:r>
        <w:t xml:space="preserve">Možnost „jiné“ </w:t>
      </w:r>
      <w:r w:rsidR="00763EDE">
        <w:t>byla</w:t>
      </w:r>
      <w:r>
        <w:t xml:space="preserve"> zaškrtnut</w:t>
      </w:r>
      <w:r w:rsidR="00AE3CA4">
        <w:t>a</w:t>
      </w:r>
      <w:r w:rsidR="00763EDE">
        <w:t xml:space="preserve"> </w:t>
      </w:r>
      <w:r w:rsidR="00242B8D">
        <w:t>třikrát</w:t>
      </w:r>
      <w:r>
        <w:t>.</w:t>
      </w:r>
      <w:r w:rsidR="00763EDE">
        <w:t xml:space="preserve"> </w:t>
      </w:r>
      <w:r w:rsidR="007C562A">
        <w:t>Dvakrát</w:t>
      </w:r>
      <w:r w:rsidR="00763EDE">
        <w:t xml:space="preserve"> bylo uvedeno „info</w:t>
      </w:r>
      <w:r w:rsidR="007C562A">
        <w:t>rmace</w:t>
      </w:r>
      <w:r w:rsidR="00763EDE">
        <w:t xml:space="preserve"> do schránky“, jednou „</w:t>
      </w:r>
      <w:r w:rsidR="007C562A">
        <w:t>aplikace Munipolis</w:t>
      </w:r>
      <w:r w:rsidR="00763EDE">
        <w:t>“.</w:t>
      </w:r>
    </w:p>
    <w:p w14:paraId="5D9C528E" w14:textId="0BA81199" w:rsidR="00BD5F58" w:rsidRDefault="00BD5F58" w:rsidP="00F47535">
      <w:pPr>
        <w:spacing w:after="160" w:line="259" w:lineRule="auto"/>
        <w:jc w:val="both"/>
      </w:pPr>
      <w:r>
        <w:br w:type="page"/>
      </w:r>
    </w:p>
    <w:p w14:paraId="5117ECEC" w14:textId="77777777" w:rsidR="00F47535" w:rsidRDefault="00F47535" w:rsidP="00F47535">
      <w:pPr>
        <w:spacing w:after="160" w:line="259" w:lineRule="auto"/>
        <w:jc w:val="both"/>
      </w:pPr>
      <w:r w:rsidRPr="000A3F8E">
        <w:rPr>
          <w:rFonts w:cstheme="minorHAnsi"/>
          <w:b/>
          <w:sz w:val="24"/>
          <w:szCs w:val="24"/>
          <w:u w:val="single"/>
          <w:lang w:eastAsia="cs-CZ"/>
        </w:rPr>
        <w:lastRenderedPageBreak/>
        <w:t xml:space="preserve">Otázka č. </w:t>
      </w:r>
      <w:r>
        <w:rPr>
          <w:rFonts w:cstheme="minorHAnsi"/>
          <w:b/>
          <w:sz w:val="24"/>
          <w:szCs w:val="24"/>
          <w:u w:val="single"/>
          <w:lang w:eastAsia="cs-CZ"/>
        </w:rPr>
        <w:t>9</w:t>
      </w:r>
      <w:r w:rsidRPr="000A3F8E">
        <w:rPr>
          <w:rFonts w:cstheme="minorHAnsi"/>
          <w:b/>
          <w:sz w:val="24"/>
          <w:szCs w:val="24"/>
          <w:u w:val="single"/>
          <w:lang w:eastAsia="cs-CZ"/>
        </w:rPr>
        <w:t>:</w:t>
      </w:r>
      <w:r>
        <w:rPr>
          <w:rFonts w:cstheme="minorHAnsi"/>
          <w:b/>
          <w:sz w:val="24"/>
          <w:szCs w:val="24"/>
          <w:u w:val="single"/>
          <w:lang w:eastAsia="cs-CZ"/>
        </w:rPr>
        <w:t xml:space="preserve"> </w:t>
      </w:r>
      <w:r w:rsidRPr="00B72862">
        <w:rPr>
          <w:rFonts w:cstheme="minorHAnsi"/>
          <w:b/>
          <w:sz w:val="24"/>
          <w:szCs w:val="24"/>
          <w:u w:val="single"/>
          <w:lang w:eastAsia="cs-CZ"/>
        </w:rPr>
        <w:t>Sledujete informace o dění v obci na webových stránkách?</w:t>
      </w:r>
    </w:p>
    <w:p w14:paraId="1DE903AF" w14:textId="3B294D03" w:rsidR="00F47535" w:rsidRDefault="00F47535" w:rsidP="00F47535">
      <w:pPr>
        <w:pStyle w:val="GRAF0"/>
      </w:pPr>
      <w:bookmarkStart w:id="479" w:name="_Toc480751834"/>
      <w:bookmarkStart w:id="480" w:name="_Toc507022164"/>
      <w:bookmarkStart w:id="481" w:name="_Toc32577920"/>
      <w:bookmarkStart w:id="482" w:name="_Toc104472763"/>
      <w:bookmarkStart w:id="483" w:name="_Toc120651997"/>
      <w:r w:rsidRPr="000E7B38">
        <w:t xml:space="preserve">Graf </w:t>
      </w:r>
      <w:r w:rsidR="002E53D1">
        <w:t>1</w:t>
      </w:r>
      <w:r w:rsidR="00D41583">
        <w:t>8</w:t>
      </w:r>
      <w:r>
        <w:t>: Výsledky odpovědí u otázky č. 9</w:t>
      </w:r>
      <w:bookmarkEnd w:id="479"/>
      <w:bookmarkEnd w:id="480"/>
      <w:bookmarkEnd w:id="481"/>
      <w:bookmarkEnd w:id="482"/>
      <w:bookmarkEnd w:id="483"/>
    </w:p>
    <w:p w14:paraId="0F3F2446" w14:textId="1DE509C2" w:rsidR="00F47535" w:rsidRDefault="001359F0" w:rsidP="005B3AC0">
      <w:pPr>
        <w:spacing w:after="60"/>
        <w:jc w:val="center"/>
      </w:pPr>
      <w:r>
        <w:rPr>
          <w:noProof/>
        </w:rPr>
        <w:drawing>
          <wp:inline distT="0" distB="0" distL="0" distR="0" wp14:anchorId="76B41238" wp14:editId="5B432D1F">
            <wp:extent cx="5463540" cy="2186940"/>
            <wp:effectExtent l="0" t="0" r="0" b="0"/>
            <wp:docPr id="31" name="Graf 31">
              <a:extLst xmlns:a="http://schemas.openxmlformats.org/drawingml/2006/main">
                <a:ext uri="{FF2B5EF4-FFF2-40B4-BE49-F238E27FC236}">
                  <a16:creationId xmlns:a16="http://schemas.microsoft.com/office/drawing/2014/main" id="{F2A5C7BF-7E3D-4821-8475-91FBEBBDF1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45F40CA" w14:textId="46CB767B" w:rsidR="00F47535" w:rsidRDefault="001359F0" w:rsidP="00F47535">
      <w:pPr>
        <w:spacing w:after="160"/>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129</w:t>
      </w:r>
      <w:r w:rsidRPr="00DE3F03">
        <w:rPr>
          <w:sz w:val="20"/>
          <w:szCs w:val="20"/>
        </w:rPr>
        <w:t xml:space="preserve"> krát</w:t>
      </w:r>
      <w:r>
        <w:rPr>
          <w:sz w:val="20"/>
          <w:szCs w:val="20"/>
        </w:rPr>
        <w:t>.</w:t>
      </w:r>
    </w:p>
    <w:p w14:paraId="487ABCC8" w14:textId="77777777" w:rsidR="00E430AD" w:rsidRDefault="00E430AD" w:rsidP="00F47535">
      <w:pPr>
        <w:spacing w:after="160" w:line="259" w:lineRule="auto"/>
        <w:jc w:val="both"/>
      </w:pPr>
    </w:p>
    <w:p w14:paraId="55453111" w14:textId="61ED0391" w:rsidR="00F47535" w:rsidRDefault="00A6578A" w:rsidP="00F47535">
      <w:pPr>
        <w:spacing w:after="160" w:line="259" w:lineRule="auto"/>
        <w:jc w:val="both"/>
      </w:pPr>
      <w:r>
        <w:t>76</w:t>
      </w:r>
      <w:r w:rsidR="00F47535">
        <w:t xml:space="preserve"> respondentů (</w:t>
      </w:r>
      <w:r>
        <w:t>59</w:t>
      </w:r>
      <w:r w:rsidR="00F47535">
        <w:t xml:space="preserve"> % všech respondentů, kteří tuto otázku zodpověděli) v dotazníku uvedlo, </w:t>
      </w:r>
      <w:r w:rsidR="00F47535">
        <w:br/>
        <w:t xml:space="preserve">že informace o dění v obci na internetových stránkách sleduje občas. Pravidelně dění </w:t>
      </w:r>
      <w:r w:rsidR="00F47535">
        <w:br/>
        <w:t xml:space="preserve">na internetových stránkách sleduje </w:t>
      </w:r>
      <w:r>
        <w:t>27</w:t>
      </w:r>
      <w:r w:rsidR="00F47535">
        <w:t xml:space="preserve"> respondentů</w:t>
      </w:r>
      <w:r w:rsidR="00EB4BCB">
        <w:t xml:space="preserve"> (</w:t>
      </w:r>
      <w:r>
        <w:t>2</w:t>
      </w:r>
      <w:r w:rsidR="00EB4BCB">
        <w:t>1 %)</w:t>
      </w:r>
      <w:r w:rsidR="00F47535">
        <w:t xml:space="preserve">. </w:t>
      </w:r>
      <w:r>
        <w:t>15</w:t>
      </w:r>
      <w:r w:rsidR="00F47535">
        <w:t xml:space="preserve"> respondent</w:t>
      </w:r>
      <w:r w:rsidR="00B065F3">
        <w:t>ů</w:t>
      </w:r>
      <w:r w:rsidR="00EB4BCB">
        <w:t xml:space="preserve"> (</w:t>
      </w:r>
      <w:r>
        <w:t>12</w:t>
      </w:r>
      <w:r w:rsidR="00EB4BCB">
        <w:t xml:space="preserve"> %)</w:t>
      </w:r>
      <w:r w:rsidR="00612862">
        <w:t xml:space="preserve"> uvedl</w:t>
      </w:r>
      <w:r w:rsidR="00B065F3">
        <w:t>o</w:t>
      </w:r>
      <w:r w:rsidR="00612862">
        <w:t xml:space="preserve">, že </w:t>
      </w:r>
      <w:r w:rsidR="00F47535">
        <w:t xml:space="preserve">informace o dění </w:t>
      </w:r>
      <w:r w:rsidR="00B065F3">
        <w:t xml:space="preserve">v obci </w:t>
      </w:r>
      <w:r w:rsidR="00F47535">
        <w:t xml:space="preserve">skrze webové stránky </w:t>
      </w:r>
      <w:r w:rsidR="00B065F3">
        <w:t xml:space="preserve">nesleduje </w:t>
      </w:r>
      <w:r w:rsidR="00F47535">
        <w:t xml:space="preserve">vůbec. </w:t>
      </w:r>
      <w:r w:rsidR="00B065F3">
        <w:t>1</w:t>
      </w:r>
      <w:r>
        <w:t>1</w:t>
      </w:r>
      <w:r w:rsidR="00F47535">
        <w:t xml:space="preserve"> respondent</w:t>
      </w:r>
      <w:r w:rsidR="00B065F3">
        <w:t>ů (</w:t>
      </w:r>
      <w:r>
        <w:t>8</w:t>
      </w:r>
      <w:r w:rsidR="00B065F3">
        <w:t xml:space="preserve"> %)</w:t>
      </w:r>
      <w:r w:rsidR="00F47535">
        <w:t xml:space="preserve"> uvedl</w:t>
      </w:r>
      <w:r w:rsidR="00B065F3">
        <w:t>o</w:t>
      </w:r>
      <w:r w:rsidR="00F47535">
        <w:t>, že nem</w:t>
      </w:r>
      <w:r w:rsidR="00314DF1">
        <w:t>á</w:t>
      </w:r>
      <w:r w:rsidR="00F47535">
        <w:t xml:space="preserve"> internet.</w:t>
      </w:r>
    </w:p>
    <w:p w14:paraId="5A782F0B" w14:textId="77777777" w:rsidR="00F47535" w:rsidRDefault="00F47535" w:rsidP="00F47535">
      <w:pPr>
        <w:spacing w:after="160" w:line="259" w:lineRule="auto"/>
        <w:jc w:val="both"/>
      </w:pPr>
    </w:p>
    <w:p w14:paraId="4FB198FB" w14:textId="77777777" w:rsidR="00F47535" w:rsidRDefault="00F47535" w:rsidP="00F47535">
      <w:pPr>
        <w:spacing w:after="160" w:line="259" w:lineRule="auto"/>
        <w:jc w:val="both"/>
      </w:pPr>
      <w:r w:rsidRPr="000A3F8E">
        <w:rPr>
          <w:rFonts w:cstheme="minorHAnsi"/>
          <w:b/>
          <w:sz w:val="24"/>
          <w:szCs w:val="24"/>
          <w:u w:val="single"/>
          <w:lang w:eastAsia="cs-CZ"/>
        </w:rPr>
        <w:t xml:space="preserve">Otázka č. </w:t>
      </w:r>
      <w:r>
        <w:rPr>
          <w:rFonts w:cstheme="minorHAnsi"/>
          <w:b/>
          <w:sz w:val="24"/>
          <w:szCs w:val="24"/>
          <w:u w:val="single"/>
          <w:lang w:eastAsia="cs-CZ"/>
        </w:rPr>
        <w:t>10</w:t>
      </w:r>
      <w:r w:rsidRPr="000A3F8E">
        <w:rPr>
          <w:rFonts w:cstheme="minorHAnsi"/>
          <w:b/>
          <w:sz w:val="24"/>
          <w:szCs w:val="24"/>
          <w:u w:val="single"/>
          <w:lang w:eastAsia="cs-CZ"/>
        </w:rPr>
        <w:t>:</w:t>
      </w:r>
      <w:r>
        <w:rPr>
          <w:rFonts w:cstheme="minorHAnsi"/>
          <w:b/>
          <w:sz w:val="24"/>
          <w:szCs w:val="24"/>
          <w:u w:val="single"/>
          <w:lang w:eastAsia="cs-CZ"/>
        </w:rPr>
        <w:t xml:space="preserve"> </w:t>
      </w:r>
      <w:r w:rsidRPr="00BC48CC">
        <w:rPr>
          <w:rFonts w:cstheme="minorHAnsi"/>
          <w:b/>
          <w:sz w:val="24"/>
          <w:szCs w:val="24"/>
          <w:u w:val="single"/>
          <w:lang w:eastAsia="cs-CZ"/>
        </w:rPr>
        <w:t>Jste ochoten/ochotna udělat něco pro rozvoj své obce?</w:t>
      </w:r>
    </w:p>
    <w:p w14:paraId="6B46A2CF" w14:textId="3E02E3E1" w:rsidR="00F47535" w:rsidRDefault="00F47535" w:rsidP="00F47535">
      <w:pPr>
        <w:pStyle w:val="GRAF0"/>
      </w:pPr>
      <w:bookmarkStart w:id="484" w:name="_Toc480751835"/>
      <w:bookmarkStart w:id="485" w:name="_Toc507022165"/>
      <w:bookmarkStart w:id="486" w:name="_Toc32577921"/>
      <w:bookmarkStart w:id="487" w:name="_Toc104472764"/>
      <w:bookmarkStart w:id="488" w:name="_Toc120651998"/>
      <w:r w:rsidRPr="000E7B38">
        <w:t xml:space="preserve">Graf </w:t>
      </w:r>
      <w:r w:rsidR="00112CFA">
        <w:t>1</w:t>
      </w:r>
      <w:r w:rsidR="0016207C">
        <w:t>9</w:t>
      </w:r>
      <w:r>
        <w:t>: Výsledky odpovědí u otázky č. 10</w:t>
      </w:r>
      <w:bookmarkEnd w:id="484"/>
      <w:bookmarkEnd w:id="485"/>
      <w:bookmarkEnd w:id="486"/>
      <w:bookmarkEnd w:id="487"/>
      <w:bookmarkEnd w:id="488"/>
    </w:p>
    <w:p w14:paraId="0FE0BFEF" w14:textId="5BFB3EBC" w:rsidR="00F47535" w:rsidRDefault="00FB55A6" w:rsidP="005B3AC0">
      <w:pPr>
        <w:spacing w:after="60"/>
        <w:jc w:val="center"/>
      </w:pPr>
      <w:r>
        <w:rPr>
          <w:noProof/>
        </w:rPr>
        <w:drawing>
          <wp:inline distT="0" distB="0" distL="0" distR="0" wp14:anchorId="50A2A8FC" wp14:editId="3B26EFEE">
            <wp:extent cx="3947160" cy="2851786"/>
            <wp:effectExtent l="0" t="0" r="15240" b="5715"/>
            <wp:docPr id="226" name="Graf 226">
              <a:extLst xmlns:a="http://schemas.openxmlformats.org/drawingml/2006/main">
                <a:ext uri="{FF2B5EF4-FFF2-40B4-BE49-F238E27FC236}">
                  <a16:creationId xmlns:a16="http://schemas.microsoft.com/office/drawing/2014/main" id="{5D864ABC-6853-4F1A-A8B7-1B1C15523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C2FFA7B" w14:textId="50E195F3" w:rsidR="00F47535" w:rsidRDefault="00F47535" w:rsidP="00F47535">
      <w:pPr>
        <w:spacing w:after="160"/>
        <w:jc w:val="both"/>
      </w:pPr>
      <w:r w:rsidRPr="00DE3F03">
        <w:rPr>
          <w:b/>
          <w:sz w:val="20"/>
          <w:szCs w:val="20"/>
        </w:rPr>
        <w:t>Poznámky:</w:t>
      </w:r>
      <w:r w:rsidRPr="00DE3F03">
        <w:rPr>
          <w:sz w:val="20"/>
          <w:szCs w:val="20"/>
        </w:rPr>
        <w:t xml:space="preserve"> </w:t>
      </w:r>
      <w:r w:rsidR="00BE1116">
        <w:rPr>
          <w:sz w:val="20"/>
          <w:szCs w:val="20"/>
        </w:rPr>
        <w:t>Otázka byla zodpovězena v odevzdaných vyplněných dotaznících celkem 12</w:t>
      </w:r>
      <w:r w:rsidR="00FB55A6">
        <w:rPr>
          <w:sz w:val="20"/>
          <w:szCs w:val="20"/>
        </w:rPr>
        <w:t>6</w:t>
      </w:r>
      <w:r w:rsidR="00BE1116" w:rsidRPr="00DE3F03">
        <w:rPr>
          <w:sz w:val="20"/>
          <w:szCs w:val="20"/>
        </w:rPr>
        <w:t xml:space="preserve"> krát</w:t>
      </w:r>
      <w:r w:rsidR="00BE1116">
        <w:rPr>
          <w:sz w:val="20"/>
          <w:szCs w:val="20"/>
        </w:rPr>
        <w:t>, nezodpovězena</w:t>
      </w:r>
      <w:r w:rsidR="00BE1116">
        <w:rPr>
          <w:sz w:val="20"/>
          <w:szCs w:val="20"/>
        </w:rPr>
        <w:br/>
        <w:t>3 krát</w:t>
      </w:r>
      <w:r w:rsidR="00BE1116" w:rsidRPr="00DE3F03">
        <w:rPr>
          <w:sz w:val="20"/>
          <w:szCs w:val="20"/>
        </w:rPr>
        <w:t>. Procentuální hodnota představuje podíl dané odpovědi z celkového počtu lidí/subjektů, kteří danou otázku zodpověděli</w:t>
      </w:r>
      <w:r w:rsidRPr="00DE3F03">
        <w:rPr>
          <w:sz w:val="20"/>
          <w:szCs w:val="20"/>
        </w:rPr>
        <w:t>.</w:t>
      </w:r>
    </w:p>
    <w:p w14:paraId="4F11E557" w14:textId="7F505BC7" w:rsidR="00F47535" w:rsidRDefault="00B05C32" w:rsidP="00F47535">
      <w:pPr>
        <w:spacing w:after="160" w:line="259" w:lineRule="auto"/>
        <w:jc w:val="both"/>
      </w:pPr>
      <w:r>
        <w:lastRenderedPageBreak/>
        <w:t>4</w:t>
      </w:r>
      <w:r w:rsidR="00FB55A6">
        <w:t>4</w:t>
      </w:r>
      <w:r>
        <w:t xml:space="preserve"> %</w:t>
      </w:r>
      <w:r w:rsidR="00F47535">
        <w:t xml:space="preserve"> respondentů v dotazníku uvedl</w:t>
      </w:r>
      <w:r>
        <w:t>o</w:t>
      </w:r>
      <w:r w:rsidR="00F47535">
        <w:t>, že je spíše ochotn</w:t>
      </w:r>
      <w:r w:rsidR="00440142">
        <w:t>o</w:t>
      </w:r>
      <w:r w:rsidR="00F47535">
        <w:t xml:space="preserve"> udělat něco pro rozvoj obce. Rozhodně ano je ochotn</w:t>
      </w:r>
      <w:r w:rsidR="00440142">
        <w:t>a</w:t>
      </w:r>
      <w:r w:rsidR="00F47535">
        <w:t xml:space="preserve"> udělat něco pro rozvoj obce </w:t>
      </w:r>
      <w:r w:rsidR="00FB55A6">
        <w:t xml:space="preserve">přibližně ¼ </w:t>
      </w:r>
      <w:r w:rsidR="00F47535">
        <w:t xml:space="preserve">respondentů. Možnost </w:t>
      </w:r>
      <w:r w:rsidR="00F87B06">
        <w:t>„</w:t>
      </w:r>
      <w:r w:rsidR="00F47535">
        <w:t>spíše ne</w:t>
      </w:r>
      <w:r w:rsidR="00F87B06">
        <w:t>“</w:t>
      </w:r>
      <w:r w:rsidR="00F47535">
        <w:t xml:space="preserve"> uvedl</w:t>
      </w:r>
      <w:r w:rsidR="00810A21">
        <w:t>o</w:t>
      </w:r>
      <w:r w:rsidR="00F47535">
        <w:t xml:space="preserve"> </w:t>
      </w:r>
      <w:r w:rsidR="00FB55A6">
        <w:t>8</w:t>
      </w:r>
      <w:r w:rsidR="007653AD">
        <w:t xml:space="preserve"> </w:t>
      </w:r>
      <w:r w:rsidR="00F47535">
        <w:t>respondent</w:t>
      </w:r>
      <w:r w:rsidR="00810A21">
        <w:t>ů</w:t>
      </w:r>
      <w:r w:rsidR="00F47535">
        <w:t>. Možnost „rozhodně ne“ zaškrt</w:t>
      </w:r>
      <w:r w:rsidR="00810A21">
        <w:t>nuli</w:t>
      </w:r>
      <w:r w:rsidR="00F47535">
        <w:t xml:space="preserve"> </w:t>
      </w:r>
      <w:r w:rsidR="00FB55A6">
        <w:t>4</w:t>
      </w:r>
      <w:r w:rsidR="00F47535">
        <w:t xml:space="preserve"> respondent</w:t>
      </w:r>
      <w:r w:rsidR="00810A21">
        <w:t>i</w:t>
      </w:r>
      <w:r w:rsidR="00F47535">
        <w:t xml:space="preserve">. </w:t>
      </w:r>
      <w:r w:rsidR="007653AD">
        <w:t xml:space="preserve">Celkem </w:t>
      </w:r>
      <w:r w:rsidR="00810A21">
        <w:t>3</w:t>
      </w:r>
      <w:r w:rsidR="00FB55A6">
        <w:t>8</w:t>
      </w:r>
      <w:r w:rsidR="00F47535">
        <w:t xml:space="preserve"> respondent</w:t>
      </w:r>
      <w:r w:rsidR="007653AD">
        <w:t>ů</w:t>
      </w:r>
      <w:r w:rsidR="00F87B06">
        <w:t xml:space="preserve"> </w:t>
      </w:r>
      <w:r w:rsidR="00810A21">
        <w:t>(3</w:t>
      </w:r>
      <w:r w:rsidR="00FB55A6">
        <w:t>0</w:t>
      </w:r>
      <w:r w:rsidR="005C6CF9">
        <w:t xml:space="preserve"> </w:t>
      </w:r>
      <w:r w:rsidR="00810A21">
        <w:t xml:space="preserve">%) </w:t>
      </w:r>
      <w:r w:rsidR="00F87B06">
        <w:t>uvedl</w:t>
      </w:r>
      <w:r w:rsidR="007653AD">
        <w:t>o</w:t>
      </w:r>
      <w:r w:rsidR="00F87B06">
        <w:t>, že ne</w:t>
      </w:r>
      <w:r w:rsidR="00F47535">
        <w:t>doved</w:t>
      </w:r>
      <w:r w:rsidR="007653AD">
        <w:t>e</w:t>
      </w:r>
      <w:r w:rsidR="00F47535">
        <w:t xml:space="preserve"> posoudit, zda j</w:t>
      </w:r>
      <w:r w:rsidR="00AA4777">
        <w:t>e</w:t>
      </w:r>
      <w:r w:rsidR="00F47535">
        <w:t xml:space="preserve"> ochotn</w:t>
      </w:r>
      <w:r w:rsidR="00AA4777">
        <w:t>o</w:t>
      </w:r>
      <w:r w:rsidR="00F47535">
        <w:t xml:space="preserve"> udělat něco pro rozvoj své obce.</w:t>
      </w:r>
    </w:p>
    <w:p w14:paraId="7C981C02" w14:textId="77777777" w:rsidR="00F47535" w:rsidRDefault="00F47535" w:rsidP="00F47535">
      <w:pPr>
        <w:spacing w:after="160" w:line="259" w:lineRule="auto"/>
        <w:jc w:val="both"/>
      </w:pPr>
    </w:p>
    <w:p w14:paraId="72777E05" w14:textId="77777777" w:rsidR="00F47535" w:rsidRDefault="00F47535" w:rsidP="00F47535">
      <w:pPr>
        <w:jc w:val="both"/>
      </w:pPr>
      <w:r w:rsidRPr="000A3F8E">
        <w:rPr>
          <w:rFonts w:cstheme="minorHAnsi"/>
          <w:b/>
          <w:sz w:val="24"/>
          <w:szCs w:val="24"/>
          <w:u w:val="single"/>
          <w:lang w:eastAsia="cs-CZ"/>
        </w:rPr>
        <w:t xml:space="preserve">Otázka č. </w:t>
      </w:r>
      <w:r>
        <w:rPr>
          <w:rFonts w:cstheme="minorHAnsi"/>
          <w:b/>
          <w:sz w:val="24"/>
          <w:szCs w:val="24"/>
          <w:u w:val="single"/>
          <w:lang w:eastAsia="cs-CZ"/>
        </w:rPr>
        <w:t>11</w:t>
      </w:r>
      <w:r w:rsidRPr="000A3F8E">
        <w:rPr>
          <w:rFonts w:cstheme="minorHAnsi"/>
          <w:b/>
          <w:sz w:val="24"/>
          <w:szCs w:val="24"/>
          <w:u w:val="single"/>
          <w:lang w:eastAsia="cs-CZ"/>
        </w:rPr>
        <w:t>:</w:t>
      </w:r>
      <w:r>
        <w:rPr>
          <w:rFonts w:cstheme="minorHAnsi"/>
          <w:b/>
          <w:sz w:val="24"/>
          <w:szCs w:val="24"/>
          <w:u w:val="single"/>
          <w:lang w:eastAsia="cs-CZ"/>
        </w:rPr>
        <w:t xml:space="preserve"> </w:t>
      </w:r>
      <w:r w:rsidRPr="00C354CA">
        <w:rPr>
          <w:rFonts w:cstheme="minorHAnsi"/>
          <w:b/>
          <w:sz w:val="24"/>
          <w:szCs w:val="24"/>
          <w:u w:val="single"/>
          <w:lang w:eastAsia="cs-CZ"/>
        </w:rPr>
        <w:t>Pokud ano, jak se můžete zapojit?</w:t>
      </w:r>
    </w:p>
    <w:p w14:paraId="6D2A8B69" w14:textId="3C7DA9B7" w:rsidR="00F47535" w:rsidRDefault="00F47535" w:rsidP="00F47535">
      <w:pPr>
        <w:spacing w:after="160"/>
        <w:jc w:val="both"/>
        <w:rPr>
          <w:sz w:val="20"/>
          <w:szCs w:val="20"/>
        </w:rPr>
      </w:pPr>
      <w:r>
        <w:rPr>
          <w:sz w:val="20"/>
          <w:szCs w:val="20"/>
        </w:rPr>
        <w:t xml:space="preserve">(zodpovězena </w:t>
      </w:r>
      <w:r w:rsidR="00252FEC">
        <w:rPr>
          <w:sz w:val="20"/>
          <w:szCs w:val="20"/>
        </w:rPr>
        <w:t>55</w:t>
      </w:r>
      <w:r>
        <w:rPr>
          <w:sz w:val="20"/>
          <w:szCs w:val="20"/>
        </w:rPr>
        <w:t xml:space="preserve"> krát, nezodpovězena </w:t>
      </w:r>
      <w:r w:rsidR="00252FEC">
        <w:rPr>
          <w:sz w:val="20"/>
          <w:szCs w:val="20"/>
        </w:rPr>
        <w:t>74</w:t>
      </w:r>
      <w:r w:rsidRPr="001642C5">
        <w:rPr>
          <w:sz w:val="20"/>
          <w:szCs w:val="20"/>
        </w:rPr>
        <w:t xml:space="preserve"> krát)</w:t>
      </w:r>
    </w:p>
    <w:p w14:paraId="14333641" w14:textId="545F286F" w:rsidR="00F47535" w:rsidRDefault="00F47535" w:rsidP="00521758">
      <w:pPr>
        <w:spacing w:after="60" w:line="259" w:lineRule="auto"/>
        <w:jc w:val="both"/>
      </w:pPr>
      <w:r>
        <w:t>Pokud respondenti v předcházející otázce</w:t>
      </w:r>
      <w:r w:rsidRPr="00E027B6">
        <w:t xml:space="preserve"> </w:t>
      </w:r>
      <w:r>
        <w:t xml:space="preserve">uvedli, že jsou ochotni udělat něco pro rozvoj své obce, mohli v této otázce uvést, jak konkrétně se můžou do rozvoje obce zapojit. Respondenti odpovídali následovně </w:t>
      </w:r>
      <w:r w:rsidR="00CA7F55">
        <w:t>(</w:t>
      </w:r>
      <w:r w:rsidR="00521758">
        <w:t>číslo vyjadřuje, kolikrát byl daný námět/názor/komentář zmíněn</w:t>
      </w:r>
      <w:r w:rsidR="00CA7F55">
        <w:t>):</w:t>
      </w:r>
    </w:p>
    <w:p w14:paraId="70D94D8E" w14:textId="3B57255A" w:rsidR="00521758" w:rsidRDefault="00521758">
      <w:pPr>
        <w:pStyle w:val="Odstavecseseznamem"/>
        <w:numPr>
          <w:ilvl w:val="0"/>
          <w:numId w:val="3"/>
        </w:numPr>
        <w:spacing w:after="60"/>
        <w:ind w:left="425" w:hanging="357"/>
        <w:contextualSpacing w:val="0"/>
        <w:jc w:val="both"/>
      </w:pPr>
      <w:r>
        <w:t xml:space="preserve">pomoc při organizaci a pořádání akcí v obci – </w:t>
      </w:r>
      <w:r w:rsidR="00D4171F">
        <w:t>17</w:t>
      </w:r>
      <w:r>
        <w:t>x</w:t>
      </w:r>
      <w:r w:rsidR="00D4171F">
        <w:t xml:space="preserve"> (např. pomoc při organizaci dětských akcí, pořádání kulturních akcí apod.)</w:t>
      </w:r>
    </w:p>
    <w:p w14:paraId="466FA6D3" w14:textId="2B260C3D" w:rsidR="00B87CD7" w:rsidRDefault="00B87CD7">
      <w:pPr>
        <w:pStyle w:val="Odstavecseseznamem"/>
        <w:numPr>
          <w:ilvl w:val="0"/>
          <w:numId w:val="3"/>
        </w:numPr>
        <w:spacing w:after="60"/>
        <w:ind w:left="425" w:hanging="357"/>
        <w:contextualSpacing w:val="0"/>
        <w:jc w:val="both"/>
      </w:pPr>
      <w:r>
        <w:t>brigáda – 5x</w:t>
      </w:r>
    </w:p>
    <w:p w14:paraId="5B8140A3" w14:textId="5301B23E" w:rsidR="00521758" w:rsidRDefault="00521758">
      <w:pPr>
        <w:pStyle w:val="Odstavecseseznamem"/>
        <w:numPr>
          <w:ilvl w:val="0"/>
          <w:numId w:val="3"/>
        </w:numPr>
        <w:spacing w:after="60"/>
        <w:ind w:left="425" w:hanging="357"/>
        <w:contextualSpacing w:val="0"/>
        <w:jc w:val="both"/>
      </w:pPr>
      <w:r>
        <w:t xml:space="preserve">pomoc při úklidu obce – </w:t>
      </w:r>
      <w:r w:rsidR="00B87CD7">
        <w:t>4</w:t>
      </w:r>
      <w:r>
        <w:t>x</w:t>
      </w:r>
    </w:p>
    <w:p w14:paraId="08999764" w14:textId="0B34E3E2" w:rsidR="00521758" w:rsidRDefault="00B87CD7">
      <w:pPr>
        <w:pStyle w:val="Odstavecseseznamem"/>
        <w:numPr>
          <w:ilvl w:val="0"/>
          <w:numId w:val="3"/>
        </w:numPr>
        <w:spacing w:after="60"/>
        <w:ind w:left="425" w:hanging="357"/>
        <w:contextualSpacing w:val="0"/>
        <w:jc w:val="both"/>
      </w:pPr>
      <w:r w:rsidRPr="00B87CD7">
        <w:t xml:space="preserve">jakkoliv bude potřeba </w:t>
      </w:r>
      <w:r w:rsidR="00A12BB7">
        <w:t>– 4x</w:t>
      </w:r>
    </w:p>
    <w:p w14:paraId="607D1907" w14:textId="30550D31" w:rsidR="00521758" w:rsidRDefault="00B87CD7">
      <w:pPr>
        <w:pStyle w:val="Odstavecseseznamem"/>
        <w:numPr>
          <w:ilvl w:val="0"/>
          <w:numId w:val="3"/>
        </w:numPr>
        <w:spacing w:after="60"/>
        <w:ind w:left="425" w:hanging="357"/>
        <w:contextualSpacing w:val="0"/>
        <w:jc w:val="both"/>
      </w:pPr>
      <w:r w:rsidRPr="00B87CD7">
        <w:t xml:space="preserve">pracovní pomoc </w:t>
      </w:r>
      <w:r w:rsidR="00A12BB7">
        <w:t xml:space="preserve">– </w:t>
      </w:r>
      <w:r>
        <w:t>4</w:t>
      </w:r>
      <w:r w:rsidR="00A12BB7">
        <w:t>x</w:t>
      </w:r>
    </w:p>
    <w:p w14:paraId="3A361B14" w14:textId="4CED6ADE" w:rsidR="00521758" w:rsidRDefault="00B87CD7">
      <w:pPr>
        <w:pStyle w:val="Odstavecseseznamem"/>
        <w:numPr>
          <w:ilvl w:val="0"/>
          <w:numId w:val="3"/>
        </w:numPr>
        <w:spacing w:after="60"/>
        <w:ind w:left="425" w:hanging="357"/>
        <w:contextualSpacing w:val="0"/>
        <w:jc w:val="both"/>
      </w:pPr>
      <w:r w:rsidRPr="00B87CD7">
        <w:t>organizačně obecně</w:t>
      </w:r>
      <w:r w:rsidR="00A12BB7">
        <w:t xml:space="preserve"> – </w:t>
      </w:r>
      <w:r>
        <w:t>2</w:t>
      </w:r>
      <w:r w:rsidR="00A12BB7">
        <w:t>x</w:t>
      </w:r>
    </w:p>
    <w:p w14:paraId="3F2DC8D5" w14:textId="089A8263" w:rsidR="00B01226" w:rsidRDefault="00B01226">
      <w:pPr>
        <w:pStyle w:val="Odstavecseseznamem"/>
        <w:numPr>
          <w:ilvl w:val="0"/>
          <w:numId w:val="3"/>
        </w:numPr>
        <w:spacing w:after="60"/>
        <w:ind w:left="425" w:hanging="357"/>
        <w:contextualSpacing w:val="0"/>
        <w:jc w:val="both"/>
      </w:pPr>
      <w:r>
        <w:t>formou lehké práce podle zdravotního stavu dotyčné osoby</w:t>
      </w:r>
      <w:r w:rsidR="008F751F">
        <w:t xml:space="preserve"> – 1x</w:t>
      </w:r>
    </w:p>
    <w:p w14:paraId="5A7E6B6B" w14:textId="74F8D1EE" w:rsidR="00B01226" w:rsidRDefault="00B01226">
      <w:pPr>
        <w:pStyle w:val="Odstavecseseznamem"/>
        <w:numPr>
          <w:ilvl w:val="0"/>
          <w:numId w:val="3"/>
        </w:numPr>
        <w:spacing w:after="60"/>
        <w:ind w:left="425" w:hanging="357"/>
        <w:contextualSpacing w:val="0"/>
        <w:jc w:val="both"/>
      </w:pPr>
      <w:r>
        <w:t>dobrovolník</w:t>
      </w:r>
      <w:r w:rsidR="008F751F">
        <w:t xml:space="preserve"> – 1x</w:t>
      </w:r>
    </w:p>
    <w:p w14:paraId="3EEBD21F" w14:textId="6C4382AB" w:rsidR="00B01226" w:rsidRDefault="00B01226">
      <w:pPr>
        <w:pStyle w:val="Odstavecseseznamem"/>
        <w:numPr>
          <w:ilvl w:val="0"/>
          <w:numId w:val="3"/>
        </w:numPr>
        <w:spacing w:after="60"/>
        <w:ind w:left="425" w:hanging="357"/>
        <w:contextualSpacing w:val="0"/>
        <w:jc w:val="both"/>
      </w:pPr>
      <w:r>
        <w:t>zapojení do programu rozvoje obce</w:t>
      </w:r>
      <w:r w:rsidR="008F751F">
        <w:t xml:space="preserve"> – 1x</w:t>
      </w:r>
    </w:p>
    <w:p w14:paraId="77E8B877" w14:textId="71C6A20B" w:rsidR="00B01226" w:rsidRDefault="00B01226">
      <w:pPr>
        <w:pStyle w:val="Odstavecseseznamem"/>
        <w:numPr>
          <w:ilvl w:val="0"/>
          <w:numId w:val="3"/>
        </w:numPr>
        <w:spacing w:after="60"/>
        <w:ind w:left="425" w:hanging="357"/>
        <w:contextualSpacing w:val="0"/>
        <w:jc w:val="both"/>
      </w:pPr>
      <w:r>
        <w:t>osobně, záleží na konkrétní potřebě pomoci</w:t>
      </w:r>
      <w:r w:rsidR="008F751F">
        <w:t xml:space="preserve"> – 1x</w:t>
      </w:r>
    </w:p>
    <w:p w14:paraId="35F998D4" w14:textId="087B0049" w:rsidR="00B01226" w:rsidRDefault="00407E43">
      <w:pPr>
        <w:pStyle w:val="Odstavecseseznamem"/>
        <w:numPr>
          <w:ilvl w:val="0"/>
          <w:numId w:val="3"/>
        </w:numPr>
        <w:spacing w:after="60"/>
        <w:ind w:left="425" w:hanging="357"/>
        <w:contextualSpacing w:val="0"/>
        <w:jc w:val="both"/>
      </w:pPr>
      <w:r>
        <w:t>k</w:t>
      </w:r>
      <w:r w:rsidR="00B01226">
        <w:t>roužky</w:t>
      </w:r>
      <w:r w:rsidR="008F751F">
        <w:t xml:space="preserve"> – 1x</w:t>
      </w:r>
    </w:p>
    <w:p w14:paraId="4368D090" w14:textId="248474A1" w:rsidR="00B01226" w:rsidRDefault="00407E43">
      <w:pPr>
        <w:pStyle w:val="Odstavecseseznamem"/>
        <w:numPr>
          <w:ilvl w:val="0"/>
          <w:numId w:val="3"/>
        </w:numPr>
        <w:spacing w:after="60"/>
        <w:ind w:left="425" w:hanging="357"/>
        <w:contextualSpacing w:val="0"/>
        <w:jc w:val="both"/>
      </w:pPr>
      <w:r>
        <w:t>a</w:t>
      </w:r>
      <w:r w:rsidR="00B01226">
        <w:t>dministrativa</w:t>
      </w:r>
      <w:r w:rsidR="008F751F">
        <w:t xml:space="preserve"> – 1x</w:t>
      </w:r>
    </w:p>
    <w:p w14:paraId="2715EC18" w14:textId="3DCAB4BC" w:rsidR="00B01226" w:rsidRDefault="00407E43">
      <w:pPr>
        <w:pStyle w:val="Odstavecseseznamem"/>
        <w:numPr>
          <w:ilvl w:val="0"/>
          <w:numId w:val="3"/>
        </w:numPr>
        <w:spacing w:after="60"/>
        <w:ind w:left="425" w:hanging="357"/>
        <w:contextualSpacing w:val="0"/>
        <w:jc w:val="both"/>
      </w:pPr>
      <w:r>
        <w:t>l</w:t>
      </w:r>
      <w:r w:rsidR="00B01226">
        <w:t>épe nabídnout alternativy</w:t>
      </w:r>
      <w:r>
        <w:t>,</w:t>
      </w:r>
      <w:r w:rsidR="00B01226">
        <w:t xml:space="preserve"> poté se dle možnosti zapojit</w:t>
      </w:r>
      <w:r w:rsidR="008F751F">
        <w:t xml:space="preserve"> – 1x</w:t>
      </w:r>
    </w:p>
    <w:p w14:paraId="0F0F2F03" w14:textId="7BBA869A" w:rsidR="00B01226" w:rsidRDefault="00B01226">
      <w:pPr>
        <w:pStyle w:val="Odstavecseseznamem"/>
        <w:numPr>
          <w:ilvl w:val="0"/>
          <w:numId w:val="3"/>
        </w:numPr>
        <w:spacing w:after="60"/>
        <w:ind w:left="425" w:hanging="357"/>
        <w:contextualSpacing w:val="0"/>
        <w:jc w:val="both"/>
      </w:pPr>
      <w:r>
        <w:t>rozvoj obce</w:t>
      </w:r>
      <w:r w:rsidR="008F751F">
        <w:t xml:space="preserve"> – 1x</w:t>
      </w:r>
    </w:p>
    <w:p w14:paraId="548B34D8" w14:textId="3B27AA3C" w:rsidR="00B01226" w:rsidRDefault="00407E43">
      <w:pPr>
        <w:pStyle w:val="Odstavecseseznamem"/>
        <w:numPr>
          <w:ilvl w:val="0"/>
          <w:numId w:val="3"/>
        </w:numPr>
        <w:spacing w:after="60"/>
        <w:ind w:left="425" w:hanging="357"/>
        <w:contextualSpacing w:val="0"/>
        <w:jc w:val="both"/>
      </w:pPr>
      <w:r>
        <w:t>j</w:t>
      </w:r>
      <w:r w:rsidR="00B01226">
        <w:t>ako Ferda Mravenec</w:t>
      </w:r>
      <w:r w:rsidR="008F751F">
        <w:t xml:space="preserve"> – 1x</w:t>
      </w:r>
    </w:p>
    <w:p w14:paraId="7B77297E" w14:textId="5C942A4D" w:rsidR="00B01226" w:rsidRDefault="00B01226">
      <w:pPr>
        <w:pStyle w:val="Odstavecseseznamem"/>
        <w:numPr>
          <w:ilvl w:val="0"/>
          <w:numId w:val="3"/>
        </w:numPr>
        <w:spacing w:after="60"/>
        <w:ind w:left="425" w:hanging="357"/>
        <w:contextualSpacing w:val="0"/>
        <w:jc w:val="both"/>
      </w:pPr>
      <w:r>
        <w:t>pomoc s organizac</w:t>
      </w:r>
      <w:r w:rsidR="00407E43">
        <w:t>í</w:t>
      </w:r>
      <w:r>
        <w:t xml:space="preserve"> v podstat</w:t>
      </w:r>
      <w:r w:rsidR="00407E43">
        <w:t>ě</w:t>
      </w:r>
      <w:r>
        <w:t xml:space="preserve"> </w:t>
      </w:r>
      <w:r w:rsidR="00407E43">
        <w:t>č</w:t>
      </w:r>
      <w:r>
        <w:t>ehokoliv, komunikace s</w:t>
      </w:r>
      <w:r w:rsidR="00407E43">
        <w:t> </w:t>
      </w:r>
      <w:r>
        <w:t>dodavateli</w:t>
      </w:r>
      <w:r w:rsidR="00407E43">
        <w:t xml:space="preserve"> </w:t>
      </w:r>
      <w:r>
        <w:t>apod.</w:t>
      </w:r>
      <w:r w:rsidR="008F751F">
        <w:t xml:space="preserve"> – 1x</w:t>
      </w:r>
    </w:p>
    <w:p w14:paraId="257FBD9D" w14:textId="1431FBC3" w:rsidR="00B01226" w:rsidRDefault="00B01226">
      <w:pPr>
        <w:pStyle w:val="Odstavecseseznamem"/>
        <w:numPr>
          <w:ilvl w:val="0"/>
          <w:numId w:val="3"/>
        </w:numPr>
        <w:spacing w:after="60"/>
        <w:ind w:left="425" w:hanging="357"/>
        <w:contextualSpacing w:val="0"/>
        <w:jc w:val="both"/>
      </w:pPr>
      <w:r>
        <w:t>jakékoliv manuální práce</w:t>
      </w:r>
      <w:r w:rsidR="008F751F">
        <w:t xml:space="preserve"> – 1x</w:t>
      </w:r>
    </w:p>
    <w:p w14:paraId="3099E6CF" w14:textId="70FC255B" w:rsidR="00B01226" w:rsidRDefault="00407E43">
      <w:pPr>
        <w:pStyle w:val="Odstavecseseznamem"/>
        <w:numPr>
          <w:ilvl w:val="0"/>
          <w:numId w:val="3"/>
        </w:numPr>
        <w:spacing w:after="60"/>
        <w:ind w:left="425" w:hanging="357"/>
        <w:contextualSpacing w:val="0"/>
        <w:jc w:val="both"/>
      </w:pPr>
      <w:r>
        <w:t>dotyčná osoba n</w:t>
      </w:r>
      <w:r w:rsidR="00B01226">
        <w:t>emá zatím konkrétní představu</w:t>
      </w:r>
      <w:r>
        <w:t>; l</w:t>
      </w:r>
      <w:r w:rsidR="00B01226">
        <w:t xml:space="preserve">íbila by se </w:t>
      </w:r>
      <w:r>
        <w:t>jí</w:t>
      </w:r>
      <w:r w:rsidR="00B01226">
        <w:t xml:space="preserve"> komunitní výsadba ovocného sadu, aleje, případně udělat nějakou stezku pro pěší v prostoru za zámečkem, který by mohl mít funkci parku</w:t>
      </w:r>
      <w:r>
        <w:t>; r</w:t>
      </w:r>
      <w:r w:rsidR="00B01226">
        <w:t>áda by pomohla třeba vybudovat i hřiště pro děti nad 6 let, kde by se mohla omladina scházet</w:t>
      </w:r>
      <w:r w:rsidR="008F751F">
        <w:t xml:space="preserve"> – 1x</w:t>
      </w:r>
    </w:p>
    <w:p w14:paraId="1B386493" w14:textId="5F62EBC7" w:rsidR="00B01226" w:rsidRDefault="00B01226">
      <w:pPr>
        <w:pStyle w:val="Odstavecseseznamem"/>
        <w:numPr>
          <w:ilvl w:val="0"/>
          <w:numId w:val="3"/>
        </w:numPr>
        <w:spacing w:after="60"/>
        <w:ind w:left="425" w:hanging="357"/>
        <w:contextualSpacing w:val="0"/>
        <w:jc w:val="both"/>
      </w:pPr>
      <w:r>
        <w:t>aktivní účast v zastupitelstvu</w:t>
      </w:r>
      <w:r w:rsidR="008F751F">
        <w:t xml:space="preserve"> – 1x</w:t>
      </w:r>
    </w:p>
    <w:p w14:paraId="5D7718EB" w14:textId="53FE572B" w:rsidR="00B01226" w:rsidRDefault="00B01226">
      <w:pPr>
        <w:pStyle w:val="Odstavecseseznamem"/>
        <w:numPr>
          <w:ilvl w:val="0"/>
          <w:numId w:val="3"/>
        </w:numPr>
        <w:spacing w:after="60"/>
        <w:ind w:left="425" w:hanging="357"/>
        <w:contextualSpacing w:val="0"/>
        <w:jc w:val="both"/>
      </w:pPr>
      <w:r>
        <w:t>aktivní účast ve spolcích</w:t>
      </w:r>
      <w:r w:rsidR="008F751F">
        <w:t xml:space="preserve"> – 1x</w:t>
      </w:r>
    </w:p>
    <w:p w14:paraId="3D03CE15" w14:textId="149FDD6D" w:rsidR="00B01226" w:rsidRDefault="00B01226">
      <w:pPr>
        <w:pStyle w:val="Odstavecseseznamem"/>
        <w:numPr>
          <w:ilvl w:val="0"/>
          <w:numId w:val="3"/>
        </w:numPr>
        <w:spacing w:after="60"/>
        <w:ind w:left="425" w:hanging="357"/>
        <w:contextualSpacing w:val="0"/>
        <w:jc w:val="both"/>
      </w:pPr>
      <w:r>
        <w:t>akce Z (organiz</w:t>
      </w:r>
      <w:r w:rsidR="00407E43">
        <w:t>o</w:t>
      </w:r>
      <w:r>
        <w:t>vané brigády)</w:t>
      </w:r>
      <w:r w:rsidR="008F751F">
        <w:t xml:space="preserve"> – 1x</w:t>
      </w:r>
    </w:p>
    <w:p w14:paraId="5605C5E2" w14:textId="08BEA3D5" w:rsidR="00B01226" w:rsidRDefault="00B01226">
      <w:pPr>
        <w:pStyle w:val="Odstavecseseznamem"/>
        <w:numPr>
          <w:ilvl w:val="0"/>
          <w:numId w:val="3"/>
        </w:numPr>
        <w:spacing w:after="60"/>
        <w:ind w:left="425" w:hanging="357"/>
        <w:contextualSpacing w:val="0"/>
        <w:jc w:val="both"/>
      </w:pPr>
      <w:r>
        <w:t>pomocné aktivity, podpora</w:t>
      </w:r>
      <w:r w:rsidR="008F751F">
        <w:t xml:space="preserve"> – 1x</w:t>
      </w:r>
    </w:p>
    <w:p w14:paraId="3685492B" w14:textId="31FE6D94" w:rsidR="00B01226" w:rsidRDefault="00B01226">
      <w:pPr>
        <w:pStyle w:val="Odstavecseseznamem"/>
        <w:numPr>
          <w:ilvl w:val="0"/>
          <w:numId w:val="3"/>
        </w:numPr>
        <w:spacing w:after="60"/>
        <w:ind w:left="425" w:hanging="357"/>
        <w:contextualSpacing w:val="0"/>
        <w:jc w:val="both"/>
      </w:pPr>
      <w:r>
        <w:t>pomoc obecně</w:t>
      </w:r>
      <w:r w:rsidR="008F751F">
        <w:t xml:space="preserve"> – 1x</w:t>
      </w:r>
    </w:p>
    <w:p w14:paraId="3254B6D6" w14:textId="02C09AC7" w:rsidR="00B01226" w:rsidRDefault="00B01226">
      <w:pPr>
        <w:pStyle w:val="Odstavecseseznamem"/>
        <w:numPr>
          <w:ilvl w:val="0"/>
          <w:numId w:val="3"/>
        </w:numPr>
        <w:spacing w:after="60"/>
        <w:ind w:left="425" w:hanging="357"/>
        <w:contextualSpacing w:val="0"/>
        <w:jc w:val="both"/>
      </w:pPr>
      <w:r>
        <w:t>zapojení a účast v konkrétní věci</w:t>
      </w:r>
      <w:r w:rsidR="008F751F">
        <w:t xml:space="preserve"> – 1x</w:t>
      </w:r>
    </w:p>
    <w:p w14:paraId="76F6FCC4" w14:textId="7FE4ACA8" w:rsidR="00B01226" w:rsidRDefault="00B01226">
      <w:pPr>
        <w:pStyle w:val="Odstavecseseznamem"/>
        <w:numPr>
          <w:ilvl w:val="0"/>
          <w:numId w:val="3"/>
        </w:numPr>
        <w:spacing w:after="60"/>
        <w:ind w:left="425" w:hanging="357"/>
        <w:contextualSpacing w:val="0"/>
        <w:jc w:val="both"/>
      </w:pPr>
      <w:r>
        <w:t>dílčí manuální práce, ořez dřevin atd</w:t>
      </w:r>
      <w:r w:rsidR="00407E43">
        <w:t>.</w:t>
      </w:r>
      <w:r w:rsidR="008F751F">
        <w:t xml:space="preserve"> – 1x</w:t>
      </w:r>
    </w:p>
    <w:p w14:paraId="7C4BE0EA" w14:textId="2A5AFE90" w:rsidR="00B01226" w:rsidRDefault="00407E43">
      <w:pPr>
        <w:pStyle w:val="Odstavecseseznamem"/>
        <w:numPr>
          <w:ilvl w:val="0"/>
          <w:numId w:val="3"/>
        </w:numPr>
        <w:spacing w:after="60"/>
        <w:ind w:left="425" w:hanging="357"/>
        <w:contextualSpacing w:val="0"/>
        <w:jc w:val="both"/>
      </w:pPr>
      <w:r>
        <w:t>p</w:t>
      </w:r>
      <w:r w:rsidR="00B01226">
        <w:t>racovní síla pro práci na rozvoji, drobné příspěvky</w:t>
      </w:r>
      <w:r w:rsidR="008F751F">
        <w:t xml:space="preserve"> – 1x</w:t>
      </w:r>
    </w:p>
    <w:p w14:paraId="060058A3" w14:textId="76656184" w:rsidR="00B01226" w:rsidRDefault="00407E43">
      <w:pPr>
        <w:pStyle w:val="Odstavecseseznamem"/>
        <w:numPr>
          <w:ilvl w:val="0"/>
          <w:numId w:val="3"/>
        </w:numPr>
        <w:spacing w:after="60"/>
        <w:ind w:left="425" w:hanging="357"/>
        <w:contextualSpacing w:val="0"/>
        <w:jc w:val="both"/>
      </w:pPr>
      <w:r>
        <w:t>dotyčná osoba pr</w:t>
      </w:r>
      <w:r w:rsidR="00B01226">
        <w:t>acuj</w:t>
      </w:r>
      <w:r>
        <w:t>e</w:t>
      </w:r>
      <w:r w:rsidR="00B01226">
        <w:t xml:space="preserve"> ve středisku ekologické v</w:t>
      </w:r>
      <w:r>
        <w:t>ý</w:t>
      </w:r>
      <w:r w:rsidR="00B01226">
        <w:t>chovy, ráda vyu</w:t>
      </w:r>
      <w:r>
        <w:t>žije</w:t>
      </w:r>
      <w:r w:rsidR="00B01226">
        <w:t xml:space="preserve"> své znalosti pro dobro obce, podpoří jakoukoli aktivitu směřující k péči o životní prostředí</w:t>
      </w:r>
      <w:r>
        <w:t>; r</w:t>
      </w:r>
      <w:r w:rsidR="00B01226">
        <w:t xml:space="preserve">áda by se víc účastnila </w:t>
      </w:r>
      <w:r w:rsidR="00B01226">
        <w:lastRenderedPageBreak/>
        <w:t xml:space="preserve">setkání zastupitelů, to je </w:t>
      </w:r>
      <w:r>
        <w:t>její</w:t>
      </w:r>
      <w:r w:rsidR="00B01226">
        <w:t xml:space="preserve"> rest</w:t>
      </w:r>
      <w:r>
        <w:t>; n</w:t>
      </w:r>
      <w:r w:rsidR="00B01226">
        <w:t>abízí pomoc při plánování a realizaci akc</w:t>
      </w:r>
      <w:r>
        <w:t>í</w:t>
      </w:r>
      <w:r w:rsidR="00B01226">
        <w:t xml:space="preserve"> pro členy </w:t>
      </w:r>
      <w:r>
        <w:t>jejich</w:t>
      </w:r>
      <w:r w:rsidR="00B01226">
        <w:t xml:space="preserve"> komunity</w:t>
      </w:r>
      <w:r>
        <w:t>; r</w:t>
      </w:r>
      <w:r w:rsidR="00B01226">
        <w:t>ádi se s rodinou účastní případných brigád pro o</w:t>
      </w:r>
      <w:r>
        <w:t>bec</w:t>
      </w:r>
      <w:r w:rsidR="00B01226">
        <w:t xml:space="preserve"> a pro komunitní život v obci</w:t>
      </w:r>
      <w:r w:rsidR="008F751F">
        <w:t xml:space="preserve"> – 1x</w:t>
      </w:r>
    </w:p>
    <w:p w14:paraId="565520C8" w14:textId="6539D320" w:rsidR="00B01226" w:rsidRDefault="00B01226">
      <w:pPr>
        <w:pStyle w:val="Odstavecseseznamem"/>
        <w:numPr>
          <w:ilvl w:val="0"/>
          <w:numId w:val="3"/>
        </w:numPr>
        <w:spacing w:after="60"/>
        <w:ind w:left="425" w:hanging="357"/>
        <w:contextualSpacing w:val="0"/>
        <w:jc w:val="both"/>
      </w:pPr>
      <w:r>
        <w:t>práce v zastupitelstvu obce</w:t>
      </w:r>
      <w:r w:rsidR="008F751F">
        <w:t xml:space="preserve"> – 1x</w:t>
      </w:r>
    </w:p>
    <w:p w14:paraId="1AD78202" w14:textId="264CA3EF" w:rsidR="00B01226" w:rsidRDefault="00B01226">
      <w:pPr>
        <w:pStyle w:val="Odstavecseseznamem"/>
        <w:numPr>
          <w:ilvl w:val="0"/>
          <w:numId w:val="3"/>
        </w:numPr>
        <w:spacing w:after="60"/>
        <w:ind w:left="425" w:hanging="357"/>
        <w:contextualSpacing w:val="0"/>
        <w:jc w:val="both"/>
      </w:pPr>
      <w:r>
        <w:t>pomoc při územním rozvoji obce</w:t>
      </w:r>
      <w:r w:rsidR="008F751F">
        <w:t xml:space="preserve"> – 1x</w:t>
      </w:r>
    </w:p>
    <w:p w14:paraId="58A34909" w14:textId="0FAE21A0" w:rsidR="00B01226" w:rsidRDefault="00B01226">
      <w:pPr>
        <w:pStyle w:val="Odstavecseseznamem"/>
        <w:numPr>
          <w:ilvl w:val="0"/>
          <w:numId w:val="3"/>
        </w:numPr>
        <w:spacing w:after="60"/>
        <w:ind w:left="425" w:hanging="357"/>
        <w:contextualSpacing w:val="0"/>
        <w:jc w:val="both"/>
      </w:pPr>
      <w:r>
        <w:t>pozitivní přístup k druhým a bydlení</w:t>
      </w:r>
      <w:r w:rsidR="008F751F">
        <w:t xml:space="preserve"> – 1x</w:t>
      </w:r>
    </w:p>
    <w:p w14:paraId="5E5CECFC" w14:textId="471B7707" w:rsidR="004C3F8B" w:rsidRDefault="00407E43">
      <w:pPr>
        <w:pStyle w:val="Odstavecseseznamem"/>
        <w:numPr>
          <w:ilvl w:val="0"/>
          <w:numId w:val="3"/>
        </w:numPr>
        <w:spacing w:after="160"/>
        <w:ind w:left="425" w:hanging="357"/>
        <w:contextualSpacing w:val="0"/>
        <w:jc w:val="both"/>
      </w:pPr>
      <w:r>
        <w:t>p</w:t>
      </w:r>
      <w:r w:rsidR="00B01226">
        <w:t>omoc s výsadbou a péč</w:t>
      </w:r>
      <w:r w:rsidR="00BA11CA">
        <w:t>í</w:t>
      </w:r>
      <w:r w:rsidR="00B01226">
        <w:t xml:space="preserve"> o veřejnou zeleň</w:t>
      </w:r>
      <w:r w:rsidR="00BA11CA">
        <w:t xml:space="preserve"> – 1x</w:t>
      </w:r>
    </w:p>
    <w:p w14:paraId="32E8CC41" w14:textId="201AEDCD" w:rsidR="004E77B7" w:rsidRDefault="004E77B7" w:rsidP="00F21EB7">
      <w:pPr>
        <w:spacing w:after="160" w:line="259" w:lineRule="auto"/>
        <w:jc w:val="both"/>
      </w:pPr>
    </w:p>
    <w:p w14:paraId="4421A0D2" w14:textId="171D456A" w:rsidR="00F21EB7" w:rsidRDefault="00F21EB7" w:rsidP="00F21EB7">
      <w:pPr>
        <w:spacing w:after="160" w:line="259" w:lineRule="auto"/>
        <w:jc w:val="both"/>
      </w:pPr>
      <w:r>
        <w:t xml:space="preserve">Jeden respondent uvedl „nevím“, jednou bylo uvedeno </w:t>
      </w:r>
      <w:r w:rsidRPr="00F21EB7">
        <w:t>"-"</w:t>
      </w:r>
      <w:r>
        <w:t>.</w:t>
      </w:r>
    </w:p>
    <w:p w14:paraId="3DC8935A" w14:textId="77777777" w:rsidR="00F21EB7" w:rsidRDefault="00F21EB7" w:rsidP="00F21EB7">
      <w:pPr>
        <w:spacing w:after="160" w:line="259" w:lineRule="auto"/>
        <w:jc w:val="both"/>
      </w:pPr>
    </w:p>
    <w:p w14:paraId="09D64BED" w14:textId="77777777" w:rsidR="00F47535" w:rsidRDefault="00F47535" w:rsidP="00F47535">
      <w:pPr>
        <w:spacing w:after="160"/>
        <w:jc w:val="both"/>
      </w:pPr>
      <w:r w:rsidRPr="000A3F8E">
        <w:rPr>
          <w:rFonts w:cstheme="minorHAnsi"/>
          <w:b/>
          <w:sz w:val="24"/>
          <w:szCs w:val="24"/>
          <w:u w:val="single"/>
          <w:lang w:eastAsia="cs-CZ"/>
        </w:rPr>
        <w:t xml:space="preserve">Otázka č. </w:t>
      </w:r>
      <w:r>
        <w:rPr>
          <w:rFonts w:cstheme="minorHAnsi"/>
          <w:b/>
          <w:sz w:val="24"/>
          <w:szCs w:val="24"/>
          <w:u w:val="single"/>
          <w:lang w:eastAsia="cs-CZ"/>
        </w:rPr>
        <w:t>12</w:t>
      </w:r>
      <w:r w:rsidRPr="000A3F8E">
        <w:rPr>
          <w:rFonts w:cstheme="minorHAnsi"/>
          <w:b/>
          <w:sz w:val="24"/>
          <w:szCs w:val="24"/>
          <w:u w:val="single"/>
          <w:lang w:eastAsia="cs-CZ"/>
        </w:rPr>
        <w:t>:</w:t>
      </w:r>
      <w:r>
        <w:rPr>
          <w:rFonts w:cstheme="minorHAnsi"/>
          <w:b/>
          <w:sz w:val="24"/>
          <w:szCs w:val="24"/>
          <w:u w:val="single"/>
          <w:lang w:eastAsia="cs-CZ"/>
        </w:rPr>
        <w:t xml:space="preserve"> </w:t>
      </w:r>
      <w:r w:rsidRPr="006575A4">
        <w:rPr>
          <w:rFonts w:cstheme="minorHAnsi"/>
          <w:b/>
          <w:sz w:val="24"/>
          <w:szCs w:val="24"/>
          <w:u w:val="single"/>
          <w:lang w:eastAsia="cs-CZ"/>
        </w:rPr>
        <w:t>Představte si, že můžete rozhodnout o využití obecních finančních</w:t>
      </w:r>
      <w:r>
        <w:rPr>
          <w:rFonts w:cstheme="minorHAnsi"/>
          <w:b/>
          <w:sz w:val="24"/>
          <w:szCs w:val="24"/>
          <w:u w:val="single"/>
          <w:lang w:eastAsia="cs-CZ"/>
        </w:rPr>
        <w:t xml:space="preserve"> </w:t>
      </w:r>
      <w:r w:rsidRPr="006575A4">
        <w:rPr>
          <w:rFonts w:cstheme="minorHAnsi"/>
          <w:b/>
          <w:sz w:val="24"/>
          <w:szCs w:val="24"/>
          <w:u w:val="single"/>
          <w:lang w:eastAsia="cs-CZ"/>
        </w:rPr>
        <w:t>prostředků. Na co byste je přednostně využil/a?</w:t>
      </w:r>
    </w:p>
    <w:p w14:paraId="7D2B70CD" w14:textId="7AE2D2FF" w:rsidR="00F47535" w:rsidRDefault="00F47535" w:rsidP="00F47535">
      <w:pPr>
        <w:pStyle w:val="TABULKA0"/>
      </w:pPr>
      <w:bookmarkStart w:id="489" w:name="_Toc480751612"/>
      <w:bookmarkStart w:id="490" w:name="_Toc507022067"/>
      <w:bookmarkStart w:id="491" w:name="_Toc32577812"/>
      <w:bookmarkStart w:id="492" w:name="_Toc120651950"/>
      <w:r w:rsidRPr="000E7B38">
        <w:t xml:space="preserve">Tabulka </w:t>
      </w:r>
      <w:r w:rsidR="007A2C39">
        <w:t>28</w:t>
      </w:r>
      <w:r>
        <w:t>:</w:t>
      </w:r>
      <w:r w:rsidRPr="00405294">
        <w:t xml:space="preserve"> </w:t>
      </w:r>
      <w:r>
        <w:t>Výsledky odpovědí u otázky č. 12</w:t>
      </w:r>
      <w:bookmarkEnd w:id="489"/>
      <w:bookmarkEnd w:id="490"/>
      <w:bookmarkEnd w:id="491"/>
      <w:bookmarkEnd w:id="492"/>
    </w:p>
    <w:tbl>
      <w:tblPr>
        <w:tblW w:w="7370"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5244"/>
        <w:gridCol w:w="1134"/>
        <w:gridCol w:w="992"/>
      </w:tblGrid>
      <w:tr w:rsidR="00F47535" w:rsidRPr="00C138DD" w14:paraId="214AE431" w14:textId="77777777" w:rsidTr="00C81068">
        <w:trPr>
          <w:trHeight w:val="23"/>
          <w:jc w:val="center"/>
        </w:trPr>
        <w:tc>
          <w:tcPr>
            <w:tcW w:w="5244" w:type="dxa"/>
            <w:tcBorders>
              <w:top w:val="single" w:sz="18" w:space="0" w:color="auto"/>
              <w:bottom w:val="single" w:sz="12" w:space="0" w:color="auto"/>
            </w:tcBorders>
            <w:shd w:val="clear" w:color="auto" w:fill="FFC000"/>
            <w:noWrap/>
            <w:vAlign w:val="center"/>
            <w:hideMark/>
          </w:tcPr>
          <w:p w14:paraId="06936109" w14:textId="77777777" w:rsidR="00F47535" w:rsidRPr="00C138DD" w:rsidRDefault="00F47535" w:rsidP="0034794C">
            <w:pPr>
              <w:jc w:val="center"/>
              <w:rPr>
                <w:rFonts w:ascii="Calibri" w:eastAsia="Times New Roman" w:hAnsi="Calibri" w:cs="Calibri"/>
                <w:b/>
                <w:color w:val="000000"/>
                <w:lang w:eastAsia="cs-CZ"/>
              </w:rPr>
            </w:pPr>
            <w:r w:rsidRPr="00C138DD">
              <w:rPr>
                <w:rFonts w:ascii="Calibri" w:eastAsia="Times New Roman" w:hAnsi="Calibri" w:cs="Calibri"/>
                <w:b/>
                <w:color w:val="000000"/>
                <w:lang w:eastAsia="cs-CZ"/>
              </w:rPr>
              <w:t>Odpověď</w:t>
            </w:r>
          </w:p>
        </w:tc>
        <w:tc>
          <w:tcPr>
            <w:tcW w:w="1134" w:type="dxa"/>
            <w:tcBorders>
              <w:top w:val="single" w:sz="18" w:space="0" w:color="auto"/>
              <w:bottom w:val="single" w:sz="12" w:space="0" w:color="auto"/>
            </w:tcBorders>
            <w:shd w:val="clear" w:color="auto" w:fill="FFC000"/>
            <w:noWrap/>
            <w:vAlign w:val="center"/>
            <w:hideMark/>
          </w:tcPr>
          <w:p w14:paraId="5EFE53C9" w14:textId="77777777" w:rsidR="00F47535" w:rsidRPr="00C138DD" w:rsidRDefault="00F47535" w:rsidP="0034794C">
            <w:pPr>
              <w:jc w:val="center"/>
              <w:rPr>
                <w:rFonts w:ascii="Calibri" w:eastAsia="Times New Roman" w:hAnsi="Calibri" w:cs="Calibri"/>
                <w:b/>
                <w:color w:val="000000"/>
                <w:lang w:eastAsia="cs-CZ"/>
              </w:rPr>
            </w:pPr>
            <w:r w:rsidRPr="00C138DD">
              <w:rPr>
                <w:rFonts w:ascii="Calibri" w:eastAsia="Times New Roman" w:hAnsi="Calibri" w:cs="Calibri"/>
                <w:b/>
                <w:color w:val="000000"/>
                <w:lang w:eastAsia="cs-CZ"/>
              </w:rPr>
              <w:t>Responzí</w:t>
            </w:r>
          </w:p>
        </w:tc>
        <w:tc>
          <w:tcPr>
            <w:tcW w:w="992" w:type="dxa"/>
            <w:tcBorders>
              <w:top w:val="single" w:sz="18" w:space="0" w:color="auto"/>
              <w:bottom w:val="single" w:sz="12" w:space="0" w:color="auto"/>
            </w:tcBorders>
            <w:shd w:val="clear" w:color="auto" w:fill="FFC000"/>
            <w:noWrap/>
            <w:vAlign w:val="center"/>
            <w:hideMark/>
          </w:tcPr>
          <w:p w14:paraId="5DE124BA" w14:textId="77777777" w:rsidR="00F47535" w:rsidRPr="00C138DD" w:rsidRDefault="00F47535" w:rsidP="0034794C">
            <w:pPr>
              <w:jc w:val="center"/>
              <w:rPr>
                <w:rFonts w:ascii="Calibri" w:eastAsia="Times New Roman" w:hAnsi="Calibri" w:cs="Calibri"/>
                <w:b/>
                <w:color w:val="000000"/>
                <w:lang w:eastAsia="cs-CZ"/>
              </w:rPr>
            </w:pPr>
            <w:r w:rsidRPr="00C138DD">
              <w:rPr>
                <w:rFonts w:ascii="Calibri" w:eastAsia="Times New Roman" w:hAnsi="Calibri" w:cs="Calibri"/>
                <w:b/>
                <w:color w:val="000000"/>
                <w:lang w:eastAsia="cs-CZ"/>
              </w:rPr>
              <w:t>Podíl</w:t>
            </w:r>
          </w:p>
        </w:tc>
      </w:tr>
      <w:tr w:rsidR="003D45F7" w:rsidRPr="00C138DD" w14:paraId="7FAB0097" w14:textId="77777777" w:rsidTr="003D45F7">
        <w:trPr>
          <w:trHeight w:val="300"/>
          <w:jc w:val="center"/>
        </w:trPr>
        <w:tc>
          <w:tcPr>
            <w:tcW w:w="5244" w:type="dxa"/>
            <w:tcBorders>
              <w:top w:val="single" w:sz="12" w:space="0" w:color="auto"/>
            </w:tcBorders>
            <w:shd w:val="clear" w:color="auto" w:fill="D9D9D9" w:themeFill="background1" w:themeFillShade="D9"/>
            <w:noWrap/>
            <w:vAlign w:val="center"/>
            <w:hideMark/>
          </w:tcPr>
          <w:p w14:paraId="5120DF80" w14:textId="1F73E49A" w:rsidR="003D45F7" w:rsidRPr="00090BA9" w:rsidRDefault="003D45F7" w:rsidP="003D45F7">
            <w:pPr>
              <w:rPr>
                <w:rFonts w:ascii="Calibri" w:eastAsia="Times New Roman" w:hAnsi="Calibri" w:cs="Calibri"/>
                <w:bCs/>
                <w:color w:val="000000"/>
                <w:lang w:eastAsia="cs-CZ"/>
              </w:rPr>
            </w:pPr>
            <w:r>
              <w:rPr>
                <w:rFonts w:ascii="Calibri" w:hAnsi="Calibri" w:cs="Calibri"/>
                <w:color w:val="000000"/>
              </w:rPr>
              <w:t>zlepšení podmínek pro podnikání</w:t>
            </w:r>
          </w:p>
        </w:tc>
        <w:tc>
          <w:tcPr>
            <w:tcW w:w="1134" w:type="dxa"/>
            <w:tcBorders>
              <w:top w:val="single" w:sz="12" w:space="0" w:color="auto"/>
            </w:tcBorders>
            <w:shd w:val="clear" w:color="auto" w:fill="auto"/>
            <w:noWrap/>
            <w:vAlign w:val="center"/>
          </w:tcPr>
          <w:p w14:paraId="752B1813" w14:textId="7DE11B0F" w:rsidR="003D45F7" w:rsidRDefault="003D45F7" w:rsidP="003D45F7">
            <w:pPr>
              <w:jc w:val="right"/>
              <w:rPr>
                <w:rFonts w:ascii="Calibri" w:hAnsi="Calibri" w:cs="Calibri"/>
                <w:color w:val="000000"/>
              </w:rPr>
            </w:pPr>
            <w:r>
              <w:rPr>
                <w:rFonts w:ascii="Calibri" w:hAnsi="Calibri" w:cs="Calibri"/>
                <w:color w:val="000000"/>
              </w:rPr>
              <w:t>0</w:t>
            </w:r>
          </w:p>
        </w:tc>
        <w:tc>
          <w:tcPr>
            <w:tcW w:w="992" w:type="dxa"/>
            <w:tcBorders>
              <w:top w:val="single" w:sz="12" w:space="0" w:color="auto"/>
            </w:tcBorders>
            <w:shd w:val="clear" w:color="auto" w:fill="auto"/>
            <w:noWrap/>
            <w:vAlign w:val="center"/>
          </w:tcPr>
          <w:p w14:paraId="1147844C" w14:textId="42FDA96B" w:rsidR="003D45F7" w:rsidRDefault="003D45F7" w:rsidP="003D45F7">
            <w:pPr>
              <w:jc w:val="right"/>
              <w:rPr>
                <w:rFonts w:ascii="Calibri" w:hAnsi="Calibri" w:cs="Calibri"/>
                <w:color w:val="000000"/>
              </w:rPr>
            </w:pPr>
            <w:r>
              <w:rPr>
                <w:rFonts w:ascii="Calibri" w:hAnsi="Calibri" w:cs="Calibri"/>
                <w:color w:val="000000"/>
              </w:rPr>
              <w:t>0,0 %</w:t>
            </w:r>
          </w:p>
        </w:tc>
      </w:tr>
      <w:tr w:rsidR="003D45F7" w:rsidRPr="00C138DD" w14:paraId="66C541C7" w14:textId="77777777" w:rsidTr="003D45F7">
        <w:trPr>
          <w:trHeight w:val="300"/>
          <w:jc w:val="center"/>
        </w:trPr>
        <w:tc>
          <w:tcPr>
            <w:tcW w:w="5244" w:type="dxa"/>
            <w:shd w:val="clear" w:color="auto" w:fill="D9D9D9" w:themeFill="background1" w:themeFillShade="D9"/>
            <w:noWrap/>
            <w:vAlign w:val="center"/>
            <w:hideMark/>
          </w:tcPr>
          <w:p w14:paraId="5E42AEC5" w14:textId="2864DCF4" w:rsidR="003D45F7" w:rsidRPr="00090BA9" w:rsidRDefault="003D45F7" w:rsidP="003D45F7">
            <w:pPr>
              <w:rPr>
                <w:rFonts w:ascii="Calibri" w:eastAsia="Times New Roman" w:hAnsi="Calibri" w:cs="Calibri"/>
                <w:bCs/>
                <w:color w:val="000000"/>
                <w:lang w:eastAsia="cs-CZ"/>
              </w:rPr>
            </w:pPr>
            <w:r>
              <w:rPr>
                <w:rFonts w:ascii="Calibri" w:hAnsi="Calibri" w:cs="Calibri"/>
                <w:color w:val="000000"/>
              </w:rPr>
              <w:t>podpora bytové výstavby</w:t>
            </w:r>
          </w:p>
        </w:tc>
        <w:tc>
          <w:tcPr>
            <w:tcW w:w="1134" w:type="dxa"/>
            <w:shd w:val="clear" w:color="auto" w:fill="auto"/>
            <w:noWrap/>
            <w:vAlign w:val="center"/>
          </w:tcPr>
          <w:p w14:paraId="3F37969B" w14:textId="5E15F5A8" w:rsidR="003D45F7" w:rsidRDefault="003D45F7" w:rsidP="003D45F7">
            <w:pPr>
              <w:jc w:val="right"/>
              <w:rPr>
                <w:rFonts w:ascii="Calibri" w:hAnsi="Calibri" w:cs="Calibri"/>
                <w:color w:val="000000"/>
              </w:rPr>
            </w:pPr>
            <w:r>
              <w:rPr>
                <w:rFonts w:ascii="Calibri" w:hAnsi="Calibri" w:cs="Calibri"/>
                <w:color w:val="000000"/>
              </w:rPr>
              <w:t>24</w:t>
            </w:r>
          </w:p>
        </w:tc>
        <w:tc>
          <w:tcPr>
            <w:tcW w:w="992" w:type="dxa"/>
            <w:shd w:val="clear" w:color="auto" w:fill="auto"/>
            <w:noWrap/>
            <w:vAlign w:val="center"/>
          </w:tcPr>
          <w:p w14:paraId="52998662" w14:textId="3240D863" w:rsidR="003D45F7" w:rsidRDefault="003D45F7" w:rsidP="003D45F7">
            <w:pPr>
              <w:jc w:val="right"/>
              <w:rPr>
                <w:rFonts w:ascii="Calibri" w:hAnsi="Calibri" w:cs="Calibri"/>
                <w:color w:val="000000"/>
              </w:rPr>
            </w:pPr>
            <w:r>
              <w:rPr>
                <w:rFonts w:ascii="Calibri" w:hAnsi="Calibri" w:cs="Calibri"/>
                <w:color w:val="000000"/>
              </w:rPr>
              <w:t>18,6 %</w:t>
            </w:r>
          </w:p>
        </w:tc>
      </w:tr>
      <w:tr w:rsidR="003D45F7" w:rsidRPr="00C138DD" w14:paraId="31F921E0" w14:textId="77777777" w:rsidTr="003D45F7">
        <w:trPr>
          <w:trHeight w:val="300"/>
          <w:jc w:val="center"/>
        </w:trPr>
        <w:tc>
          <w:tcPr>
            <w:tcW w:w="5244" w:type="dxa"/>
            <w:shd w:val="clear" w:color="auto" w:fill="D9D9D9" w:themeFill="background1" w:themeFillShade="D9"/>
            <w:noWrap/>
            <w:vAlign w:val="center"/>
            <w:hideMark/>
          </w:tcPr>
          <w:p w14:paraId="387969E0" w14:textId="217D149A" w:rsidR="003D45F7" w:rsidRPr="00090BA9" w:rsidRDefault="003D45F7" w:rsidP="003D45F7">
            <w:pPr>
              <w:rPr>
                <w:rFonts w:ascii="Calibri" w:eastAsia="Times New Roman" w:hAnsi="Calibri" w:cs="Calibri"/>
                <w:bCs/>
                <w:color w:val="000000"/>
                <w:lang w:eastAsia="cs-CZ"/>
              </w:rPr>
            </w:pPr>
            <w:r>
              <w:rPr>
                <w:rFonts w:ascii="Calibri" w:hAnsi="Calibri" w:cs="Calibri"/>
                <w:color w:val="000000"/>
              </w:rPr>
              <w:t>častější spoje veřejné dopravy</w:t>
            </w:r>
          </w:p>
        </w:tc>
        <w:tc>
          <w:tcPr>
            <w:tcW w:w="1134" w:type="dxa"/>
            <w:shd w:val="clear" w:color="auto" w:fill="auto"/>
            <w:noWrap/>
            <w:vAlign w:val="center"/>
          </w:tcPr>
          <w:p w14:paraId="24DF9683" w14:textId="7E11DB65" w:rsidR="003D45F7" w:rsidRDefault="003D45F7" w:rsidP="003D45F7">
            <w:pPr>
              <w:jc w:val="right"/>
              <w:rPr>
                <w:rFonts w:ascii="Calibri" w:hAnsi="Calibri" w:cs="Calibri"/>
                <w:color w:val="000000"/>
              </w:rPr>
            </w:pPr>
            <w:r>
              <w:rPr>
                <w:rFonts w:ascii="Calibri" w:hAnsi="Calibri" w:cs="Calibri"/>
                <w:color w:val="000000"/>
              </w:rPr>
              <w:t>25</w:t>
            </w:r>
          </w:p>
        </w:tc>
        <w:tc>
          <w:tcPr>
            <w:tcW w:w="992" w:type="dxa"/>
            <w:shd w:val="clear" w:color="auto" w:fill="auto"/>
            <w:noWrap/>
            <w:vAlign w:val="center"/>
          </w:tcPr>
          <w:p w14:paraId="309DD4CA" w14:textId="0C2B804C" w:rsidR="003D45F7" w:rsidRDefault="003D45F7" w:rsidP="003D45F7">
            <w:pPr>
              <w:jc w:val="right"/>
              <w:rPr>
                <w:rFonts w:ascii="Calibri" w:hAnsi="Calibri" w:cs="Calibri"/>
                <w:color w:val="000000"/>
              </w:rPr>
            </w:pPr>
            <w:r>
              <w:rPr>
                <w:rFonts w:ascii="Calibri" w:hAnsi="Calibri" w:cs="Calibri"/>
                <w:color w:val="000000"/>
              </w:rPr>
              <w:t>19,4 %</w:t>
            </w:r>
          </w:p>
        </w:tc>
      </w:tr>
      <w:tr w:rsidR="003D45F7" w:rsidRPr="00C138DD" w14:paraId="0E36DA98" w14:textId="77777777" w:rsidTr="003D45F7">
        <w:trPr>
          <w:trHeight w:val="300"/>
          <w:jc w:val="center"/>
        </w:trPr>
        <w:tc>
          <w:tcPr>
            <w:tcW w:w="5244" w:type="dxa"/>
            <w:shd w:val="clear" w:color="auto" w:fill="D9D9D9" w:themeFill="background1" w:themeFillShade="D9"/>
            <w:noWrap/>
            <w:vAlign w:val="center"/>
            <w:hideMark/>
          </w:tcPr>
          <w:p w14:paraId="3D9555B5" w14:textId="033368E8" w:rsidR="003D45F7" w:rsidRPr="00090BA9" w:rsidRDefault="003D45F7" w:rsidP="003D45F7">
            <w:pPr>
              <w:rPr>
                <w:rFonts w:ascii="Calibri" w:eastAsia="Times New Roman" w:hAnsi="Calibri" w:cs="Calibri"/>
                <w:bCs/>
                <w:color w:val="000000"/>
                <w:lang w:eastAsia="cs-CZ"/>
              </w:rPr>
            </w:pPr>
            <w:r>
              <w:rPr>
                <w:rFonts w:ascii="Calibri" w:hAnsi="Calibri" w:cs="Calibri"/>
                <w:color w:val="000000"/>
              </w:rPr>
              <w:t>zřízení provozoven obchodu a služeb v obci</w:t>
            </w:r>
          </w:p>
        </w:tc>
        <w:tc>
          <w:tcPr>
            <w:tcW w:w="1134" w:type="dxa"/>
            <w:shd w:val="clear" w:color="auto" w:fill="auto"/>
            <w:noWrap/>
            <w:vAlign w:val="center"/>
          </w:tcPr>
          <w:p w14:paraId="2505D799" w14:textId="2FE85E38" w:rsidR="003D45F7" w:rsidRDefault="003D45F7" w:rsidP="003D45F7">
            <w:pPr>
              <w:jc w:val="right"/>
              <w:rPr>
                <w:rFonts w:ascii="Calibri" w:hAnsi="Calibri" w:cs="Calibri"/>
                <w:color w:val="000000"/>
              </w:rPr>
            </w:pPr>
            <w:r>
              <w:rPr>
                <w:rFonts w:ascii="Calibri" w:hAnsi="Calibri" w:cs="Calibri"/>
                <w:color w:val="000000"/>
              </w:rPr>
              <w:t>92</w:t>
            </w:r>
          </w:p>
        </w:tc>
        <w:tc>
          <w:tcPr>
            <w:tcW w:w="992" w:type="dxa"/>
            <w:shd w:val="clear" w:color="auto" w:fill="auto"/>
            <w:noWrap/>
            <w:vAlign w:val="center"/>
          </w:tcPr>
          <w:p w14:paraId="6C2CD010" w14:textId="31AE3AFE" w:rsidR="003D45F7" w:rsidRDefault="003D45F7" w:rsidP="003D45F7">
            <w:pPr>
              <w:jc w:val="right"/>
              <w:rPr>
                <w:rFonts w:ascii="Calibri" w:hAnsi="Calibri" w:cs="Calibri"/>
                <w:color w:val="000000"/>
              </w:rPr>
            </w:pPr>
            <w:r>
              <w:rPr>
                <w:rFonts w:ascii="Calibri" w:hAnsi="Calibri" w:cs="Calibri"/>
                <w:color w:val="000000"/>
              </w:rPr>
              <w:t>71,3 %</w:t>
            </w:r>
          </w:p>
        </w:tc>
      </w:tr>
      <w:tr w:rsidR="003D45F7" w:rsidRPr="00C138DD" w14:paraId="04072B1E" w14:textId="77777777" w:rsidTr="003D45F7">
        <w:trPr>
          <w:trHeight w:val="300"/>
          <w:jc w:val="center"/>
        </w:trPr>
        <w:tc>
          <w:tcPr>
            <w:tcW w:w="5244" w:type="dxa"/>
            <w:shd w:val="clear" w:color="auto" w:fill="D9D9D9" w:themeFill="background1" w:themeFillShade="D9"/>
            <w:noWrap/>
            <w:vAlign w:val="center"/>
            <w:hideMark/>
          </w:tcPr>
          <w:p w14:paraId="696CB888" w14:textId="7ACC64F7" w:rsidR="003D45F7" w:rsidRPr="00090BA9" w:rsidRDefault="003D45F7" w:rsidP="003D45F7">
            <w:pPr>
              <w:rPr>
                <w:rFonts w:ascii="Calibri" w:eastAsia="Times New Roman" w:hAnsi="Calibri" w:cs="Calibri"/>
                <w:bCs/>
                <w:color w:val="000000"/>
                <w:lang w:eastAsia="cs-CZ"/>
              </w:rPr>
            </w:pPr>
            <w:r>
              <w:rPr>
                <w:rFonts w:ascii="Calibri" w:hAnsi="Calibri" w:cs="Calibri"/>
                <w:color w:val="000000"/>
              </w:rPr>
              <w:t>rekonstrukce místních komunikací</w:t>
            </w:r>
          </w:p>
        </w:tc>
        <w:tc>
          <w:tcPr>
            <w:tcW w:w="1134" w:type="dxa"/>
            <w:shd w:val="clear" w:color="auto" w:fill="auto"/>
            <w:noWrap/>
            <w:vAlign w:val="center"/>
          </w:tcPr>
          <w:p w14:paraId="0AF025E8" w14:textId="6555D690" w:rsidR="003D45F7" w:rsidRDefault="003D45F7" w:rsidP="003D45F7">
            <w:pPr>
              <w:jc w:val="right"/>
              <w:rPr>
                <w:rFonts w:ascii="Calibri" w:hAnsi="Calibri" w:cs="Calibri"/>
                <w:color w:val="000000"/>
              </w:rPr>
            </w:pPr>
            <w:r>
              <w:rPr>
                <w:rFonts w:ascii="Calibri" w:hAnsi="Calibri" w:cs="Calibri"/>
                <w:color w:val="000000"/>
              </w:rPr>
              <w:t>34</w:t>
            </w:r>
          </w:p>
        </w:tc>
        <w:tc>
          <w:tcPr>
            <w:tcW w:w="992" w:type="dxa"/>
            <w:shd w:val="clear" w:color="auto" w:fill="auto"/>
            <w:noWrap/>
            <w:vAlign w:val="center"/>
          </w:tcPr>
          <w:p w14:paraId="39EAE95B" w14:textId="7376BB61" w:rsidR="003D45F7" w:rsidRDefault="003D45F7" w:rsidP="003D45F7">
            <w:pPr>
              <w:jc w:val="right"/>
              <w:rPr>
                <w:rFonts w:ascii="Calibri" w:hAnsi="Calibri" w:cs="Calibri"/>
                <w:color w:val="000000"/>
              </w:rPr>
            </w:pPr>
            <w:r>
              <w:rPr>
                <w:rFonts w:ascii="Calibri" w:hAnsi="Calibri" w:cs="Calibri"/>
                <w:color w:val="000000"/>
              </w:rPr>
              <w:t>26,4 %</w:t>
            </w:r>
          </w:p>
        </w:tc>
      </w:tr>
      <w:tr w:rsidR="003D45F7" w:rsidRPr="00C138DD" w14:paraId="1937DB2C" w14:textId="77777777" w:rsidTr="003D45F7">
        <w:trPr>
          <w:trHeight w:val="300"/>
          <w:jc w:val="center"/>
        </w:trPr>
        <w:tc>
          <w:tcPr>
            <w:tcW w:w="5244" w:type="dxa"/>
            <w:shd w:val="clear" w:color="auto" w:fill="D9D9D9" w:themeFill="background1" w:themeFillShade="D9"/>
            <w:noWrap/>
            <w:vAlign w:val="center"/>
          </w:tcPr>
          <w:p w14:paraId="7880E2F6" w14:textId="664C3DA8" w:rsidR="003D45F7" w:rsidRPr="00090BA9" w:rsidRDefault="003D45F7" w:rsidP="003D45F7">
            <w:pPr>
              <w:rPr>
                <w:rFonts w:ascii="Calibri" w:eastAsia="Times New Roman" w:hAnsi="Calibri" w:cs="Calibri"/>
                <w:bCs/>
                <w:color w:val="000000"/>
                <w:lang w:eastAsia="cs-CZ"/>
              </w:rPr>
            </w:pPr>
            <w:r>
              <w:rPr>
                <w:rFonts w:ascii="Calibri" w:hAnsi="Calibri" w:cs="Calibri"/>
                <w:color w:val="000000"/>
              </w:rPr>
              <w:t>vybudování chodníků</w:t>
            </w:r>
          </w:p>
        </w:tc>
        <w:tc>
          <w:tcPr>
            <w:tcW w:w="1134" w:type="dxa"/>
            <w:shd w:val="clear" w:color="auto" w:fill="auto"/>
            <w:noWrap/>
            <w:vAlign w:val="center"/>
          </w:tcPr>
          <w:p w14:paraId="038FF434" w14:textId="3105DADC" w:rsidR="003D45F7" w:rsidRDefault="003D45F7" w:rsidP="003D45F7">
            <w:pPr>
              <w:jc w:val="right"/>
              <w:rPr>
                <w:rFonts w:ascii="Calibri" w:hAnsi="Calibri" w:cs="Calibri"/>
                <w:color w:val="000000"/>
              </w:rPr>
            </w:pPr>
            <w:r>
              <w:rPr>
                <w:rFonts w:ascii="Calibri" w:hAnsi="Calibri" w:cs="Calibri"/>
                <w:color w:val="000000"/>
              </w:rPr>
              <w:t>63</w:t>
            </w:r>
          </w:p>
        </w:tc>
        <w:tc>
          <w:tcPr>
            <w:tcW w:w="992" w:type="dxa"/>
            <w:shd w:val="clear" w:color="auto" w:fill="auto"/>
            <w:noWrap/>
            <w:vAlign w:val="center"/>
          </w:tcPr>
          <w:p w14:paraId="449813AE" w14:textId="5BA04821" w:rsidR="003D45F7" w:rsidRDefault="003D45F7" w:rsidP="003D45F7">
            <w:pPr>
              <w:jc w:val="right"/>
              <w:rPr>
                <w:rFonts w:ascii="Calibri" w:hAnsi="Calibri" w:cs="Calibri"/>
                <w:color w:val="000000"/>
              </w:rPr>
            </w:pPr>
            <w:r>
              <w:rPr>
                <w:rFonts w:ascii="Calibri" w:hAnsi="Calibri" w:cs="Calibri"/>
                <w:color w:val="000000"/>
              </w:rPr>
              <w:t>48,8 %</w:t>
            </w:r>
          </w:p>
        </w:tc>
      </w:tr>
      <w:tr w:rsidR="003D45F7" w:rsidRPr="00C138DD" w14:paraId="37D1FFDC" w14:textId="77777777" w:rsidTr="003D45F7">
        <w:trPr>
          <w:trHeight w:val="300"/>
          <w:jc w:val="center"/>
        </w:trPr>
        <w:tc>
          <w:tcPr>
            <w:tcW w:w="5244" w:type="dxa"/>
            <w:shd w:val="clear" w:color="auto" w:fill="D9D9D9" w:themeFill="background1" w:themeFillShade="D9"/>
            <w:noWrap/>
            <w:vAlign w:val="center"/>
            <w:hideMark/>
          </w:tcPr>
          <w:p w14:paraId="220DD652" w14:textId="55316A6C" w:rsidR="003D45F7" w:rsidRPr="00090BA9" w:rsidRDefault="003D45F7" w:rsidP="003D45F7">
            <w:pPr>
              <w:rPr>
                <w:rFonts w:ascii="Calibri" w:eastAsia="Times New Roman" w:hAnsi="Calibri" w:cs="Calibri"/>
                <w:bCs/>
                <w:color w:val="000000"/>
                <w:lang w:eastAsia="cs-CZ"/>
              </w:rPr>
            </w:pPr>
            <w:r>
              <w:rPr>
                <w:rFonts w:ascii="Calibri" w:hAnsi="Calibri" w:cs="Calibri"/>
                <w:color w:val="000000"/>
              </w:rPr>
              <w:t>podpora kulturních, společenských a sportovních aktivit</w:t>
            </w:r>
          </w:p>
        </w:tc>
        <w:tc>
          <w:tcPr>
            <w:tcW w:w="1134" w:type="dxa"/>
            <w:shd w:val="clear" w:color="auto" w:fill="auto"/>
            <w:noWrap/>
            <w:vAlign w:val="center"/>
          </w:tcPr>
          <w:p w14:paraId="07E3D904" w14:textId="3ACFBF00" w:rsidR="003D45F7" w:rsidRDefault="003D45F7" w:rsidP="003D45F7">
            <w:pPr>
              <w:jc w:val="right"/>
              <w:rPr>
                <w:rFonts w:ascii="Calibri" w:hAnsi="Calibri" w:cs="Calibri"/>
                <w:color w:val="000000"/>
              </w:rPr>
            </w:pPr>
            <w:r>
              <w:rPr>
                <w:rFonts w:ascii="Calibri" w:hAnsi="Calibri" w:cs="Calibri"/>
                <w:color w:val="000000"/>
              </w:rPr>
              <w:t>36</w:t>
            </w:r>
          </w:p>
        </w:tc>
        <w:tc>
          <w:tcPr>
            <w:tcW w:w="992" w:type="dxa"/>
            <w:shd w:val="clear" w:color="auto" w:fill="auto"/>
            <w:noWrap/>
            <w:vAlign w:val="center"/>
          </w:tcPr>
          <w:p w14:paraId="4B091E08" w14:textId="15919D7D" w:rsidR="003D45F7" w:rsidRDefault="003D45F7" w:rsidP="003D45F7">
            <w:pPr>
              <w:jc w:val="right"/>
              <w:rPr>
                <w:rFonts w:ascii="Calibri" w:hAnsi="Calibri" w:cs="Calibri"/>
                <w:color w:val="000000"/>
              </w:rPr>
            </w:pPr>
            <w:r>
              <w:rPr>
                <w:rFonts w:ascii="Calibri" w:hAnsi="Calibri" w:cs="Calibri"/>
                <w:color w:val="000000"/>
              </w:rPr>
              <w:t>27,9 %</w:t>
            </w:r>
          </w:p>
        </w:tc>
      </w:tr>
      <w:tr w:rsidR="003D45F7" w:rsidRPr="00C138DD" w14:paraId="52B98F34" w14:textId="77777777" w:rsidTr="003D45F7">
        <w:trPr>
          <w:trHeight w:val="300"/>
          <w:jc w:val="center"/>
        </w:trPr>
        <w:tc>
          <w:tcPr>
            <w:tcW w:w="5244" w:type="dxa"/>
            <w:shd w:val="clear" w:color="auto" w:fill="D9D9D9" w:themeFill="background1" w:themeFillShade="D9"/>
            <w:noWrap/>
            <w:vAlign w:val="center"/>
            <w:hideMark/>
          </w:tcPr>
          <w:p w14:paraId="0E51646E" w14:textId="3BF7076F" w:rsidR="003D45F7" w:rsidRPr="00090BA9" w:rsidRDefault="003D45F7" w:rsidP="003D45F7">
            <w:pPr>
              <w:rPr>
                <w:rFonts w:ascii="Calibri" w:eastAsia="Times New Roman" w:hAnsi="Calibri" w:cs="Calibri"/>
                <w:bCs/>
                <w:color w:val="000000"/>
                <w:lang w:eastAsia="cs-CZ"/>
              </w:rPr>
            </w:pPr>
            <w:r>
              <w:rPr>
                <w:rFonts w:ascii="Calibri" w:hAnsi="Calibri" w:cs="Calibri"/>
                <w:color w:val="000000"/>
              </w:rPr>
              <w:t>péče o veřejnou zeleň a prostředí v obci</w:t>
            </w:r>
          </w:p>
        </w:tc>
        <w:tc>
          <w:tcPr>
            <w:tcW w:w="1134" w:type="dxa"/>
            <w:shd w:val="clear" w:color="auto" w:fill="auto"/>
            <w:noWrap/>
            <w:vAlign w:val="center"/>
          </w:tcPr>
          <w:p w14:paraId="63868AB4" w14:textId="6231382D" w:rsidR="003D45F7" w:rsidRDefault="003D45F7" w:rsidP="003D45F7">
            <w:pPr>
              <w:jc w:val="right"/>
              <w:rPr>
                <w:rFonts w:ascii="Calibri" w:hAnsi="Calibri" w:cs="Calibri"/>
                <w:color w:val="000000"/>
              </w:rPr>
            </w:pPr>
            <w:r>
              <w:rPr>
                <w:rFonts w:ascii="Calibri" w:hAnsi="Calibri" w:cs="Calibri"/>
                <w:color w:val="000000"/>
              </w:rPr>
              <w:t>27</w:t>
            </w:r>
          </w:p>
        </w:tc>
        <w:tc>
          <w:tcPr>
            <w:tcW w:w="992" w:type="dxa"/>
            <w:shd w:val="clear" w:color="auto" w:fill="auto"/>
            <w:noWrap/>
            <w:vAlign w:val="center"/>
          </w:tcPr>
          <w:p w14:paraId="3B8404D1" w14:textId="348CA13B" w:rsidR="003D45F7" w:rsidRDefault="003D45F7" w:rsidP="003D45F7">
            <w:pPr>
              <w:jc w:val="right"/>
              <w:rPr>
                <w:rFonts w:ascii="Calibri" w:hAnsi="Calibri" w:cs="Calibri"/>
                <w:color w:val="000000"/>
              </w:rPr>
            </w:pPr>
            <w:r>
              <w:rPr>
                <w:rFonts w:ascii="Calibri" w:hAnsi="Calibri" w:cs="Calibri"/>
                <w:color w:val="000000"/>
              </w:rPr>
              <w:t>20,9 %</w:t>
            </w:r>
          </w:p>
        </w:tc>
      </w:tr>
      <w:tr w:rsidR="003D45F7" w:rsidRPr="00C138DD" w14:paraId="5ACDAD2A" w14:textId="77777777" w:rsidTr="003D45F7">
        <w:trPr>
          <w:trHeight w:val="300"/>
          <w:jc w:val="center"/>
        </w:trPr>
        <w:tc>
          <w:tcPr>
            <w:tcW w:w="5244" w:type="dxa"/>
            <w:shd w:val="clear" w:color="auto" w:fill="D9D9D9" w:themeFill="background1" w:themeFillShade="D9"/>
            <w:noWrap/>
            <w:vAlign w:val="center"/>
            <w:hideMark/>
          </w:tcPr>
          <w:p w14:paraId="33B7B075" w14:textId="012E8081" w:rsidR="003D45F7" w:rsidRPr="00090BA9" w:rsidRDefault="003D45F7" w:rsidP="003D45F7">
            <w:pPr>
              <w:rPr>
                <w:rFonts w:ascii="Calibri" w:eastAsia="Times New Roman" w:hAnsi="Calibri" w:cs="Calibri"/>
                <w:bCs/>
                <w:color w:val="000000"/>
                <w:lang w:eastAsia="cs-CZ"/>
              </w:rPr>
            </w:pPr>
            <w:r>
              <w:rPr>
                <w:rFonts w:ascii="Calibri" w:hAnsi="Calibri" w:cs="Calibri"/>
                <w:color w:val="000000"/>
              </w:rPr>
              <w:t>opravy památek v obci</w:t>
            </w:r>
          </w:p>
        </w:tc>
        <w:tc>
          <w:tcPr>
            <w:tcW w:w="1134" w:type="dxa"/>
            <w:shd w:val="clear" w:color="auto" w:fill="auto"/>
            <w:noWrap/>
            <w:vAlign w:val="center"/>
          </w:tcPr>
          <w:p w14:paraId="28F947EE" w14:textId="13FB0DDE" w:rsidR="003D45F7" w:rsidRDefault="003D45F7" w:rsidP="003D45F7">
            <w:pPr>
              <w:jc w:val="right"/>
              <w:rPr>
                <w:rFonts w:ascii="Calibri" w:hAnsi="Calibri" w:cs="Calibri"/>
                <w:color w:val="000000"/>
              </w:rPr>
            </w:pPr>
            <w:r>
              <w:rPr>
                <w:rFonts w:ascii="Calibri" w:hAnsi="Calibri" w:cs="Calibri"/>
                <w:color w:val="000000"/>
              </w:rPr>
              <w:t>19</w:t>
            </w:r>
          </w:p>
        </w:tc>
        <w:tc>
          <w:tcPr>
            <w:tcW w:w="992" w:type="dxa"/>
            <w:shd w:val="clear" w:color="auto" w:fill="auto"/>
            <w:noWrap/>
            <w:vAlign w:val="center"/>
          </w:tcPr>
          <w:p w14:paraId="7E493D9D" w14:textId="5D3B73F9" w:rsidR="003D45F7" w:rsidRDefault="003D45F7" w:rsidP="003D45F7">
            <w:pPr>
              <w:jc w:val="right"/>
              <w:rPr>
                <w:rFonts w:ascii="Calibri" w:hAnsi="Calibri" w:cs="Calibri"/>
                <w:color w:val="000000"/>
              </w:rPr>
            </w:pPr>
            <w:r>
              <w:rPr>
                <w:rFonts w:ascii="Calibri" w:hAnsi="Calibri" w:cs="Calibri"/>
                <w:color w:val="000000"/>
              </w:rPr>
              <w:t>14,7 %</w:t>
            </w:r>
          </w:p>
        </w:tc>
      </w:tr>
      <w:tr w:rsidR="003D45F7" w:rsidRPr="00C138DD" w14:paraId="591FDDC7" w14:textId="77777777" w:rsidTr="003D45F7">
        <w:trPr>
          <w:trHeight w:val="300"/>
          <w:jc w:val="center"/>
        </w:trPr>
        <w:tc>
          <w:tcPr>
            <w:tcW w:w="5244" w:type="dxa"/>
            <w:tcBorders>
              <w:bottom w:val="single" w:sz="18" w:space="0" w:color="auto"/>
            </w:tcBorders>
            <w:shd w:val="clear" w:color="auto" w:fill="D9D9D9" w:themeFill="background1" w:themeFillShade="D9"/>
            <w:noWrap/>
            <w:vAlign w:val="center"/>
            <w:hideMark/>
          </w:tcPr>
          <w:p w14:paraId="1F790B49" w14:textId="7B39A8E5" w:rsidR="003D45F7" w:rsidRPr="00090BA9" w:rsidRDefault="003D45F7" w:rsidP="003D45F7">
            <w:pPr>
              <w:rPr>
                <w:rFonts w:ascii="Calibri" w:eastAsia="Times New Roman" w:hAnsi="Calibri" w:cs="Calibri"/>
                <w:bCs/>
                <w:color w:val="000000"/>
                <w:lang w:eastAsia="cs-CZ"/>
              </w:rPr>
            </w:pPr>
            <w:r>
              <w:rPr>
                <w:rFonts w:ascii="Calibri" w:hAnsi="Calibri" w:cs="Calibri"/>
                <w:color w:val="000000"/>
              </w:rPr>
              <w:t>jiné</w:t>
            </w:r>
          </w:p>
        </w:tc>
        <w:tc>
          <w:tcPr>
            <w:tcW w:w="1134" w:type="dxa"/>
            <w:tcBorders>
              <w:bottom w:val="single" w:sz="18" w:space="0" w:color="auto"/>
            </w:tcBorders>
            <w:shd w:val="clear" w:color="auto" w:fill="auto"/>
            <w:noWrap/>
            <w:vAlign w:val="center"/>
          </w:tcPr>
          <w:p w14:paraId="01B2BFFF" w14:textId="0995A6F0" w:rsidR="003D45F7" w:rsidRDefault="003D45F7" w:rsidP="003D45F7">
            <w:pPr>
              <w:jc w:val="right"/>
              <w:rPr>
                <w:rFonts w:ascii="Calibri" w:hAnsi="Calibri" w:cs="Calibri"/>
                <w:color w:val="000000"/>
              </w:rPr>
            </w:pPr>
            <w:r>
              <w:rPr>
                <w:rFonts w:ascii="Calibri" w:hAnsi="Calibri" w:cs="Calibri"/>
                <w:color w:val="000000"/>
              </w:rPr>
              <w:t>22</w:t>
            </w:r>
          </w:p>
        </w:tc>
        <w:tc>
          <w:tcPr>
            <w:tcW w:w="992" w:type="dxa"/>
            <w:tcBorders>
              <w:bottom w:val="single" w:sz="18" w:space="0" w:color="auto"/>
            </w:tcBorders>
            <w:shd w:val="clear" w:color="auto" w:fill="auto"/>
            <w:noWrap/>
            <w:vAlign w:val="center"/>
          </w:tcPr>
          <w:p w14:paraId="417C5042" w14:textId="5518CBA6" w:rsidR="003D45F7" w:rsidRDefault="003D45F7" w:rsidP="003D45F7">
            <w:pPr>
              <w:jc w:val="right"/>
              <w:rPr>
                <w:rFonts w:ascii="Calibri" w:hAnsi="Calibri" w:cs="Calibri"/>
                <w:color w:val="000000"/>
              </w:rPr>
            </w:pPr>
            <w:r>
              <w:rPr>
                <w:rFonts w:ascii="Calibri" w:hAnsi="Calibri" w:cs="Calibri"/>
                <w:color w:val="000000"/>
              </w:rPr>
              <w:t>17,1 %</w:t>
            </w:r>
          </w:p>
        </w:tc>
      </w:tr>
    </w:tbl>
    <w:p w14:paraId="368BF80E" w14:textId="71F2B93C" w:rsidR="00F47535" w:rsidRDefault="00F47535" w:rsidP="00F47535">
      <w:pPr>
        <w:spacing w:after="160"/>
        <w:jc w:val="both"/>
      </w:pPr>
      <w:r w:rsidRPr="00DE3F03">
        <w:rPr>
          <w:b/>
          <w:sz w:val="20"/>
          <w:szCs w:val="20"/>
        </w:rPr>
        <w:t>Poznámky:</w:t>
      </w:r>
      <w:r w:rsidRPr="00DE3F03">
        <w:rPr>
          <w:sz w:val="20"/>
          <w:szCs w:val="20"/>
        </w:rPr>
        <w:t xml:space="preserve"> </w:t>
      </w:r>
      <w:r w:rsidR="0061098E">
        <w:rPr>
          <w:sz w:val="20"/>
          <w:szCs w:val="20"/>
        </w:rPr>
        <w:t>Otázka byla zodpovězena</w:t>
      </w:r>
      <w:r w:rsidR="0061098E" w:rsidRPr="00DE3F03">
        <w:rPr>
          <w:sz w:val="20"/>
          <w:szCs w:val="20"/>
        </w:rPr>
        <w:t xml:space="preserve"> v každém odevzda</w:t>
      </w:r>
      <w:r w:rsidR="0061098E">
        <w:rPr>
          <w:sz w:val="20"/>
          <w:szCs w:val="20"/>
        </w:rPr>
        <w:t>ném vyplněném dotazníku, tj. 129</w:t>
      </w:r>
      <w:r w:rsidR="0061098E" w:rsidRPr="00DE3F03">
        <w:rPr>
          <w:sz w:val="20"/>
          <w:szCs w:val="20"/>
        </w:rPr>
        <w:t xml:space="preserve"> krát</w:t>
      </w:r>
      <w:r w:rsidR="0061098E">
        <w:rPr>
          <w:sz w:val="20"/>
          <w:szCs w:val="20"/>
        </w:rPr>
        <w:t>.</w:t>
      </w:r>
      <w:r w:rsidR="00C30200" w:rsidRPr="00DE3F03">
        <w:rPr>
          <w:sz w:val="20"/>
          <w:szCs w:val="20"/>
        </w:rPr>
        <w:t xml:space="preserve"> Procentuální hodnota představuje podíl dané odpovědi z celkového počtu lidí/subjektů, kteří danou otázku zodpověděli.</w:t>
      </w:r>
    </w:p>
    <w:p w14:paraId="32B805FB" w14:textId="77777777" w:rsidR="00F47535" w:rsidRDefault="00F47535" w:rsidP="00F47535">
      <w:pPr>
        <w:spacing w:after="160" w:line="259" w:lineRule="auto"/>
      </w:pPr>
    </w:p>
    <w:p w14:paraId="58CA404E" w14:textId="15831F69" w:rsidR="00F47535" w:rsidRDefault="00F47535" w:rsidP="00F47535">
      <w:pPr>
        <w:spacing w:after="160" w:line="259" w:lineRule="auto"/>
        <w:jc w:val="both"/>
      </w:pPr>
      <w:r>
        <w:t xml:space="preserve">V této otázce mohli respondenti zaškrtnout až 3 možnosti, na co by přednostně využili obecní finanční prostředky, kdyby mohli rozhodnout o jejich využití. Nejvíce respondentů by tyto prostředky přednostně využilo na </w:t>
      </w:r>
      <w:r w:rsidR="008869D6" w:rsidRPr="008869D6">
        <w:t xml:space="preserve">zřízení provozoven obchodu a služeb v obci </w:t>
      </w:r>
      <w:r>
        <w:t>(</w:t>
      </w:r>
      <w:r w:rsidR="008869D6">
        <w:t>71</w:t>
      </w:r>
      <w:r>
        <w:t xml:space="preserve"> % všech respondentů, kteří tuto otázku zodpověděli), </w:t>
      </w:r>
      <w:r w:rsidR="00C40E56">
        <w:t xml:space="preserve">na </w:t>
      </w:r>
      <w:r w:rsidR="008869D6">
        <w:rPr>
          <w:rFonts w:ascii="Calibri" w:hAnsi="Calibri" w:cs="Calibri"/>
          <w:color w:val="000000"/>
        </w:rPr>
        <w:t>vybudování chodníků</w:t>
      </w:r>
      <w:r w:rsidR="00B72150" w:rsidRPr="001C7B66">
        <w:t xml:space="preserve"> </w:t>
      </w:r>
      <w:r w:rsidR="00B72150">
        <w:t>(</w:t>
      </w:r>
      <w:r w:rsidR="008869D6">
        <w:t>49</w:t>
      </w:r>
      <w:r w:rsidR="00B72150">
        <w:t xml:space="preserve"> %), na </w:t>
      </w:r>
      <w:r w:rsidR="008869D6">
        <w:rPr>
          <w:rFonts w:ascii="Calibri" w:hAnsi="Calibri" w:cs="Calibri"/>
          <w:color w:val="000000"/>
        </w:rPr>
        <w:t>podporu kulturních, společenských a sportovních aktivit</w:t>
      </w:r>
      <w:r w:rsidR="008869D6">
        <w:t xml:space="preserve"> </w:t>
      </w:r>
      <w:r w:rsidR="00B72150">
        <w:t>(</w:t>
      </w:r>
      <w:r w:rsidR="008869D6">
        <w:t>28</w:t>
      </w:r>
      <w:r w:rsidR="00B72150">
        <w:t xml:space="preserve"> %) či na </w:t>
      </w:r>
      <w:r w:rsidR="008869D6">
        <w:rPr>
          <w:rFonts w:ascii="Calibri" w:hAnsi="Calibri" w:cs="Calibri"/>
          <w:color w:val="000000"/>
        </w:rPr>
        <w:t>rekonstrukci místních komunikací</w:t>
      </w:r>
      <w:r w:rsidR="008869D6">
        <w:t xml:space="preserve"> </w:t>
      </w:r>
      <w:r w:rsidR="00C40E56">
        <w:t>(</w:t>
      </w:r>
      <w:r w:rsidR="00B72150">
        <w:t>34</w:t>
      </w:r>
      <w:r w:rsidR="00C40E56">
        <w:t xml:space="preserve"> %)</w:t>
      </w:r>
      <w:r w:rsidR="00B72150">
        <w:t>.</w:t>
      </w:r>
    </w:p>
    <w:p w14:paraId="6211CD2C" w14:textId="2AFF01F0" w:rsidR="00F47535" w:rsidRDefault="00F47535" w:rsidP="00FF57B6">
      <w:pPr>
        <w:spacing w:after="60" w:line="259" w:lineRule="auto"/>
        <w:jc w:val="both"/>
      </w:pPr>
      <w:r>
        <w:t xml:space="preserve">Možnost „jiné“ byla zaškrtnuta </w:t>
      </w:r>
      <w:r w:rsidR="00E151BD">
        <w:t>22x</w:t>
      </w:r>
      <w:r>
        <w:t>. Konkrétně byl</w:t>
      </w:r>
      <w:r w:rsidR="00CA24A1">
        <w:t>o</w:t>
      </w:r>
      <w:r>
        <w:t xml:space="preserve"> uveden</w:t>
      </w:r>
      <w:r w:rsidR="00CA24A1">
        <w:t>o</w:t>
      </w:r>
      <w:r w:rsidR="00FF57B6">
        <w:t xml:space="preserve"> (číslo vyjadřuje, kolikrát byl daný námět/názor/komentář zmíněn)</w:t>
      </w:r>
      <w:r w:rsidR="00CA24A1">
        <w:t>:</w:t>
      </w:r>
    </w:p>
    <w:p w14:paraId="24D1BEE2" w14:textId="4EEBCFF0" w:rsidR="00FF57B6" w:rsidRDefault="00FB7581">
      <w:pPr>
        <w:pStyle w:val="Odstavecseseznamem"/>
        <w:numPr>
          <w:ilvl w:val="0"/>
          <w:numId w:val="16"/>
        </w:numPr>
        <w:spacing w:after="40"/>
        <w:ind w:left="425" w:hanging="357"/>
        <w:contextualSpacing w:val="0"/>
        <w:jc w:val="both"/>
      </w:pPr>
      <w:r>
        <w:t>ř</w:t>
      </w:r>
      <w:r w:rsidR="00CD70CE" w:rsidRPr="00CD70CE">
        <w:t>ešení problému odpadních vod</w:t>
      </w:r>
      <w:r>
        <w:t xml:space="preserve"> – 10x, z toho:</w:t>
      </w:r>
    </w:p>
    <w:p w14:paraId="4794FE68" w14:textId="5C561F47" w:rsidR="00FB7581" w:rsidRDefault="00FB7581">
      <w:pPr>
        <w:pStyle w:val="Odstavecseseznamem"/>
        <w:numPr>
          <w:ilvl w:val="1"/>
          <w:numId w:val="16"/>
        </w:numPr>
        <w:spacing w:after="60"/>
        <w:ind w:left="851"/>
        <w:contextualSpacing w:val="0"/>
        <w:jc w:val="both"/>
      </w:pPr>
      <w:r>
        <w:t>v</w:t>
      </w:r>
      <w:r w:rsidRPr="00FB7581">
        <w:t>ybudování kanalizace</w:t>
      </w:r>
      <w:r>
        <w:t xml:space="preserve"> – 8x</w:t>
      </w:r>
    </w:p>
    <w:p w14:paraId="6EFACB0B" w14:textId="32A471A5" w:rsidR="00FB7581" w:rsidRDefault="00FB7581">
      <w:pPr>
        <w:pStyle w:val="Odstavecseseznamem"/>
        <w:numPr>
          <w:ilvl w:val="1"/>
          <w:numId w:val="16"/>
        </w:numPr>
        <w:spacing w:after="40"/>
        <w:ind w:left="851"/>
        <w:contextualSpacing w:val="0"/>
        <w:jc w:val="both"/>
      </w:pPr>
      <w:r>
        <w:t xml:space="preserve">řešit </w:t>
      </w:r>
      <w:r w:rsidRPr="00FB7581">
        <w:t>problém odpadních vod</w:t>
      </w:r>
      <w:r>
        <w:t xml:space="preserve"> obecně – 1x</w:t>
      </w:r>
    </w:p>
    <w:p w14:paraId="69A8A2CD" w14:textId="22E91848" w:rsidR="00FB7581" w:rsidRDefault="00FB7581">
      <w:pPr>
        <w:pStyle w:val="Odstavecseseznamem"/>
        <w:numPr>
          <w:ilvl w:val="1"/>
          <w:numId w:val="16"/>
        </w:numPr>
        <w:spacing w:after="40"/>
        <w:ind w:left="851"/>
        <w:contextualSpacing w:val="0"/>
        <w:jc w:val="both"/>
      </w:pPr>
      <w:r>
        <w:t>s</w:t>
      </w:r>
      <w:r w:rsidRPr="00FB7581">
        <w:t xml:space="preserve"> celkovým růstem obce se jedná o časovaný problém</w:t>
      </w:r>
      <w:r>
        <w:t>; s</w:t>
      </w:r>
      <w:r w:rsidRPr="00FB7581">
        <w:t>pousta domů stále vypouští odpadové vody přímo do potoka</w:t>
      </w:r>
      <w:r>
        <w:t xml:space="preserve"> – 1x</w:t>
      </w:r>
    </w:p>
    <w:p w14:paraId="1D94AB5C" w14:textId="1A4C2A4F" w:rsidR="00FF57B6" w:rsidRDefault="002D15A8">
      <w:pPr>
        <w:pStyle w:val="Odstavecseseznamem"/>
        <w:numPr>
          <w:ilvl w:val="0"/>
          <w:numId w:val="16"/>
        </w:numPr>
        <w:spacing w:before="120" w:after="60"/>
        <w:ind w:left="425" w:hanging="357"/>
        <w:contextualSpacing w:val="0"/>
        <w:jc w:val="both"/>
      </w:pPr>
      <w:r>
        <w:t>v</w:t>
      </w:r>
      <w:r w:rsidRPr="002D15A8">
        <w:t>ybudování vodovodu</w:t>
      </w:r>
      <w:r w:rsidR="00FF57B6">
        <w:t xml:space="preserve"> – </w:t>
      </w:r>
      <w:r>
        <w:t>8</w:t>
      </w:r>
      <w:r w:rsidR="00FF57B6">
        <w:t>x</w:t>
      </w:r>
    </w:p>
    <w:p w14:paraId="6B7EB84B" w14:textId="15AB1240" w:rsidR="00FF57B6" w:rsidRDefault="002D15A8">
      <w:pPr>
        <w:pStyle w:val="Odstavecseseznamem"/>
        <w:numPr>
          <w:ilvl w:val="0"/>
          <w:numId w:val="16"/>
        </w:numPr>
        <w:spacing w:after="60"/>
        <w:ind w:left="425" w:hanging="357"/>
        <w:contextualSpacing w:val="0"/>
        <w:jc w:val="both"/>
      </w:pPr>
      <w:r w:rsidRPr="002D15A8">
        <w:t>lepší osvětlení v celé obci</w:t>
      </w:r>
      <w:r w:rsidR="00FF57B6">
        <w:t xml:space="preserve"> – 2x</w:t>
      </w:r>
    </w:p>
    <w:p w14:paraId="77710735" w14:textId="6B7B7A60" w:rsidR="00FF57B6" w:rsidRDefault="002D15A8">
      <w:pPr>
        <w:pStyle w:val="Odstavecseseznamem"/>
        <w:numPr>
          <w:ilvl w:val="0"/>
          <w:numId w:val="16"/>
        </w:numPr>
        <w:spacing w:after="60"/>
        <w:ind w:left="425" w:hanging="357"/>
        <w:contextualSpacing w:val="0"/>
        <w:jc w:val="both"/>
      </w:pPr>
      <w:r w:rsidRPr="002D15A8">
        <w:t>cyklostezka na Dolce</w:t>
      </w:r>
      <w:r w:rsidR="00FF57B6">
        <w:t xml:space="preserve"> – </w:t>
      </w:r>
      <w:r>
        <w:t>2</w:t>
      </w:r>
      <w:r w:rsidR="00FF57B6">
        <w:t>x</w:t>
      </w:r>
    </w:p>
    <w:p w14:paraId="462E8719" w14:textId="34517C6B" w:rsidR="00FF57B6" w:rsidRDefault="002D15A8">
      <w:pPr>
        <w:pStyle w:val="Odstavecseseznamem"/>
        <w:numPr>
          <w:ilvl w:val="0"/>
          <w:numId w:val="16"/>
        </w:numPr>
        <w:spacing w:after="60"/>
        <w:ind w:left="425" w:hanging="357"/>
        <w:contextualSpacing w:val="0"/>
        <w:jc w:val="both"/>
      </w:pPr>
      <w:r w:rsidRPr="002D15A8">
        <w:lastRenderedPageBreak/>
        <w:t>zdroj vody</w:t>
      </w:r>
      <w:r w:rsidR="00FF57B6">
        <w:t xml:space="preserve"> – </w:t>
      </w:r>
      <w:r>
        <w:t>2</w:t>
      </w:r>
      <w:r w:rsidR="00FF57B6">
        <w:t>x</w:t>
      </w:r>
    </w:p>
    <w:p w14:paraId="020193E4" w14:textId="49843420" w:rsidR="00FF57B6" w:rsidRDefault="002D15A8">
      <w:pPr>
        <w:pStyle w:val="Odstavecseseznamem"/>
        <w:numPr>
          <w:ilvl w:val="0"/>
          <w:numId w:val="16"/>
        </w:numPr>
        <w:spacing w:after="60"/>
        <w:ind w:left="425" w:hanging="357"/>
        <w:contextualSpacing w:val="0"/>
        <w:jc w:val="both"/>
      </w:pPr>
      <w:r w:rsidRPr="002D15A8">
        <w:t>mateřská škola</w:t>
      </w:r>
      <w:r w:rsidR="00FF57B6">
        <w:t xml:space="preserve"> – </w:t>
      </w:r>
      <w:r>
        <w:t>2</w:t>
      </w:r>
      <w:r w:rsidR="00FF57B6">
        <w:t>x</w:t>
      </w:r>
    </w:p>
    <w:p w14:paraId="6E501627" w14:textId="16940591" w:rsidR="002D15A8" w:rsidRDefault="002D15A8">
      <w:pPr>
        <w:pStyle w:val="Odstavecseseznamem"/>
        <w:numPr>
          <w:ilvl w:val="0"/>
          <w:numId w:val="16"/>
        </w:numPr>
        <w:spacing w:after="60"/>
        <w:ind w:left="425" w:hanging="357"/>
        <w:contextualSpacing w:val="0"/>
        <w:jc w:val="both"/>
      </w:pPr>
      <w:r>
        <w:t>oprava břehu potoka v Horních Starých Bukách – 1x</w:t>
      </w:r>
    </w:p>
    <w:p w14:paraId="116ED3AD" w14:textId="756BD987" w:rsidR="002D15A8" w:rsidRDefault="002D15A8">
      <w:pPr>
        <w:pStyle w:val="Odstavecseseznamem"/>
        <w:numPr>
          <w:ilvl w:val="0"/>
          <w:numId w:val="16"/>
        </w:numPr>
        <w:spacing w:after="60"/>
        <w:ind w:left="425" w:hanging="357"/>
        <w:contextualSpacing w:val="0"/>
        <w:jc w:val="both"/>
      </w:pPr>
      <w:r>
        <w:t>dokončení realizace související se svozem odpadků + dodat kontejner na bioodpad – 1x</w:t>
      </w:r>
    </w:p>
    <w:p w14:paraId="63BB50EA" w14:textId="5CC46537" w:rsidR="002D15A8" w:rsidRDefault="002D15A8">
      <w:pPr>
        <w:pStyle w:val="Odstavecseseznamem"/>
        <w:numPr>
          <w:ilvl w:val="0"/>
          <w:numId w:val="16"/>
        </w:numPr>
        <w:spacing w:after="60"/>
        <w:ind w:left="425" w:hanging="357"/>
        <w:contextualSpacing w:val="0"/>
        <w:jc w:val="both"/>
      </w:pPr>
      <w:r>
        <w:t>vnitřní herna – 1x</w:t>
      </w:r>
    </w:p>
    <w:p w14:paraId="241BFC46" w14:textId="11BEB8CE" w:rsidR="002D15A8" w:rsidRDefault="002D15A8">
      <w:pPr>
        <w:pStyle w:val="Odstavecseseznamem"/>
        <w:numPr>
          <w:ilvl w:val="0"/>
          <w:numId w:val="16"/>
        </w:numPr>
        <w:spacing w:after="60"/>
        <w:ind w:left="425" w:hanging="357"/>
        <w:contextualSpacing w:val="0"/>
        <w:jc w:val="both"/>
      </w:pPr>
      <w:r>
        <w:t>kontrola rychlosti průjezdovým radarem nebo několika semafory s kontrolou rychlosti (červená při 50 km+) a kamerovou kontrolou průjezdu na červenou – 1x</w:t>
      </w:r>
    </w:p>
    <w:p w14:paraId="60A9C60C" w14:textId="7FA255B3" w:rsidR="002D15A8" w:rsidRDefault="002D15A8">
      <w:pPr>
        <w:pStyle w:val="Odstavecseseznamem"/>
        <w:numPr>
          <w:ilvl w:val="0"/>
          <w:numId w:val="16"/>
        </w:numPr>
        <w:spacing w:after="60"/>
        <w:ind w:left="425" w:hanging="357"/>
        <w:contextualSpacing w:val="0"/>
        <w:jc w:val="both"/>
      </w:pPr>
      <w:r>
        <w:t>škola – 1x</w:t>
      </w:r>
    </w:p>
    <w:p w14:paraId="6C1F922C" w14:textId="2D145234" w:rsidR="002D15A8" w:rsidRDefault="002D15A8">
      <w:pPr>
        <w:pStyle w:val="Odstavecseseznamem"/>
        <w:numPr>
          <w:ilvl w:val="0"/>
          <w:numId w:val="16"/>
        </w:numPr>
        <w:spacing w:after="60"/>
        <w:ind w:left="425" w:hanging="357"/>
        <w:contextualSpacing w:val="0"/>
        <w:jc w:val="both"/>
      </w:pPr>
      <w:r>
        <w:t>rekonstrukce restauračních zařízení – 1x</w:t>
      </w:r>
    </w:p>
    <w:p w14:paraId="12379DB2" w14:textId="3CEEB7F7" w:rsidR="002D15A8" w:rsidRDefault="002D15A8">
      <w:pPr>
        <w:pStyle w:val="Odstavecseseznamem"/>
        <w:numPr>
          <w:ilvl w:val="0"/>
          <w:numId w:val="16"/>
        </w:numPr>
        <w:spacing w:after="60"/>
        <w:ind w:left="425" w:hanging="357"/>
        <w:contextualSpacing w:val="0"/>
        <w:jc w:val="both"/>
      </w:pPr>
      <w:r>
        <w:t>vybudování centra obce, zbourání bývalého kravína – 1x</w:t>
      </w:r>
    </w:p>
    <w:p w14:paraId="11FEDAD3" w14:textId="4FF9CB07" w:rsidR="00FF57B6" w:rsidRDefault="002D15A8">
      <w:pPr>
        <w:pStyle w:val="Odstavecseseznamem"/>
        <w:numPr>
          <w:ilvl w:val="0"/>
          <w:numId w:val="16"/>
        </w:numPr>
        <w:spacing w:after="160"/>
        <w:ind w:left="425" w:hanging="357"/>
        <w:contextualSpacing w:val="0"/>
        <w:jc w:val="both"/>
      </w:pPr>
      <w:r>
        <w:t>pečovatelský dům – 1x</w:t>
      </w:r>
    </w:p>
    <w:p w14:paraId="5766F0D8" w14:textId="506957C7" w:rsidR="00FD6AED" w:rsidRDefault="00FD6AED" w:rsidP="00FF57B6">
      <w:pPr>
        <w:spacing w:after="160" w:line="259" w:lineRule="auto"/>
        <w:jc w:val="both"/>
      </w:pPr>
    </w:p>
    <w:p w14:paraId="05869E6C" w14:textId="77777777" w:rsidR="00F47535" w:rsidRDefault="00F47535" w:rsidP="00F47535">
      <w:pPr>
        <w:spacing w:after="160" w:line="259" w:lineRule="auto"/>
        <w:jc w:val="both"/>
      </w:pPr>
      <w:r w:rsidRPr="000A3F8E">
        <w:rPr>
          <w:rFonts w:cstheme="minorHAnsi"/>
          <w:b/>
          <w:sz w:val="24"/>
          <w:szCs w:val="24"/>
          <w:u w:val="single"/>
          <w:lang w:eastAsia="cs-CZ"/>
        </w:rPr>
        <w:t xml:space="preserve">Otázka č. </w:t>
      </w:r>
      <w:r>
        <w:rPr>
          <w:rFonts w:cstheme="minorHAnsi"/>
          <w:b/>
          <w:sz w:val="24"/>
          <w:szCs w:val="24"/>
          <w:u w:val="single"/>
          <w:lang w:eastAsia="cs-CZ"/>
        </w:rPr>
        <w:t>13</w:t>
      </w:r>
      <w:r w:rsidRPr="000A3F8E">
        <w:rPr>
          <w:rFonts w:cstheme="minorHAnsi"/>
          <w:b/>
          <w:sz w:val="24"/>
          <w:szCs w:val="24"/>
          <w:u w:val="single"/>
          <w:lang w:eastAsia="cs-CZ"/>
        </w:rPr>
        <w:t>:</w:t>
      </w:r>
      <w:r>
        <w:rPr>
          <w:rFonts w:cstheme="minorHAnsi"/>
          <w:b/>
          <w:sz w:val="24"/>
          <w:szCs w:val="24"/>
          <w:u w:val="single"/>
          <w:lang w:eastAsia="cs-CZ"/>
        </w:rPr>
        <w:t xml:space="preserve"> </w:t>
      </w:r>
      <w:r w:rsidRPr="001066EB">
        <w:rPr>
          <w:rFonts w:cstheme="minorHAnsi"/>
          <w:b/>
          <w:sz w:val="24"/>
          <w:szCs w:val="24"/>
          <w:u w:val="single"/>
          <w:lang w:eastAsia="cs-CZ"/>
        </w:rPr>
        <w:t>Obecné informace o respondentovi</w:t>
      </w:r>
    </w:p>
    <w:p w14:paraId="18785813" w14:textId="5D12367E" w:rsidR="00F47535" w:rsidRDefault="00F47535" w:rsidP="00F47535">
      <w:pPr>
        <w:pStyle w:val="TABULKA0"/>
      </w:pPr>
      <w:bookmarkStart w:id="493" w:name="_Toc480751613"/>
      <w:bookmarkStart w:id="494" w:name="_Toc507022068"/>
      <w:bookmarkStart w:id="495" w:name="_Toc32577813"/>
      <w:bookmarkStart w:id="496" w:name="_Toc120651951"/>
      <w:r w:rsidRPr="000E7B38">
        <w:t xml:space="preserve">Tabulka </w:t>
      </w:r>
      <w:r w:rsidR="00621306">
        <w:t>29</w:t>
      </w:r>
      <w:r>
        <w:t>:</w:t>
      </w:r>
      <w:r w:rsidRPr="00405294">
        <w:t xml:space="preserve"> </w:t>
      </w:r>
      <w:r>
        <w:t>Výsledky odpovědí u otázky č. 13</w:t>
      </w:r>
      <w:bookmarkEnd w:id="493"/>
      <w:bookmarkEnd w:id="494"/>
      <w:bookmarkEnd w:id="495"/>
      <w:bookmarkEnd w:id="496"/>
    </w:p>
    <w:tbl>
      <w:tblPr>
        <w:tblW w:w="5245"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2694"/>
        <w:gridCol w:w="1275"/>
        <w:gridCol w:w="1276"/>
      </w:tblGrid>
      <w:tr w:rsidR="00F47535" w:rsidRPr="003B3F7B" w14:paraId="50555C01" w14:textId="77777777" w:rsidTr="00C81068">
        <w:trPr>
          <w:trHeight w:val="300"/>
          <w:jc w:val="center"/>
        </w:trPr>
        <w:tc>
          <w:tcPr>
            <w:tcW w:w="2694" w:type="dxa"/>
            <w:tcBorders>
              <w:top w:val="single" w:sz="12" w:space="0" w:color="auto"/>
              <w:bottom w:val="single" w:sz="12" w:space="0" w:color="auto"/>
            </w:tcBorders>
            <w:shd w:val="clear" w:color="auto" w:fill="FFC000"/>
            <w:noWrap/>
            <w:vAlign w:val="center"/>
            <w:hideMark/>
          </w:tcPr>
          <w:p w14:paraId="5BD78547" w14:textId="77777777" w:rsidR="00F47535" w:rsidRPr="003B3F7B" w:rsidRDefault="00F47535" w:rsidP="0034794C">
            <w:pPr>
              <w:jc w:val="center"/>
              <w:rPr>
                <w:rFonts w:ascii="Calibri" w:eastAsia="Times New Roman" w:hAnsi="Calibri" w:cs="Calibri"/>
                <w:b/>
                <w:color w:val="000000"/>
                <w:lang w:eastAsia="cs-CZ"/>
              </w:rPr>
            </w:pPr>
            <w:r w:rsidRPr="003B3F7B">
              <w:rPr>
                <w:rFonts w:ascii="Calibri" w:eastAsia="Times New Roman" w:hAnsi="Calibri" w:cs="Calibri"/>
                <w:b/>
                <w:color w:val="000000"/>
                <w:lang w:eastAsia="cs-CZ"/>
              </w:rPr>
              <w:t>Odpověď</w:t>
            </w:r>
          </w:p>
        </w:tc>
        <w:tc>
          <w:tcPr>
            <w:tcW w:w="1275" w:type="dxa"/>
            <w:tcBorders>
              <w:top w:val="single" w:sz="12" w:space="0" w:color="auto"/>
              <w:bottom w:val="single" w:sz="12" w:space="0" w:color="auto"/>
            </w:tcBorders>
            <w:shd w:val="clear" w:color="auto" w:fill="FFC000"/>
            <w:noWrap/>
            <w:vAlign w:val="center"/>
            <w:hideMark/>
          </w:tcPr>
          <w:p w14:paraId="7620CD5B" w14:textId="77777777" w:rsidR="00F47535" w:rsidRPr="003B3F7B" w:rsidRDefault="00F47535" w:rsidP="0034794C">
            <w:pPr>
              <w:jc w:val="center"/>
              <w:rPr>
                <w:rFonts w:ascii="Calibri" w:eastAsia="Times New Roman" w:hAnsi="Calibri" w:cs="Calibri"/>
                <w:b/>
                <w:color w:val="000000"/>
                <w:lang w:eastAsia="cs-CZ"/>
              </w:rPr>
            </w:pPr>
            <w:r w:rsidRPr="003B3F7B">
              <w:rPr>
                <w:rFonts w:ascii="Calibri" w:eastAsia="Times New Roman" w:hAnsi="Calibri" w:cs="Calibri"/>
                <w:b/>
                <w:color w:val="000000"/>
                <w:lang w:eastAsia="cs-CZ"/>
              </w:rPr>
              <w:t>Responzí</w:t>
            </w:r>
          </w:p>
        </w:tc>
        <w:tc>
          <w:tcPr>
            <w:tcW w:w="1276" w:type="dxa"/>
            <w:tcBorders>
              <w:top w:val="single" w:sz="12" w:space="0" w:color="auto"/>
              <w:bottom w:val="single" w:sz="12" w:space="0" w:color="auto"/>
            </w:tcBorders>
            <w:shd w:val="clear" w:color="auto" w:fill="FFC000"/>
            <w:noWrap/>
            <w:vAlign w:val="center"/>
            <w:hideMark/>
          </w:tcPr>
          <w:p w14:paraId="637310B8" w14:textId="77777777" w:rsidR="00F47535" w:rsidRPr="003B3F7B" w:rsidRDefault="00F47535" w:rsidP="0034794C">
            <w:pPr>
              <w:jc w:val="center"/>
              <w:rPr>
                <w:rFonts w:ascii="Calibri" w:eastAsia="Times New Roman" w:hAnsi="Calibri" w:cs="Calibri"/>
                <w:b/>
                <w:color w:val="000000"/>
                <w:lang w:eastAsia="cs-CZ"/>
              </w:rPr>
            </w:pPr>
            <w:r w:rsidRPr="003B3F7B">
              <w:rPr>
                <w:rFonts w:ascii="Calibri" w:eastAsia="Times New Roman" w:hAnsi="Calibri" w:cs="Calibri"/>
                <w:b/>
                <w:color w:val="000000"/>
                <w:lang w:eastAsia="cs-CZ"/>
              </w:rPr>
              <w:t>Podíl</w:t>
            </w:r>
          </w:p>
        </w:tc>
      </w:tr>
      <w:tr w:rsidR="00654E20" w:rsidRPr="003B3F7B" w14:paraId="2957CAAE" w14:textId="77777777" w:rsidTr="00654E20">
        <w:trPr>
          <w:trHeight w:val="300"/>
          <w:jc w:val="center"/>
        </w:trPr>
        <w:tc>
          <w:tcPr>
            <w:tcW w:w="2694" w:type="dxa"/>
            <w:tcBorders>
              <w:top w:val="single" w:sz="12" w:space="0" w:color="auto"/>
            </w:tcBorders>
            <w:shd w:val="clear" w:color="auto" w:fill="D9D9D9" w:themeFill="background1" w:themeFillShade="D9"/>
            <w:noWrap/>
            <w:vAlign w:val="center"/>
            <w:hideMark/>
          </w:tcPr>
          <w:p w14:paraId="75B7612F" w14:textId="77777777" w:rsidR="00654E20" w:rsidRPr="00A6470A" w:rsidRDefault="00654E20" w:rsidP="00654E20">
            <w:pPr>
              <w:rPr>
                <w:rFonts w:ascii="Calibri" w:eastAsia="Times New Roman" w:hAnsi="Calibri" w:cs="Calibri"/>
                <w:bCs/>
                <w:color w:val="000000"/>
                <w:lang w:eastAsia="cs-CZ"/>
              </w:rPr>
            </w:pPr>
            <w:r w:rsidRPr="00A6470A">
              <w:rPr>
                <w:rFonts w:ascii="Calibri" w:eastAsia="Times New Roman" w:hAnsi="Calibri" w:cs="Calibri"/>
                <w:bCs/>
                <w:color w:val="000000"/>
                <w:lang w:eastAsia="cs-CZ"/>
              </w:rPr>
              <w:t>žena</w:t>
            </w:r>
          </w:p>
        </w:tc>
        <w:tc>
          <w:tcPr>
            <w:tcW w:w="1275" w:type="dxa"/>
            <w:tcBorders>
              <w:top w:val="single" w:sz="12" w:space="0" w:color="auto"/>
            </w:tcBorders>
            <w:shd w:val="clear" w:color="auto" w:fill="auto"/>
            <w:noWrap/>
            <w:vAlign w:val="center"/>
          </w:tcPr>
          <w:p w14:paraId="17184B94" w14:textId="06254FC7" w:rsidR="00654E20" w:rsidRPr="003B3F7B" w:rsidRDefault="00621306" w:rsidP="00654E20">
            <w:pPr>
              <w:jc w:val="right"/>
              <w:rPr>
                <w:rFonts w:ascii="Calibri" w:eastAsia="Times New Roman" w:hAnsi="Calibri" w:cs="Calibri"/>
                <w:color w:val="000000"/>
                <w:lang w:eastAsia="cs-CZ"/>
              </w:rPr>
            </w:pPr>
            <w:r>
              <w:rPr>
                <w:rFonts w:ascii="Calibri" w:eastAsia="Times New Roman" w:hAnsi="Calibri" w:cs="Calibri"/>
                <w:color w:val="000000"/>
                <w:lang w:eastAsia="cs-CZ"/>
              </w:rPr>
              <w:t>80</w:t>
            </w:r>
          </w:p>
        </w:tc>
        <w:tc>
          <w:tcPr>
            <w:tcW w:w="1276" w:type="dxa"/>
            <w:tcBorders>
              <w:top w:val="single" w:sz="12" w:space="0" w:color="auto"/>
            </w:tcBorders>
            <w:shd w:val="clear" w:color="auto" w:fill="auto"/>
            <w:noWrap/>
            <w:vAlign w:val="center"/>
          </w:tcPr>
          <w:p w14:paraId="1A1817DA" w14:textId="76FB292F" w:rsidR="00654E20" w:rsidRPr="003B3F7B" w:rsidRDefault="00621306" w:rsidP="00654E20">
            <w:pPr>
              <w:jc w:val="right"/>
              <w:rPr>
                <w:rFonts w:ascii="Calibri" w:eastAsia="Times New Roman" w:hAnsi="Calibri" w:cs="Calibri"/>
                <w:color w:val="000000"/>
                <w:lang w:eastAsia="cs-CZ"/>
              </w:rPr>
            </w:pPr>
            <w:r>
              <w:rPr>
                <w:rFonts w:ascii="Calibri" w:hAnsi="Calibri" w:cs="Calibri"/>
                <w:color w:val="000000"/>
              </w:rPr>
              <w:t>62,5</w:t>
            </w:r>
            <w:r w:rsidR="00A05C06">
              <w:rPr>
                <w:rFonts w:ascii="Calibri" w:hAnsi="Calibri" w:cs="Calibri"/>
                <w:color w:val="000000"/>
              </w:rPr>
              <w:t xml:space="preserve"> %</w:t>
            </w:r>
          </w:p>
        </w:tc>
      </w:tr>
      <w:tr w:rsidR="00654E20" w:rsidRPr="003B3F7B" w14:paraId="38C610E2" w14:textId="77777777" w:rsidTr="00654E20">
        <w:trPr>
          <w:trHeight w:val="300"/>
          <w:jc w:val="center"/>
        </w:trPr>
        <w:tc>
          <w:tcPr>
            <w:tcW w:w="2694" w:type="dxa"/>
            <w:shd w:val="clear" w:color="auto" w:fill="D9D9D9" w:themeFill="background1" w:themeFillShade="D9"/>
            <w:noWrap/>
            <w:vAlign w:val="center"/>
            <w:hideMark/>
          </w:tcPr>
          <w:p w14:paraId="28074FCD" w14:textId="77777777" w:rsidR="00654E20" w:rsidRPr="00A6470A" w:rsidRDefault="00654E20" w:rsidP="00654E20">
            <w:pPr>
              <w:rPr>
                <w:rFonts w:ascii="Calibri" w:eastAsia="Times New Roman" w:hAnsi="Calibri" w:cs="Calibri"/>
                <w:bCs/>
                <w:color w:val="000000"/>
                <w:lang w:eastAsia="cs-CZ"/>
              </w:rPr>
            </w:pPr>
            <w:r w:rsidRPr="00A6470A">
              <w:rPr>
                <w:rFonts w:ascii="Calibri" w:eastAsia="Times New Roman" w:hAnsi="Calibri" w:cs="Calibri"/>
                <w:bCs/>
                <w:color w:val="000000"/>
                <w:lang w:eastAsia="cs-CZ"/>
              </w:rPr>
              <w:t>muž</w:t>
            </w:r>
          </w:p>
        </w:tc>
        <w:tc>
          <w:tcPr>
            <w:tcW w:w="1275" w:type="dxa"/>
            <w:shd w:val="clear" w:color="auto" w:fill="auto"/>
            <w:noWrap/>
            <w:vAlign w:val="center"/>
          </w:tcPr>
          <w:p w14:paraId="3B8D361A" w14:textId="0440F195" w:rsidR="00654E20" w:rsidRPr="003B3F7B" w:rsidRDefault="00621306" w:rsidP="00654E20">
            <w:pPr>
              <w:jc w:val="right"/>
              <w:rPr>
                <w:rFonts w:ascii="Calibri" w:eastAsia="Times New Roman" w:hAnsi="Calibri" w:cs="Calibri"/>
                <w:color w:val="000000"/>
                <w:lang w:eastAsia="cs-CZ"/>
              </w:rPr>
            </w:pPr>
            <w:r>
              <w:rPr>
                <w:rFonts w:ascii="Calibri" w:hAnsi="Calibri" w:cs="Calibri"/>
                <w:color w:val="000000"/>
              </w:rPr>
              <w:t>46</w:t>
            </w:r>
          </w:p>
        </w:tc>
        <w:tc>
          <w:tcPr>
            <w:tcW w:w="1276" w:type="dxa"/>
            <w:shd w:val="clear" w:color="auto" w:fill="auto"/>
            <w:noWrap/>
            <w:vAlign w:val="center"/>
          </w:tcPr>
          <w:p w14:paraId="336159FD" w14:textId="04D319EC" w:rsidR="00654E20" w:rsidRPr="003B3F7B" w:rsidRDefault="00621306" w:rsidP="00654E20">
            <w:pPr>
              <w:jc w:val="right"/>
              <w:rPr>
                <w:rFonts w:ascii="Calibri" w:eastAsia="Times New Roman" w:hAnsi="Calibri" w:cs="Calibri"/>
                <w:color w:val="000000"/>
                <w:lang w:eastAsia="cs-CZ"/>
              </w:rPr>
            </w:pPr>
            <w:r>
              <w:rPr>
                <w:rFonts w:ascii="Calibri" w:hAnsi="Calibri" w:cs="Calibri"/>
                <w:color w:val="000000"/>
              </w:rPr>
              <w:t>35,9</w:t>
            </w:r>
            <w:r w:rsidR="00A05C06">
              <w:rPr>
                <w:rFonts w:ascii="Calibri" w:hAnsi="Calibri" w:cs="Calibri"/>
                <w:color w:val="000000"/>
              </w:rPr>
              <w:t xml:space="preserve"> %</w:t>
            </w:r>
          </w:p>
        </w:tc>
      </w:tr>
      <w:tr w:rsidR="00654E20" w:rsidRPr="003B3F7B" w14:paraId="6E0B6DB3" w14:textId="77777777" w:rsidTr="00654E20">
        <w:trPr>
          <w:trHeight w:val="300"/>
          <w:jc w:val="center"/>
        </w:trPr>
        <w:tc>
          <w:tcPr>
            <w:tcW w:w="2694" w:type="dxa"/>
            <w:tcBorders>
              <w:bottom w:val="single" w:sz="18" w:space="0" w:color="auto"/>
            </w:tcBorders>
            <w:shd w:val="clear" w:color="auto" w:fill="D9D9D9" w:themeFill="background1" w:themeFillShade="D9"/>
            <w:noWrap/>
            <w:vAlign w:val="center"/>
            <w:hideMark/>
          </w:tcPr>
          <w:p w14:paraId="21827D01" w14:textId="77777777" w:rsidR="00654E20" w:rsidRPr="00A6470A" w:rsidRDefault="00654E20" w:rsidP="00654E20">
            <w:pPr>
              <w:rPr>
                <w:rFonts w:ascii="Calibri" w:eastAsia="Times New Roman" w:hAnsi="Calibri" w:cs="Calibri"/>
                <w:bCs/>
                <w:color w:val="000000"/>
                <w:lang w:eastAsia="cs-CZ"/>
              </w:rPr>
            </w:pPr>
            <w:r w:rsidRPr="00A6470A">
              <w:rPr>
                <w:rFonts w:ascii="Calibri" w:eastAsia="Times New Roman" w:hAnsi="Calibri" w:cs="Calibri"/>
                <w:bCs/>
                <w:color w:val="000000"/>
                <w:lang w:eastAsia="cs-CZ"/>
              </w:rPr>
              <w:t>název subjektu/instituce</w:t>
            </w:r>
          </w:p>
        </w:tc>
        <w:tc>
          <w:tcPr>
            <w:tcW w:w="1275" w:type="dxa"/>
            <w:tcBorders>
              <w:bottom w:val="single" w:sz="18" w:space="0" w:color="auto"/>
            </w:tcBorders>
            <w:shd w:val="clear" w:color="auto" w:fill="auto"/>
            <w:noWrap/>
            <w:vAlign w:val="center"/>
          </w:tcPr>
          <w:p w14:paraId="26024D1B" w14:textId="67C63CFA" w:rsidR="00654E20" w:rsidRPr="003B3F7B" w:rsidRDefault="00621306" w:rsidP="00654E20">
            <w:pPr>
              <w:jc w:val="right"/>
              <w:rPr>
                <w:rFonts w:ascii="Calibri" w:eastAsia="Times New Roman" w:hAnsi="Calibri" w:cs="Calibri"/>
                <w:color w:val="000000"/>
                <w:lang w:eastAsia="cs-CZ"/>
              </w:rPr>
            </w:pPr>
            <w:r>
              <w:rPr>
                <w:rFonts w:ascii="Calibri" w:hAnsi="Calibri" w:cs="Calibri"/>
                <w:color w:val="000000"/>
              </w:rPr>
              <w:t>2</w:t>
            </w:r>
          </w:p>
        </w:tc>
        <w:tc>
          <w:tcPr>
            <w:tcW w:w="1276" w:type="dxa"/>
            <w:tcBorders>
              <w:bottom w:val="single" w:sz="18" w:space="0" w:color="auto"/>
            </w:tcBorders>
            <w:shd w:val="clear" w:color="auto" w:fill="auto"/>
            <w:noWrap/>
            <w:vAlign w:val="center"/>
          </w:tcPr>
          <w:p w14:paraId="4154D20F" w14:textId="1B5A4139" w:rsidR="00654E20" w:rsidRPr="003B3F7B" w:rsidRDefault="00621306" w:rsidP="00654E20">
            <w:pPr>
              <w:jc w:val="right"/>
              <w:rPr>
                <w:rFonts w:ascii="Calibri" w:eastAsia="Times New Roman" w:hAnsi="Calibri" w:cs="Calibri"/>
                <w:color w:val="000000"/>
                <w:lang w:eastAsia="cs-CZ"/>
              </w:rPr>
            </w:pPr>
            <w:r>
              <w:rPr>
                <w:rFonts w:ascii="Calibri" w:hAnsi="Calibri" w:cs="Calibri"/>
                <w:color w:val="000000"/>
              </w:rPr>
              <w:t>1,6</w:t>
            </w:r>
            <w:r w:rsidR="00A05C06">
              <w:rPr>
                <w:rFonts w:ascii="Calibri" w:hAnsi="Calibri" w:cs="Calibri"/>
                <w:color w:val="000000"/>
              </w:rPr>
              <w:t xml:space="preserve"> %</w:t>
            </w:r>
          </w:p>
        </w:tc>
      </w:tr>
    </w:tbl>
    <w:p w14:paraId="61F6B7C4" w14:textId="3429E820" w:rsidR="006B059A" w:rsidRDefault="00F47535" w:rsidP="006B059A">
      <w:pPr>
        <w:spacing w:after="160"/>
        <w:jc w:val="both"/>
      </w:pPr>
      <w:r w:rsidRPr="00DE3F03">
        <w:rPr>
          <w:b/>
          <w:sz w:val="20"/>
          <w:szCs w:val="20"/>
        </w:rPr>
        <w:t>Poznámky:</w:t>
      </w:r>
      <w:r w:rsidRPr="00DE3F03">
        <w:rPr>
          <w:sz w:val="20"/>
          <w:szCs w:val="20"/>
        </w:rPr>
        <w:t xml:space="preserve"> </w:t>
      </w:r>
      <w:r w:rsidR="00592D62">
        <w:rPr>
          <w:sz w:val="20"/>
          <w:szCs w:val="20"/>
        </w:rPr>
        <w:t>Otázka byla zodpovězena v odevzdaných vyplněných dotaznících celkem 12</w:t>
      </w:r>
      <w:r w:rsidR="00621306">
        <w:rPr>
          <w:sz w:val="20"/>
          <w:szCs w:val="20"/>
        </w:rPr>
        <w:t>8</w:t>
      </w:r>
      <w:r w:rsidR="00592D62" w:rsidRPr="00DE3F03">
        <w:rPr>
          <w:sz w:val="20"/>
          <w:szCs w:val="20"/>
        </w:rPr>
        <w:t xml:space="preserve"> krát</w:t>
      </w:r>
      <w:r w:rsidR="00592D62">
        <w:rPr>
          <w:sz w:val="20"/>
          <w:szCs w:val="20"/>
        </w:rPr>
        <w:t>, nezodpovězena</w:t>
      </w:r>
      <w:r w:rsidR="00592D62">
        <w:rPr>
          <w:sz w:val="20"/>
          <w:szCs w:val="20"/>
        </w:rPr>
        <w:br/>
        <w:t>1 krát</w:t>
      </w:r>
      <w:r w:rsidR="00592D62" w:rsidRPr="00DE3F03">
        <w:rPr>
          <w:sz w:val="20"/>
          <w:szCs w:val="20"/>
        </w:rPr>
        <w:t>. Procentuální hodnota představuje podíl dané odpovědi z celkového počtu lidí/subjektů, kteří danou otázku zodpověděli</w:t>
      </w:r>
      <w:r w:rsidR="006B059A" w:rsidRPr="00DE3F03">
        <w:rPr>
          <w:sz w:val="20"/>
          <w:szCs w:val="20"/>
        </w:rPr>
        <w:t>.</w:t>
      </w:r>
    </w:p>
    <w:p w14:paraId="0B84A2DB" w14:textId="77777777" w:rsidR="00F47535" w:rsidRDefault="00F47535" w:rsidP="00F47535">
      <w:pPr>
        <w:spacing w:after="160" w:line="259" w:lineRule="auto"/>
      </w:pPr>
    </w:p>
    <w:p w14:paraId="7A686819" w14:textId="07F7C842" w:rsidR="00F47535" w:rsidRDefault="00A05C06" w:rsidP="00F47535">
      <w:pPr>
        <w:spacing w:after="160" w:line="259" w:lineRule="auto"/>
        <w:jc w:val="both"/>
      </w:pPr>
      <w:r>
        <w:t xml:space="preserve">Dotazník vyplnilo </w:t>
      </w:r>
      <w:r w:rsidR="00D3388C">
        <w:t>téměř dvakrát</w:t>
      </w:r>
      <w:r>
        <w:t xml:space="preserve"> více</w:t>
      </w:r>
      <w:r w:rsidR="00F47535" w:rsidRPr="00CF31A9">
        <w:t xml:space="preserve"> žen</w:t>
      </w:r>
      <w:r>
        <w:t xml:space="preserve"> než</w:t>
      </w:r>
      <w:r w:rsidR="00F47535" w:rsidRPr="00CF31A9">
        <w:t xml:space="preserve"> mužů</w:t>
      </w:r>
      <w:r w:rsidR="006245E3">
        <w:t>.</w:t>
      </w:r>
      <w:r w:rsidR="00F47535" w:rsidRPr="00CF31A9">
        <w:t xml:space="preserve"> </w:t>
      </w:r>
      <w:r w:rsidR="00D3388C">
        <w:t>Dvakrát</w:t>
      </w:r>
      <w:r>
        <w:t xml:space="preserve"> byla zaškrtnuta možnost „název subjektu/instituce“</w:t>
      </w:r>
      <w:r w:rsidR="00F47535" w:rsidRPr="00CF31A9">
        <w:t>.</w:t>
      </w:r>
      <w:r>
        <w:t xml:space="preserve"> Ve skutečnosti se však o instituci nejednalo</w:t>
      </w:r>
      <w:r w:rsidR="001371CC">
        <w:t xml:space="preserve"> – jednou bylo uvedeno jméno a příjmení respondenta a jednou bylo uvedeno příjmení manželů z lokality Dolníky.</w:t>
      </w:r>
    </w:p>
    <w:p w14:paraId="126E7E4C" w14:textId="77777777" w:rsidR="00F47535" w:rsidRDefault="00F47535" w:rsidP="00F47535">
      <w:pPr>
        <w:spacing w:after="160" w:line="259" w:lineRule="auto"/>
        <w:jc w:val="both"/>
      </w:pPr>
    </w:p>
    <w:p w14:paraId="33EFDCC9" w14:textId="77777777" w:rsidR="00F47535" w:rsidRDefault="00F47535" w:rsidP="00F47535">
      <w:pPr>
        <w:spacing w:after="160" w:line="259" w:lineRule="auto"/>
        <w:jc w:val="both"/>
      </w:pPr>
      <w:r w:rsidRPr="000A3F8E">
        <w:rPr>
          <w:rFonts w:cstheme="minorHAnsi"/>
          <w:b/>
          <w:sz w:val="24"/>
          <w:szCs w:val="24"/>
          <w:u w:val="single"/>
          <w:lang w:eastAsia="cs-CZ"/>
        </w:rPr>
        <w:t xml:space="preserve">Otázka č. </w:t>
      </w:r>
      <w:r>
        <w:rPr>
          <w:rFonts w:cstheme="minorHAnsi"/>
          <w:b/>
          <w:sz w:val="24"/>
          <w:szCs w:val="24"/>
          <w:u w:val="single"/>
          <w:lang w:eastAsia="cs-CZ"/>
        </w:rPr>
        <w:t>14</w:t>
      </w:r>
      <w:r w:rsidRPr="000A3F8E">
        <w:rPr>
          <w:rFonts w:cstheme="minorHAnsi"/>
          <w:b/>
          <w:sz w:val="24"/>
          <w:szCs w:val="24"/>
          <w:u w:val="single"/>
          <w:lang w:eastAsia="cs-CZ"/>
        </w:rPr>
        <w:t>:</w:t>
      </w:r>
      <w:r>
        <w:rPr>
          <w:rFonts w:cstheme="minorHAnsi"/>
          <w:b/>
          <w:sz w:val="24"/>
          <w:szCs w:val="24"/>
          <w:u w:val="single"/>
          <w:lang w:eastAsia="cs-CZ"/>
        </w:rPr>
        <w:t xml:space="preserve"> Věk</w:t>
      </w:r>
    </w:p>
    <w:p w14:paraId="13F5E72F" w14:textId="21408FF7" w:rsidR="00F47535" w:rsidRDefault="00F47535" w:rsidP="00F47535">
      <w:pPr>
        <w:pStyle w:val="GRAF0"/>
      </w:pPr>
      <w:bookmarkStart w:id="497" w:name="_Toc480751836"/>
      <w:bookmarkStart w:id="498" w:name="_Toc507022166"/>
      <w:bookmarkStart w:id="499" w:name="_Toc32577922"/>
      <w:bookmarkStart w:id="500" w:name="_Toc104472765"/>
      <w:bookmarkStart w:id="501" w:name="_Toc120651999"/>
      <w:r w:rsidRPr="000E7B38">
        <w:t xml:space="preserve">Graf </w:t>
      </w:r>
      <w:r w:rsidR="0020474B">
        <w:t>20</w:t>
      </w:r>
      <w:r>
        <w:t>: Výsledky odpovědí u otázky č. 14</w:t>
      </w:r>
      <w:bookmarkEnd w:id="497"/>
      <w:bookmarkEnd w:id="498"/>
      <w:bookmarkEnd w:id="499"/>
      <w:bookmarkEnd w:id="500"/>
      <w:bookmarkEnd w:id="501"/>
    </w:p>
    <w:p w14:paraId="5BB2B995" w14:textId="79D0C214" w:rsidR="00F47535" w:rsidRDefault="00D32733" w:rsidP="00C84D1C">
      <w:pPr>
        <w:spacing w:after="60"/>
        <w:jc w:val="center"/>
      </w:pPr>
      <w:r>
        <w:rPr>
          <w:noProof/>
        </w:rPr>
        <w:drawing>
          <wp:inline distT="0" distB="0" distL="0" distR="0" wp14:anchorId="58B25FEB" wp14:editId="5FCF45FD">
            <wp:extent cx="3627120" cy="2072640"/>
            <wp:effectExtent l="0" t="0" r="0" b="0"/>
            <wp:docPr id="227" name="Graf 227">
              <a:extLst xmlns:a="http://schemas.openxmlformats.org/drawingml/2006/main">
                <a:ext uri="{FF2B5EF4-FFF2-40B4-BE49-F238E27FC236}">
                  <a16:creationId xmlns:a16="http://schemas.microsoft.com/office/drawing/2014/main" id="{27F67D8D-9D2B-4D69-B703-CF099C84B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2867C37" w14:textId="17DB7EA1" w:rsidR="00F47535" w:rsidRDefault="00F47535" w:rsidP="00F47535">
      <w:pPr>
        <w:spacing w:after="160"/>
        <w:jc w:val="both"/>
      </w:pPr>
      <w:r w:rsidRPr="00DE3F03">
        <w:rPr>
          <w:b/>
          <w:sz w:val="20"/>
          <w:szCs w:val="20"/>
        </w:rPr>
        <w:t>Poznámky:</w:t>
      </w:r>
      <w:r w:rsidRPr="00DE3F03">
        <w:rPr>
          <w:sz w:val="20"/>
          <w:szCs w:val="20"/>
        </w:rPr>
        <w:t xml:space="preserve"> </w:t>
      </w:r>
      <w:r w:rsidR="009B28EE">
        <w:rPr>
          <w:sz w:val="20"/>
          <w:szCs w:val="20"/>
        </w:rPr>
        <w:t>Otázka byla zodpovězena v odevzdaných vyplněných dotaznících celkem 12</w:t>
      </w:r>
      <w:r w:rsidR="00D32733">
        <w:rPr>
          <w:sz w:val="20"/>
          <w:szCs w:val="20"/>
        </w:rPr>
        <w:t>8</w:t>
      </w:r>
      <w:r w:rsidR="009B28EE" w:rsidRPr="00DE3F03">
        <w:rPr>
          <w:sz w:val="20"/>
          <w:szCs w:val="20"/>
        </w:rPr>
        <w:t xml:space="preserve"> krát</w:t>
      </w:r>
      <w:r w:rsidR="009B28EE">
        <w:rPr>
          <w:sz w:val="20"/>
          <w:szCs w:val="20"/>
        </w:rPr>
        <w:t>, nezodpovězena</w:t>
      </w:r>
      <w:r w:rsidR="009B28EE">
        <w:rPr>
          <w:sz w:val="20"/>
          <w:szCs w:val="20"/>
        </w:rPr>
        <w:br/>
      </w:r>
      <w:r w:rsidR="00D32733">
        <w:rPr>
          <w:sz w:val="20"/>
          <w:szCs w:val="20"/>
        </w:rPr>
        <w:t>1</w:t>
      </w:r>
      <w:r w:rsidR="009B28EE">
        <w:rPr>
          <w:sz w:val="20"/>
          <w:szCs w:val="20"/>
        </w:rPr>
        <w:t xml:space="preserve"> krát</w:t>
      </w:r>
      <w:r w:rsidR="009B28EE" w:rsidRPr="00DE3F03">
        <w:rPr>
          <w:sz w:val="20"/>
          <w:szCs w:val="20"/>
        </w:rPr>
        <w:t>. Procentuální hodnota představuje podíl dané odpovědi z celkového počtu lidí/subjektů, kteří danou otázku zodpověděli.</w:t>
      </w:r>
    </w:p>
    <w:p w14:paraId="19FF5EA6" w14:textId="49948FD6" w:rsidR="00B402B1" w:rsidRDefault="00F47535" w:rsidP="00F47535">
      <w:pPr>
        <w:spacing w:after="160" w:line="259" w:lineRule="auto"/>
        <w:jc w:val="both"/>
      </w:pPr>
      <w:r>
        <w:lastRenderedPageBreak/>
        <w:t xml:space="preserve">Nejvíce odpovídajících bylo ve věku </w:t>
      </w:r>
      <w:r w:rsidR="00B706ED">
        <w:t>30-49 let</w:t>
      </w:r>
      <w:r w:rsidR="008C4353">
        <w:t xml:space="preserve"> </w:t>
      </w:r>
      <w:r>
        <w:t>(</w:t>
      </w:r>
      <w:r w:rsidR="00B706ED">
        <w:t>43</w:t>
      </w:r>
      <w:r>
        <w:t xml:space="preserve"> %</w:t>
      </w:r>
      <w:r w:rsidRPr="00493154">
        <w:t xml:space="preserve"> </w:t>
      </w:r>
      <w:r>
        <w:t xml:space="preserve">všech respondentů, kteří tuto otázku zodpověděli). Následovali respondenti ve věku </w:t>
      </w:r>
      <w:r w:rsidR="00B706ED">
        <w:t>64 a více</w:t>
      </w:r>
      <w:r>
        <w:t xml:space="preserve"> let (</w:t>
      </w:r>
      <w:r w:rsidR="00B706ED">
        <w:t>27</w:t>
      </w:r>
      <w:r>
        <w:t xml:space="preserve"> %)</w:t>
      </w:r>
      <w:r w:rsidR="00364E42">
        <w:t xml:space="preserve"> a ve věku 50-64 let (</w:t>
      </w:r>
      <w:r w:rsidR="00B706ED">
        <w:t xml:space="preserve">23 </w:t>
      </w:r>
      <w:r w:rsidR="00364E42">
        <w:t>%).</w:t>
      </w:r>
      <w:r w:rsidR="00B706ED">
        <w:t xml:space="preserve"> Dotazník nevyplnila žádná osoba ve věku mladší než 18 let.</w:t>
      </w:r>
    </w:p>
    <w:p w14:paraId="61200E30" w14:textId="4C33B062" w:rsidR="00FD6AED" w:rsidRDefault="00FD6AED" w:rsidP="00F47535">
      <w:pPr>
        <w:spacing w:after="160" w:line="259" w:lineRule="auto"/>
        <w:jc w:val="both"/>
      </w:pPr>
    </w:p>
    <w:p w14:paraId="74DED068" w14:textId="77777777" w:rsidR="00F47535" w:rsidRDefault="00F47535" w:rsidP="00F47535">
      <w:pPr>
        <w:spacing w:after="160"/>
        <w:jc w:val="both"/>
      </w:pPr>
      <w:r w:rsidRPr="00F72231">
        <w:rPr>
          <w:rFonts w:cstheme="minorHAnsi"/>
          <w:b/>
          <w:sz w:val="24"/>
          <w:szCs w:val="24"/>
          <w:u w:val="single"/>
          <w:lang w:eastAsia="cs-CZ"/>
        </w:rPr>
        <w:t>Otázka č. 15</w:t>
      </w:r>
      <w:r w:rsidRPr="000A3F8E">
        <w:rPr>
          <w:rFonts w:cstheme="minorHAnsi"/>
          <w:b/>
          <w:sz w:val="24"/>
          <w:szCs w:val="24"/>
          <w:u w:val="single"/>
          <w:lang w:eastAsia="cs-CZ"/>
        </w:rPr>
        <w:t>:</w:t>
      </w:r>
      <w:r>
        <w:rPr>
          <w:rFonts w:cstheme="minorHAnsi"/>
          <w:b/>
          <w:sz w:val="24"/>
          <w:szCs w:val="24"/>
          <w:u w:val="single"/>
          <w:lang w:eastAsia="cs-CZ"/>
        </w:rPr>
        <w:t xml:space="preserve"> Vaše vzdělání</w:t>
      </w:r>
    </w:p>
    <w:p w14:paraId="22EE1846" w14:textId="7C7E4CC4" w:rsidR="00F47535" w:rsidRDefault="00F47535" w:rsidP="00F47535">
      <w:pPr>
        <w:pStyle w:val="GRAF0"/>
      </w:pPr>
      <w:bookmarkStart w:id="502" w:name="_Toc480751837"/>
      <w:bookmarkStart w:id="503" w:name="_Toc507022167"/>
      <w:bookmarkStart w:id="504" w:name="_Toc32577923"/>
      <w:bookmarkStart w:id="505" w:name="_Toc104472766"/>
      <w:bookmarkStart w:id="506" w:name="_Toc120652000"/>
      <w:r w:rsidRPr="000E7B38">
        <w:t xml:space="preserve">Graf </w:t>
      </w:r>
      <w:r w:rsidR="000E7B38" w:rsidRPr="000E7B38">
        <w:t>2</w:t>
      </w:r>
      <w:r w:rsidR="002D58A1">
        <w:t>1</w:t>
      </w:r>
      <w:r w:rsidRPr="000E7B38">
        <w:t>: Výsledky</w:t>
      </w:r>
      <w:r>
        <w:t xml:space="preserve"> odpovědí u otázky č. 15</w:t>
      </w:r>
      <w:bookmarkEnd w:id="502"/>
      <w:bookmarkEnd w:id="503"/>
      <w:bookmarkEnd w:id="504"/>
      <w:bookmarkEnd w:id="505"/>
      <w:bookmarkEnd w:id="506"/>
    </w:p>
    <w:p w14:paraId="2325FDE3" w14:textId="2F11AE9D" w:rsidR="00F47535" w:rsidRDefault="00AC4327" w:rsidP="00F72231">
      <w:pPr>
        <w:spacing w:after="60"/>
        <w:jc w:val="center"/>
      </w:pPr>
      <w:r>
        <w:rPr>
          <w:noProof/>
        </w:rPr>
        <w:drawing>
          <wp:inline distT="0" distB="0" distL="0" distR="0" wp14:anchorId="54649B12" wp14:editId="2DBCF485">
            <wp:extent cx="4672965" cy="3061336"/>
            <wp:effectExtent l="0" t="0" r="13335" b="5715"/>
            <wp:docPr id="233" name="Graf 233">
              <a:extLst xmlns:a="http://schemas.openxmlformats.org/drawingml/2006/main">
                <a:ext uri="{FF2B5EF4-FFF2-40B4-BE49-F238E27FC236}">
                  <a16:creationId xmlns:a16="http://schemas.microsoft.com/office/drawing/2014/main" id="{566C0E43-978E-4967-B618-F4276CCCF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389B9BF" w14:textId="4AEC9559" w:rsidR="00F47535" w:rsidRDefault="00F47535" w:rsidP="00B33268">
      <w:pPr>
        <w:spacing w:after="160"/>
        <w:jc w:val="both"/>
      </w:pPr>
      <w:r w:rsidRPr="00DE3F03">
        <w:rPr>
          <w:b/>
          <w:sz w:val="20"/>
          <w:szCs w:val="20"/>
        </w:rPr>
        <w:t>Poznámky:</w:t>
      </w:r>
      <w:r w:rsidRPr="00DE3F03">
        <w:rPr>
          <w:sz w:val="20"/>
          <w:szCs w:val="20"/>
        </w:rPr>
        <w:t xml:space="preserve"> </w:t>
      </w:r>
      <w:r w:rsidR="00C93C49">
        <w:rPr>
          <w:sz w:val="20"/>
          <w:szCs w:val="20"/>
        </w:rPr>
        <w:t>Otázka byla zodpovězena v odevzdaných vyplněných dotaznících celkem 12</w:t>
      </w:r>
      <w:r w:rsidR="00AC4327">
        <w:rPr>
          <w:sz w:val="20"/>
          <w:szCs w:val="20"/>
        </w:rPr>
        <w:t>8</w:t>
      </w:r>
      <w:r w:rsidR="00C93C49" w:rsidRPr="00DE3F03">
        <w:rPr>
          <w:sz w:val="20"/>
          <w:szCs w:val="20"/>
        </w:rPr>
        <w:t xml:space="preserve"> krát</w:t>
      </w:r>
      <w:r w:rsidR="00C93C49">
        <w:rPr>
          <w:sz w:val="20"/>
          <w:szCs w:val="20"/>
        </w:rPr>
        <w:t>, nezodpovězena</w:t>
      </w:r>
      <w:r w:rsidR="00C93C49">
        <w:rPr>
          <w:sz w:val="20"/>
          <w:szCs w:val="20"/>
        </w:rPr>
        <w:br/>
        <w:t>1 krát</w:t>
      </w:r>
      <w:r w:rsidR="00C93C49" w:rsidRPr="00DE3F03">
        <w:rPr>
          <w:sz w:val="20"/>
          <w:szCs w:val="20"/>
        </w:rPr>
        <w:t>. Procentuální hodnota představuje podíl dané odpovědi z celkového počtu lidí/subjektů, kteří danou otázku zodpověděli</w:t>
      </w:r>
      <w:r w:rsidRPr="00DE3F03">
        <w:rPr>
          <w:sz w:val="20"/>
          <w:szCs w:val="20"/>
        </w:rPr>
        <w:t>.</w:t>
      </w:r>
    </w:p>
    <w:p w14:paraId="55A7846A" w14:textId="77777777" w:rsidR="00F47535" w:rsidRDefault="00F47535" w:rsidP="00F47535">
      <w:pPr>
        <w:spacing w:after="160" w:line="259" w:lineRule="auto"/>
        <w:jc w:val="both"/>
      </w:pPr>
    </w:p>
    <w:p w14:paraId="168FC0E9" w14:textId="501BE4BB" w:rsidR="00F47535" w:rsidRDefault="00F47535" w:rsidP="00F47535">
      <w:pPr>
        <w:spacing w:after="160" w:line="259" w:lineRule="auto"/>
        <w:jc w:val="both"/>
      </w:pPr>
      <w:r>
        <w:t xml:space="preserve">Nejčastěji dotazník vyplnili respondenti </w:t>
      </w:r>
      <w:r w:rsidR="005217EF">
        <w:t xml:space="preserve">s dokončeným středním odborným vzděláním s maturitou </w:t>
      </w:r>
      <w:r>
        <w:br/>
        <w:t>(</w:t>
      </w:r>
      <w:r w:rsidR="00AC4327">
        <w:t>37</w:t>
      </w:r>
      <w:r>
        <w:t xml:space="preserve"> % všech respondentů, kteří tuto otázku zodpověděli). Druhou nejčastější skupinou byli respondenti </w:t>
      </w:r>
      <w:r w:rsidR="005217EF">
        <w:t xml:space="preserve">s dokončeným středním odborným vzděláním bez maturity </w:t>
      </w:r>
      <w:r>
        <w:t>(</w:t>
      </w:r>
      <w:r w:rsidR="001B4949">
        <w:t>30</w:t>
      </w:r>
      <w:r>
        <w:t xml:space="preserve"> %), třetí skupinou respondenti s dokončeným vysokoškolským vzděláním (</w:t>
      </w:r>
      <w:r w:rsidR="00AC4327">
        <w:t>23</w:t>
      </w:r>
      <w:r>
        <w:t xml:space="preserve"> %).</w:t>
      </w:r>
    </w:p>
    <w:p w14:paraId="23E85B6D" w14:textId="77777777" w:rsidR="00F47535" w:rsidRDefault="00F47535" w:rsidP="00F47535">
      <w:pPr>
        <w:spacing w:after="160" w:line="259" w:lineRule="auto"/>
        <w:jc w:val="both"/>
      </w:pPr>
    </w:p>
    <w:p w14:paraId="24082197" w14:textId="77777777" w:rsidR="00F47535" w:rsidRDefault="00F47535" w:rsidP="00F47535">
      <w:pPr>
        <w:spacing w:after="160" w:line="259" w:lineRule="auto"/>
        <w:jc w:val="both"/>
      </w:pPr>
      <w:r w:rsidRPr="000A3F8E">
        <w:rPr>
          <w:rFonts w:cstheme="minorHAnsi"/>
          <w:b/>
          <w:sz w:val="24"/>
          <w:szCs w:val="24"/>
          <w:u w:val="single"/>
          <w:lang w:eastAsia="cs-CZ"/>
        </w:rPr>
        <w:t xml:space="preserve">Otázka č. </w:t>
      </w:r>
      <w:r>
        <w:rPr>
          <w:rFonts w:cstheme="minorHAnsi"/>
          <w:b/>
          <w:sz w:val="24"/>
          <w:szCs w:val="24"/>
          <w:u w:val="single"/>
          <w:lang w:eastAsia="cs-CZ"/>
        </w:rPr>
        <w:t>16</w:t>
      </w:r>
      <w:r w:rsidRPr="000A3F8E">
        <w:rPr>
          <w:rFonts w:cstheme="minorHAnsi"/>
          <w:b/>
          <w:sz w:val="24"/>
          <w:szCs w:val="24"/>
          <w:u w:val="single"/>
          <w:lang w:eastAsia="cs-CZ"/>
        </w:rPr>
        <w:t>:</w:t>
      </w:r>
      <w:r>
        <w:rPr>
          <w:rFonts w:cstheme="minorHAnsi"/>
          <w:b/>
          <w:sz w:val="24"/>
          <w:szCs w:val="24"/>
          <w:u w:val="single"/>
          <w:lang w:eastAsia="cs-CZ"/>
        </w:rPr>
        <w:t xml:space="preserve"> </w:t>
      </w:r>
      <w:r w:rsidRPr="00344CC8">
        <w:rPr>
          <w:rFonts w:cstheme="minorHAnsi"/>
          <w:b/>
          <w:sz w:val="24"/>
          <w:szCs w:val="24"/>
          <w:u w:val="single"/>
          <w:lang w:eastAsia="cs-CZ"/>
        </w:rPr>
        <w:t>Jak dlouho v obci žijete/působíte?</w:t>
      </w:r>
    </w:p>
    <w:p w14:paraId="66FD7226" w14:textId="460583F5" w:rsidR="00F47535" w:rsidRDefault="00F47535" w:rsidP="00F47535">
      <w:pPr>
        <w:pStyle w:val="TABULKA0"/>
      </w:pPr>
      <w:bookmarkStart w:id="507" w:name="_Toc32577814"/>
      <w:bookmarkStart w:id="508" w:name="_Toc120651952"/>
      <w:r w:rsidRPr="000E7B38">
        <w:t xml:space="preserve">Tabulka </w:t>
      </w:r>
      <w:r w:rsidR="000E7B38" w:rsidRPr="000E7B38">
        <w:t>3</w:t>
      </w:r>
      <w:r w:rsidR="00CB497E">
        <w:t>0</w:t>
      </w:r>
      <w:r w:rsidRPr="000E7B38">
        <w:t>:</w:t>
      </w:r>
      <w:r w:rsidRPr="00405294">
        <w:t xml:space="preserve"> </w:t>
      </w:r>
      <w:r>
        <w:t>Výsledky odpovědí u otázky č. 16</w:t>
      </w:r>
      <w:bookmarkEnd w:id="507"/>
      <w:bookmarkEnd w:id="508"/>
    </w:p>
    <w:tbl>
      <w:tblPr>
        <w:tblW w:w="3757"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1489"/>
        <w:gridCol w:w="1134"/>
        <w:gridCol w:w="1134"/>
      </w:tblGrid>
      <w:tr w:rsidR="00F47535" w:rsidRPr="003B3F7B" w14:paraId="452D63B6" w14:textId="77777777" w:rsidTr="00CB497E">
        <w:trPr>
          <w:trHeight w:val="38"/>
          <w:jc w:val="center"/>
        </w:trPr>
        <w:tc>
          <w:tcPr>
            <w:tcW w:w="1489" w:type="dxa"/>
            <w:tcBorders>
              <w:top w:val="single" w:sz="12" w:space="0" w:color="auto"/>
              <w:bottom w:val="single" w:sz="12" w:space="0" w:color="auto"/>
            </w:tcBorders>
            <w:shd w:val="clear" w:color="auto" w:fill="FFC000"/>
            <w:noWrap/>
            <w:vAlign w:val="center"/>
            <w:hideMark/>
          </w:tcPr>
          <w:p w14:paraId="241102E8" w14:textId="77777777" w:rsidR="00F47535" w:rsidRPr="003B3F7B" w:rsidRDefault="00F47535" w:rsidP="0034794C">
            <w:pPr>
              <w:jc w:val="center"/>
              <w:rPr>
                <w:rFonts w:ascii="Calibri" w:eastAsia="Times New Roman" w:hAnsi="Calibri" w:cs="Calibri"/>
                <w:b/>
                <w:color w:val="000000"/>
                <w:lang w:eastAsia="cs-CZ"/>
              </w:rPr>
            </w:pPr>
            <w:r w:rsidRPr="003B3F7B">
              <w:rPr>
                <w:rFonts w:ascii="Calibri" w:eastAsia="Times New Roman" w:hAnsi="Calibri" w:cs="Calibri"/>
                <w:b/>
                <w:color w:val="000000"/>
                <w:lang w:eastAsia="cs-CZ"/>
              </w:rPr>
              <w:t>Odpověď</w:t>
            </w:r>
          </w:p>
        </w:tc>
        <w:tc>
          <w:tcPr>
            <w:tcW w:w="1134" w:type="dxa"/>
            <w:tcBorders>
              <w:top w:val="single" w:sz="12" w:space="0" w:color="auto"/>
              <w:bottom w:val="single" w:sz="12" w:space="0" w:color="auto"/>
            </w:tcBorders>
            <w:shd w:val="clear" w:color="auto" w:fill="FFC000"/>
            <w:noWrap/>
            <w:vAlign w:val="center"/>
            <w:hideMark/>
          </w:tcPr>
          <w:p w14:paraId="3BA955B9" w14:textId="77777777" w:rsidR="00F47535" w:rsidRPr="003B3F7B" w:rsidRDefault="00F47535" w:rsidP="0034794C">
            <w:pPr>
              <w:jc w:val="center"/>
              <w:rPr>
                <w:rFonts w:ascii="Calibri" w:eastAsia="Times New Roman" w:hAnsi="Calibri" w:cs="Calibri"/>
                <w:b/>
                <w:color w:val="000000"/>
                <w:lang w:eastAsia="cs-CZ"/>
              </w:rPr>
            </w:pPr>
            <w:r w:rsidRPr="003B3F7B">
              <w:rPr>
                <w:rFonts w:ascii="Calibri" w:eastAsia="Times New Roman" w:hAnsi="Calibri" w:cs="Calibri"/>
                <w:b/>
                <w:color w:val="000000"/>
                <w:lang w:eastAsia="cs-CZ"/>
              </w:rPr>
              <w:t>Responzí</w:t>
            </w:r>
          </w:p>
        </w:tc>
        <w:tc>
          <w:tcPr>
            <w:tcW w:w="1134" w:type="dxa"/>
            <w:tcBorders>
              <w:top w:val="single" w:sz="12" w:space="0" w:color="auto"/>
              <w:bottom w:val="single" w:sz="12" w:space="0" w:color="auto"/>
            </w:tcBorders>
            <w:shd w:val="clear" w:color="auto" w:fill="FFC000"/>
            <w:noWrap/>
            <w:vAlign w:val="center"/>
            <w:hideMark/>
          </w:tcPr>
          <w:p w14:paraId="6A4A7312" w14:textId="77777777" w:rsidR="00F47535" w:rsidRPr="003B3F7B" w:rsidRDefault="00F47535" w:rsidP="0034794C">
            <w:pPr>
              <w:jc w:val="center"/>
              <w:rPr>
                <w:rFonts w:ascii="Calibri" w:eastAsia="Times New Roman" w:hAnsi="Calibri" w:cs="Calibri"/>
                <w:b/>
                <w:color w:val="000000"/>
                <w:lang w:eastAsia="cs-CZ"/>
              </w:rPr>
            </w:pPr>
            <w:r w:rsidRPr="003B3F7B">
              <w:rPr>
                <w:rFonts w:ascii="Calibri" w:eastAsia="Times New Roman" w:hAnsi="Calibri" w:cs="Calibri"/>
                <w:b/>
                <w:color w:val="000000"/>
                <w:lang w:eastAsia="cs-CZ"/>
              </w:rPr>
              <w:t>Podíl</w:t>
            </w:r>
          </w:p>
        </w:tc>
      </w:tr>
      <w:tr w:rsidR="00AD658C" w:rsidRPr="003B3F7B" w14:paraId="307BAE34" w14:textId="77777777" w:rsidTr="00AD658C">
        <w:trPr>
          <w:trHeight w:val="38"/>
          <w:jc w:val="center"/>
        </w:trPr>
        <w:tc>
          <w:tcPr>
            <w:tcW w:w="1489" w:type="dxa"/>
            <w:tcBorders>
              <w:top w:val="single" w:sz="12" w:space="0" w:color="auto"/>
            </w:tcBorders>
            <w:shd w:val="clear" w:color="auto" w:fill="D9D9D9" w:themeFill="background1" w:themeFillShade="D9"/>
            <w:noWrap/>
            <w:vAlign w:val="center"/>
          </w:tcPr>
          <w:p w14:paraId="795725B7" w14:textId="77777777" w:rsidR="00AD658C" w:rsidRPr="00D629DC" w:rsidRDefault="00AD658C" w:rsidP="00AD658C">
            <w:pPr>
              <w:rPr>
                <w:rFonts w:ascii="Calibri" w:eastAsia="Times New Roman" w:hAnsi="Calibri" w:cs="Calibri"/>
                <w:bCs/>
                <w:color w:val="000000"/>
                <w:lang w:eastAsia="cs-CZ"/>
              </w:rPr>
            </w:pPr>
            <w:r w:rsidRPr="00D629DC">
              <w:rPr>
                <w:rFonts w:ascii="Calibri" w:eastAsia="Times New Roman" w:hAnsi="Calibri" w:cs="Calibri"/>
                <w:bCs/>
                <w:color w:val="000000"/>
                <w:lang w:eastAsia="cs-CZ"/>
              </w:rPr>
              <w:t>do 1 roku</w:t>
            </w:r>
          </w:p>
        </w:tc>
        <w:tc>
          <w:tcPr>
            <w:tcW w:w="1134" w:type="dxa"/>
            <w:tcBorders>
              <w:top w:val="single" w:sz="12" w:space="0" w:color="auto"/>
            </w:tcBorders>
            <w:shd w:val="clear" w:color="auto" w:fill="auto"/>
            <w:noWrap/>
            <w:vAlign w:val="center"/>
          </w:tcPr>
          <w:p w14:paraId="1F4ECD33" w14:textId="7936FEF6" w:rsidR="00AD658C" w:rsidRDefault="00AD658C" w:rsidP="00AD658C">
            <w:pPr>
              <w:jc w:val="right"/>
              <w:rPr>
                <w:rFonts w:ascii="Calibri" w:hAnsi="Calibri" w:cs="Calibri"/>
                <w:color w:val="000000"/>
              </w:rPr>
            </w:pPr>
            <w:r>
              <w:rPr>
                <w:rFonts w:ascii="Calibri" w:hAnsi="Calibri" w:cs="Calibri"/>
                <w:color w:val="000000"/>
              </w:rPr>
              <w:t>1</w:t>
            </w:r>
          </w:p>
        </w:tc>
        <w:tc>
          <w:tcPr>
            <w:tcW w:w="1134" w:type="dxa"/>
            <w:tcBorders>
              <w:top w:val="single" w:sz="12" w:space="0" w:color="auto"/>
            </w:tcBorders>
            <w:shd w:val="clear" w:color="auto" w:fill="auto"/>
            <w:noWrap/>
            <w:vAlign w:val="center"/>
          </w:tcPr>
          <w:p w14:paraId="2D22F0C6" w14:textId="303D4FE8" w:rsidR="00AD658C" w:rsidRDefault="00AD658C" w:rsidP="00AD658C">
            <w:pPr>
              <w:jc w:val="right"/>
              <w:rPr>
                <w:rFonts w:ascii="Calibri" w:hAnsi="Calibri" w:cs="Calibri"/>
                <w:color w:val="000000"/>
              </w:rPr>
            </w:pPr>
            <w:r>
              <w:rPr>
                <w:rFonts w:ascii="Calibri" w:hAnsi="Calibri" w:cs="Calibri"/>
                <w:color w:val="000000"/>
              </w:rPr>
              <w:t>0,8 %</w:t>
            </w:r>
          </w:p>
        </w:tc>
      </w:tr>
      <w:tr w:rsidR="00AD658C" w:rsidRPr="003B3F7B" w14:paraId="7120FF42" w14:textId="77777777" w:rsidTr="00AD658C">
        <w:trPr>
          <w:trHeight w:val="58"/>
          <w:jc w:val="center"/>
        </w:trPr>
        <w:tc>
          <w:tcPr>
            <w:tcW w:w="1489" w:type="dxa"/>
            <w:shd w:val="clear" w:color="auto" w:fill="D9D9D9" w:themeFill="background1" w:themeFillShade="D9"/>
            <w:noWrap/>
            <w:vAlign w:val="center"/>
          </w:tcPr>
          <w:p w14:paraId="13D6C54E" w14:textId="77777777" w:rsidR="00AD658C" w:rsidRPr="00D629DC" w:rsidRDefault="00AD658C" w:rsidP="00AD658C">
            <w:pPr>
              <w:rPr>
                <w:rFonts w:ascii="Calibri" w:eastAsia="Times New Roman" w:hAnsi="Calibri" w:cs="Calibri"/>
                <w:bCs/>
                <w:color w:val="000000"/>
                <w:lang w:eastAsia="cs-CZ"/>
              </w:rPr>
            </w:pPr>
            <w:r w:rsidRPr="00D629DC">
              <w:rPr>
                <w:rFonts w:ascii="Calibri" w:eastAsia="Times New Roman" w:hAnsi="Calibri" w:cs="Calibri"/>
                <w:bCs/>
                <w:color w:val="000000"/>
                <w:lang w:eastAsia="cs-CZ"/>
              </w:rPr>
              <w:t>1 až 5 let</w:t>
            </w:r>
          </w:p>
        </w:tc>
        <w:tc>
          <w:tcPr>
            <w:tcW w:w="1134" w:type="dxa"/>
            <w:shd w:val="clear" w:color="auto" w:fill="auto"/>
            <w:noWrap/>
            <w:vAlign w:val="center"/>
          </w:tcPr>
          <w:p w14:paraId="315BEE98" w14:textId="1D8CE5EA" w:rsidR="00AD658C" w:rsidRDefault="00AD658C" w:rsidP="00AD658C">
            <w:pPr>
              <w:jc w:val="right"/>
              <w:rPr>
                <w:rFonts w:ascii="Calibri" w:hAnsi="Calibri" w:cs="Calibri"/>
                <w:color w:val="000000"/>
              </w:rPr>
            </w:pPr>
            <w:r>
              <w:rPr>
                <w:rFonts w:ascii="Calibri" w:hAnsi="Calibri" w:cs="Calibri"/>
                <w:color w:val="000000"/>
              </w:rPr>
              <w:t>26</w:t>
            </w:r>
          </w:p>
        </w:tc>
        <w:tc>
          <w:tcPr>
            <w:tcW w:w="1134" w:type="dxa"/>
            <w:shd w:val="clear" w:color="auto" w:fill="auto"/>
            <w:noWrap/>
            <w:vAlign w:val="center"/>
          </w:tcPr>
          <w:p w14:paraId="2EDD0BF8" w14:textId="202B50BD" w:rsidR="00AD658C" w:rsidRDefault="00AD658C" w:rsidP="00AD658C">
            <w:pPr>
              <w:jc w:val="right"/>
              <w:rPr>
                <w:rFonts w:ascii="Calibri" w:hAnsi="Calibri" w:cs="Calibri"/>
                <w:color w:val="000000"/>
              </w:rPr>
            </w:pPr>
            <w:r>
              <w:rPr>
                <w:rFonts w:ascii="Calibri" w:hAnsi="Calibri" w:cs="Calibri"/>
                <w:color w:val="000000"/>
              </w:rPr>
              <w:t>20,3 %</w:t>
            </w:r>
          </w:p>
        </w:tc>
      </w:tr>
      <w:tr w:rsidR="00AD658C" w:rsidRPr="003B3F7B" w14:paraId="2B530DA1" w14:textId="77777777" w:rsidTr="00AD658C">
        <w:trPr>
          <w:trHeight w:val="58"/>
          <w:jc w:val="center"/>
        </w:trPr>
        <w:tc>
          <w:tcPr>
            <w:tcW w:w="1489" w:type="dxa"/>
            <w:shd w:val="clear" w:color="auto" w:fill="D9D9D9" w:themeFill="background1" w:themeFillShade="D9"/>
            <w:noWrap/>
            <w:vAlign w:val="center"/>
          </w:tcPr>
          <w:p w14:paraId="19ED82D6" w14:textId="77777777" w:rsidR="00AD658C" w:rsidRPr="00D629DC" w:rsidRDefault="00AD658C" w:rsidP="00AD658C">
            <w:pPr>
              <w:rPr>
                <w:rFonts w:ascii="Calibri" w:eastAsia="Times New Roman" w:hAnsi="Calibri" w:cs="Calibri"/>
                <w:bCs/>
                <w:color w:val="000000"/>
                <w:lang w:eastAsia="cs-CZ"/>
              </w:rPr>
            </w:pPr>
            <w:r w:rsidRPr="00D629DC">
              <w:rPr>
                <w:rFonts w:ascii="Calibri" w:eastAsia="Times New Roman" w:hAnsi="Calibri" w:cs="Calibri"/>
                <w:bCs/>
                <w:color w:val="000000"/>
                <w:lang w:eastAsia="cs-CZ"/>
              </w:rPr>
              <w:t>6 až 10 let</w:t>
            </w:r>
          </w:p>
        </w:tc>
        <w:tc>
          <w:tcPr>
            <w:tcW w:w="1134" w:type="dxa"/>
            <w:shd w:val="clear" w:color="auto" w:fill="auto"/>
            <w:noWrap/>
            <w:vAlign w:val="center"/>
          </w:tcPr>
          <w:p w14:paraId="47C108F5" w14:textId="665C6E60" w:rsidR="00AD658C" w:rsidRDefault="00AD658C" w:rsidP="00AD658C">
            <w:pPr>
              <w:jc w:val="right"/>
              <w:rPr>
                <w:rFonts w:ascii="Calibri" w:hAnsi="Calibri" w:cs="Calibri"/>
                <w:color w:val="000000"/>
              </w:rPr>
            </w:pPr>
            <w:r>
              <w:rPr>
                <w:rFonts w:ascii="Calibri" w:hAnsi="Calibri" w:cs="Calibri"/>
                <w:color w:val="000000"/>
              </w:rPr>
              <w:t>19</w:t>
            </w:r>
          </w:p>
        </w:tc>
        <w:tc>
          <w:tcPr>
            <w:tcW w:w="1134" w:type="dxa"/>
            <w:shd w:val="clear" w:color="auto" w:fill="auto"/>
            <w:noWrap/>
            <w:vAlign w:val="center"/>
          </w:tcPr>
          <w:p w14:paraId="53818834" w14:textId="7F840521" w:rsidR="00AD658C" w:rsidRDefault="00AD658C" w:rsidP="00AD658C">
            <w:pPr>
              <w:jc w:val="right"/>
              <w:rPr>
                <w:rFonts w:ascii="Calibri" w:hAnsi="Calibri" w:cs="Calibri"/>
                <w:color w:val="000000"/>
              </w:rPr>
            </w:pPr>
            <w:r>
              <w:rPr>
                <w:rFonts w:ascii="Calibri" w:hAnsi="Calibri" w:cs="Calibri"/>
                <w:color w:val="000000"/>
              </w:rPr>
              <w:t>14,8 %</w:t>
            </w:r>
          </w:p>
        </w:tc>
      </w:tr>
      <w:tr w:rsidR="00AD658C" w:rsidRPr="003B3F7B" w14:paraId="35AB08CB" w14:textId="77777777" w:rsidTr="00AD658C">
        <w:trPr>
          <w:trHeight w:val="58"/>
          <w:jc w:val="center"/>
        </w:trPr>
        <w:tc>
          <w:tcPr>
            <w:tcW w:w="1489" w:type="dxa"/>
            <w:shd w:val="clear" w:color="auto" w:fill="D9D9D9" w:themeFill="background1" w:themeFillShade="D9"/>
            <w:noWrap/>
            <w:vAlign w:val="center"/>
          </w:tcPr>
          <w:p w14:paraId="2C3EB20E" w14:textId="77777777" w:rsidR="00AD658C" w:rsidRPr="00D629DC" w:rsidRDefault="00AD658C" w:rsidP="00AD658C">
            <w:pPr>
              <w:rPr>
                <w:rFonts w:ascii="Calibri" w:eastAsia="Times New Roman" w:hAnsi="Calibri" w:cs="Calibri"/>
                <w:bCs/>
                <w:color w:val="000000"/>
                <w:lang w:eastAsia="cs-CZ"/>
              </w:rPr>
            </w:pPr>
            <w:r w:rsidRPr="00D629DC">
              <w:rPr>
                <w:rFonts w:ascii="Calibri" w:eastAsia="Times New Roman" w:hAnsi="Calibri" w:cs="Calibri"/>
                <w:bCs/>
                <w:color w:val="000000"/>
                <w:lang w:eastAsia="cs-CZ"/>
              </w:rPr>
              <w:t>11 až 20 let</w:t>
            </w:r>
          </w:p>
        </w:tc>
        <w:tc>
          <w:tcPr>
            <w:tcW w:w="1134" w:type="dxa"/>
            <w:shd w:val="clear" w:color="auto" w:fill="auto"/>
            <w:noWrap/>
            <w:vAlign w:val="center"/>
          </w:tcPr>
          <w:p w14:paraId="7C419162" w14:textId="0F5563CB" w:rsidR="00AD658C" w:rsidRDefault="00AD658C" w:rsidP="00AD658C">
            <w:pPr>
              <w:jc w:val="right"/>
              <w:rPr>
                <w:rFonts w:ascii="Calibri" w:hAnsi="Calibri" w:cs="Calibri"/>
                <w:color w:val="000000"/>
              </w:rPr>
            </w:pPr>
            <w:r>
              <w:rPr>
                <w:rFonts w:ascii="Calibri" w:hAnsi="Calibri" w:cs="Calibri"/>
                <w:color w:val="000000"/>
              </w:rPr>
              <w:t>27</w:t>
            </w:r>
          </w:p>
        </w:tc>
        <w:tc>
          <w:tcPr>
            <w:tcW w:w="1134" w:type="dxa"/>
            <w:shd w:val="clear" w:color="auto" w:fill="auto"/>
            <w:noWrap/>
            <w:vAlign w:val="center"/>
          </w:tcPr>
          <w:p w14:paraId="7A7355AF" w14:textId="6A42F2F7" w:rsidR="00AD658C" w:rsidRDefault="00AD658C" w:rsidP="00AD658C">
            <w:pPr>
              <w:jc w:val="right"/>
              <w:rPr>
                <w:rFonts w:ascii="Calibri" w:hAnsi="Calibri" w:cs="Calibri"/>
                <w:color w:val="000000"/>
              </w:rPr>
            </w:pPr>
            <w:r>
              <w:rPr>
                <w:rFonts w:ascii="Calibri" w:hAnsi="Calibri" w:cs="Calibri"/>
                <w:color w:val="000000"/>
              </w:rPr>
              <w:t>21,1 %</w:t>
            </w:r>
          </w:p>
        </w:tc>
      </w:tr>
      <w:tr w:rsidR="00AD658C" w:rsidRPr="003B3F7B" w14:paraId="79B3638B" w14:textId="77777777" w:rsidTr="00AD658C">
        <w:trPr>
          <w:trHeight w:val="58"/>
          <w:jc w:val="center"/>
        </w:trPr>
        <w:tc>
          <w:tcPr>
            <w:tcW w:w="1489" w:type="dxa"/>
            <w:shd w:val="clear" w:color="auto" w:fill="D9D9D9" w:themeFill="background1" w:themeFillShade="D9"/>
            <w:noWrap/>
            <w:vAlign w:val="center"/>
          </w:tcPr>
          <w:p w14:paraId="7D7D3513" w14:textId="77777777" w:rsidR="00AD658C" w:rsidRPr="00D629DC" w:rsidRDefault="00AD658C" w:rsidP="00AD658C">
            <w:pPr>
              <w:rPr>
                <w:rFonts w:ascii="Calibri" w:eastAsia="Times New Roman" w:hAnsi="Calibri" w:cs="Calibri"/>
                <w:bCs/>
                <w:color w:val="000000"/>
                <w:lang w:eastAsia="cs-CZ"/>
              </w:rPr>
            </w:pPr>
            <w:r w:rsidRPr="00D629DC">
              <w:rPr>
                <w:rFonts w:ascii="Calibri" w:eastAsia="Times New Roman" w:hAnsi="Calibri" w:cs="Calibri"/>
                <w:bCs/>
                <w:color w:val="000000"/>
                <w:lang w:eastAsia="cs-CZ"/>
              </w:rPr>
              <w:t>21 až 30 let</w:t>
            </w:r>
          </w:p>
        </w:tc>
        <w:tc>
          <w:tcPr>
            <w:tcW w:w="1134" w:type="dxa"/>
            <w:shd w:val="clear" w:color="auto" w:fill="auto"/>
            <w:noWrap/>
            <w:vAlign w:val="center"/>
          </w:tcPr>
          <w:p w14:paraId="476A183B" w14:textId="673CAD17" w:rsidR="00AD658C" w:rsidRDefault="00AD658C" w:rsidP="00AD658C">
            <w:pPr>
              <w:jc w:val="right"/>
              <w:rPr>
                <w:rFonts w:ascii="Calibri" w:hAnsi="Calibri" w:cs="Calibri"/>
                <w:color w:val="000000"/>
              </w:rPr>
            </w:pPr>
            <w:r>
              <w:rPr>
                <w:rFonts w:ascii="Calibri" w:hAnsi="Calibri" w:cs="Calibri"/>
                <w:color w:val="000000"/>
              </w:rPr>
              <w:t>14</w:t>
            </w:r>
          </w:p>
        </w:tc>
        <w:tc>
          <w:tcPr>
            <w:tcW w:w="1134" w:type="dxa"/>
            <w:shd w:val="clear" w:color="auto" w:fill="auto"/>
            <w:noWrap/>
            <w:vAlign w:val="center"/>
          </w:tcPr>
          <w:p w14:paraId="4C3072DD" w14:textId="4E4A8690" w:rsidR="00AD658C" w:rsidRDefault="00AD658C" w:rsidP="00AD658C">
            <w:pPr>
              <w:jc w:val="right"/>
              <w:rPr>
                <w:rFonts w:ascii="Calibri" w:hAnsi="Calibri" w:cs="Calibri"/>
                <w:color w:val="000000"/>
              </w:rPr>
            </w:pPr>
            <w:r>
              <w:rPr>
                <w:rFonts w:ascii="Calibri" w:hAnsi="Calibri" w:cs="Calibri"/>
                <w:color w:val="000000"/>
              </w:rPr>
              <w:t>10,9 %</w:t>
            </w:r>
          </w:p>
        </w:tc>
      </w:tr>
      <w:tr w:rsidR="00AD658C" w:rsidRPr="003B3F7B" w14:paraId="687B9098" w14:textId="77777777" w:rsidTr="00AD658C">
        <w:trPr>
          <w:trHeight w:val="58"/>
          <w:jc w:val="center"/>
        </w:trPr>
        <w:tc>
          <w:tcPr>
            <w:tcW w:w="1489" w:type="dxa"/>
            <w:tcBorders>
              <w:bottom w:val="single" w:sz="18" w:space="0" w:color="auto"/>
            </w:tcBorders>
            <w:shd w:val="clear" w:color="auto" w:fill="D9D9D9" w:themeFill="background1" w:themeFillShade="D9"/>
            <w:noWrap/>
            <w:vAlign w:val="center"/>
          </w:tcPr>
          <w:p w14:paraId="71FED4D6" w14:textId="77777777" w:rsidR="00AD658C" w:rsidRPr="00D629DC" w:rsidRDefault="00AD658C" w:rsidP="00AD658C">
            <w:pPr>
              <w:rPr>
                <w:rFonts w:ascii="Calibri" w:eastAsia="Times New Roman" w:hAnsi="Calibri" w:cs="Calibri"/>
                <w:bCs/>
                <w:color w:val="000000"/>
                <w:lang w:eastAsia="cs-CZ"/>
              </w:rPr>
            </w:pPr>
            <w:r w:rsidRPr="00D629DC">
              <w:rPr>
                <w:rFonts w:ascii="Calibri" w:eastAsia="Times New Roman" w:hAnsi="Calibri" w:cs="Calibri"/>
                <w:bCs/>
                <w:color w:val="000000"/>
                <w:lang w:eastAsia="cs-CZ"/>
              </w:rPr>
              <w:t>31 a více let</w:t>
            </w:r>
          </w:p>
        </w:tc>
        <w:tc>
          <w:tcPr>
            <w:tcW w:w="1134" w:type="dxa"/>
            <w:tcBorders>
              <w:bottom w:val="single" w:sz="18" w:space="0" w:color="auto"/>
            </w:tcBorders>
            <w:shd w:val="clear" w:color="auto" w:fill="auto"/>
            <w:noWrap/>
            <w:vAlign w:val="center"/>
          </w:tcPr>
          <w:p w14:paraId="583813FF" w14:textId="03A3C404" w:rsidR="00AD658C" w:rsidRDefault="00AD658C" w:rsidP="00AD658C">
            <w:pPr>
              <w:jc w:val="right"/>
              <w:rPr>
                <w:rFonts w:ascii="Calibri" w:hAnsi="Calibri" w:cs="Calibri"/>
                <w:color w:val="000000"/>
              </w:rPr>
            </w:pPr>
            <w:r>
              <w:rPr>
                <w:rFonts w:ascii="Calibri" w:hAnsi="Calibri" w:cs="Calibri"/>
                <w:color w:val="000000"/>
              </w:rPr>
              <w:t>41</w:t>
            </w:r>
          </w:p>
        </w:tc>
        <w:tc>
          <w:tcPr>
            <w:tcW w:w="1134" w:type="dxa"/>
            <w:tcBorders>
              <w:bottom w:val="single" w:sz="18" w:space="0" w:color="auto"/>
            </w:tcBorders>
            <w:shd w:val="clear" w:color="auto" w:fill="auto"/>
            <w:noWrap/>
            <w:vAlign w:val="center"/>
          </w:tcPr>
          <w:p w14:paraId="7A63FA05" w14:textId="08F845C0" w:rsidR="00AD658C" w:rsidRDefault="00AD658C" w:rsidP="00AD658C">
            <w:pPr>
              <w:jc w:val="right"/>
              <w:rPr>
                <w:rFonts w:ascii="Calibri" w:hAnsi="Calibri" w:cs="Calibri"/>
                <w:color w:val="000000"/>
              </w:rPr>
            </w:pPr>
            <w:r>
              <w:rPr>
                <w:rFonts w:ascii="Calibri" w:hAnsi="Calibri" w:cs="Calibri"/>
                <w:color w:val="000000"/>
              </w:rPr>
              <w:t>32,0 %</w:t>
            </w:r>
          </w:p>
        </w:tc>
      </w:tr>
    </w:tbl>
    <w:p w14:paraId="6766FDF1" w14:textId="2BE680A5" w:rsidR="00F47535" w:rsidRDefault="00AD658C" w:rsidP="00F47535">
      <w:pPr>
        <w:spacing w:after="160"/>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128</w:t>
      </w:r>
      <w:r w:rsidRPr="00DE3F03">
        <w:rPr>
          <w:sz w:val="20"/>
          <w:szCs w:val="20"/>
        </w:rPr>
        <w:t xml:space="preserve"> krát</w:t>
      </w:r>
      <w:r>
        <w:rPr>
          <w:sz w:val="20"/>
          <w:szCs w:val="20"/>
        </w:rPr>
        <w:t>, nezodpovězena</w:t>
      </w:r>
      <w:r>
        <w:rPr>
          <w:sz w:val="20"/>
          <w:szCs w:val="20"/>
        </w:rPr>
        <w:br/>
        <w:t>1 krát</w:t>
      </w:r>
      <w:r w:rsidRPr="00DE3F03">
        <w:rPr>
          <w:sz w:val="20"/>
          <w:szCs w:val="20"/>
        </w:rPr>
        <w:t>. Procentuální hodnota představuje podíl dané odpovědi z celkového počtu lidí/subjektů, kteří danou otázku zodpověděli.</w:t>
      </w:r>
    </w:p>
    <w:p w14:paraId="422009D8" w14:textId="70B06A81" w:rsidR="00F47535" w:rsidRDefault="004541CF" w:rsidP="00F47535">
      <w:pPr>
        <w:spacing w:after="160" w:line="259" w:lineRule="auto"/>
        <w:jc w:val="both"/>
      </w:pPr>
      <w:r>
        <w:lastRenderedPageBreak/>
        <w:t>Nejvíce</w:t>
      </w:r>
      <w:r w:rsidR="00803153">
        <w:t xml:space="preserve"> odpovídajících (</w:t>
      </w:r>
      <w:r>
        <w:t>32</w:t>
      </w:r>
      <w:r w:rsidR="00803153">
        <w:t xml:space="preserve"> %) žije či působí v obci 31 a více let. 21 % respondentů v obci žije či působí 11 až 20 let, </w:t>
      </w:r>
      <w:r>
        <w:t>20</w:t>
      </w:r>
      <w:r w:rsidR="00803153">
        <w:t xml:space="preserve"> % respondentů </w:t>
      </w:r>
      <w:r>
        <w:t>1</w:t>
      </w:r>
      <w:r w:rsidR="00803153">
        <w:t xml:space="preserve"> až </w:t>
      </w:r>
      <w:r>
        <w:t>5</w:t>
      </w:r>
      <w:r w:rsidR="00803153">
        <w:t xml:space="preserve"> let a 1</w:t>
      </w:r>
      <w:r>
        <w:t>5</w:t>
      </w:r>
      <w:r w:rsidR="00803153">
        <w:t xml:space="preserve"> % respondentů </w:t>
      </w:r>
      <w:r>
        <w:t>6</w:t>
      </w:r>
      <w:r w:rsidR="00803153">
        <w:t xml:space="preserve"> až </w:t>
      </w:r>
      <w:r>
        <w:t>10</w:t>
      </w:r>
      <w:r w:rsidR="00803153">
        <w:t xml:space="preserve"> let. Zbývající dvě možnosti již měly zastoupení nižší.</w:t>
      </w:r>
    </w:p>
    <w:p w14:paraId="044D02B3" w14:textId="77777777" w:rsidR="009923A4" w:rsidRDefault="009923A4" w:rsidP="00F47535">
      <w:pPr>
        <w:spacing w:after="160" w:line="259" w:lineRule="auto"/>
        <w:jc w:val="both"/>
      </w:pPr>
    </w:p>
    <w:p w14:paraId="6ADD81B0" w14:textId="0132FAE7" w:rsidR="00F47535" w:rsidRDefault="00F47535" w:rsidP="00F47535">
      <w:pPr>
        <w:spacing w:after="160" w:line="259" w:lineRule="auto"/>
        <w:jc w:val="both"/>
        <w:rPr>
          <w:rFonts w:cstheme="minorHAnsi"/>
          <w:b/>
          <w:sz w:val="24"/>
          <w:szCs w:val="24"/>
          <w:u w:val="single"/>
          <w:lang w:eastAsia="cs-CZ"/>
        </w:rPr>
      </w:pPr>
      <w:r w:rsidRPr="000A3F8E">
        <w:rPr>
          <w:rFonts w:cstheme="minorHAnsi"/>
          <w:b/>
          <w:sz w:val="24"/>
          <w:szCs w:val="24"/>
          <w:u w:val="single"/>
          <w:lang w:eastAsia="cs-CZ"/>
        </w:rPr>
        <w:t xml:space="preserve">Otázka č. </w:t>
      </w:r>
      <w:r>
        <w:rPr>
          <w:rFonts w:cstheme="minorHAnsi"/>
          <w:b/>
          <w:sz w:val="24"/>
          <w:szCs w:val="24"/>
          <w:u w:val="single"/>
          <w:lang w:eastAsia="cs-CZ"/>
        </w:rPr>
        <w:t>1</w:t>
      </w:r>
      <w:r w:rsidR="00473B50">
        <w:rPr>
          <w:rFonts w:cstheme="minorHAnsi"/>
          <w:b/>
          <w:sz w:val="24"/>
          <w:szCs w:val="24"/>
          <w:u w:val="single"/>
          <w:lang w:eastAsia="cs-CZ"/>
        </w:rPr>
        <w:t>7</w:t>
      </w:r>
      <w:r w:rsidRPr="000A3F8E">
        <w:rPr>
          <w:rFonts w:cstheme="minorHAnsi"/>
          <w:b/>
          <w:sz w:val="24"/>
          <w:szCs w:val="24"/>
          <w:u w:val="single"/>
          <w:lang w:eastAsia="cs-CZ"/>
        </w:rPr>
        <w:t>:</w:t>
      </w:r>
      <w:r>
        <w:rPr>
          <w:rFonts w:cstheme="minorHAnsi"/>
          <w:b/>
          <w:sz w:val="24"/>
          <w:szCs w:val="24"/>
          <w:u w:val="single"/>
          <w:lang w:eastAsia="cs-CZ"/>
        </w:rPr>
        <w:t xml:space="preserve"> </w:t>
      </w:r>
      <w:r w:rsidRPr="000025AA">
        <w:rPr>
          <w:rFonts w:cstheme="minorHAnsi"/>
          <w:b/>
          <w:sz w:val="24"/>
          <w:szCs w:val="24"/>
          <w:u w:val="single"/>
          <w:lang w:eastAsia="cs-CZ"/>
        </w:rPr>
        <w:t>Jsem trvale bydlící osoba nebo chatař či chalupář</w:t>
      </w:r>
    </w:p>
    <w:p w14:paraId="10565957" w14:textId="200A05AC" w:rsidR="009231A1" w:rsidRPr="009231A1" w:rsidRDefault="009231A1" w:rsidP="009231A1">
      <w:pPr>
        <w:pStyle w:val="TABULKA0"/>
      </w:pPr>
      <w:bookmarkStart w:id="509" w:name="_Toc120651953"/>
      <w:r w:rsidRPr="009231A1">
        <w:t>Tabulka 3</w:t>
      </w:r>
      <w:r w:rsidR="00C76380">
        <w:t>1</w:t>
      </w:r>
      <w:r w:rsidRPr="009231A1">
        <w:t>: Výsledky odpovědí u otázky č. 1</w:t>
      </w:r>
      <w:r w:rsidR="000C390B">
        <w:t>7</w:t>
      </w:r>
      <w:bookmarkEnd w:id="509"/>
    </w:p>
    <w:tbl>
      <w:tblPr>
        <w:tblW w:w="4523"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2255"/>
        <w:gridCol w:w="1134"/>
        <w:gridCol w:w="1134"/>
      </w:tblGrid>
      <w:tr w:rsidR="009231A1" w:rsidRPr="00494B79" w14:paraId="05C44D76" w14:textId="77777777" w:rsidTr="00C76380">
        <w:trPr>
          <w:trHeight w:val="38"/>
          <w:jc w:val="center"/>
        </w:trPr>
        <w:tc>
          <w:tcPr>
            <w:tcW w:w="2255" w:type="dxa"/>
            <w:tcBorders>
              <w:top w:val="single" w:sz="12" w:space="0" w:color="auto"/>
              <w:bottom w:val="single" w:sz="12" w:space="0" w:color="auto"/>
            </w:tcBorders>
            <w:shd w:val="clear" w:color="auto" w:fill="FFC000"/>
            <w:noWrap/>
            <w:vAlign w:val="center"/>
            <w:hideMark/>
          </w:tcPr>
          <w:p w14:paraId="5BAE239D" w14:textId="77777777" w:rsidR="009231A1" w:rsidRPr="00494B79" w:rsidRDefault="009231A1" w:rsidP="00C84E12">
            <w:pPr>
              <w:jc w:val="center"/>
              <w:rPr>
                <w:rFonts w:ascii="Calibri" w:eastAsia="Times New Roman" w:hAnsi="Calibri" w:cs="Calibri"/>
                <w:b/>
                <w:color w:val="000000"/>
                <w:lang w:eastAsia="cs-CZ"/>
              </w:rPr>
            </w:pPr>
            <w:r w:rsidRPr="00494B79">
              <w:rPr>
                <w:rFonts w:ascii="Calibri" w:eastAsia="Times New Roman" w:hAnsi="Calibri" w:cs="Calibri"/>
                <w:b/>
                <w:color w:val="000000"/>
                <w:lang w:eastAsia="cs-CZ"/>
              </w:rPr>
              <w:t>Odpověď</w:t>
            </w:r>
          </w:p>
        </w:tc>
        <w:tc>
          <w:tcPr>
            <w:tcW w:w="1134" w:type="dxa"/>
            <w:tcBorders>
              <w:top w:val="single" w:sz="12" w:space="0" w:color="auto"/>
              <w:bottom w:val="single" w:sz="12" w:space="0" w:color="auto"/>
            </w:tcBorders>
            <w:shd w:val="clear" w:color="auto" w:fill="FFC000"/>
            <w:noWrap/>
            <w:vAlign w:val="center"/>
            <w:hideMark/>
          </w:tcPr>
          <w:p w14:paraId="4299230A" w14:textId="77777777" w:rsidR="009231A1" w:rsidRPr="00494B79" w:rsidRDefault="009231A1" w:rsidP="00C84E12">
            <w:pPr>
              <w:jc w:val="center"/>
              <w:rPr>
                <w:rFonts w:ascii="Calibri" w:eastAsia="Times New Roman" w:hAnsi="Calibri" w:cs="Calibri"/>
                <w:b/>
                <w:color w:val="000000"/>
                <w:lang w:eastAsia="cs-CZ"/>
              </w:rPr>
            </w:pPr>
            <w:r w:rsidRPr="00494B79">
              <w:rPr>
                <w:rFonts w:ascii="Calibri" w:eastAsia="Times New Roman" w:hAnsi="Calibri" w:cs="Calibri"/>
                <w:b/>
                <w:color w:val="000000"/>
                <w:lang w:eastAsia="cs-CZ"/>
              </w:rPr>
              <w:t>Responzí</w:t>
            </w:r>
          </w:p>
        </w:tc>
        <w:tc>
          <w:tcPr>
            <w:tcW w:w="1134" w:type="dxa"/>
            <w:tcBorders>
              <w:top w:val="single" w:sz="12" w:space="0" w:color="auto"/>
              <w:bottom w:val="single" w:sz="12" w:space="0" w:color="auto"/>
            </w:tcBorders>
            <w:shd w:val="clear" w:color="auto" w:fill="FFC000"/>
            <w:noWrap/>
            <w:vAlign w:val="center"/>
            <w:hideMark/>
          </w:tcPr>
          <w:p w14:paraId="07E20AC8" w14:textId="77777777" w:rsidR="009231A1" w:rsidRPr="00494B79" w:rsidRDefault="009231A1" w:rsidP="00C84E12">
            <w:pPr>
              <w:jc w:val="center"/>
              <w:rPr>
                <w:rFonts w:ascii="Calibri" w:eastAsia="Times New Roman" w:hAnsi="Calibri" w:cs="Calibri"/>
                <w:b/>
                <w:color w:val="000000"/>
                <w:lang w:eastAsia="cs-CZ"/>
              </w:rPr>
            </w:pPr>
            <w:r w:rsidRPr="00494B79">
              <w:rPr>
                <w:rFonts w:ascii="Calibri" w:eastAsia="Times New Roman" w:hAnsi="Calibri" w:cs="Calibri"/>
                <w:b/>
                <w:color w:val="000000"/>
                <w:lang w:eastAsia="cs-CZ"/>
              </w:rPr>
              <w:t>Podíl</w:t>
            </w:r>
          </w:p>
        </w:tc>
      </w:tr>
      <w:tr w:rsidR="008F3E1D" w:rsidRPr="00494B79" w14:paraId="1AA03423" w14:textId="77777777" w:rsidTr="008F3E1D">
        <w:trPr>
          <w:trHeight w:val="38"/>
          <w:jc w:val="center"/>
        </w:trPr>
        <w:tc>
          <w:tcPr>
            <w:tcW w:w="2255" w:type="dxa"/>
            <w:tcBorders>
              <w:top w:val="single" w:sz="12" w:space="0" w:color="auto"/>
            </w:tcBorders>
            <w:shd w:val="clear" w:color="auto" w:fill="D9D9D9"/>
            <w:noWrap/>
            <w:vAlign w:val="center"/>
          </w:tcPr>
          <w:p w14:paraId="56DC6130" w14:textId="77777777" w:rsidR="008F3E1D" w:rsidRPr="00494B79" w:rsidRDefault="008F3E1D" w:rsidP="008F3E1D">
            <w:pPr>
              <w:rPr>
                <w:rFonts w:ascii="Calibri" w:eastAsia="Times New Roman" w:hAnsi="Calibri" w:cs="Calibri"/>
                <w:bCs/>
                <w:color w:val="000000"/>
                <w:lang w:eastAsia="cs-CZ"/>
              </w:rPr>
            </w:pPr>
            <w:r w:rsidRPr="00494B79">
              <w:rPr>
                <w:rFonts w:ascii="Calibri" w:eastAsia="Times New Roman" w:hAnsi="Calibri" w:cs="Calibri"/>
                <w:bCs/>
                <w:color w:val="000000"/>
                <w:lang w:eastAsia="cs-CZ"/>
              </w:rPr>
              <w:t>trvale bydlící osoba</w:t>
            </w:r>
          </w:p>
        </w:tc>
        <w:tc>
          <w:tcPr>
            <w:tcW w:w="1134" w:type="dxa"/>
            <w:tcBorders>
              <w:top w:val="single" w:sz="12" w:space="0" w:color="auto"/>
            </w:tcBorders>
            <w:shd w:val="clear" w:color="auto" w:fill="auto"/>
            <w:noWrap/>
            <w:vAlign w:val="center"/>
          </w:tcPr>
          <w:p w14:paraId="5F89468D" w14:textId="3D3A402C" w:rsidR="008F3E1D" w:rsidRPr="00494B79" w:rsidRDefault="008F3E1D" w:rsidP="008F3E1D">
            <w:pPr>
              <w:jc w:val="right"/>
              <w:rPr>
                <w:rFonts w:ascii="Calibri" w:eastAsia="Calibri" w:hAnsi="Calibri" w:cs="Calibri"/>
                <w:color w:val="000000"/>
              </w:rPr>
            </w:pPr>
            <w:r>
              <w:rPr>
                <w:rFonts w:ascii="Calibri" w:hAnsi="Calibri" w:cs="Calibri"/>
                <w:color w:val="000000"/>
              </w:rPr>
              <w:t>120</w:t>
            </w:r>
          </w:p>
        </w:tc>
        <w:tc>
          <w:tcPr>
            <w:tcW w:w="1134" w:type="dxa"/>
            <w:tcBorders>
              <w:top w:val="single" w:sz="12" w:space="0" w:color="auto"/>
            </w:tcBorders>
            <w:shd w:val="clear" w:color="auto" w:fill="auto"/>
            <w:noWrap/>
            <w:vAlign w:val="center"/>
          </w:tcPr>
          <w:p w14:paraId="30648071" w14:textId="37717CE6" w:rsidR="008F3E1D" w:rsidRPr="00494B79" w:rsidRDefault="008F3E1D" w:rsidP="008F3E1D">
            <w:pPr>
              <w:jc w:val="right"/>
              <w:rPr>
                <w:rFonts w:ascii="Calibri" w:eastAsia="Calibri" w:hAnsi="Calibri" w:cs="Calibri"/>
                <w:color w:val="000000"/>
              </w:rPr>
            </w:pPr>
            <w:r>
              <w:rPr>
                <w:rFonts w:ascii="Calibri" w:hAnsi="Calibri" w:cs="Calibri"/>
                <w:color w:val="000000"/>
              </w:rPr>
              <w:t>93,8</w:t>
            </w:r>
            <w:r w:rsidR="004F3035">
              <w:rPr>
                <w:rFonts w:ascii="Calibri" w:hAnsi="Calibri" w:cs="Calibri"/>
                <w:color w:val="000000"/>
              </w:rPr>
              <w:t xml:space="preserve"> %</w:t>
            </w:r>
          </w:p>
        </w:tc>
      </w:tr>
      <w:tr w:rsidR="008F3E1D" w:rsidRPr="00494B79" w14:paraId="1CFA83A1" w14:textId="77777777" w:rsidTr="008F3E1D">
        <w:trPr>
          <w:trHeight w:val="58"/>
          <w:jc w:val="center"/>
        </w:trPr>
        <w:tc>
          <w:tcPr>
            <w:tcW w:w="2255" w:type="dxa"/>
            <w:shd w:val="clear" w:color="auto" w:fill="D9D9D9"/>
            <w:noWrap/>
            <w:vAlign w:val="center"/>
          </w:tcPr>
          <w:p w14:paraId="0EFCE854" w14:textId="77777777" w:rsidR="008F3E1D" w:rsidRPr="00494B79" w:rsidRDefault="008F3E1D" w:rsidP="008F3E1D">
            <w:pPr>
              <w:rPr>
                <w:rFonts w:ascii="Calibri" w:eastAsia="Times New Roman" w:hAnsi="Calibri" w:cs="Calibri"/>
                <w:bCs/>
                <w:color w:val="000000"/>
                <w:lang w:eastAsia="cs-CZ"/>
              </w:rPr>
            </w:pPr>
            <w:r w:rsidRPr="00494B79">
              <w:rPr>
                <w:rFonts w:ascii="Calibri" w:eastAsia="Times New Roman" w:hAnsi="Calibri" w:cs="Calibri"/>
                <w:bCs/>
                <w:color w:val="000000"/>
                <w:lang w:eastAsia="cs-CZ"/>
              </w:rPr>
              <w:t>chatař či chalupář</w:t>
            </w:r>
          </w:p>
        </w:tc>
        <w:tc>
          <w:tcPr>
            <w:tcW w:w="1134" w:type="dxa"/>
            <w:shd w:val="clear" w:color="auto" w:fill="auto"/>
            <w:noWrap/>
            <w:vAlign w:val="center"/>
          </w:tcPr>
          <w:p w14:paraId="1769882E" w14:textId="4F72FEAD" w:rsidR="008F3E1D" w:rsidRPr="00494B79" w:rsidRDefault="008F3E1D" w:rsidP="008F3E1D">
            <w:pPr>
              <w:jc w:val="right"/>
              <w:rPr>
                <w:rFonts w:ascii="Calibri" w:eastAsia="Calibri" w:hAnsi="Calibri" w:cs="Calibri"/>
                <w:color w:val="000000"/>
              </w:rPr>
            </w:pPr>
            <w:r>
              <w:rPr>
                <w:rFonts w:ascii="Calibri" w:hAnsi="Calibri" w:cs="Calibri"/>
                <w:color w:val="000000"/>
              </w:rPr>
              <w:t>8</w:t>
            </w:r>
          </w:p>
        </w:tc>
        <w:tc>
          <w:tcPr>
            <w:tcW w:w="1134" w:type="dxa"/>
            <w:shd w:val="clear" w:color="auto" w:fill="auto"/>
            <w:noWrap/>
            <w:vAlign w:val="center"/>
          </w:tcPr>
          <w:p w14:paraId="4699FFE3" w14:textId="568876E5" w:rsidR="008F3E1D" w:rsidRPr="00494B79" w:rsidRDefault="008F3E1D" w:rsidP="008F3E1D">
            <w:pPr>
              <w:jc w:val="right"/>
              <w:rPr>
                <w:rFonts w:ascii="Calibri" w:eastAsia="Calibri" w:hAnsi="Calibri" w:cs="Calibri"/>
                <w:color w:val="000000"/>
              </w:rPr>
            </w:pPr>
            <w:r>
              <w:rPr>
                <w:rFonts w:ascii="Calibri" w:hAnsi="Calibri" w:cs="Calibri"/>
                <w:color w:val="000000"/>
              </w:rPr>
              <w:t>6,2</w:t>
            </w:r>
            <w:r w:rsidR="004F3035">
              <w:rPr>
                <w:rFonts w:ascii="Calibri" w:hAnsi="Calibri" w:cs="Calibri"/>
                <w:color w:val="000000"/>
              </w:rPr>
              <w:t xml:space="preserve"> %</w:t>
            </w:r>
          </w:p>
        </w:tc>
      </w:tr>
    </w:tbl>
    <w:p w14:paraId="51987AFF" w14:textId="359823A5" w:rsidR="009231A1" w:rsidRPr="00494B79" w:rsidRDefault="008F3E1D" w:rsidP="00B33268">
      <w:pPr>
        <w:spacing w:after="160"/>
        <w:jc w:val="both"/>
        <w:rPr>
          <w:rFonts w:ascii="Calibri" w:eastAsia="Calibri" w:hAnsi="Calibri" w:cs="Times New Roman"/>
        </w:rPr>
      </w:pPr>
      <w:r w:rsidRPr="00DE3F03">
        <w:rPr>
          <w:b/>
          <w:sz w:val="20"/>
          <w:szCs w:val="20"/>
        </w:rPr>
        <w:t>Poznámky:</w:t>
      </w:r>
      <w:r w:rsidRPr="00DE3F03">
        <w:rPr>
          <w:sz w:val="20"/>
          <w:szCs w:val="20"/>
        </w:rPr>
        <w:t xml:space="preserve"> </w:t>
      </w:r>
      <w:r>
        <w:rPr>
          <w:sz w:val="20"/>
          <w:szCs w:val="20"/>
        </w:rPr>
        <w:t>Otázka byla zodpovězena v odevzdaných vyplněných dotaznících celkem 128</w:t>
      </w:r>
      <w:r w:rsidRPr="00DE3F03">
        <w:rPr>
          <w:sz w:val="20"/>
          <w:szCs w:val="20"/>
        </w:rPr>
        <w:t xml:space="preserve"> krát</w:t>
      </w:r>
      <w:r>
        <w:rPr>
          <w:sz w:val="20"/>
          <w:szCs w:val="20"/>
        </w:rPr>
        <w:t>, nezodpovězena</w:t>
      </w:r>
      <w:r>
        <w:rPr>
          <w:sz w:val="20"/>
          <w:szCs w:val="20"/>
        </w:rPr>
        <w:br/>
        <w:t>1 krát</w:t>
      </w:r>
      <w:r w:rsidRPr="00DE3F03">
        <w:rPr>
          <w:sz w:val="20"/>
          <w:szCs w:val="20"/>
        </w:rPr>
        <w:t>. Procentuální hodnota představuje podíl dané odpovědi z celkového počtu lidí/subjektů, kteří danou otázku zodpověděli.</w:t>
      </w:r>
    </w:p>
    <w:p w14:paraId="61B37BBA" w14:textId="77777777" w:rsidR="009231A1" w:rsidRPr="00494B79" w:rsidRDefault="009231A1" w:rsidP="009231A1">
      <w:pPr>
        <w:spacing w:line="259" w:lineRule="auto"/>
        <w:jc w:val="both"/>
        <w:rPr>
          <w:rFonts w:ascii="Calibri" w:eastAsia="Calibri" w:hAnsi="Calibri" w:cs="Times New Roman"/>
        </w:rPr>
      </w:pPr>
    </w:p>
    <w:p w14:paraId="69CF2184" w14:textId="72AF8E96" w:rsidR="00F47535" w:rsidRPr="003D35F3" w:rsidRDefault="009231A1" w:rsidP="009231A1">
      <w:pPr>
        <w:spacing w:after="160" w:line="259" w:lineRule="auto"/>
        <w:jc w:val="both"/>
        <w:rPr>
          <w:rFonts w:cstheme="minorHAnsi"/>
          <w:lang w:eastAsia="cs-CZ"/>
        </w:rPr>
      </w:pPr>
      <w:r w:rsidRPr="00494B79">
        <w:rPr>
          <w:rFonts w:ascii="Calibri" w:eastAsia="Calibri" w:hAnsi="Calibri" w:cs="Calibri"/>
          <w:lang w:eastAsia="cs-CZ"/>
        </w:rPr>
        <w:t>Naprostá většina respondentů konstatovala (</w:t>
      </w:r>
      <w:r>
        <w:rPr>
          <w:rFonts w:ascii="Calibri" w:eastAsia="Calibri" w:hAnsi="Calibri" w:cs="Calibri"/>
          <w:lang w:eastAsia="cs-CZ"/>
        </w:rPr>
        <w:t>9</w:t>
      </w:r>
      <w:r w:rsidR="000A6F0C">
        <w:rPr>
          <w:rFonts w:ascii="Calibri" w:eastAsia="Calibri" w:hAnsi="Calibri" w:cs="Calibri"/>
          <w:lang w:eastAsia="cs-CZ"/>
        </w:rPr>
        <w:t>4</w:t>
      </w:r>
      <w:r w:rsidRPr="00494B79">
        <w:rPr>
          <w:rFonts w:ascii="Calibri" w:eastAsia="Calibri" w:hAnsi="Calibri" w:cs="Calibri"/>
          <w:lang w:eastAsia="cs-CZ"/>
        </w:rPr>
        <w:t xml:space="preserve"> %), že jsou trvale bydlícími osobami v</w:t>
      </w:r>
      <w:r>
        <w:rPr>
          <w:rFonts w:ascii="Calibri" w:eastAsia="Calibri" w:hAnsi="Calibri" w:cs="Calibri"/>
          <w:lang w:eastAsia="cs-CZ"/>
        </w:rPr>
        <w:t xml:space="preserve"> obci</w:t>
      </w:r>
      <w:r w:rsidRPr="00494B79">
        <w:rPr>
          <w:rFonts w:ascii="Calibri" w:eastAsia="Calibri" w:hAnsi="Calibri" w:cs="Calibri"/>
          <w:lang w:eastAsia="cs-CZ"/>
        </w:rPr>
        <w:t xml:space="preserve">. </w:t>
      </w:r>
      <w:r w:rsidR="000A6F0C">
        <w:rPr>
          <w:rFonts w:ascii="Calibri" w:eastAsia="Calibri" w:hAnsi="Calibri" w:cs="Calibri"/>
          <w:lang w:eastAsia="cs-CZ"/>
        </w:rPr>
        <w:t>Osm</w:t>
      </w:r>
      <w:r w:rsidRPr="00494B79">
        <w:rPr>
          <w:rFonts w:ascii="Calibri" w:eastAsia="Calibri" w:hAnsi="Calibri" w:cs="Calibri"/>
          <w:lang w:eastAsia="cs-CZ"/>
        </w:rPr>
        <w:t xml:space="preserve"> respondent</w:t>
      </w:r>
      <w:r w:rsidR="00C92C20">
        <w:rPr>
          <w:rFonts w:ascii="Calibri" w:eastAsia="Calibri" w:hAnsi="Calibri" w:cs="Calibri"/>
          <w:lang w:eastAsia="cs-CZ"/>
        </w:rPr>
        <w:t>ů</w:t>
      </w:r>
      <w:r w:rsidRPr="00494B79">
        <w:rPr>
          <w:rFonts w:ascii="Calibri" w:eastAsia="Calibri" w:hAnsi="Calibri" w:cs="Calibri"/>
          <w:lang w:eastAsia="cs-CZ"/>
        </w:rPr>
        <w:t xml:space="preserve"> uvedl</w:t>
      </w:r>
      <w:r w:rsidR="00C92C20">
        <w:rPr>
          <w:rFonts w:ascii="Calibri" w:eastAsia="Calibri" w:hAnsi="Calibri" w:cs="Calibri"/>
          <w:lang w:eastAsia="cs-CZ"/>
        </w:rPr>
        <w:t>o</w:t>
      </w:r>
      <w:r w:rsidRPr="00494B79">
        <w:rPr>
          <w:rFonts w:ascii="Calibri" w:eastAsia="Calibri" w:hAnsi="Calibri" w:cs="Calibri"/>
          <w:lang w:eastAsia="cs-CZ"/>
        </w:rPr>
        <w:t>, že jsou chatařem či chalupářem</w:t>
      </w:r>
      <w:r>
        <w:rPr>
          <w:rFonts w:ascii="Calibri" w:eastAsia="Calibri" w:hAnsi="Calibri" w:cs="Calibri"/>
          <w:lang w:eastAsia="cs-CZ"/>
        </w:rPr>
        <w:t xml:space="preserve"> v obci</w:t>
      </w:r>
      <w:r w:rsidRPr="00494B79">
        <w:rPr>
          <w:rFonts w:ascii="Calibri" w:eastAsia="Times New Roman" w:hAnsi="Calibri" w:cs="Calibri"/>
          <w:bCs/>
          <w:color w:val="000000"/>
          <w:lang w:eastAsia="cs-CZ"/>
        </w:rPr>
        <w:t>.</w:t>
      </w:r>
    </w:p>
    <w:p w14:paraId="4A45C468" w14:textId="567666B0" w:rsidR="00AF0671" w:rsidRDefault="00AF0671" w:rsidP="00F47535">
      <w:pPr>
        <w:spacing w:after="160" w:line="259" w:lineRule="auto"/>
        <w:jc w:val="both"/>
        <w:rPr>
          <w:rFonts w:cstheme="minorHAnsi"/>
          <w:lang w:eastAsia="cs-CZ"/>
        </w:rPr>
      </w:pPr>
    </w:p>
    <w:p w14:paraId="718CA27E" w14:textId="30135B41" w:rsidR="00F47535" w:rsidRDefault="00F47535" w:rsidP="00F47535">
      <w:pPr>
        <w:spacing w:after="160" w:line="259" w:lineRule="auto"/>
        <w:jc w:val="both"/>
      </w:pPr>
      <w:r w:rsidRPr="000A3F8E">
        <w:rPr>
          <w:rFonts w:cstheme="minorHAnsi"/>
          <w:b/>
          <w:sz w:val="24"/>
          <w:szCs w:val="24"/>
          <w:u w:val="single"/>
          <w:lang w:eastAsia="cs-CZ"/>
        </w:rPr>
        <w:t xml:space="preserve">Otázka č. </w:t>
      </w:r>
      <w:r>
        <w:rPr>
          <w:rFonts w:cstheme="minorHAnsi"/>
          <w:b/>
          <w:sz w:val="24"/>
          <w:szCs w:val="24"/>
          <w:u w:val="single"/>
          <w:lang w:eastAsia="cs-CZ"/>
        </w:rPr>
        <w:t>1</w:t>
      </w:r>
      <w:r w:rsidR="00C92C20">
        <w:rPr>
          <w:rFonts w:cstheme="minorHAnsi"/>
          <w:b/>
          <w:sz w:val="24"/>
          <w:szCs w:val="24"/>
          <w:u w:val="single"/>
          <w:lang w:eastAsia="cs-CZ"/>
        </w:rPr>
        <w:t>8</w:t>
      </w:r>
      <w:r w:rsidRPr="000A3F8E">
        <w:rPr>
          <w:rFonts w:cstheme="minorHAnsi"/>
          <w:b/>
          <w:sz w:val="24"/>
          <w:szCs w:val="24"/>
          <w:u w:val="single"/>
          <w:lang w:eastAsia="cs-CZ"/>
        </w:rPr>
        <w:t>:</w:t>
      </w:r>
      <w:r>
        <w:rPr>
          <w:rFonts w:cstheme="minorHAnsi"/>
          <w:b/>
          <w:sz w:val="24"/>
          <w:szCs w:val="24"/>
          <w:u w:val="single"/>
          <w:lang w:eastAsia="cs-CZ"/>
        </w:rPr>
        <w:t xml:space="preserve"> Typ Vaší domácnosti</w:t>
      </w:r>
    </w:p>
    <w:p w14:paraId="3B42BE60" w14:textId="42AD6902" w:rsidR="00F47535" w:rsidRDefault="00F47535" w:rsidP="00F47535">
      <w:pPr>
        <w:pStyle w:val="TABULKA0"/>
      </w:pPr>
      <w:bookmarkStart w:id="510" w:name="_Toc32577815"/>
      <w:bookmarkStart w:id="511" w:name="_Toc120651954"/>
      <w:r w:rsidRPr="000E7B38">
        <w:t xml:space="preserve">Tabulka </w:t>
      </w:r>
      <w:r w:rsidR="000E7B38">
        <w:t>3</w:t>
      </w:r>
      <w:r w:rsidR="008C04C9">
        <w:t>2</w:t>
      </w:r>
      <w:r>
        <w:t>:</w:t>
      </w:r>
      <w:r w:rsidRPr="00405294">
        <w:t xml:space="preserve"> </w:t>
      </w:r>
      <w:r>
        <w:t>Výsledky odpovědí u otázky č. 1</w:t>
      </w:r>
      <w:bookmarkEnd w:id="510"/>
      <w:r w:rsidR="000C390B">
        <w:t>8</w:t>
      </w:r>
      <w:bookmarkEnd w:id="511"/>
    </w:p>
    <w:tbl>
      <w:tblPr>
        <w:tblW w:w="6460"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4445"/>
        <w:gridCol w:w="959"/>
        <w:gridCol w:w="1056"/>
      </w:tblGrid>
      <w:tr w:rsidR="00F47535" w:rsidRPr="003B3F7B" w14:paraId="1F1897D0" w14:textId="77777777" w:rsidTr="008C04C9">
        <w:trPr>
          <w:trHeight w:val="38"/>
          <w:jc w:val="center"/>
        </w:trPr>
        <w:tc>
          <w:tcPr>
            <w:tcW w:w="4445" w:type="dxa"/>
            <w:tcBorders>
              <w:top w:val="single" w:sz="12" w:space="0" w:color="auto"/>
              <w:bottom w:val="single" w:sz="12" w:space="0" w:color="auto"/>
            </w:tcBorders>
            <w:shd w:val="clear" w:color="auto" w:fill="FFC000"/>
            <w:noWrap/>
            <w:vAlign w:val="center"/>
            <w:hideMark/>
          </w:tcPr>
          <w:p w14:paraId="0A8E336F" w14:textId="77777777" w:rsidR="00F47535" w:rsidRPr="003B3F7B" w:rsidRDefault="00F47535" w:rsidP="0034794C">
            <w:pPr>
              <w:jc w:val="center"/>
              <w:rPr>
                <w:rFonts w:ascii="Calibri" w:eastAsia="Times New Roman" w:hAnsi="Calibri" w:cs="Calibri"/>
                <w:b/>
                <w:color w:val="000000"/>
                <w:lang w:eastAsia="cs-CZ"/>
              </w:rPr>
            </w:pPr>
            <w:r w:rsidRPr="003B3F7B">
              <w:rPr>
                <w:rFonts w:ascii="Calibri" w:eastAsia="Times New Roman" w:hAnsi="Calibri" w:cs="Calibri"/>
                <w:b/>
                <w:color w:val="000000"/>
                <w:lang w:eastAsia="cs-CZ"/>
              </w:rPr>
              <w:t>Odpověď</w:t>
            </w:r>
          </w:p>
        </w:tc>
        <w:tc>
          <w:tcPr>
            <w:tcW w:w="959" w:type="dxa"/>
            <w:tcBorders>
              <w:top w:val="single" w:sz="12" w:space="0" w:color="auto"/>
              <w:bottom w:val="single" w:sz="12" w:space="0" w:color="auto"/>
            </w:tcBorders>
            <w:shd w:val="clear" w:color="auto" w:fill="FFC000"/>
            <w:noWrap/>
            <w:vAlign w:val="center"/>
            <w:hideMark/>
          </w:tcPr>
          <w:p w14:paraId="0C57D28A" w14:textId="77777777" w:rsidR="00F47535" w:rsidRPr="003B3F7B" w:rsidRDefault="00F47535" w:rsidP="0034794C">
            <w:pPr>
              <w:jc w:val="center"/>
              <w:rPr>
                <w:rFonts w:ascii="Calibri" w:eastAsia="Times New Roman" w:hAnsi="Calibri" w:cs="Calibri"/>
                <w:b/>
                <w:color w:val="000000"/>
                <w:lang w:eastAsia="cs-CZ"/>
              </w:rPr>
            </w:pPr>
            <w:r w:rsidRPr="003B3F7B">
              <w:rPr>
                <w:rFonts w:ascii="Calibri" w:eastAsia="Times New Roman" w:hAnsi="Calibri" w:cs="Calibri"/>
                <w:b/>
                <w:color w:val="000000"/>
                <w:lang w:eastAsia="cs-CZ"/>
              </w:rPr>
              <w:t>Responzí</w:t>
            </w:r>
          </w:p>
        </w:tc>
        <w:tc>
          <w:tcPr>
            <w:tcW w:w="1056" w:type="dxa"/>
            <w:tcBorders>
              <w:top w:val="single" w:sz="12" w:space="0" w:color="auto"/>
              <w:bottom w:val="single" w:sz="12" w:space="0" w:color="auto"/>
            </w:tcBorders>
            <w:shd w:val="clear" w:color="auto" w:fill="FFC000"/>
            <w:noWrap/>
            <w:vAlign w:val="center"/>
            <w:hideMark/>
          </w:tcPr>
          <w:p w14:paraId="2034A7DD" w14:textId="77777777" w:rsidR="00F47535" w:rsidRPr="003B3F7B" w:rsidRDefault="00F47535" w:rsidP="0034794C">
            <w:pPr>
              <w:jc w:val="center"/>
              <w:rPr>
                <w:rFonts w:ascii="Calibri" w:eastAsia="Times New Roman" w:hAnsi="Calibri" w:cs="Calibri"/>
                <w:b/>
                <w:color w:val="000000"/>
                <w:lang w:eastAsia="cs-CZ"/>
              </w:rPr>
            </w:pPr>
            <w:r w:rsidRPr="003B3F7B">
              <w:rPr>
                <w:rFonts w:ascii="Calibri" w:eastAsia="Times New Roman" w:hAnsi="Calibri" w:cs="Calibri"/>
                <w:b/>
                <w:color w:val="000000"/>
                <w:lang w:eastAsia="cs-CZ"/>
              </w:rPr>
              <w:t>Podíl</w:t>
            </w:r>
          </w:p>
        </w:tc>
      </w:tr>
      <w:tr w:rsidR="0053106C" w:rsidRPr="003B3F7B" w14:paraId="7834531A" w14:textId="77777777" w:rsidTr="0053106C">
        <w:trPr>
          <w:trHeight w:val="38"/>
          <w:jc w:val="center"/>
        </w:trPr>
        <w:tc>
          <w:tcPr>
            <w:tcW w:w="4445" w:type="dxa"/>
            <w:tcBorders>
              <w:top w:val="single" w:sz="12" w:space="0" w:color="auto"/>
            </w:tcBorders>
            <w:shd w:val="clear" w:color="auto" w:fill="D9D9D9" w:themeFill="background1" w:themeFillShade="D9"/>
            <w:noWrap/>
            <w:vAlign w:val="center"/>
          </w:tcPr>
          <w:p w14:paraId="0D84C7D4" w14:textId="77777777" w:rsidR="0053106C" w:rsidRPr="00AF0671" w:rsidRDefault="0053106C" w:rsidP="0053106C">
            <w:pPr>
              <w:rPr>
                <w:rFonts w:ascii="Calibri" w:eastAsia="Times New Roman" w:hAnsi="Calibri" w:cs="Calibri"/>
                <w:bCs/>
                <w:color w:val="000000"/>
                <w:lang w:eastAsia="cs-CZ"/>
              </w:rPr>
            </w:pPr>
            <w:r w:rsidRPr="00AF0671">
              <w:rPr>
                <w:rFonts w:ascii="Calibri" w:eastAsia="Times New Roman" w:hAnsi="Calibri" w:cs="Calibri"/>
                <w:bCs/>
                <w:color w:val="000000"/>
                <w:lang w:eastAsia="cs-CZ"/>
              </w:rPr>
              <w:t>domácnost bez dětí</w:t>
            </w:r>
          </w:p>
        </w:tc>
        <w:tc>
          <w:tcPr>
            <w:tcW w:w="959" w:type="dxa"/>
            <w:tcBorders>
              <w:top w:val="single" w:sz="12" w:space="0" w:color="auto"/>
            </w:tcBorders>
            <w:shd w:val="clear" w:color="auto" w:fill="auto"/>
            <w:noWrap/>
            <w:vAlign w:val="center"/>
          </w:tcPr>
          <w:p w14:paraId="39F2CB82" w14:textId="27798F93" w:rsidR="0053106C" w:rsidRPr="003B3F7B" w:rsidRDefault="0053106C" w:rsidP="0053106C">
            <w:pPr>
              <w:jc w:val="right"/>
              <w:rPr>
                <w:rFonts w:ascii="Calibri" w:eastAsia="Times New Roman" w:hAnsi="Calibri" w:cs="Calibri"/>
                <w:color w:val="000000"/>
                <w:lang w:eastAsia="cs-CZ"/>
              </w:rPr>
            </w:pPr>
            <w:r>
              <w:rPr>
                <w:rFonts w:ascii="Calibri" w:hAnsi="Calibri" w:cs="Calibri"/>
                <w:color w:val="000000"/>
              </w:rPr>
              <w:t>67</w:t>
            </w:r>
          </w:p>
        </w:tc>
        <w:tc>
          <w:tcPr>
            <w:tcW w:w="1056" w:type="dxa"/>
            <w:tcBorders>
              <w:top w:val="single" w:sz="12" w:space="0" w:color="auto"/>
            </w:tcBorders>
            <w:shd w:val="clear" w:color="auto" w:fill="auto"/>
            <w:noWrap/>
            <w:vAlign w:val="center"/>
          </w:tcPr>
          <w:p w14:paraId="32761C9C" w14:textId="05B95298" w:rsidR="0053106C" w:rsidRPr="003B3F7B" w:rsidRDefault="0053106C" w:rsidP="0053106C">
            <w:pPr>
              <w:jc w:val="right"/>
              <w:rPr>
                <w:rFonts w:ascii="Calibri" w:eastAsia="Times New Roman" w:hAnsi="Calibri" w:cs="Calibri"/>
                <w:color w:val="000000"/>
                <w:lang w:eastAsia="cs-CZ"/>
              </w:rPr>
            </w:pPr>
            <w:r>
              <w:rPr>
                <w:rFonts w:ascii="Calibri" w:hAnsi="Calibri" w:cs="Calibri"/>
                <w:color w:val="000000"/>
              </w:rPr>
              <w:t>54,0 %</w:t>
            </w:r>
          </w:p>
        </w:tc>
      </w:tr>
      <w:tr w:rsidR="0053106C" w:rsidRPr="003B3F7B" w14:paraId="6BC739F7" w14:textId="77777777" w:rsidTr="0053106C">
        <w:trPr>
          <w:trHeight w:val="58"/>
          <w:jc w:val="center"/>
        </w:trPr>
        <w:tc>
          <w:tcPr>
            <w:tcW w:w="4445" w:type="dxa"/>
            <w:shd w:val="clear" w:color="auto" w:fill="D9D9D9" w:themeFill="background1" w:themeFillShade="D9"/>
            <w:noWrap/>
            <w:vAlign w:val="center"/>
          </w:tcPr>
          <w:p w14:paraId="0A6502C3" w14:textId="77777777" w:rsidR="0053106C" w:rsidRPr="00AF0671" w:rsidRDefault="0053106C" w:rsidP="0053106C">
            <w:pPr>
              <w:rPr>
                <w:rFonts w:ascii="Calibri" w:eastAsia="Times New Roman" w:hAnsi="Calibri" w:cs="Calibri"/>
                <w:bCs/>
                <w:color w:val="000000"/>
                <w:lang w:eastAsia="cs-CZ"/>
              </w:rPr>
            </w:pPr>
            <w:r w:rsidRPr="00AF0671">
              <w:rPr>
                <w:rFonts w:ascii="Calibri" w:eastAsia="Times New Roman" w:hAnsi="Calibri" w:cs="Calibri"/>
                <w:bCs/>
                <w:color w:val="000000"/>
                <w:lang w:eastAsia="cs-CZ"/>
              </w:rPr>
              <w:t>domácnost s nezaopatřenými dětmi (do 18 let)</w:t>
            </w:r>
          </w:p>
        </w:tc>
        <w:tc>
          <w:tcPr>
            <w:tcW w:w="959" w:type="dxa"/>
            <w:shd w:val="clear" w:color="auto" w:fill="auto"/>
            <w:noWrap/>
            <w:vAlign w:val="center"/>
          </w:tcPr>
          <w:p w14:paraId="60279F1F" w14:textId="30C39112" w:rsidR="0053106C" w:rsidRPr="003B3F7B" w:rsidRDefault="0053106C" w:rsidP="0053106C">
            <w:pPr>
              <w:jc w:val="right"/>
              <w:rPr>
                <w:rFonts w:ascii="Calibri" w:eastAsia="Times New Roman" w:hAnsi="Calibri" w:cs="Calibri"/>
                <w:color w:val="000000"/>
                <w:lang w:eastAsia="cs-CZ"/>
              </w:rPr>
            </w:pPr>
            <w:r>
              <w:rPr>
                <w:rFonts w:ascii="Calibri" w:hAnsi="Calibri" w:cs="Calibri"/>
                <w:color w:val="000000"/>
              </w:rPr>
              <w:t>55</w:t>
            </w:r>
          </w:p>
        </w:tc>
        <w:tc>
          <w:tcPr>
            <w:tcW w:w="1056" w:type="dxa"/>
            <w:shd w:val="clear" w:color="auto" w:fill="auto"/>
            <w:noWrap/>
            <w:vAlign w:val="center"/>
          </w:tcPr>
          <w:p w14:paraId="6B104F83" w14:textId="31A2515C" w:rsidR="0053106C" w:rsidRPr="003B3F7B" w:rsidRDefault="0053106C" w:rsidP="0053106C">
            <w:pPr>
              <w:jc w:val="right"/>
              <w:rPr>
                <w:rFonts w:ascii="Calibri" w:eastAsia="Times New Roman" w:hAnsi="Calibri" w:cs="Calibri"/>
                <w:color w:val="000000"/>
                <w:lang w:eastAsia="cs-CZ"/>
              </w:rPr>
            </w:pPr>
            <w:r>
              <w:rPr>
                <w:rFonts w:ascii="Calibri" w:hAnsi="Calibri" w:cs="Calibri"/>
                <w:color w:val="000000"/>
              </w:rPr>
              <w:t>44,4 %</w:t>
            </w:r>
          </w:p>
        </w:tc>
      </w:tr>
      <w:tr w:rsidR="0053106C" w:rsidRPr="003B3F7B" w14:paraId="04B3C16D" w14:textId="77777777" w:rsidTr="0053106C">
        <w:trPr>
          <w:trHeight w:val="58"/>
          <w:jc w:val="center"/>
        </w:trPr>
        <w:tc>
          <w:tcPr>
            <w:tcW w:w="4445" w:type="dxa"/>
            <w:tcBorders>
              <w:bottom w:val="single" w:sz="18" w:space="0" w:color="auto"/>
            </w:tcBorders>
            <w:shd w:val="clear" w:color="auto" w:fill="D9D9D9" w:themeFill="background1" w:themeFillShade="D9"/>
            <w:noWrap/>
            <w:vAlign w:val="center"/>
          </w:tcPr>
          <w:p w14:paraId="5507AFCA" w14:textId="77777777" w:rsidR="0053106C" w:rsidRPr="00AF0671" w:rsidRDefault="0053106C" w:rsidP="0053106C">
            <w:pPr>
              <w:rPr>
                <w:rFonts w:ascii="Calibri" w:eastAsia="Times New Roman" w:hAnsi="Calibri" w:cs="Calibri"/>
                <w:bCs/>
                <w:color w:val="000000"/>
                <w:lang w:eastAsia="cs-CZ"/>
              </w:rPr>
            </w:pPr>
            <w:r w:rsidRPr="00AF0671">
              <w:rPr>
                <w:rFonts w:ascii="Calibri" w:eastAsia="Times New Roman" w:hAnsi="Calibri" w:cs="Calibri"/>
                <w:bCs/>
                <w:color w:val="000000"/>
                <w:lang w:eastAsia="cs-CZ"/>
              </w:rPr>
              <w:t>jiné</w:t>
            </w:r>
          </w:p>
        </w:tc>
        <w:tc>
          <w:tcPr>
            <w:tcW w:w="959" w:type="dxa"/>
            <w:tcBorders>
              <w:bottom w:val="single" w:sz="18" w:space="0" w:color="auto"/>
            </w:tcBorders>
            <w:shd w:val="clear" w:color="auto" w:fill="auto"/>
            <w:noWrap/>
            <w:vAlign w:val="center"/>
          </w:tcPr>
          <w:p w14:paraId="22EFCA5A" w14:textId="3418F852" w:rsidR="0053106C" w:rsidRDefault="0053106C" w:rsidP="0053106C">
            <w:pPr>
              <w:jc w:val="right"/>
              <w:rPr>
                <w:rFonts w:ascii="Calibri" w:eastAsia="Times New Roman" w:hAnsi="Calibri" w:cs="Calibri"/>
                <w:color w:val="000000"/>
                <w:lang w:eastAsia="cs-CZ"/>
              </w:rPr>
            </w:pPr>
            <w:r>
              <w:rPr>
                <w:rFonts w:ascii="Calibri" w:hAnsi="Calibri" w:cs="Calibri"/>
                <w:color w:val="000000"/>
              </w:rPr>
              <w:t>2</w:t>
            </w:r>
          </w:p>
        </w:tc>
        <w:tc>
          <w:tcPr>
            <w:tcW w:w="1056" w:type="dxa"/>
            <w:tcBorders>
              <w:bottom w:val="single" w:sz="18" w:space="0" w:color="auto"/>
            </w:tcBorders>
            <w:shd w:val="clear" w:color="auto" w:fill="auto"/>
            <w:noWrap/>
            <w:vAlign w:val="center"/>
          </w:tcPr>
          <w:p w14:paraId="64329CBC" w14:textId="3B17FC7B" w:rsidR="0053106C" w:rsidRDefault="0053106C" w:rsidP="0053106C">
            <w:pPr>
              <w:jc w:val="right"/>
              <w:rPr>
                <w:rFonts w:ascii="Calibri" w:eastAsia="Times New Roman" w:hAnsi="Calibri" w:cs="Calibri"/>
                <w:color w:val="000000"/>
                <w:lang w:eastAsia="cs-CZ"/>
              </w:rPr>
            </w:pPr>
            <w:r>
              <w:rPr>
                <w:rFonts w:ascii="Calibri" w:hAnsi="Calibri" w:cs="Calibri"/>
                <w:color w:val="000000"/>
              </w:rPr>
              <w:t>1,6 %</w:t>
            </w:r>
          </w:p>
        </w:tc>
      </w:tr>
    </w:tbl>
    <w:p w14:paraId="7F102000" w14:textId="67CEC5E1" w:rsidR="00F47535" w:rsidRDefault="00F47535" w:rsidP="0012096C">
      <w:pPr>
        <w:spacing w:after="160"/>
        <w:jc w:val="both"/>
        <w:rPr>
          <w:sz w:val="20"/>
          <w:szCs w:val="20"/>
        </w:rPr>
      </w:pPr>
      <w:r w:rsidRPr="00DE3F03">
        <w:rPr>
          <w:b/>
          <w:sz w:val="20"/>
          <w:szCs w:val="20"/>
        </w:rPr>
        <w:t>Poznámky:</w:t>
      </w:r>
      <w:r w:rsidRPr="00DE3F03">
        <w:rPr>
          <w:sz w:val="20"/>
          <w:szCs w:val="20"/>
        </w:rPr>
        <w:t xml:space="preserve"> </w:t>
      </w:r>
      <w:r w:rsidR="00F62FD3">
        <w:rPr>
          <w:sz w:val="20"/>
          <w:szCs w:val="20"/>
        </w:rPr>
        <w:t>Otázka byla zodpovězena v odevzdaných vyplněných dotaznících celkem 12</w:t>
      </w:r>
      <w:r w:rsidR="0053106C">
        <w:rPr>
          <w:sz w:val="20"/>
          <w:szCs w:val="20"/>
        </w:rPr>
        <w:t>4</w:t>
      </w:r>
      <w:r w:rsidR="00F62FD3" w:rsidRPr="00DE3F03">
        <w:rPr>
          <w:sz w:val="20"/>
          <w:szCs w:val="20"/>
        </w:rPr>
        <w:t xml:space="preserve"> krát</w:t>
      </w:r>
      <w:r w:rsidR="00F62FD3">
        <w:rPr>
          <w:sz w:val="20"/>
          <w:szCs w:val="20"/>
        </w:rPr>
        <w:t>, nezodpovězena</w:t>
      </w:r>
      <w:r w:rsidR="00F62FD3">
        <w:rPr>
          <w:sz w:val="20"/>
          <w:szCs w:val="20"/>
        </w:rPr>
        <w:br/>
      </w:r>
      <w:r w:rsidR="0053106C">
        <w:rPr>
          <w:sz w:val="20"/>
          <w:szCs w:val="20"/>
        </w:rPr>
        <w:t>5</w:t>
      </w:r>
      <w:r w:rsidR="00F62FD3">
        <w:rPr>
          <w:sz w:val="20"/>
          <w:szCs w:val="20"/>
        </w:rPr>
        <w:t xml:space="preserve"> krát</w:t>
      </w:r>
      <w:r w:rsidR="00F62FD3" w:rsidRPr="00DE3F03">
        <w:rPr>
          <w:sz w:val="20"/>
          <w:szCs w:val="20"/>
        </w:rPr>
        <w:t>. Procentuální hodnota představuje podíl dané odpovědi z celkového počtu lidí/subjektů, kteří danou otázku zodpověděli</w:t>
      </w:r>
      <w:r w:rsidRPr="00DE3F03">
        <w:rPr>
          <w:sz w:val="20"/>
          <w:szCs w:val="20"/>
        </w:rPr>
        <w:t>.</w:t>
      </w:r>
    </w:p>
    <w:p w14:paraId="28A8A30D" w14:textId="77777777" w:rsidR="00F47535" w:rsidRDefault="00F47535" w:rsidP="00F47535">
      <w:pPr>
        <w:spacing w:after="160" w:line="259" w:lineRule="auto"/>
        <w:jc w:val="both"/>
      </w:pPr>
    </w:p>
    <w:p w14:paraId="6883F7B9" w14:textId="0903861C" w:rsidR="00F47535" w:rsidRDefault="0053106C" w:rsidP="00F47535">
      <w:pPr>
        <w:spacing w:after="160" w:line="259" w:lineRule="auto"/>
        <w:jc w:val="both"/>
      </w:pPr>
      <w:r>
        <w:t>54</w:t>
      </w:r>
      <w:r w:rsidR="00573E96">
        <w:t xml:space="preserve"> %</w:t>
      </w:r>
      <w:r w:rsidR="00F47535">
        <w:t xml:space="preserve"> respondentů uvedl</w:t>
      </w:r>
      <w:r w:rsidR="00573E96">
        <w:t>o</w:t>
      </w:r>
      <w:r w:rsidR="00F47535">
        <w:t xml:space="preserve">, že typ jejich domácnosti je </w:t>
      </w:r>
      <w:r w:rsidR="00C27F80">
        <w:t>domácnost bez dětí.</w:t>
      </w:r>
      <w:r w:rsidR="00F47535">
        <w:t xml:space="preserve"> </w:t>
      </w:r>
      <w:r>
        <w:t>44</w:t>
      </w:r>
      <w:r w:rsidR="00F47535">
        <w:t xml:space="preserve"> % respondentů uvedlo, že se v jejich případě jedná o</w:t>
      </w:r>
      <w:r w:rsidR="00C27F80" w:rsidRPr="00C27F80">
        <w:t xml:space="preserve"> </w:t>
      </w:r>
      <w:r w:rsidR="00C27F80">
        <w:t>domácnost s nezaopatřenými dětmi do 18 let</w:t>
      </w:r>
      <w:r w:rsidR="00F47535">
        <w:t>.</w:t>
      </w:r>
    </w:p>
    <w:p w14:paraId="45174E36" w14:textId="5F5B7A6D" w:rsidR="0032788D" w:rsidRDefault="00F47535" w:rsidP="00CC3DFA">
      <w:pPr>
        <w:spacing w:after="60" w:line="259" w:lineRule="auto"/>
        <w:jc w:val="both"/>
      </w:pPr>
      <w:r>
        <w:t xml:space="preserve">Celkem </w:t>
      </w:r>
      <w:r w:rsidR="0053106C">
        <w:t>dvakrát</w:t>
      </w:r>
      <w:r>
        <w:t xml:space="preserve"> (podíl </w:t>
      </w:r>
      <w:r w:rsidR="0053106C">
        <w:t>2</w:t>
      </w:r>
      <w:r>
        <w:t xml:space="preserve"> %) byla uvedena možnost „jiné“. </w:t>
      </w:r>
      <w:r w:rsidR="00CC3DFA">
        <w:t xml:space="preserve">Jednou </w:t>
      </w:r>
      <w:r w:rsidR="00865957">
        <w:t xml:space="preserve">bylo </w:t>
      </w:r>
      <w:r w:rsidR="00CC3DFA">
        <w:t>uvedeno „společná domácnost“, jednou „</w:t>
      </w:r>
      <w:r w:rsidR="00CC3DFA" w:rsidRPr="00CC3DFA">
        <w:t>domácnost s</w:t>
      </w:r>
      <w:r w:rsidR="00CC3DFA">
        <w:t> </w:t>
      </w:r>
      <w:r w:rsidR="00CC3DFA" w:rsidRPr="00CC3DFA">
        <w:t>dětmi</w:t>
      </w:r>
      <w:r w:rsidR="00CC3DFA">
        <w:t>“.</w:t>
      </w:r>
      <w:r w:rsidR="0032788D">
        <w:br w:type="page"/>
      </w:r>
    </w:p>
    <w:p w14:paraId="2A204D61" w14:textId="6BB9A506" w:rsidR="00F47535" w:rsidRPr="00DE3F03" w:rsidRDefault="00F47535" w:rsidP="00F47535">
      <w:pPr>
        <w:jc w:val="both"/>
        <w:rPr>
          <w:b/>
        </w:rPr>
      </w:pPr>
      <w:r w:rsidRPr="000A3F8E">
        <w:rPr>
          <w:rFonts w:cstheme="minorHAnsi"/>
          <w:b/>
          <w:sz w:val="24"/>
          <w:szCs w:val="24"/>
          <w:u w:val="single"/>
          <w:lang w:eastAsia="cs-CZ"/>
        </w:rPr>
        <w:lastRenderedPageBreak/>
        <w:t xml:space="preserve">Otázka č. </w:t>
      </w:r>
      <w:r w:rsidR="00D111F4">
        <w:rPr>
          <w:rFonts w:cstheme="minorHAnsi"/>
          <w:b/>
          <w:sz w:val="24"/>
          <w:szCs w:val="24"/>
          <w:u w:val="single"/>
          <w:lang w:eastAsia="cs-CZ"/>
        </w:rPr>
        <w:t>19</w:t>
      </w:r>
      <w:r w:rsidRPr="000A3F8E">
        <w:rPr>
          <w:rFonts w:cstheme="minorHAnsi"/>
          <w:b/>
          <w:sz w:val="24"/>
          <w:szCs w:val="24"/>
          <w:u w:val="single"/>
          <w:lang w:eastAsia="cs-CZ"/>
        </w:rPr>
        <w:t>:</w:t>
      </w:r>
      <w:r>
        <w:rPr>
          <w:rFonts w:cstheme="minorHAnsi"/>
          <w:b/>
          <w:sz w:val="24"/>
          <w:szCs w:val="24"/>
          <w:u w:val="single"/>
          <w:lang w:eastAsia="cs-CZ"/>
        </w:rPr>
        <w:t xml:space="preserve"> </w:t>
      </w:r>
      <w:r w:rsidRPr="00D35941">
        <w:rPr>
          <w:rFonts w:cstheme="minorHAnsi"/>
          <w:b/>
          <w:sz w:val="24"/>
          <w:szCs w:val="24"/>
          <w:u w:val="single"/>
          <w:lang w:eastAsia="cs-CZ"/>
        </w:rPr>
        <w:t>Vaše další náměty, připomínky, komentáře:</w:t>
      </w:r>
    </w:p>
    <w:p w14:paraId="34453AF6" w14:textId="6037155E" w:rsidR="00F47535" w:rsidRDefault="00F47535" w:rsidP="00F47535">
      <w:pPr>
        <w:spacing w:after="160"/>
        <w:jc w:val="both"/>
      </w:pPr>
      <w:r>
        <w:rPr>
          <w:sz w:val="20"/>
          <w:szCs w:val="20"/>
        </w:rPr>
        <w:t xml:space="preserve">(zodpovězena </w:t>
      </w:r>
      <w:r w:rsidR="00723767">
        <w:rPr>
          <w:sz w:val="20"/>
          <w:szCs w:val="20"/>
        </w:rPr>
        <w:t>68</w:t>
      </w:r>
      <w:r>
        <w:rPr>
          <w:sz w:val="20"/>
          <w:szCs w:val="20"/>
        </w:rPr>
        <w:t xml:space="preserve"> krát, nezodpovězena </w:t>
      </w:r>
      <w:r w:rsidR="00723767">
        <w:rPr>
          <w:sz w:val="20"/>
          <w:szCs w:val="20"/>
        </w:rPr>
        <w:t>61</w:t>
      </w:r>
      <w:r w:rsidRPr="001642C5">
        <w:rPr>
          <w:sz w:val="20"/>
          <w:szCs w:val="20"/>
        </w:rPr>
        <w:t xml:space="preserve"> krát)</w:t>
      </w:r>
    </w:p>
    <w:p w14:paraId="5EF3B619" w14:textId="6D168C36" w:rsidR="00F47535" w:rsidRDefault="00943E62" w:rsidP="00F47535">
      <w:pPr>
        <w:spacing w:after="160" w:line="259" w:lineRule="auto"/>
        <w:jc w:val="both"/>
      </w:pPr>
      <w:r w:rsidRPr="00494B79">
        <w:rPr>
          <w:rFonts w:ascii="Calibri" w:eastAsia="Calibri" w:hAnsi="Calibri" w:cs="Times New Roman"/>
        </w:rPr>
        <w:t xml:space="preserve">V poslední otázce dotazníku mohli respondenti vypsat jejich další náměty, připomínky či komentáře. Tyto komentáře byly v rámci možností shrnuty do tematických celků, nicméně důraz byl kladen </w:t>
      </w:r>
      <w:r w:rsidRPr="00494B79">
        <w:rPr>
          <w:rFonts w:ascii="Calibri" w:eastAsia="Calibri" w:hAnsi="Calibri" w:cs="Times New Roman"/>
        </w:rPr>
        <w:br/>
        <w:t xml:space="preserve">na to ponechat co největší autentičnost těchto komentářů. Konstatováno bylo následující (číslo </w:t>
      </w:r>
      <w:r w:rsidRPr="008A6E98">
        <w:rPr>
          <w:rFonts w:ascii="Calibri" w:eastAsia="Calibri" w:hAnsi="Calibri" w:cs="Times New Roman"/>
        </w:rPr>
        <w:t>vyjadřuje, kolikrát byl daný námět/</w:t>
      </w:r>
      <w:r w:rsidRPr="0059460C">
        <w:rPr>
          <w:rFonts w:ascii="Calibri" w:eastAsia="Calibri" w:hAnsi="Calibri" w:cs="Times New Roman"/>
        </w:rPr>
        <w:t>názor/komentář zmíněn):</w:t>
      </w:r>
    </w:p>
    <w:p w14:paraId="654301B0" w14:textId="486DC4B2" w:rsidR="00F528D0" w:rsidRDefault="00F528D0">
      <w:pPr>
        <w:pStyle w:val="Odstavecseseznamem"/>
        <w:numPr>
          <w:ilvl w:val="0"/>
          <w:numId w:val="4"/>
        </w:numPr>
        <w:spacing w:before="120" w:after="60"/>
        <w:ind w:left="426" w:hanging="357"/>
        <w:contextualSpacing w:val="0"/>
        <w:jc w:val="both"/>
      </w:pPr>
      <w:r w:rsidRPr="00E57E8E">
        <w:rPr>
          <w:b/>
          <w:bCs/>
        </w:rPr>
        <w:t>Souvislost s dopravní infrastrukturou</w:t>
      </w:r>
      <w:r>
        <w:t xml:space="preserve"> – </w:t>
      </w:r>
      <w:r w:rsidR="00CA0B45">
        <w:t>25</w:t>
      </w:r>
      <w:r>
        <w:t>x</w:t>
      </w:r>
    </w:p>
    <w:p w14:paraId="56A4A9F5" w14:textId="06D2728A" w:rsidR="00F528D0" w:rsidRDefault="00CA0B45">
      <w:pPr>
        <w:pStyle w:val="Odstavecseseznamem"/>
        <w:numPr>
          <w:ilvl w:val="1"/>
          <w:numId w:val="4"/>
        </w:numPr>
        <w:spacing w:after="60"/>
        <w:ind w:left="851" w:hanging="357"/>
        <w:contextualSpacing w:val="0"/>
        <w:jc w:val="both"/>
      </w:pPr>
      <w:r w:rsidRPr="00CA0B45">
        <w:t>rekonstrukce komunikace propojující Prostřední Staré Buky a Nový Rokytník</w:t>
      </w:r>
      <w:r w:rsidR="00F528D0">
        <w:t xml:space="preserve"> – </w:t>
      </w:r>
      <w:r>
        <w:t>1</w:t>
      </w:r>
      <w:r w:rsidR="00F528D0">
        <w:t>6x</w:t>
      </w:r>
      <w:r>
        <w:t>, z toho:</w:t>
      </w:r>
    </w:p>
    <w:p w14:paraId="5280BEF2" w14:textId="581EF7D6" w:rsidR="00CA0B45" w:rsidRDefault="00CA0B45">
      <w:pPr>
        <w:pStyle w:val="Odstavecseseznamem"/>
        <w:numPr>
          <w:ilvl w:val="2"/>
          <w:numId w:val="4"/>
        </w:numPr>
        <w:spacing w:after="60"/>
        <w:ind w:left="1276"/>
        <w:contextualSpacing w:val="0"/>
        <w:jc w:val="both"/>
      </w:pPr>
      <w:r w:rsidRPr="00CA0B45">
        <w:t xml:space="preserve">rekonstrukce </w:t>
      </w:r>
      <w:r>
        <w:t xml:space="preserve">této </w:t>
      </w:r>
      <w:r w:rsidRPr="00CA0B45">
        <w:t>komunikace obecně</w:t>
      </w:r>
      <w:r>
        <w:t xml:space="preserve"> – 14x</w:t>
      </w:r>
    </w:p>
    <w:p w14:paraId="3716B20C" w14:textId="79011ECD" w:rsidR="00CA0B45" w:rsidRDefault="00CA0B45">
      <w:pPr>
        <w:pStyle w:val="Odstavecseseznamem"/>
        <w:numPr>
          <w:ilvl w:val="2"/>
          <w:numId w:val="4"/>
        </w:numPr>
        <w:spacing w:after="60"/>
        <w:ind w:left="1276"/>
        <w:contextualSpacing w:val="0"/>
        <w:jc w:val="both"/>
      </w:pPr>
      <w:r w:rsidRPr="00CA0B45">
        <w:t>komunikace z hlavní silnice k odbočce do satelitního městečka v Prostředních Starých Bukách by zasloužila poopravit</w:t>
      </w:r>
      <w:r>
        <w:t xml:space="preserve"> – 1x</w:t>
      </w:r>
    </w:p>
    <w:p w14:paraId="3B07A08C" w14:textId="7C53B947" w:rsidR="00CA0B45" w:rsidRDefault="00CA0B45">
      <w:pPr>
        <w:pStyle w:val="Odstavecseseznamem"/>
        <w:numPr>
          <w:ilvl w:val="2"/>
          <w:numId w:val="4"/>
        </w:numPr>
        <w:spacing w:after="60"/>
        <w:ind w:left="1276"/>
        <w:contextualSpacing w:val="0"/>
        <w:jc w:val="both"/>
      </w:pPr>
      <w:r w:rsidRPr="00CA0B45">
        <w:t>kompletní dodělání komunikace před kopcem v Prostředních Starých Bukách</w:t>
      </w:r>
      <w:r>
        <w:t xml:space="preserve"> – 1x</w:t>
      </w:r>
    </w:p>
    <w:p w14:paraId="0A63A980" w14:textId="249B4B4E" w:rsidR="00833C04" w:rsidRDefault="00833C04">
      <w:pPr>
        <w:pStyle w:val="Odstavecseseznamem"/>
        <w:numPr>
          <w:ilvl w:val="1"/>
          <w:numId w:val="4"/>
        </w:numPr>
        <w:spacing w:after="60"/>
        <w:ind w:left="850" w:hanging="357"/>
        <w:contextualSpacing w:val="0"/>
        <w:jc w:val="both"/>
      </w:pPr>
      <w:r>
        <w:t>oprava mostu v Dolních Starých Bukách – 1x</w:t>
      </w:r>
    </w:p>
    <w:p w14:paraId="2C6A57C3" w14:textId="22EACBDB" w:rsidR="00833C04" w:rsidRDefault="00833C04">
      <w:pPr>
        <w:pStyle w:val="Odstavecseseznamem"/>
        <w:numPr>
          <w:ilvl w:val="1"/>
          <w:numId w:val="4"/>
        </w:numPr>
        <w:spacing w:after="60"/>
        <w:ind w:left="850" w:hanging="357"/>
        <w:contextualSpacing w:val="0"/>
        <w:jc w:val="both"/>
      </w:pPr>
      <w:r>
        <w:t>komunikace kolem Brajkovičových v Dolníkách, značka pro průjezd vozidel do 3,5 t – 1x</w:t>
      </w:r>
    </w:p>
    <w:p w14:paraId="06B59987" w14:textId="1AB8142D" w:rsidR="00833C04" w:rsidRDefault="00833C04">
      <w:pPr>
        <w:pStyle w:val="Odstavecseseznamem"/>
        <w:numPr>
          <w:ilvl w:val="1"/>
          <w:numId w:val="4"/>
        </w:numPr>
        <w:spacing w:after="60"/>
        <w:ind w:left="850" w:hanging="357"/>
        <w:contextualSpacing w:val="0"/>
        <w:jc w:val="both"/>
      </w:pPr>
      <w:r>
        <w:t>komunikace k pozemkům obce – 1x</w:t>
      </w:r>
    </w:p>
    <w:p w14:paraId="7FCF80AB" w14:textId="2EF57C8E" w:rsidR="00833C04" w:rsidRDefault="00833C04">
      <w:pPr>
        <w:pStyle w:val="Odstavecseseznamem"/>
        <w:numPr>
          <w:ilvl w:val="1"/>
          <w:numId w:val="4"/>
        </w:numPr>
        <w:spacing w:after="60"/>
        <w:ind w:left="850" w:hanging="357"/>
        <w:contextualSpacing w:val="0"/>
        <w:jc w:val="both"/>
      </w:pPr>
      <w:r>
        <w:t>úprava otočné silnice okolo zastávky v Horních Starých Bukách – 1x</w:t>
      </w:r>
    </w:p>
    <w:p w14:paraId="56881BE7" w14:textId="68981F4B" w:rsidR="00833C04" w:rsidRDefault="00833C04">
      <w:pPr>
        <w:pStyle w:val="Odstavecseseznamem"/>
        <w:numPr>
          <w:ilvl w:val="1"/>
          <w:numId w:val="4"/>
        </w:numPr>
        <w:spacing w:after="60"/>
        <w:ind w:left="850" w:hanging="357"/>
        <w:contextualSpacing w:val="0"/>
        <w:jc w:val="both"/>
      </w:pPr>
      <w:r>
        <w:t>překopaná silnice v Horních Starých Bukách – čím dál tím hlubší (již několikrát upozorňováno) – 1x</w:t>
      </w:r>
    </w:p>
    <w:p w14:paraId="3EA34974" w14:textId="406B1F2F" w:rsidR="00833C04" w:rsidRDefault="00833C04">
      <w:pPr>
        <w:pStyle w:val="Odstavecseseznamem"/>
        <w:numPr>
          <w:ilvl w:val="1"/>
          <w:numId w:val="4"/>
        </w:numPr>
        <w:spacing w:after="60"/>
        <w:ind w:left="850" w:hanging="357"/>
        <w:contextualSpacing w:val="0"/>
        <w:jc w:val="both"/>
      </w:pPr>
      <w:r>
        <w:t>výměna nevhodného a nefunkčního kanálu (žlaby) v komunikaci vedle domu Klimešů v Dolníkách – 1x</w:t>
      </w:r>
    </w:p>
    <w:p w14:paraId="1945CD7F" w14:textId="4C71AF9E" w:rsidR="00833C04" w:rsidRDefault="00833C04">
      <w:pPr>
        <w:pStyle w:val="Odstavecseseznamem"/>
        <w:numPr>
          <w:ilvl w:val="1"/>
          <w:numId w:val="4"/>
        </w:numPr>
        <w:spacing w:after="60"/>
        <w:ind w:left="850" w:hanging="357"/>
        <w:contextualSpacing w:val="0"/>
        <w:jc w:val="both"/>
      </w:pPr>
      <w:r>
        <w:t>opravit příjezdovou cestu k bytovce č. p. 85 – 1x</w:t>
      </w:r>
    </w:p>
    <w:p w14:paraId="25E93943" w14:textId="44A015D0" w:rsidR="00833C04" w:rsidRDefault="00833C04">
      <w:pPr>
        <w:pStyle w:val="Odstavecseseznamem"/>
        <w:numPr>
          <w:ilvl w:val="1"/>
          <w:numId w:val="4"/>
        </w:numPr>
        <w:spacing w:after="60"/>
        <w:ind w:left="850" w:hanging="357"/>
        <w:contextualSpacing w:val="0"/>
        <w:jc w:val="both"/>
      </w:pPr>
      <w:r>
        <w:t>opravit komunikaci před paní Houserovou – 1x</w:t>
      </w:r>
    </w:p>
    <w:p w14:paraId="55EE54B7" w14:textId="74EC97D5" w:rsidR="00045F6B" w:rsidRDefault="00833C04">
      <w:pPr>
        <w:pStyle w:val="Odstavecseseznamem"/>
        <w:numPr>
          <w:ilvl w:val="1"/>
          <w:numId w:val="4"/>
        </w:numPr>
        <w:spacing w:after="60"/>
        <w:ind w:left="850" w:hanging="357"/>
        <w:contextualSpacing w:val="0"/>
        <w:jc w:val="both"/>
      </w:pPr>
      <w:r>
        <w:t>opravit nájezd na hlavní silnici z Pilníkova – 1x</w:t>
      </w:r>
    </w:p>
    <w:p w14:paraId="7504698D" w14:textId="6594737B" w:rsidR="00FF252E" w:rsidRDefault="00587122">
      <w:pPr>
        <w:pStyle w:val="Odstavecseseznamem"/>
        <w:numPr>
          <w:ilvl w:val="0"/>
          <w:numId w:val="4"/>
        </w:numPr>
        <w:spacing w:before="240" w:after="60"/>
        <w:ind w:left="426" w:hanging="357"/>
        <w:contextualSpacing w:val="0"/>
        <w:jc w:val="both"/>
      </w:pPr>
      <w:r>
        <w:rPr>
          <w:b/>
          <w:bCs/>
        </w:rPr>
        <w:t>S</w:t>
      </w:r>
      <w:r w:rsidR="00FF252E">
        <w:rPr>
          <w:b/>
          <w:bCs/>
        </w:rPr>
        <w:t>ouvislost s</w:t>
      </w:r>
      <w:r w:rsidR="006040BF" w:rsidRPr="006040BF">
        <w:rPr>
          <w:b/>
          <w:bCs/>
        </w:rPr>
        <w:t xml:space="preserve"> volnočasovými aktivitami</w:t>
      </w:r>
      <w:r w:rsidR="00FF252E">
        <w:t xml:space="preserve"> – </w:t>
      </w:r>
      <w:r w:rsidR="00CA0B45">
        <w:t>2</w:t>
      </w:r>
      <w:r w:rsidR="006040BF">
        <w:t>2</w:t>
      </w:r>
      <w:r w:rsidR="00FF252E">
        <w:t>x</w:t>
      </w:r>
    </w:p>
    <w:p w14:paraId="45523E08" w14:textId="2EC7433F" w:rsidR="00FF252E" w:rsidRDefault="00DE0BF5">
      <w:pPr>
        <w:pStyle w:val="Odstavecseseznamem"/>
        <w:numPr>
          <w:ilvl w:val="1"/>
          <w:numId w:val="4"/>
        </w:numPr>
        <w:spacing w:after="60"/>
        <w:ind w:left="851" w:hanging="357"/>
        <w:contextualSpacing w:val="0"/>
        <w:jc w:val="both"/>
      </w:pPr>
      <w:r>
        <w:t>souvislost s</w:t>
      </w:r>
      <w:r w:rsidR="006040BF">
        <w:t> dětským hřištěm</w:t>
      </w:r>
      <w:r w:rsidR="00FF252E">
        <w:t xml:space="preserve"> – </w:t>
      </w:r>
      <w:r>
        <w:t>6</w:t>
      </w:r>
      <w:r w:rsidR="00FF252E">
        <w:t>x</w:t>
      </w:r>
      <w:r>
        <w:t>, z toho:</w:t>
      </w:r>
    </w:p>
    <w:p w14:paraId="6B59265F" w14:textId="79C49883" w:rsidR="00DE0BF5" w:rsidRDefault="006040BF">
      <w:pPr>
        <w:pStyle w:val="Odstavecseseznamem"/>
        <w:numPr>
          <w:ilvl w:val="2"/>
          <w:numId w:val="4"/>
        </w:numPr>
        <w:spacing w:after="60"/>
        <w:ind w:left="1276"/>
        <w:contextualSpacing w:val="0"/>
        <w:jc w:val="both"/>
      </w:pPr>
      <w:r w:rsidRPr="006040BF">
        <w:t>přidat prvky na dětské hřiště</w:t>
      </w:r>
      <w:r w:rsidR="00DE0BF5">
        <w:t xml:space="preserve"> – </w:t>
      </w:r>
      <w:r>
        <w:t>2</w:t>
      </w:r>
      <w:r w:rsidR="00DE0BF5">
        <w:t>x</w:t>
      </w:r>
    </w:p>
    <w:p w14:paraId="7D80BCFA" w14:textId="78485C5A" w:rsidR="00DE0BF5" w:rsidRDefault="006040BF">
      <w:pPr>
        <w:pStyle w:val="Odstavecseseznamem"/>
        <w:numPr>
          <w:ilvl w:val="2"/>
          <w:numId w:val="4"/>
        </w:numPr>
        <w:spacing w:after="60"/>
        <w:ind w:left="1276"/>
        <w:contextualSpacing w:val="0"/>
        <w:jc w:val="both"/>
      </w:pPr>
      <w:r w:rsidRPr="006040BF">
        <w:t>zlepšení dětského hřiště</w:t>
      </w:r>
      <w:r w:rsidR="00DE0BF5">
        <w:t xml:space="preserve"> – 1x</w:t>
      </w:r>
    </w:p>
    <w:p w14:paraId="7C7F5797" w14:textId="5D40B054" w:rsidR="00DE0BF5" w:rsidRDefault="006040BF">
      <w:pPr>
        <w:pStyle w:val="Odstavecseseznamem"/>
        <w:numPr>
          <w:ilvl w:val="2"/>
          <w:numId w:val="4"/>
        </w:numPr>
        <w:spacing w:after="60"/>
        <w:ind w:left="1276"/>
        <w:contextualSpacing w:val="0"/>
        <w:jc w:val="both"/>
      </w:pPr>
      <w:r w:rsidRPr="006040BF">
        <w:t>oprava dětského hřiště</w:t>
      </w:r>
      <w:r w:rsidR="00DE0BF5">
        <w:t xml:space="preserve"> – 1x</w:t>
      </w:r>
    </w:p>
    <w:p w14:paraId="15B9665A" w14:textId="3F3601A7" w:rsidR="006040BF" w:rsidRDefault="006040BF">
      <w:pPr>
        <w:pStyle w:val="Odstavecseseznamem"/>
        <w:numPr>
          <w:ilvl w:val="2"/>
          <w:numId w:val="4"/>
        </w:numPr>
        <w:spacing w:after="60"/>
        <w:ind w:left="1276"/>
        <w:contextualSpacing w:val="0"/>
        <w:jc w:val="both"/>
      </w:pPr>
      <w:r w:rsidRPr="006040BF">
        <w:t>dětské hřiště ne u silnice a potoka</w:t>
      </w:r>
      <w:r>
        <w:t xml:space="preserve"> – 1x</w:t>
      </w:r>
    </w:p>
    <w:p w14:paraId="1A450E08" w14:textId="1A85080C" w:rsidR="00DE0BF5" w:rsidRDefault="006040BF">
      <w:pPr>
        <w:pStyle w:val="Odstavecseseznamem"/>
        <w:numPr>
          <w:ilvl w:val="2"/>
          <w:numId w:val="4"/>
        </w:numPr>
        <w:spacing w:after="60"/>
        <w:ind w:left="1276"/>
        <w:contextualSpacing w:val="0"/>
        <w:jc w:val="both"/>
      </w:pPr>
      <w:r w:rsidRPr="006040BF">
        <w:t>opravit oplocení na dětském hřišti</w:t>
      </w:r>
      <w:r w:rsidR="00DE0BF5">
        <w:t xml:space="preserve"> – 1x</w:t>
      </w:r>
    </w:p>
    <w:p w14:paraId="7F22A3D3" w14:textId="2825D33A" w:rsidR="00FF252E" w:rsidRDefault="00BB0902">
      <w:pPr>
        <w:pStyle w:val="Odstavecseseznamem"/>
        <w:numPr>
          <w:ilvl w:val="1"/>
          <w:numId w:val="4"/>
        </w:numPr>
        <w:spacing w:before="120" w:after="60"/>
        <w:ind w:left="851" w:hanging="357"/>
        <w:contextualSpacing w:val="0"/>
        <w:jc w:val="both"/>
      </w:pPr>
      <w:r w:rsidRPr="00BB0902">
        <w:t>souvislost s</w:t>
      </w:r>
      <w:r w:rsidR="007C0D59">
        <w:t> obecním hřištěm</w:t>
      </w:r>
      <w:r w:rsidR="00FF252E">
        <w:t xml:space="preserve"> – </w:t>
      </w:r>
      <w:r w:rsidR="007C0D59">
        <w:t>4</w:t>
      </w:r>
      <w:r w:rsidR="00FF252E">
        <w:t>x</w:t>
      </w:r>
      <w:r>
        <w:t>, z toho:</w:t>
      </w:r>
    </w:p>
    <w:p w14:paraId="1A4F3B80" w14:textId="2B32E825" w:rsidR="00BB0902" w:rsidRDefault="007C0D59">
      <w:pPr>
        <w:pStyle w:val="Odstavecseseznamem"/>
        <w:numPr>
          <w:ilvl w:val="2"/>
          <w:numId w:val="4"/>
        </w:numPr>
        <w:spacing w:before="60" w:after="60"/>
        <w:ind w:left="1276"/>
        <w:contextualSpacing w:val="0"/>
        <w:jc w:val="both"/>
      </w:pPr>
      <w:r w:rsidRPr="007C0D59">
        <w:t>dát dohromady sportovní hřiště</w:t>
      </w:r>
      <w:r w:rsidR="00BB0902">
        <w:t xml:space="preserve"> – 1x</w:t>
      </w:r>
    </w:p>
    <w:p w14:paraId="25AB954B" w14:textId="4085CD73" w:rsidR="00BB0902" w:rsidRDefault="007C0D59">
      <w:pPr>
        <w:pStyle w:val="Odstavecseseznamem"/>
        <w:numPr>
          <w:ilvl w:val="2"/>
          <w:numId w:val="4"/>
        </w:numPr>
        <w:spacing w:before="60" w:after="60"/>
        <w:ind w:left="1276"/>
        <w:contextualSpacing w:val="0"/>
        <w:jc w:val="both"/>
      </w:pPr>
      <w:r w:rsidRPr="007C0D59">
        <w:t>mírně vylepšit obecní hřiště</w:t>
      </w:r>
      <w:r w:rsidR="00BB0902">
        <w:t xml:space="preserve"> – 1x</w:t>
      </w:r>
    </w:p>
    <w:p w14:paraId="68278759" w14:textId="6F350E4F" w:rsidR="007C0D59" w:rsidRDefault="007C0D59">
      <w:pPr>
        <w:pStyle w:val="Odstavecseseznamem"/>
        <w:numPr>
          <w:ilvl w:val="2"/>
          <w:numId w:val="4"/>
        </w:numPr>
        <w:spacing w:before="60" w:after="60"/>
        <w:ind w:left="1276"/>
        <w:contextualSpacing w:val="0"/>
        <w:jc w:val="both"/>
      </w:pPr>
      <w:r w:rsidRPr="007C0D59">
        <w:t>nový povrch obecního hřiště</w:t>
      </w:r>
      <w:r>
        <w:t xml:space="preserve"> – 1x</w:t>
      </w:r>
    </w:p>
    <w:p w14:paraId="2FE0FE9F" w14:textId="0A1686DB" w:rsidR="00BB0902" w:rsidRDefault="007C0D59">
      <w:pPr>
        <w:pStyle w:val="Odstavecseseznamem"/>
        <w:numPr>
          <w:ilvl w:val="2"/>
          <w:numId w:val="4"/>
        </w:numPr>
        <w:spacing w:before="60" w:after="60"/>
        <w:ind w:left="1276" w:hanging="357"/>
        <w:contextualSpacing w:val="0"/>
        <w:jc w:val="both"/>
      </w:pPr>
      <w:r w:rsidRPr="007C0D59">
        <w:t>udržovat stávající hřiště</w:t>
      </w:r>
      <w:r w:rsidR="00BB0902">
        <w:t xml:space="preserve"> – 1x</w:t>
      </w:r>
    </w:p>
    <w:p w14:paraId="63B71AF4" w14:textId="011160F6" w:rsidR="00717C89" w:rsidRDefault="0020395B">
      <w:pPr>
        <w:pStyle w:val="Odstavecseseznamem"/>
        <w:numPr>
          <w:ilvl w:val="1"/>
          <w:numId w:val="4"/>
        </w:numPr>
        <w:spacing w:before="120" w:after="60"/>
        <w:ind w:left="850" w:hanging="357"/>
        <w:contextualSpacing w:val="0"/>
        <w:jc w:val="both"/>
      </w:pPr>
      <w:r w:rsidRPr="0020395B">
        <w:t>souvislost s další infrastrukturou pro volnočasové aktivity</w:t>
      </w:r>
      <w:r w:rsidR="00413045">
        <w:t xml:space="preserve"> – </w:t>
      </w:r>
      <w:r>
        <w:t>6</w:t>
      </w:r>
      <w:r w:rsidR="00413045">
        <w:t>x</w:t>
      </w:r>
      <w:r>
        <w:t>, z toho:</w:t>
      </w:r>
    </w:p>
    <w:p w14:paraId="48C568CB" w14:textId="780A1175" w:rsidR="00DF5FD0" w:rsidRDefault="00DF5FD0">
      <w:pPr>
        <w:pStyle w:val="Odstavecseseznamem"/>
        <w:numPr>
          <w:ilvl w:val="2"/>
          <w:numId w:val="4"/>
        </w:numPr>
        <w:spacing w:after="60"/>
        <w:ind w:left="1276" w:hanging="357"/>
        <w:contextualSpacing w:val="0"/>
        <w:jc w:val="both"/>
      </w:pPr>
      <w:r>
        <w:t>pump track pro děti a dospělé</w:t>
      </w:r>
      <w:r w:rsidR="00F15874">
        <w:t xml:space="preserve"> – 1x</w:t>
      </w:r>
    </w:p>
    <w:p w14:paraId="58520B56" w14:textId="220A1666" w:rsidR="00DF5FD0" w:rsidRDefault="00DF5FD0">
      <w:pPr>
        <w:pStyle w:val="Odstavecseseznamem"/>
        <w:numPr>
          <w:ilvl w:val="2"/>
          <w:numId w:val="4"/>
        </w:numPr>
        <w:spacing w:after="60"/>
        <w:ind w:left="1276" w:hanging="357"/>
        <w:contextualSpacing w:val="0"/>
        <w:jc w:val="both"/>
      </w:pPr>
      <w:r>
        <w:t>vybudovat velké hřiště u fotbalového stadionu</w:t>
      </w:r>
      <w:r w:rsidR="00F15874">
        <w:t xml:space="preserve"> – 1x</w:t>
      </w:r>
    </w:p>
    <w:p w14:paraId="5E89C90B" w14:textId="6E432C5E" w:rsidR="00DF5FD0" w:rsidRDefault="00DF5FD0">
      <w:pPr>
        <w:pStyle w:val="Odstavecseseznamem"/>
        <w:numPr>
          <w:ilvl w:val="2"/>
          <w:numId w:val="4"/>
        </w:numPr>
        <w:spacing w:after="60"/>
        <w:ind w:left="1276" w:hanging="357"/>
        <w:contextualSpacing w:val="0"/>
        <w:jc w:val="both"/>
      </w:pPr>
      <w:r>
        <w:t>velké multifunkční hřiště (3v1 basketbal, tenis atd.)</w:t>
      </w:r>
      <w:r w:rsidR="00F15874">
        <w:t xml:space="preserve"> – 1x</w:t>
      </w:r>
    </w:p>
    <w:p w14:paraId="66F28CED" w14:textId="0D78CC52" w:rsidR="00DF5FD0" w:rsidRDefault="00DF5FD0">
      <w:pPr>
        <w:pStyle w:val="Odstavecseseznamem"/>
        <w:numPr>
          <w:ilvl w:val="2"/>
          <w:numId w:val="4"/>
        </w:numPr>
        <w:spacing w:after="60"/>
        <w:ind w:left="1276" w:hanging="357"/>
        <w:contextualSpacing w:val="0"/>
        <w:jc w:val="both"/>
      </w:pPr>
      <w:r>
        <w:t>multifunkční venkovní sportovní cvičiště</w:t>
      </w:r>
      <w:r w:rsidR="00F15874">
        <w:t xml:space="preserve"> – 1x</w:t>
      </w:r>
    </w:p>
    <w:p w14:paraId="02154973" w14:textId="5C7EF48E" w:rsidR="00DF5FD0" w:rsidRDefault="00DF5FD0">
      <w:pPr>
        <w:pStyle w:val="Odstavecseseznamem"/>
        <w:numPr>
          <w:ilvl w:val="2"/>
          <w:numId w:val="4"/>
        </w:numPr>
        <w:spacing w:after="60"/>
        <w:ind w:left="1276" w:hanging="357"/>
        <w:contextualSpacing w:val="0"/>
        <w:jc w:val="both"/>
      </w:pPr>
      <w:r>
        <w:t>vystavět veřejné ohniště s altánem</w:t>
      </w:r>
      <w:r w:rsidR="00F15874">
        <w:t xml:space="preserve"> – 1x</w:t>
      </w:r>
    </w:p>
    <w:p w14:paraId="12C163A9" w14:textId="6BDEC6D6" w:rsidR="0020395B" w:rsidRDefault="00DF5FD0">
      <w:pPr>
        <w:pStyle w:val="Odstavecseseznamem"/>
        <w:numPr>
          <w:ilvl w:val="2"/>
          <w:numId w:val="4"/>
        </w:numPr>
        <w:spacing w:after="60"/>
        <w:ind w:left="1276" w:hanging="357"/>
        <w:contextualSpacing w:val="0"/>
        <w:jc w:val="both"/>
      </w:pPr>
      <w:r>
        <w:t>vybudování multifunkčního sálu / tělocvičny</w:t>
      </w:r>
      <w:r w:rsidR="00F15874">
        <w:t xml:space="preserve"> – 1x</w:t>
      </w:r>
    </w:p>
    <w:p w14:paraId="02920099" w14:textId="1684A9A7" w:rsidR="00717C89" w:rsidRDefault="00944550">
      <w:pPr>
        <w:pStyle w:val="Odstavecseseznamem"/>
        <w:numPr>
          <w:ilvl w:val="1"/>
          <w:numId w:val="4"/>
        </w:numPr>
        <w:spacing w:before="120" w:after="60"/>
        <w:ind w:left="850" w:hanging="357"/>
        <w:contextualSpacing w:val="0"/>
        <w:jc w:val="both"/>
      </w:pPr>
      <w:r w:rsidRPr="00944550">
        <w:lastRenderedPageBreak/>
        <w:t>kroužky pro děti (z toho</w:t>
      </w:r>
      <w:r>
        <w:t>:</w:t>
      </w:r>
      <w:r w:rsidRPr="00944550">
        <w:t xml:space="preserve"> 1x uveden fotbal</w:t>
      </w:r>
      <w:r>
        <w:t>ový kroužek, 1x kroužky obecně</w:t>
      </w:r>
      <w:r w:rsidRPr="00944550">
        <w:t>)</w:t>
      </w:r>
      <w:r w:rsidR="00413045">
        <w:t xml:space="preserve"> – </w:t>
      </w:r>
      <w:r>
        <w:t>2</w:t>
      </w:r>
      <w:r w:rsidR="00413045">
        <w:t>x</w:t>
      </w:r>
    </w:p>
    <w:p w14:paraId="362DAE05" w14:textId="1EAFE2E3" w:rsidR="00717C89" w:rsidRDefault="00344813">
      <w:pPr>
        <w:pStyle w:val="Odstavecseseznamem"/>
        <w:numPr>
          <w:ilvl w:val="1"/>
          <w:numId w:val="4"/>
        </w:numPr>
        <w:spacing w:before="60" w:after="60"/>
        <w:ind w:left="850" w:hanging="357"/>
        <w:contextualSpacing w:val="0"/>
        <w:jc w:val="both"/>
      </w:pPr>
      <w:r w:rsidRPr="00344813">
        <w:t>více společenských aktivit</w:t>
      </w:r>
      <w:r w:rsidR="00413045">
        <w:t xml:space="preserve"> – 1x</w:t>
      </w:r>
    </w:p>
    <w:p w14:paraId="1179D7C1" w14:textId="1175E01F" w:rsidR="00717C89" w:rsidRDefault="00344813">
      <w:pPr>
        <w:pStyle w:val="Odstavecseseznamem"/>
        <w:numPr>
          <w:ilvl w:val="1"/>
          <w:numId w:val="4"/>
        </w:numPr>
        <w:spacing w:before="60" w:after="60"/>
        <w:ind w:left="850" w:hanging="357"/>
        <w:contextualSpacing w:val="0"/>
        <w:jc w:val="both"/>
      </w:pPr>
      <w:r w:rsidRPr="00344813">
        <w:t>veřejné akce</w:t>
      </w:r>
      <w:r>
        <w:t>,</w:t>
      </w:r>
      <w:r w:rsidRPr="00344813">
        <w:t xml:space="preserve"> aby se mohli obyvatelé obce sejít (</w:t>
      </w:r>
      <w:r>
        <w:t>V</w:t>
      </w:r>
      <w:r w:rsidRPr="00344813">
        <w:t xml:space="preserve">ánoce, </w:t>
      </w:r>
      <w:r>
        <w:t>V</w:t>
      </w:r>
      <w:r w:rsidRPr="00344813">
        <w:t>elikonoce, dětské dny atd.)</w:t>
      </w:r>
      <w:r w:rsidR="00413045">
        <w:t xml:space="preserve"> – 1x</w:t>
      </w:r>
    </w:p>
    <w:p w14:paraId="0A56BABE" w14:textId="7BB6B0D1" w:rsidR="00717C89" w:rsidRDefault="00344813">
      <w:pPr>
        <w:pStyle w:val="Odstavecseseznamem"/>
        <w:numPr>
          <w:ilvl w:val="1"/>
          <w:numId w:val="4"/>
        </w:numPr>
        <w:spacing w:before="60" w:after="60"/>
        <w:ind w:left="850" w:hanging="357"/>
        <w:contextualSpacing w:val="0"/>
        <w:jc w:val="both"/>
      </w:pPr>
      <w:r w:rsidRPr="00344813">
        <w:t xml:space="preserve">akce, které se konají pro děti či dospělé, by se mohly už po těch </w:t>
      </w:r>
      <w:r>
        <w:t>dvacet</w:t>
      </w:r>
      <w:r w:rsidRPr="00344813">
        <w:t>i letech trochu změnit (dle dotyčné osoby je to stále stejné, DJ na dětských akcích je katastrofální)</w:t>
      </w:r>
      <w:r w:rsidR="00413045">
        <w:t xml:space="preserve"> – 1x</w:t>
      </w:r>
    </w:p>
    <w:p w14:paraId="6368167F" w14:textId="2B2F4196" w:rsidR="00717C89" w:rsidRDefault="00344813">
      <w:pPr>
        <w:pStyle w:val="Odstavecseseznamem"/>
        <w:numPr>
          <w:ilvl w:val="1"/>
          <w:numId w:val="4"/>
        </w:numPr>
        <w:spacing w:before="60" w:after="60"/>
        <w:ind w:left="850" w:hanging="357"/>
        <w:contextualSpacing w:val="0"/>
        <w:jc w:val="both"/>
      </w:pPr>
      <w:r w:rsidRPr="00344813">
        <w:t>více věcí pro děti obecně</w:t>
      </w:r>
      <w:r w:rsidR="00413045">
        <w:t xml:space="preserve"> – 1x</w:t>
      </w:r>
    </w:p>
    <w:p w14:paraId="16CEC999" w14:textId="00244446" w:rsidR="00C83AAA" w:rsidRDefault="00CE2D4B">
      <w:pPr>
        <w:pStyle w:val="Odstavecseseznamem"/>
        <w:numPr>
          <w:ilvl w:val="0"/>
          <w:numId w:val="4"/>
        </w:numPr>
        <w:spacing w:before="240" w:after="60"/>
        <w:ind w:left="426"/>
        <w:contextualSpacing w:val="0"/>
        <w:jc w:val="both"/>
      </w:pPr>
      <w:r>
        <w:rPr>
          <w:b/>
          <w:bCs/>
        </w:rPr>
        <w:t>Zámeček a jeho okolí</w:t>
      </w:r>
      <w:r w:rsidR="004D0762">
        <w:t xml:space="preserve"> – </w:t>
      </w:r>
      <w:r w:rsidR="004B153B">
        <w:t>1</w:t>
      </w:r>
      <w:r>
        <w:t>9</w:t>
      </w:r>
      <w:r w:rsidR="004D0762">
        <w:t>x</w:t>
      </w:r>
    </w:p>
    <w:p w14:paraId="2B05BDE7" w14:textId="77777777" w:rsidR="00486BB0" w:rsidRDefault="00486BB0">
      <w:pPr>
        <w:pStyle w:val="Odstavecseseznamem"/>
        <w:numPr>
          <w:ilvl w:val="1"/>
          <w:numId w:val="4"/>
        </w:numPr>
        <w:spacing w:before="60" w:after="60"/>
        <w:ind w:left="850" w:hanging="357"/>
        <w:contextualSpacing w:val="0"/>
        <w:jc w:val="both"/>
      </w:pPr>
      <w:r>
        <w:t>revitalizace okolí zámečku – 10x, z toho:</w:t>
      </w:r>
    </w:p>
    <w:p w14:paraId="165311C6" w14:textId="77777777" w:rsidR="00486BB0" w:rsidRDefault="00486BB0">
      <w:pPr>
        <w:pStyle w:val="Odstavecseseznamem"/>
        <w:numPr>
          <w:ilvl w:val="2"/>
          <w:numId w:val="4"/>
        </w:numPr>
        <w:spacing w:before="60" w:after="60"/>
        <w:ind w:left="1276"/>
        <w:contextualSpacing w:val="0"/>
        <w:jc w:val="both"/>
      </w:pPr>
      <w:r>
        <w:t>r</w:t>
      </w:r>
      <w:r w:rsidRPr="006F197E">
        <w:t>evitalizovat zámecký park</w:t>
      </w:r>
      <w:r>
        <w:t xml:space="preserve"> obecně – 4x</w:t>
      </w:r>
    </w:p>
    <w:p w14:paraId="0BDD9E04" w14:textId="77777777" w:rsidR="00486BB0" w:rsidRDefault="00486BB0">
      <w:pPr>
        <w:pStyle w:val="Odstavecseseznamem"/>
        <w:numPr>
          <w:ilvl w:val="2"/>
          <w:numId w:val="4"/>
        </w:numPr>
        <w:spacing w:before="60" w:after="60"/>
        <w:ind w:left="1276"/>
        <w:contextualSpacing w:val="0"/>
        <w:jc w:val="both"/>
      </w:pPr>
      <w:r w:rsidRPr="00165B00">
        <w:t xml:space="preserve">lepší využití prostranství před bývalým zámečkem </w:t>
      </w:r>
      <w:r>
        <w:t>–</w:t>
      </w:r>
      <w:r w:rsidRPr="00165B00">
        <w:t xml:space="preserve"> aktuálně zcela nevyužité místo v centru obce</w:t>
      </w:r>
      <w:r>
        <w:t>; l</w:t>
      </w:r>
      <w:r w:rsidRPr="00165B00">
        <w:t>esopark s h</w:t>
      </w:r>
      <w:r>
        <w:t>ř</w:t>
      </w:r>
      <w:r w:rsidRPr="00165B00">
        <w:t>ištěm pro děti, případně místem k pořádání společenských akcí</w:t>
      </w:r>
      <w:r>
        <w:t xml:space="preserve"> – 1x</w:t>
      </w:r>
    </w:p>
    <w:p w14:paraId="5003C510" w14:textId="77777777" w:rsidR="00486BB0" w:rsidRDefault="00486BB0">
      <w:pPr>
        <w:pStyle w:val="Odstavecseseznamem"/>
        <w:numPr>
          <w:ilvl w:val="2"/>
          <w:numId w:val="4"/>
        </w:numPr>
        <w:spacing w:before="60" w:after="60"/>
        <w:ind w:left="1276"/>
        <w:contextualSpacing w:val="0"/>
        <w:jc w:val="both"/>
      </w:pPr>
      <w:r>
        <w:t>v</w:t>
      </w:r>
      <w:r w:rsidRPr="00165B00">
        <w:t>ykácení náletových dřevin v parku za zámkem</w:t>
      </w:r>
      <w:r>
        <w:t xml:space="preserve"> – 1x</w:t>
      </w:r>
    </w:p>
    <w:p w14:paraId="3BABC6D6" w14:textId="77777777" w:rsidR="00486BB0" w:rsidRDefault="00486BB0">
      <w:pPr>
        <w:pStyle w:val="Odstavecseseznamem"/>
        <w:numPr>
          <w:ilvl w:val="2"/>
          <w:numId w:val="4"/>
        </w:numPr>
        <w:spacing w:before="60" w:after="60"/>
        <w:ind w:left="1276"/>
        <w:contextualSpacing w:val="0"/>
        <w:jc w:val="both"/>
      </w:pPr>
      <w:r>
        <w:t>p</w:t>
      </w:r>
      <w:r w:rsidRPr="00165B00">
        <w:t>rostor kolem zámečku má potenciál stát se místem potkávání lidí</w:t>
      </w:r>
      <w:r>
        <w:t xml:space="preserve"> </w:t>
      </w:r>
      <w:r>
        <w:rPr>
          <w:rFonts w:cstheme="minorHAnsi"/>
        </w:rPr>
        <w:t>→</w:t>
      </w:r>
      <w:r>
        <w:t xml:space="preserve"> s</w:t>
      </w:r>
      <w:r w:rsidRPr="00165B00">
        <w:t>em by</w:t>
      </w:r>
      <w:r>
        <w:t xml:space="preserve"> dotyčná osoba</w:t>
      </w:r>
      <w:r w:rsidRPr="00165B00">
        <w:t xml:space="preserve"> směřovala třeba i obchod, klubovnu, místnost na cvičení/přednášky,</w:t>
      </w:r>
      <w:r>
        <w:t xml:space="preserve"> </w:t>
      </w:r>
      <w:r w:rsidRPr="00165B00">
        <w:t>hřiště pro větší děti jako třeba pumptrack, kluziště, inline dráhu či nějaké jiné hřiště</w:t>
      </w:r>
      <w:r>
        <w:t xml:space="preserve"> + z</w:t>
      </w:r>
      <w:r w:rsidRPr="00165B00">
        <w:t>a zámkem vytvořit hezký prostor na procházky a relax</w:t>
      </w:r>
      <w:r>
        <w:t xml:space="preserve"> – 1x</w:t>
      </w:r>
    </w:p>
    <w:p w14:paraId="47F7D948" w14:textId="77777777" w:rsidR="00486BB0" w:rsidRDefault="00486BB0">
      <w:pPr>
        <w:pStyle w:val="Odstavecseseznamem"/>
        <w:numPr>
          <w:ilvl w:val="2"/>
          <w:numId w:val="4"/>
        </w:numPr>
        <w:spacing w:before="60" w:after="60"/>
        <w:ind w:left="1276"/>
        <w:contextualSpacing w:val="0"/>
        <w:jc w:val="both"/>
      </w:pPr>
      <w:r w:rsidRPr="00165B00">
        <w:t>upravit střed obce</w:t>
      </w:r>
      <w:r>
        <w:t xml:space="preserve"> –</w:t>
      </w:r>
      <w:r w:rsidRPr="00165B00">
        <w:t xml:space="preserve"> okolí zámečk</w:t>
      </w:r>
      <w:r>
        <w:t>u</w:t>
      </w:r>
      <w:r w:rsidRPr="00165B00">
        <w:t xml:space="preserve"> a přilehlé zalesněné plochy</w:t>
      </w:r>
      <w:r>
        <w:t xml:space="preserve"> – 1x</w:t>
      </w:r>
    </w:p>
    <w:p w14:paraId="0A577B52" w14:textId="77777777" w:rsidR="00486BB0" w:rsidRDefault="00486BB0">
      <w:pPr>
        <w:pStyle w:val="Odstavecseseznamem"/>
        <w:numPr>
          <w:ilvl w:val="2"/>
          <w:numId w:val="4"/>
        </w:numPr>
        <w:spacing w:before="60" w:after="60"/>
        <w:ind w:left="1276"/>
        <w:contextualSpacing w:val="0"/>
        <w:jc w:val="both"/>
      </w:pPr>
      <w:r w:rsidRPr="00165B00">
        <w:t>přilehlý park u zámečku</w:t>
      </w:r>
      <w:r>
        <w:t>, k</w:t>
      </w:r>
      <w:r w:rsidRPr="00165B00">
        <w:t xml:space="preserve">olem by byla nádherná náves </w:t>
      </w:r>
      <w:r>
        <w:t>–</w:t>
      </w:r>
      <w:r w:rsidRPr="00165B00">
        <w:t xml:space="preserve"> centrum vesnice (stavba bývalého teletníku by musela být</w:t>
      </w:r>
      <w:r>
        <w:t xml:space="preserve"> dle dotyčné osoby</w:t>
      </w:r>
      <w:r w:rsidRPr="00165B00">
        <w:t xml:space="preserve"> odstraněna)</w:t>
      </w:r>
      <w:r>
        <w:t xml:space="preserve"> – 1x</w:t>
      </w:r>
    </w:p>
    <w:p w14:paraId="5922BC4C" w14:textId="77777777" w:rsidR="00486BB0" w:rsidRDefault="00486BB0">
      <w:pPr>
        <w:pStyle w:val="Odstavecseseznamem"/>
        <w:numPr>
          <w:ilvl w:val="2"/>
          <w:numId w:val="4"/>
        </w:numPr>
        <w:spacing w:after="60"/>
        <w:ind w:left="1276"/>
        <w:contextualSpacing w:val="0"/>
        <w:jc w:val="both"/>
      </w:pPr>
      <w:r w:rsidRPr="00165B00">
        <w:t xml:space="preserve">pohled na zámeček a jeho okolí, kde </w:t>
      </w:r>
      <w:r>
        <w:t xml:space="preserve">dotyčná osoba </w:t>
      </w:r>
      <w:r w:rsidRPr="00165B00">
        <w:t xml:space="preserve">vidí velký potenciál pro místo k setkávání všech generací občanů, což je </w:t>
      </w:r>
      <w:r>
        <w:t>v obci</w:t>
      </w:r>
      <w:r w:rsidRPr="00165B00">
        <w:t xml:space="preserve"> potřeba: potkávat se, sbližovat se, mít možnost zapojit se do dobrovolných brigád pro obec, kde by lidé mohli tvořit to, co umí</w:t>
      </w:r>
      <w:r>
        <w:t xml:space="preserve">; </w:t>
      </w:r>
      <w:r w:rsidRPr="00165B00">
        <w:t>inspirovat se činností spolku NaZdar</w:t>
      </w:r>
      <w:r>
        <w:t xml:space="preserve"> – </w:t>
      </w:r>
      <w:r w:rsidRPr="00165B00">
        <w:t>sami to</w:t>
      </w:r>
      <w:r>
        <w:t xml:space="preserve"> dle dotyčné osoby</w:t>
      </w:r>
      <w:r w:rsidRPr="00165B00">
        <w:t xml:space="preserve"> ned</w:t>
      </w:r>
      <w:r>
        <w:t>ají</w:t>
      </w:r>
      <w:r w:rsidRPr="00165B00">
        <w:t>, proto</w:t>
      </w:r>
      <w:r>
        <w:t>ž</w:t>
      </w:r>
      <w:r w:rsidRPr="00165B00">
        <w:t>e tu nema</w:t>
      </w:r>
      <w:r>
        <w:t>jí</w:t>
      </w:r>
      <w:r w:rsidRPr="00165B00">
        <w:t xml:space="preserve"> nav</w:t>
      </w:r>
      <w:r>
        <w:t>á</w:t>
      </w:r>
      <w:r w:rsidRPr="00165B00">
        <w:t>zan</w:t>
      </w:r>
      <w:r>
        <w:t>é</w:t>
      </w:r>
      <w:r w:rsidRPr="00165B00">
        <w:t xml:space="preserve"> dostate</w:t>
      </w:r>
      <w:r>
        <w:t>č</w:t>
      </w:r>
      <w:r w:rsidRPr="00165B00">
        <w:t>n</w:t>
      </w:r>
      <w:r>
        <w:t>é</w:t>
      </w:r>
      <w:r w:rsidRPr="00165B00">
        <w:t xml:space="preserve"> vztahy s</w:t>
      </w:r>
      <w:r>
        <w:t> </w:t>
      </w:r>
      <w:r w:rsidRPr="00165B00">
        <w:t>komunitou</w:t>
      </w:r>
      <w:r>
        <w:t>, p</w:t>
      </w:r>
      <w:r w:rsidRPr="00165B00">
        <w:t>roto by se pomoc obce hodila</w:t>
      </w:r>
      <w:r>
        <w:t xml:space="preserve"> – 1x</w:t>
      </w:r>
    </w:p>
    <w:p w14:paraId="014582B5" w14:textId="121926C2" w:rsidR="004D0762" w:rsidRDefault="006F197E">
      <w:pPr>
        <w:pStyle w:val="Odstavecseseznamem"/>
        <w:numPr>
          <w:ilvl w:val="1"/>
          <w:numId w:val="4"/>
        </w:numPr>
        <w:spacing w:before="120" w:after="60"/>
        <w:ind w:left="851" w:hanging="357"/>
        <w:contextualSpacing w:val="0"/>
        <w:jc w:val="both"/>
      </w:pPr>
      <w:r>
        <w:t>o</w:t>
      </w:r>
      <w:r w:rsidR="00CE2D4B">
        <w:t>prava zámečku</w:t>
      </w:r>
      <w:r w:rsidR="004D0762">
        <w:t xml:space="preserve"> – </w:t>
      </w:r>
      <w:r w:rsidR="00CE2D4B">
        <w:t>9</w:t>
      </w:r>
      <w:r w:rsidR="004D0762">
        <w:t>x</w:t>
      </w:r>
      <w:r w:rsidR="00CE2D4B">
        <w:t>, z toho:</w:t>
      </w:r>
    </w:p>
    <w:p w14:paraId="4AD1488D" w14:textId="63DB3A3F" w:rsidR="00EE0B99" w:rsidRDefault="00CE2D4B">
      <w:pPr>
        <w:pStyle w:val="Odstavecseseznamem"/>
        <w:numPr>
          <w:ilvl w:val="2"/>
          <w:numId w:val="4"/>
        </w:numPr>
        <w:spacing w:before="60" w:after="60"/>
        <w:ind w:left="1276" w:hanging="357"/>
        <w:contextualSpacing w:val="0"/>
        <w:jc w:val="both"/>
      </w:pPr>
      <w:r w:rsidRPr="00CE2D4B">
        <w:t>rekonstrukce zámečku</w:t>
      </w:r>
      <w:r>
        <w:t xml:space="preserve"> obecně – 7x</w:t>
      </w:r>
    </w:p>
    <w:p w14:paraId="6C567F1E" w14:textId="3C387EB0" w:rsidR="00CE2D4B" w:rsidRDefault="00CE2D4B">
      <w:pPr>
        <w:pStyle w:val="Odstavecseseznamem"/>
        <w:numPr>
          <w:ilvl w:val="2"/>
          <w:numId w:val="4"/>
        </w:numPr>
        <w:spacing w:before="60" w:after="60"/>
        <w:ind w:left="1276" w:hanging="357"/>
        <w:contextualSpacing w:val="0"/>
        <w:jc w:val="both"/>
      </w:pPr>
      <w:r w:rsidRPr="00CE2D4B">
        <w:t>oprava zámku a využití k</w:t>
      </w:r>
      <w:r>
        <w:t> </w:t>
      </w:r>
      <w:r w:rsidRPr="00CE2D4B">
        <w:t>bydlení</w:t>
      </w:r>
      <w:r>
        <w:t xml:space="preserve"> – 1x</w:t>
      </w:r>
    </w:p>
    <w:p w14:paraId="301A607A" w14:textId="328E8447" w:rsidR="004D0762" w:rsidRDefault="00CE2D4B">
      <w:pPr>
        <w:pStyle w:val="Odstavecseseznamem"/>
        <w:numPr>
          <w:ilvl w:val="2"/>
          <w:numId w:val="4"/>
        </w:numPr>
        <w:spacing w:before="60" w:after="60"/>
        <w:ind w:left="1276" w:hanging="357"/>
        <w:contextualSpacing w:val="0"/>
        <w:jc w:val="both"/>
      </w:pPr>
      <w:r w:rsidRPr="00CE2D4B">
        <w:t xml:space="preserve">při rekonstrukci zámku počítat např. s tím, že by se tam mohl zřídit </w:t>
      </w:r>
      <w:r>
        <w:t>d</w:t>
      </w:r>
      <w:r w:rsidRPr="00CE2D4B">
        <w:t xml:space="preserve">omov důchodců nebo </w:t>
      </w:r>
      <w:r>
        <w:t>p</w:t>
      </w:r>
      <w:r w:rsidRPr="00CE2D4B">
        <w:t>ečovatelský dům</w:t>
      </w:r>
      <w:r>
        <w:t xml:space="preserve"> – 1x</w:t>
      </w:r>
    </w:p>
    <w:p w14:paraId="6E096101" w14:textId="5301B46B" w:rsidR="00C83AAA" w:rsidRDefault="00C35BCF">
      <w:pPr>
        <w:pStyle w:val="Odstavecseseznamem"/>
        <w:numPr>
          <w:ilvl w:val="0"/>
          <w:numId w:val="4"/>
        </w:numPr>
        <w:spacing w:before="240" w:after="60"/>
        <w:ind w:left="426" w:hanging="357"/>
        <w:contextualSpacing w:val="0"/>
        <w:jc w:val="both"/>
      </w:pPr>
      <w:r w:rsidRPr="00E57E8E">
        <w:rPr>
          <w:b/>
          <w:bCs/>
        </w:rPr>
        <w:t xml:space="preserve">Souvislost </w:t>
      </w:r>
      <w:r>
        <w:rPr>
          <w:b/>
          <w:bCs/>
        </w:rPr>
        <w:t xml:space="preserve">s technickou infrastrukturou </w:t>
      </w:r>
      <w:r w:rsidR="00667059">
        <w:t xml:space="preserve">– </w:t>
      </w:r>
      <w:r>
        <w:t>1</w:t>
      </w:r>
      <w:r w:rsidR="004A02C4">
        <w:t>9</w:t>
      </w:r>
      <w:r w:rsidR="00667059">
        <w:t>x</w:t>
      </w:r>
    </w:p>
    <w:p w14:paraId="0A40DD72" w14:textId="71982C21" w:rsidR="004400C0" w:rsidRDefault="00C056BA">
      <w:pPr>
        <w:pStyle w:val="Odstavecseseznamem"/>
        <w:numPr>
          <w:ilvl w:val="1"/>
          <w:numId w:val="4"/>
        </w:numPr>
        <w:spacing w:before="60" w:after="60"/>
        <w:ind w:left="850" w:hanging="357"/>
        <w:contextualSpacing w:val="0"/>
        <w:jc w:val="both"/>
      </w:pPr>
      <w:r>
        <w:t>vybudování</w:t>
      </w:r>
      <w:r w:rsidR="00F07124">
        <w:t xml:space="preserve"> </w:t>
      </w:r>
      <w:r w:rsidR="005976F8">
        <w:t>k</w:t>
      </w:r>
      <w:r w:rsidR="004400C0">
        <w:t>analizac</w:t>
      </w:r>
      <w:r>
        <w:t>e</w:t>
      </w:r>
      <w:r w:rsidR="004400C0">
        <w:t xml:space="preserve"> – </w:t>
      </w:r>
      <w:r>
        <w:t>7</w:t>
      </w:r>
      <w:r w:rsidR="004400C0">
        <w:t>x</w:t>
      </w:r>
    </w:p>
    <w:p w14:paraId="757C19AE" w14:textId="4EF9C1CE" w:rsidR="004400C0" w:rsidRDefault="00C056BA">
      <w:pPr>
        <w:pStyle w:val="Odstavecseseznamem"/>
        <w:numPr>
          <w:ilvl w:val="1"/>
          <w:numId w:val="4"/>
        </w:numPr>
        <w:spacing w:before="60" w:after="60"/>
        <w:ind w:left="850" w:hanging="357"/>
        <w:contextualSpacing w:val="0"/>
        <w:jc w:val="both"/>
      </w:pPr>
      <w:r>
        <w:t>vybudování vodovodu</w:t>
      </w:r>
      <w:r w:rsidR="004400C0">
        <w:t xml:space="preserve"> – </w:t>
      </w:r>
      <w:r>
        <w:t>6</w:t>
      </w:r>
      <w:r w:rsidR="004400C0">
        <w:t>x</w:t>
      </w:r>
    </w:p>
    <w:p w14:paraId="7E59E150" w14:textId="12B1D177" w:rsidR="00C056BA" w:rsidRDefault="00C056BA">
      <w:pPr>
        <w:pStyle w:val="Odstavecseseznamem"/>
        <w:numPr>
          <w:ilvl w:val="1"/>
          <w:numId w:val="4"/>
        </w:numPr>
        <w:spacing w:before="60" w:after="60"/>
        <w:ind w:left="851"/>
        <w:contextualSpacing w:val="0"/>
        <w:jc w:val="both"/>
      </w:pPr>
      <w:r>
        <w:t>kompletní zakrytí kanalizace z kopce v Prostředních Starých Bukách z důvodu výstavby domů – 1x</w:t>
      </w:r>
    </w:p>
    <w:p w14:paraId="5925B4DE" w14:textId="63E5F511" w:rsidR="00C056BA" w:rsidRDefault="00C056BA">
      <w:pPr>
        <w:pStyle w:val="Odstavecseseznamem"/>
        <w:numPr>
          <w:ilvl w:val="1"/>
          <w:numId w:val="4"/>
        </w:numPr>
        <w:spacing w:before="60" w:after="60"/>
        <w:ind w:left="851"/>
        <w:contextualSpacing w:val="0"/>
        <w:jc w:val="both"/>
      </w:pPr>
      <w:r>
        <w:t>zhasínání veřejného osvětlení v noci – 1x</w:t>
      </w:r>
    </w:p>
    <w:p w14:paraId="16989DC4" w14:textId="593405CC" w:rsidR="00C056BA" w:rsidRDefault="00C056BA">
      <w:pPr>
        <w:pStyle w:val="Odstavecseseznamem"/>
        <w:numPr>
          <w:ilvl w:val="1"/>
          <w:numId w:val="4"/>
        </w:numPr>
        <w:spacing w:before="60" w:after="60"/>
        <w:ind w:left="851"/>
        <w:contextualSpacing w:val="0"/>
        <w:jc w:val="both"/>
      </w:pPr>
      <w:r>
        <w:t>chybějící veřejný vodovod v Dolníkách – zavedení vodovodu – 1x</w:t>
      </w:r>
    </w:p>
    <w:p w14:paraId="77E91801" w14:textId="07F77E2C" w:rsidR="00C056BA" w:rsidRDefault="00C056BA">
      <w:pPr>
        <w:pStyle w:val="Odstavecseseznamem"/>
        <w:numPr>
          <w:ilvl w:val="1"/>
          <w:numId w:val="4"/>
        </w:numPr>
        <w:spacing w:before="60" w:after="60"/>
        <w:ind w:left="851"/>
        <w:contextualSpacing w:val="0"/>
        <w:jc w:val="both"/>
      </w:pPr>
      <w:r>
        <w:t>chybějící kanalizace v Dolníkách – 1x</w:t>
      </w:r>
    </w:p>
    <w:p w14:paraId="444ADA38" w14:textId="3BCF4770" w:rsidR="00C056BA" w:rsidRDefault="00C056BA">
      <w:pPr>
        <w:pStyle w:val="Odstavecseseznamem"/>
        <w:numPr>
          <w:ilvl w:val="1"/>
          <w:numId w:val="4"/>
        </w:numPr>
        <w:spacing w:before="60" w:after="60"/>
        <w:ind w:left="851"/>
        <w:contextualSpacing w:val="0"/>
        <w:jc w:val="both"/>
      </w:pPr>
      <w:r>
        <w:t>není vyřešená dešťová voda, po každém dešti veškerý štěrk z kopců skončí na křižovatce u schránek a v kanalizaci, která je již tímto štěrkem ucpaná – 1x</w:t>
      </w:r>
    </w:p>
    <w:p w14:paraId="0348D508" w14:textId="06A279ED" w:rsidR="004F2EEF" w:rsidRDefault="00C056BA">
      <w:pPr>
        <w:pStyle w:val="Odstavecseseznamem"/>
        <w:numPr>
          <w:ilvl w:val="1"/>
          <w:numId w:val="4"/>
        </w:numPr>
        <w:spacing w:before="60" w:after="60"/>
        <w:ind w:left="851"/>
        <w:contextualSpacing w:val="0"/>
        <w:jc w:val="both"/>
      </w:pPr>
      <w:r>
        <w:t>není kanalizace, což vede ke znečišťování potoka</w:t>
      </w:r>
      <w:r w:rsidR="004400C0">
        <w:t xml:space="preserve"> – 1x</w:t>
      </w:r>
    </w:p>
    <w:p w14:paraId="56EAFDE1" w14:textId="77777777" w:rsidR="00D030F8" w:rsidRDefault="00D030F8">
      <w:pPr>
        <w:pStyle w:val="Odstavecseseznamem"/>
        <w:numPr>
          <w:ilvl w:val="0"/>
          <w:numId w:val="4"/>
        </w:numPr>
        <w:spacing w:before="240" w:after="60"/>
        <w:ind w:left="426" w:hanging="357"/>
        <w:contextualSpacing w:val="0"/>
        <w:jc w:val="both"/>
        <w:rPr>
          <w:b/>
          <w:bCs/>
        </w:rPr>
      </w:pPr>
      <w:r>
        <w:rPr>
          <w:b/>
          <w:bCs/>
        </w:rPr>
        <w:br w:type="page"/>
      </w:r>
    </w:p>
    <w:p w14:paraId="5EA673EB" w14:textId="6200E200" w:rsidR="00D54087" w:rsidRDefault="00D54087">
      <w:pPr>
        <w:pStyle w:val="Odstavecseseznamem"/>
        <w:numPr>
          <w:ilvl w:val="0"/>
          <w:numId w:val="4"/>
        </w:numPr>
        <w:spacing w:before="240" w:after="60"/>
        <w:ind w:left="426" w:hanging="357"/>
        <w:contextualSpacing w:val="0"/>
        <w:jc w:val="both"/>
      </w:pPr>
      <w:r w:rsidRPr="00E57E8E">
        <w:rPr>
          <w:b/>
          <w:bCs/>
        </w:rPr>
        <w:lastRenderedPageBreak/>
        <w:t>Souvislost s</w:t>
      </w:r>
      <w:r w:rsidR="004D7BAA">
        <w:rPr>
          <w:b/>
          <w:bCs/>
        </w:rPr>
        <w:t> </w:t>
      </w:r>
      <w:r w:rsidR="004B0B61">
        <w:rPr>
          <w:b/>
          <w:bCs/>
        </w:rPr>
        <w:t>bezpečností</w:t>
      </w:r>
      <w:r>
        <w:t xml:space="preserve"> – </w:t>
      </w:r>
      <w:r w:rsidR="004B0B61">
        <w:t>16</w:t>
      </w:r>
      <w:r>
        <w:t>x</w:t>
      </w:r>
    </w:p>
    <w:p w14:paraId="0A8AB4A5" w14:textId="78984BAD" w:rsidR="00E11C72" w:rsidRDefault="004D7BAA">
      <w:pPr>
        <w:pStyle w:val="Odstavecseseznamem"/>
        <w:numPr>
          <w:ilvl w:val="1"/>
          <w:numId w:val="4"/>
        </w:numPr>
        <w:spacing w:after="60"/>
        <w:ind w:left="851" w:hanging="357"/>
        <w:contextualSpacing w:val="0"/>
        <w:jc w:val="both"/>
      </w:pPr>
      <w:r w:rsidRPr="004D7BAA">
        <w:t>souvislost s</w:t>
      </w:r>
      <w:r>
        <w:t> </w:t>
      </w:r>
      <w:r w:rsidR="004B0B61">
        <w:t>chodníky</w:t>
      </w:r>
      <w:r>
        <w:t xml:space="preserve"> – </w:t>
      </w:r>
      <w:r w:rsidR="004B0B61">
        <w:t>9</w:t>
      </w:r>
      <w:r>
        <w:t>x</w:t>
      </w:r>
      <w:r w:rsidR="004B0B61">
        <w:t>, z toho</w:t>
      </w:r>
      <w:r>
        <w:t>:</w:t>
      </w:r>
    </w:p>
    <w:p w14:paraId="0DC4699B" w14:textId="1581BA7A" w:rsidR="000A4285" w:rsidRDefault="004B0B61">
      <w:pPr>
        <w:pStyle w:val="Odstavecseseznamem"/>
        <w:numPr>
          <w:ilvl w:val="2"/>
          <w:numId w:val="4"/>
        </w:numPr>
        <w:spacing w:before="60" w:after="60"/>
        <w:ind w:left="1276" w:hanging="357"/>
        <w:contextualSpacing w:val="0"/>
        <w:jc w:val="both"/>
      </w:pPr>
      <w:r w:rsidRPr="004B0B61">
        <w:t>chybějící chodníky obecně</w:t>
      </w:r>
      <w:r>
        <w:t xml:space="preserve"> – 5x</w:t>
      </w:r>
    </w:p>
    <w:p w14:paraId="2CDB8C4D" w14:textId="799D11E9" w:rsidR="004B0B61" w:rsidRDefault="004B0B61">
      <w:pPr>
        <w:pStyle w:val="Odstavecseseznamem"/>
        <w:numPr>
          <w:ilvl w:val="2"/>
          <w:numId w:val="4"/>
        </w:numPr>
        <w:spacing w:before="60" w:after="60"/>
        <w:ind w:left="1276" w:hanging="357"/>
        <w:contextualSpacing w:val="0"/>
        <w:jc w:val="both"/>
      </w:pPr>
      <w:r>
        <w:t>c</w:t>
      </w:r>
      <w:r w:rsidRPr="004B0B61">
        <w:t>hodníky uprostřed obce</w:t>
      </w:r>
      <w:r>
        <w:t xml:space="preserve"> – 1x</w:t>
      </w:r>
    </w:p>
    <w:p w14:paraId="19C510BB" w14:textId="203433C7" w:rsidR="004B0B61" w:rsidRDefault="004B0B61">
      <w:pPr>
        <w:pStyle w:val="Odstavecseseznamem"/>
        <w:numPr>
          <w:ilvl w:val="2"/>
          <w:numId w:val="4"/>
        </w:numPr>
        <w:spacing w:before="60" w:after="60"/>
        <w:ind w:left="1276" w:hanging="357"/>
        <w:contextualSpacing w:val="0"/>
        <w:jc w:val="both"/>
      </w:pPr>
      <w:r w:rsidRPr="004B0B61">
        <w:t>chodník tam, kde je to možné</w:t>
      </w:r>
      <w:r>
        <w:t xml:space="preserve"> – 1x</w:t>
      </w:r>
    </w:p>
    <w:p w14:paraId="0DB32832" w14:textId="2BFA09CB" w:rsidR="004B0B61" w:rsidRDefault="004B0B61">
      <w:pPr>
        <w:pStyle w:val="Odstavecseseznamem"/>
        <w:numPr>
          <w:ilvl w:val="2"/>
          <w:numId w:val="4"/>
        </w:numPr>
        <w:spacing w:before="60" w:after="60"/>
        <w:ind w:left="1276" w:hanging="357"/>
        <w:contextualSpacing w:val="0"/>
        <w:jc w:val="both"/>
      </w:pPr>
      <w:r w:rsidRPr="004B0B61">
        <w:t>bezpečnost na silnici a/nebo chodníky jsou pro danou osobu nyní priorita</w:t>
      </w:r>
      <w:r>
        <w:t xml:space="preserve"> – 1x</w:t>
      </w:r>
    </w:p>
    <w:p w14:paraId="1028B4A7" w14:textId="6AC1044E" w:rsidR="000A4285" w:rsidRDefault="004B0B61">
      <w:pPr>
        <w:pStyle w:val="Odstavecseseznamem"/>
        <w:numPr>
          <w:ilvl w:val="2"/>
          <w:numId w:val="4"/>
        </w:numPr>
        <w:spacing w:before="60" w:after="60"/>
        <w:ind w:left="1276" w:hanging="357"/>
        <w:contextualSpacing w:val="0"/>
        <w:jc w:val="both"/>
      </w:pPr>
      <w:r w:rsidRPr="004B0B61">
        <w:t xml:space="preserve">chodník od odbočky na Dolce směr křižovatka Horní </w:t>
      </w:r>
      <w:r>
        <w:t xml:space="preserve">Staré </w:t>
      </w:r>
      <w:r w:rsidRPr="004B0B61">
        <w:t>Buky/Žďár, případně ho protáhnout až k</w:t>
      </w:r>
      <w:r>
        <w:t> </w:t>
      </w:r>
      <w:r w:rsidRPr="004B0B61">
        <w:t>zámečku</w:t>
      </w:r>
      <w:r>
        <w:t xml:space="preserve"> – 1x</w:t>
      </w:r>
    </w:p>
    <w:p w14:paraId="605EDC1B" w14:textId="67BC09C1" w:rsidR="000A4285" w:rsidRDefault="009B4111">
      <w:pPr>
        <w:pStyle w:val="Odstavecseseznamem"/>
        <w:numPr>
          <w:ilvl w:val="1"/>
          <w:numId w:val="4"/>
        </w:numPr>
        <w:spacing w:before="120" w:after="60"/>
        <w:ind w:left="850" w:hanging="357"/>
        <w:contextualSpacing w:val="0"/>
        <w:jc w:val="both"/>
      </w:pPr>
      <w:r w:rsidRPr="009B4111">
        <w:t>souvislost s měřením rychlosti vozidel</w:t>
      </w:r>
      <w:r w:rsidR="000A4285">
        <w:t xml:space="preserve"> – </w:t>
      </w:r>
      <w:r>
        <w:t>3</w:t>
      </w:r>
      <w:r w:rsidR="000A4285">
        <w:t>x</w:t>
      </w:r>
      <w:r>
        <w:t>, z toho:</w:t>
      </w:r>
    </w:p>
    <w:p w14:paraId="33CF2D1F" w14:textId="06513676" w:rsidR="009B4111" w:rsidRDefault="009B4111">
      <w:pPr>
        <w:pStyle w:val="Odstavecseseznamem"/>
        <w:numPr>
          <w:ilvl w:val="2"/>
          <w:numId w:val="4"/>
        </w:numPr>
        <w:spacing w:before="60" w:after="60"/>
        <w:ind w:left="1276"/>
        <w:contextualSpacing w:val="0"/>
        <w:jc w:val="both"/>
      </w:pPr>
      <w:r w:rsidRPr="009B4111">
        <w:t>měření rychlosti v</w:t>
      </w:r>
      <w:r>
        <w:t> </w:t>
      </w:r>
      <w:r w:rsidRPr="009B4111">
        <w:t>obci</w:t>
      </w:r>
      <w:r>
        <w:t xml:space="preserve"> – 1x</w:t>
      </w:r>
    </w:p>
    <w:p w14:paraId="74A2FA1F" w14:textId="1DA65AF4" w:rsidR="009B4111" w:rsidRDefault="009B4111">
      <w:pPr>
        <w:pStyle w:val="Odstavecseseznamem"/>
        <w:numPr>
          <w:ilvl w:val="2"/>
          <w:numId w:val="4"/>
        </w:numPr>
        <w:spacing w:before="60" w:after="60"/>
        <w:ind w:left="1276"/>
        <w:contextualSpacing w:val="0"/>
        <w:jc w:val="both"/>
      </w:pPr>
      <w:r w:rsidRPr="009B4111">
        <w:t>vysoká rychlost projíždějících vozidel po obci</w:t>
      </w:r>
      <w:r>
        <w:t xml:space="preserve"> – 1x</w:t>
      </w:r>
    </w:p>
    <w:p w14:paraId="11FC0568" w14:textId="20949CC5" w:rsidR="009B4111" w:rsidRDefault="009B4111">
      <w:pPr>
        <w:pStyle w:val="Odstavecseseznamem"/>
        <w:numPr>
          <w:ilvl w:val="2"/>
          <w:numId w:val="4"/>
        </w:numPr>
        <w:spacing w:before="60" w:after="60"/>
        <w:ind w:left="1276"/>
        <w:contextualSpacing w:val="0"/>
        <w:jc w:val="both"/>
      </w:pPr>
      <w:r w:rsidRPr="009B4111">
        <w:t>zpomalovací retardéry nebo průjezdové radary</w:t>
      </w:r>
      <w:r>
        <w:t>;</w:t>
      </w:r>
      <w:r w:rsidRPr="009B4111">
        <w:t xml:space="preserve"> v případě nemožnosti vybudování chodníku</w:t>
      </w:r>
      <w:r>
        <w:t xml:space="preserve"> – 1x</w:t>
      </w:r>
    </w:p>
    <w:p w14:paraId="4BF67EE7" w14:textId="69A12C9B" w:rsidR="000A4285" w:rsidRDefault="0009467D">
      <w:pPr>
        <w:pStyle w:val="Odstavecseseznamem"/>
        <w:numPr>
          <w:ilvl w:val="1"/>
          <w:numId w:val="4"/>
        </w:numPr>
        <w:spacing w:before="120" w:after="60"/>
        <w:ind w:left="850" w:hanging="357"/>
        <w:contextualSpacing w:val="0"/>
        <w:jc w:val="both"/>
      </w:pPr>
      <w:r w:rsidRPr="0009467D">
        <w:t xml:space="preserve">lepší dozor rodičů na </w:t>
      </w:r>
      <w:r>
        <w:t>dětském hřišti</w:t>
      </w:r>
      <w:r w:rsidRPr="0009467D">
        <w:t xml:space="preserve"> </w:t>
      </w:r>
      <w:r w:rsidR="000A4285">
        <w:t xml:space="preserve">– </w:t>
      </w:r>
      <w:r w:rsidR="009E3FA3">
        <w:t>2</w:t>
      </w:r>
      <w:r w:rsidR="000A4285">
        <w:t>x</w:t>
      </w:r>
    </w:p>
    <w:p w14:paraId="43A81367" w14:textId="757E75DB" w:rsidR="0009467D" w:rsidRDefault="0009467D">
      <w:pPr>
        <w:pStyle w:val="Odstavecseseznamem"/>
        <w:numPr>
          <w:ilvl w:val="1"/>
          <w:numId w:val="4"/>
        </w:numPr>
        <w:spacing w:before="60" w:after="60"/>
        <w:ind w:left="850" w:hanging="357"/>
        <w:contextualSpacing w:val="0"/>
        <w:jc w:val="both"/>
      </w:pPr>
      <w:r w:rsidRPr="0009467D">
        <w:t xml:space="preserve">oprava komunikace cyklostezky při cestě k lékaři </w:t>
      </w:r>
      <w:r>
        <w:t>– dle dotyčné osoby</w:t>
      </w:r>
      <w:r w:rsidRPr="0009467D">
        <w:t xml:space="preserve"> je nebezpečná</w:t>
      </w:r>
      <w:r>
        <w:t xml:space="preserve"> – 1x</w:t>
      </w:r>
    </w:p>
    <w:p w14:paraId="7277E4BB" w14:textId="7D94E593" w:rsidR="000A4285" w:rsidRDefault="0009467D">
      <w:pPr>
        <w:pStyle w:val="Odstavecseseznamem"/>
        <w:numPr>
          <w:ilvl w:val="1"/>
          <w:numId w:val="4"/>
        </w:numPr>
        <w:spacing w:before="60" w:after="60"/>
        <w:ind w:left="850" w:hanging="357"/>
        <w:contextualSpacing w:val="0"/>
        <w:jc w:val="both"/>
      </w:pPr>
      <w:r w:rsidRPr="0009467D">
        <w:t>opravy silničních svodidel, upozornění na rychlost</w:t>
      </w:r>
      <w:r w:rsidR="000A4285">
        <w:t xml:space="preserve"> – 1x</w:t>
      </w:r>
    </w:p>
    <w:p w14:paraId="6CB55E53" w14:textId="5F186AB8" w:rsidR="00F47535" w:rsidRDefault="00BE7DE8">
      <w:pPr>
        <w:pStyle w:val="Odstavecseseznamem"/>
        <w:numPr>
          <w:ilvl w:val="0"/>
          <w:numId w:val="4"/>
        </w:numPr>
        <w:spacing w:before="240" w:after="60"/>
        <w:ind w:left="426" w:hanging="357"/>
        <w:contextualSpacing w:val="0"/>
        <w:jc w:val="both"/>
      </w:pPr>
      <w:r w:rsidRPr="00E57E8E">
        <w:rPr>
          <w:b/>
          <w:bCs/>
        </w:rPr>
        <w:t xml:space="preserve">Souvislost </w:t>
      </w:r>
      <w:r>
        <w:rPr>
          <w:b/>
          <w:bCs/>
        </w:rPr>
        <w:t>s prostředím obce</w:t>
      </w:r>
      <w:r w:rsidR="00355945">
        <w:t xml:space="preserve"> – </w:t>
      </w:r>
      <w:r>
        <w:t>1</w:t>
      </w:r>
      <w:r w:rsidR="00123DEC">
        <w:t>3</w:t>
      </w:r>
      <w:r w:rsidR="00355945">
        <w:t>x</w:t>
      </w:r>
    </w:p>
    <w:p w14:paraId="4E630040" w14:textId="0F85977D" w:rsidR="00BE7DE8" w:rsidRDefault="00BE7DE8">
      <w:pPr>
        <w:pStyle w:val="Odstavecseseznamem"/>
        <w:numPr>
          <w:ilvl w:val="1"/>
          <w:numId w:val="4"/>
        </w:numPr>
        <w:spacing w:before="60" w:after="60"/>
        <w:ind w:left="850" w:hanging="357"/>
        <w:contextualSpacing w:val="0"/>
        <w:jc w:val="both"/>
      </w:pPr>
      <w:r>
        <w:t>oprava schodů a zábradlí poblíž sochy sv. Jana Nepomuckého – 2x</w:t>
      </w:r>
    </w:p>
    <w:p w14:paraId="470D6A92" w14:textId="51DE17A0" w:rsidR="00BE7DE8" w:rsidRDefault="00BE7DE8">
      <w:pPr>
        <w:pStyle w:val="Odstavecseseznamem"/>
        <w:numPr>
          <w:ilvl w:val="1"/>
          <w:numId w:val="4"/>
        </w:numPr>
        <w:spacing w:before="60" w:after="60"/>
        <w:ind w:left="850" w:hanging="357"/>
        <w:contextualSpacing w:val="0"/>
        <w:jc w:val="both"/>
      </w:pPr>
      <w:r>
        <w:t>řešit znečištění okolo potoka – 2x</w:t>
      </w:r>
    </w:p>
    <w:p w14:paraId="68BE3C47" w14:textId="5ADEBB50" w:rsidR="00BE7DE8" w:rsidRDefault="00BE7DE8">
      <w:pPr>
        <w:pStyle w:val="Odstavecseseznamem"/>
        <w:numPr>
          <w:ilvl w:val="1"/>
          <w:numId w:val="4"/>
        </w:numPr>
        <w:spacing w:before="60" w:after="60"/>
        <w:ind w:left="850" w:hanging="357"/>
        <w:contextualSpacing w:val="0"/>
        <w:jc w:val="both"/>
      </w:pPr>
      <w:r>
        <w:t>květinová výzdoba po obci – 2x</w:t>
      </w:r>
    </w:p>
    <w:p w14:paraId="651B5671" w14:textId="37DFE090" w:rsidR="00BE7DE8" w:rsidRDefault="00BE7DE8">
      <w:pPr>
        <w:pStyle w:val="Odstavecseseznamem"/>
        <w:numPr>
          <w:ilvl w:val="1"/>
          <w:numId w:val="4"/>
        </w:numPr>
        <w:spacing w:before="60" w:after="60"/>
        <w:ind w:left="850" w:hanging="357"/>
        <w:contextualSpacing w:val="0"/>
        <w:jc w:val="both"/>
      </w:pPr>
      <w:r>
        <w:t>dbát na čistotu komunikace po projíždění zemědělské techniky (nenechat rozjezdit osobními auty) – 1x</w:t>
      </w:r>
    </w:p>
    <w:p w14:paraId="64D02768" w14:textId="710715E5" w:rsidR="00BE7DE8" w:rsidRDefault="00BE7DE8">
      <w:pPr>
        <w:pStyle w:val="Odstavecseseznamem"/>
        <w:numPr>
          <w:ilvl w:val="1"/>
          <w:numId w:val="4"/>
        </w:numPr>
        <w:spacing w:before="60" w:after="60"/>
        <w:ind w:left="850" w:hanging="357"/>
        <w:contextualSpacing w:val="0"/>
        <w:jc w:val="both"/>
      </w:pPr>
      <w:r>
        <w:t>dotyčná osoba ještě úplně nezná všechna místa jménem, ale např. konec úvozu není hezký – 1x</w:t>
      </w:r>
    </w:p>
    <w:p w14:paraId="2084B260" w14:textId="3C6104EF" w:rsidR="00BE7DE8" w:rsidRDefault="00BE7DE8">
      <w:pPr>
        <w:pStyle w:val="Odstavecseseznamem"/>
        <w:numPr>
          <w:ilvl w:val="1"/>
          <w:numId w:val="4"/>
        </w:numPr>
        <w:spacing w:before="60" w:after="60"/>
        <w:ind w:left="850" w:hanging="357"/>
        <w:contextualSpacing w:val="0"/>
        <w:jc w:val="both"/>
      </w:pPr>
      <w:r>
        <w:t>pokácet špatné stromy a uklidit popadané stromy – 1x</w:t>
      </w:r>
    </w:p>
    <w:p w14:paraId="1DBBCE71" w14:textId="1D896E81" w:rsidR="00BE7DE8" w:rsidRDefault="00BE7DE8">
      <w:pPr>
        <w:pStyle w:val="Odstavecseseznamem"/>
        <w:numPr>
          <w:ilvl w:val="1"/>
          <w:numId w:val="4"/>
        </w:numPr>
        <w:spacing w:before="60" w:after="60"/>
        <w:ind w:left="850" w:hanging="357"/>
        <w:contextualSpacing w:val="0"/>
        <w:jc w:val="both"/>
      </w:pPr>
      <w:r>
        <w:t>revitalizovat park u hřiště – 1x</w:t>
      </w:r>
    </w:p>
    <w:p w14:paraId="48EB760E" w14:textId="705F92A3" w:rsidR="00BE7DE8" w:rsidRDefault="00BE7DE8">
      <w:pPr>
        <w:pStyle w:val="Odstavecseseznamem"/>
        <w:numPr>
          <w:ilvl w:val="1"/>
          <w:numId w:val="4"/>
        </w:numPr>
        <w:spacing w:before="60" w:after="60"/>
        <w:ind w:left="850" w:hanging="357"/>
        <w:contextualSpacing w:val="0"/>
        <w:jc w:val="both"/>
      </w:pPr>
      <w:r>
        <w:t>uklidit nepořádek kolem budovy s č. p. 50 – 1x</w:t>
      </w:r>
    </w:p>
    <w:p w14:paraId="0C1CC8FC" w14:textId="153D6BDC" w:rsidR="00BE7DE8" w:rsidRDefault="00BE7DE8">
      <w:pPr>
        <w:pStyle w:val="Odstavecseseznamem"/>
        <w:numPr>
          <w:ilvl w:val="1"/>
          <w:numId w:val="4"/>
        </w:numPr>
        <w:spacing w:before="60" w:after="60"/>
        <w:ind w:left="850" w:hanging="357"/>
        <w:contextualSpacing w:val="0"/>
        <w:jc w:val="both"/>
      </w:pPr>
      <w:r>
        <w:t>upravit zeleň na cestě na Dolce (např. je zarostlé pouliční osvětlení) – 1x</w:t>
      </w:r>
    </w:p>
    <w:p w14:paraId="6B8A18E5" w14:textId="7571BEA8" w:rsidR="00B13D82" w:rsidRDefault="00BE7DE8">
      <w:pPr>
        <w:pStyle w:val="Odstavecseseznamem"/>
        <w:numPr>
          <w:ilvl w:val="1"/>
          <w:numId w:val="4"/>
        </w:numPr>
        <w:spacing w:before="60" w:after="60"/>
        <w:ind w:left="850" w:hanging="357"/>
        <w:contextualSpacing w:val="0"/>
        <w:jc w:val="both"/>
      </w:pPr>
      <w:r>
        <w:t>revitalizovat park před budovou s č. p. 50 – 1x</w:t>
      </w:r>
    </w:p>
    <w:p w14:paraId="0BE07859" w14:textId="297AD0DE" w:rsidR="00C455F6" w:rsidRDefault="00C455F6">
      <w:pPr>
        <w:pStyle w:val="Odstavecseseznamem"/>
        <w:numPr>
          <w:ilvl w:val="0"/>
          <w:numId w:val="4"/>
        </w:numPr>
        <w:spacing w:before="240" w:after="60"/>
        <w:ind w:left="426" w:hanging="357"/>
        <w:contextualSpacing w:val="0"/>
        <w:jc w:val="both"/>
      </w:pPr>
      <w:r w:rsidRPr="00E57E8E">
        <w:rPr>
          <w:b/>
          <w:bCs/>
        </w:rPr>
        <w:t xml:space="preserve">Souvislost </w:t>
      </w:r>
      <w:r>
        <w:rPr>
          <w:b/>
          <w:bCs/>
        </w:rPr>
        <w:t>s budovami ve vlastnictví obce</w:t>
      </w:r>
      <w:r>
        <w:t xml:space="preserve"> – 11x</w:t>
      </w:r>
    </w:p>
    <w:p w14:paraId="3D75AC73" w14:textId="6096B0A6" w:rsidR="00C455F6" w:rsidRDefault="00C455F6">
      <w:pPr>
        <w:pStyle w:val="Odstavecseseznamem"/>
        <w:numPr>
          <w:ilvl w:val="1"/>
          <w:numId w:val="4"/>
        </w:numPr>
        <w:spacing w:before="60" w:after="60"/>
        <w:ind w:left="850" w:hanging="357"/>
        <w:contextualSpacing w:val="0"/>
        <w:jc w:val="both"/>
      </w:pPr>
      <w:r>
        <w:t>r</w:t>
      </w:r>
      <w:r w:rsidRPr="00C455F6">
        <w:t>ekonstrukce</w:t>
      </w:r>
      <w:r>
        <w:t>/revitalizace/oprava</w:t>
      </w:r>
      <w:r w:rsidRPr="00C455F6">
        <w:t xml:space="preserve"> budovy s č. p. 50</w:t>
      </w:r>
      <w:r>
        <w:t xml:space="preserve"> – 8x, z toho:</w:t>
      </w:r>
    </w:p>
    <w:p w14:paraId="1003CCB0" w14:textId="6685C406" w:rsidR="00C455F6" w:rsidRDefault="00C455F6">
      <w:pPr>
        <w:pStyle w:val="Odstavecseseznamem"/>
        <w:numPr>
          <w:ilvl w:val="2"/>
          <w:numId w:val="4"/>
        </w:numPr>
        <w:spacing w:before="60" w:after="60"/>
        <w:ind w:left="1276"/>
        <w:contextualSpacing w:val="0"/>
        <w:jc w:val="both"/>
      </w:pPr>
      <w:r>
        <w:t>o</w:t>
      </w:r>
      <w:r w:rsidRPr="00C455F6">
        <w:t>prava budovy s č. p. 50 obecně</w:t>
      </w:r>
      <w:r>
        <w:t xml:space="preserve"> – 4x</w:t>
      </w:r>
    </w:p>
    <w:p w14:paraId="34BE0DA5" w14:textId="047129FB" w:rsidR="00C455F6" w:rsidRDefault="00C455F6">
      <w:pPr>
        <w:pStyle w:val="Odstavecseseznamem"/>
        <w:numPr>
          <w:ilvl w:val="2"/>
          <w:numId w:val="4"/>
        </w:numPr>
        <w:spacing w:before="60" w:after="60"/>
        <w:ind w:left="1276"/>
        <w:contextualSpacing w:val="0"/>
        <w:jc w:val="both"/>
      </w:pPr>
      <w:r w:rsidRPr="00C455F6">
        <w:t xml:space="preserve">rekonstruovat interiér budovy </w:t>
      </w:r>
      <w:r>
        <w:t>s č. p. 50 – 4x</w:t>
      </w:r>
      <w:r w:rsidRPr="00C455F6">
        <w:t xml:space="preserve"> (z toho 1x</w:t>
      </w:r>
      <w:r>
        <w:t xml:space="preserve"> uvedena</w:t>
      </w:r>
      <w:r w:rsidRPr="00C455F6">
        <w:t xml:space="preserve"> výmalba a sanace schodiště)</w:t>
      </w:r>
    </w:p>
    <w:p w14:paraId="66658181" w14:textId="5FE278F4" w:rsidR="00C455F6" w:rsidRDefault="00293C21">
      <w:pPr>
        <w:pStyle w:val="Odstavecseseznamem"/>
        <w:numPr>
          <w:ilvl w:val="1"/>
          <w:numId w:val="4"/>
        </w:numPr>
        <w:spacing w:before="120" w:after="60"/>
        <w:ind w:left="850" w:hanging="357"/>
        <w:contextualSpacing w:val="0"/>
        <w:jc w:val="both"/>
      </w:pPr>
      <w:r w:rsidRPr="00293C21">
        <w:t>všechny budovy obce jsou ve špatném stavu</w:t>
      </w:r>
      <w:r w:rsidR="00C455F6">
        <w:t xml:space="preserve"> – </w:t>
      </w:r>
      <w:r>
        <w:t>1</w:t>
      </w:r>
      <w:r w:rsidR="00C455F6">
        <w:t>x</w:t>
      </w:r>
    </w:p>
    <w:p w14:paraId="5F2627E0" w14:textId="69483547" w:rsidR="00C455F6" w:rsidRDefault="00293C21">
      <w:pPr>
        <w:pStyle w:val="Odstavecseseznamem"/>
        <w:numPr>
          <w:ilvl w:val="1"/>
          <w:numId w:val="4"/>
        </w:numPr>
        <w:spacing w:before="60" w:after="60"/>
        <w:ind w:left="850" w:hanging="357"/>
        <w:contextualSpacing w:val="0"/>
        <w:jc w:val="both"/>
      </w:pPr>
      <w:r w:rsidRPr="00293C21">
        <w:t>rekonstrukce</w:t>
      </w:r>
      <w:r>
        <w:t xml:space="preserve"> budovy</w:t>
      </w:r>
      <w:r w:rsidRPr="00293C21">
        <w:t xml:space="preserve"> márnice</w:t>
      </w:r>
      <w:r w:rsidR="00C455F6">
        <w:t xml:space="preserve"> – </w:t>
      </w:r>
      <w:r>
        <w:t>1</w:t>
      </w:r>
      <w:r w:rsidR="00C455F6">
        <w:t>x</w:t>
      </w:r>
    </w:p>
    <w:p w14:paraId="52B1AA42" w14:textId="40A1000C" w:rsidR="00C455F6" w:rsidRDefault="00293C21">
      <w:pPr>
        <w:pStyle w:val="Odstavecseseznamem"/>
        <w:numPr>
          <w:ilvl w:val="1"/>
          <w:numId w:val="4"/>
        </w:numPr>
        <w:spacing w:before="60" w:after="60"/>
        <w:ind w:left="850" w:hanging="357"/>
        <w:contextualSpacing w:val="0"/>
        <w:jc w:val="both"/>
      </w:pPr>
      <w:r w:rsidRPr="00293C21">
        <w:t>oprava interiéru kostela</w:t>
      </w:r>
      <w:r w:rsidR="00C455F6">
        <w:t xml:space="preserve"> – 1x</w:t>
      </w:r>
    </w:p>
    <w:p w14:paraId="5F6AF1F8" w14:textId="77777777" w:rsidR="00D030F8" w:rsidRDefault="00D030F8">
      <w:pPr>
        <w:pStyle w:val="Odstavecseseznamem"/>
        <w:numPr>
          <w:ilvl w:val="0"/>
          <w:numId w:val="4"/>
        </w:numPr>
        <w:spacing w:before="240" w:after="60"/>
        <w:ind w:left="426" w:hanging="357"/>
        <w:contextualSpacing w:val="0"/>
        <w:jc w:val="both"/>
        <w:rPr>
          <w:b/>
          <w:bCs/>
        </w:rPr>
      </w:pPr>
      <w:r>
        <w:rPr>
          <w:b/>
          <w:bCs/>
        </w:rPr>
        <w:br w:type="page"/>
      </w:r>
    </w:p>
    <w:p w14:paraId="608C1BED" w14:textId="63982908" w:rsidR="00600078" w:rsidRDefault="00600078">
      <w:pPr>
        <w:pStyle w:val="Odstavecseseznamem"/>
        <w:numPr>
          <w:ilvl w:val="0"/>
          <w:numId w:val="4"/>
        </w:numPr>
        <w:spacing w:before="240" w:after="60"/>
        <w:ind w:left="426" w:hanging="357"/>
        <w:contextualSpacing w:val="0"/>
        <w:jc w:val="both"/>
      </w:pPr>
      <w:r w:rsidRPr="00E57E8E">
        <w:rPr>
          <w:b/>
          <w:bCs/>
        </w:rPr>
        <w:lastRenderedPageBreak/>
        <w:t xml:space="preserve">Souvislost </w:t>
      </w:r>
      <w:r>
        <w:rPr>
          <w:b/>
          <w:bCs/>
        </w:rPr>
        <w:t>s vybaveností obce</w:t>
      </w:r>
      <w:r>
        <w:t xml:space="preserve"> – 9x</w:t>
      </w:r>
    </w:p>
    <w:p w14:paraId="7A184835" w14:textId="5C65F5A2" w:rsidR="00600078" w:rsidRDefault="00600078">
      <w:pPr>
        <w:pStyle w:val="Odstavecseseznamem"/>
        <w:numPr>
          <w:ilvl w:val="1"/>
          <w:numId w:val="4"/>
        </w:numPr>
        <w:spacing w:before="60" w:after="60"/>
        <w:ind w:left="850" w:hanging="357"/>
        <w:contextualSpacing w:val="0"/>
        <w:jc w:val="both"/>
      </w:pPr>
      <w:r w:rsidRPr="00600078">
        <w:t>souvislost s obecní hospodou</w:t>
      </w:r>
      <w:r>
        <w:t xml:space="preserve"> – </w:t>
      </w:r>
      <w:r w:rsidR="0002559B">
        <w:t>3</w:t>
      </w:r>
      <w:r>
        <w:t>x, z toho:</w:t>
      </w:r>
    </w:p>
    <w:p w14:paraId="109715CA" w14:textId="39E6F829" w:rsidR="00600078" w:rsidRDefault="00600078">
      <w:pPr>
        <w:pStyle w:val="Odstavecseseznamem"/>
        <w:numPr>
          <w:ilvl w:val="2"/>
          <w:numId w:val="4"/>
        </w:numPr>
        <w:spacing w:before="60" w:after="60"/>
        <w:ind w:left="1276"/>
        <w:contextualSpacing w:val="0"/>
        <w:jc w:val="both"/>
      </w:pPr>
      <w:r w:rsidRPr="00600078">
        <w:t>obecní hospoda na úrovni</w:t>
      </w:r>
      <w:r>
        <w:t xml:space="preserve"> – 1x</w:t>
      </w:r>
    </w:p>
    <w:p w14:paraId="6CCAFF0E" w14:textId="09D58636" w:rsidR="0002559B" w:rsidRDefault="0002559B">
      <w:pPr>
        <w:pStyle w:val="Odstavecseseznamem"/>
        <w:numPr>
          <w:ilvl w:val="2"/>
          <w:numId w:val="4"/>
        </w:numPr>
        <w:spacing w:before="60" w:after="60"/>
        <w:ind w:left="1276"/>
        <w:contextualSpacing w:val="0"/>
        <w:jc w:val="both"/>
      </w:pPr>
      <w:r>
        <w:t>rekonstrukce místní hospody, jakožto jediné společenské budovy v obci – 1x</w:t>
      </w:r>
    </w:p>
    <w:p w14:paraId="0F2B95AA" w14:textId="60C98AAC" w:rsidR="00600078" w:rsidRDefault="00600078">
      <w:pPr>
        <w:pStyle w:val="Odstavecseseznamem"/>
        <w:numPr>
          <w:ilvl w:val="2"/>
          <w:numId w:val="4"/>
        </w:numPr>
        <w:spacing w:before="60" w:after="60"/>
        <w:ind w:left="1276"/>
        <w:contextualSpacing w:val="0"/>
        <w:jc w:val="both"/>
      </w:pPr>
      <w:r w:rsidRPr="00600078">
        <w:t>kvalitní hospoda</w:t>
      </w:r>
      <w:r>
        <w:t xml:space="preserve"> – 1x</w:t>
      </w:r>
    </w:p>
    <w:p w14:paraId="6D1A3E74" w14:textId="0DBB38BE" w:rsidR="00600078" w:rsidRDefault="00600078">
      <w:pPr>
        <w:pStyle w:val="Odstavecseseznamem"/>
        <w:numPr>
          <w:ilvl w:val="1"/>
          <w:numId w:val="4"/>
        </w:numPr>
        <w:spacing w:before="120" w:after="60"/>
        <w:ind w:left="850" w:hanging="357"/>
        <w:contextualSpacing w:val="0"/>
        <w:jc w:val="both"/>
      </w:pPr>
      <w:r>
        <w:t>výstavba pódia na fotbalovém hřišti</w:t>
      </w:r>
      <w:r w:rsidR="0002559B">
        <w:t xml:space="preserve"> – 1x</w:t>
      </w:r>
    </w:p>
    <w:p w14:paraId="22DAD769" w14:textId="40CCBBBF" w:rsidR="00600078" w:rsidRDefault="0002559B">
      <w:pPr>
        <w:pStyle w:val="Odstavecseseznamem"/>
        <w:numPr>
          <w:ilvl w:val="1"/>
          <w:numId w:val="4"/>
        </w:numPr>
        <w:spacing w:before="60" w:after="60"/>
        <w:ind w:left="850" w:hanging="357"/>
        <w:contextualSpacing w:val="0"/>
        <w:jc w:val="both"/>
      </w:pPr>
      <w:r>
        <w:t xml:space="preserve">základní </w:t>
      </w:r>
      <w:r w:rsidR="00600078">
        <w:t>škola a</w:t>
      </w:r>
      <w:r>
        <w:t>le</w:t>
      </w:r>
      <w:r w:rsidR="00600078">
        <w:t>spoň do 4. třídy (klidně spojený 1. a 2. ročník a 3. a 4. ročník)</w:t>
      </w:r>
      <w:r>
        <w:t xml:space="preserve"> – 1x</w:t>
      </w:r>
    </w:p>
    <w:p w14:paraId="4086A6F2" w14:textId="7CEA0C4E" w:rsidR="00600078" w:rsidRDefault="0002559B">
      <w:pPr>
        <w:pStyle w:val="Odstavecseseznamem"/>
        <w:numPr>
          <w:ilvl w:val="1"/>
          <w:numId w:val="4"/>
        </w:numPr>
        <w:spacing w:before="60" w:after="60"/>
        <w:ind w:left="850" w:hanging="357"/>
        <w:contextualSpacing w:val="0"/>
        <w:jc w:val="both"/>
      </w:pPr>
      <w:r>
        <w:t>mateřská škola – 1x</w:t>
      </w:r>
    </w:p>
    <w:p w14:paraId="2F682163" w14:textId="51796195" w:rsidR="00600078" w:rsidRDefault="00600078">
      <w:pPr>
        <w:pStyle w:val="Odstavecseseznamem"/>
        <w:numPr>
          <w:ilvl w:val="1"/>
          <w:numId w:val="4"/>
        </w:numPr>
        <w:spacing w:before="60" w:after="60"/>
        <w:ind w:left="850" w:hanging="357"/>
        <w:contextualSpacing w:val="0"/>
        <w:jc w:val="both"/>
      </w:pPr>
      <w:r>
        <w:t>rekonstrukce společenského sálu</w:t>
      </w:r>
      <w:r w:rsidR="0002559B">
        <w:t xml:space="preserve"> – dle dotyčné osoby </w:t>
      </w:r>
      <w:r>
        <w:t>je na něm znát, že by to už potřeboval</w:t>
      </w:r>
      <w:r w:rsidR="0002559B">
        <w:t xml:space="preserve"> – 1x</w:t>
      </w:r>
    </w:p>
    <w:p w14:paraId="48D5955A" w14:textId="3FEE2D20" w:rsidR="00600078" w:rsidRDefault="00600078">
      <w:pPr>
        <w:pStyle w:val="Odstavecseseznamem"/>
        <w:numPr>
          <w:ilvl w:val="1"/>
          <w:numId w:val="4"/>
        </w:numPr>
        <w:spacing w:before="60" w:after="60"/>
        <w:ind w:left="850" w:hanging="357"/>
        <w:contextualSpacing w:val="0"/>
        <w:jc w:val="both"/>
      </w:pPr>
      <w:r>
        <w:t>prodejna základních potravin pro starší občany, kteří musí pro vše do Trutnova</w:t>
      </w:r>
      <w:r w:rsidR="0002559B">
        <w:t xml:space="preserve"> – 1x</w:t>
      </w:r>
    </w:p>
    <w:p w14:paraId="19DD918B" w14:textId="18496ABD" w:rsidR="00600078" w:rsidRDefault="00600078">
      <w:pPr>
        <w:pStyle w:val="Odstavecseseznamem"/>
        <w:numPr>
          <w:ilvl w:val="1"/>
          <w:numId w:val="4"/>
        </w:numPr>
        <w:spacing w:before="60" w:after="60"/>
        <w:ind w:left="850" w:hanging="357"/>
        <w:contextualSpacing w:val="0"/>
        <w:jc w:val="both"/>
      </w:pPr>
      <w:r>
        <w:t>nákup a instalace nabíjecí stanice pro elektrokola u dětského hřiště</w:t>
      </w:r>
      <w:r w:rsidR="0002559B">
        <w:t xml:space="preserve"> – 1x</w:t>
      </w:r>
    </w:p>
    <w:p w14:paraId="1F71D09E" w14:textId="05B47960" w:rsidR="00355945" w:rsidRDefault="00686706">
      <w:pPr>
        <w:pStyle w:val="Odstavecseseznamem"/>
        <w:numPr>
          <w:ilvl w:val="0"/>
          <w:numId w:val="4"/>
        </w:numPr>
        <w:spacing w:before="240" w:after="60"/>
        <w:ind w:left="426" w:hanging="357"/>
        <w:contextualSpacing w:val="0"/>
        <w:jc w:val="both"/>
      </w:pPr>
      <w:r>
        <w:rPr>
          <w:b/>
          <w:bCs/>
        </w:rPr>
        <w:t>S</w:t>
      </w:r>
      <w:r w:rsidRPr="00686706">
        <w:rPr>
          <w:b/>
          <w:bCs/>
        </w:rPr>
        <w:t>ouvislost s tříděným odpadem</w:t>
      </w:r>
      <w:r w:rsidR="00355945">
        <w:t xml:space="preserve"> – </w:t>
      </w:r>
      <w:r>
        <w:t>7</w:t>
      </w:r>
      <w:r w:rsidR="00355945">
        <w:t>x</w:t>
      </w:r>
      <w:r w:rsidR="000237D1">
        <w:t xml:space="preserve"> (co odrážka níže, to jeden názor):</w:t>
      </w:r>
    </w:p>
    <w:p w14:paraId="4C99BDEE" w14:textId="77777777" w:rsidR="00686706" w:rsidRDefault="00686706">
      <w:pPr>
        <w:pStyle w:val="Odstavecseseznamem"/>
        <w:numPr>
          <w:ilvl w:val="1"/>
          <w:numId w:val="4"/>
        </w:numPr>
        <w:spacing w:before="60" w:after="60"/>
        <w:ind w:left="850" w:hanging="357"/>
        <w:contextualSpacing w:val="0"/>
        <w:jc w:val="both"/>
      </w:pPr>
      <w:r>
        <w:t>dokončení realizace související se svozem odpadků, dodat kontejner na bioodpad</w:t>
      </w:r>
    </w:p>
    <w:p w14:paraId="41182F19" w14:textId="77777777" w:rsidR="00686706" w:rsidRDefault="00686706">
      <w:pPr>
        <w:pStyle w:val="Odstavecseseznamem"/>
        <w:numPr>
          <w:ilvl w:val="1"/>
          <w:numId w:val="4"/>
        </w:numPr>
        <w:spacing w:before="60" w:after="60"/>
        <w:ind w:left="850" w:hanging="357"/>
        <w:contextualSpacing w:val="0"/>
        <w:jc w:val="both"/>
      </w:pPr>
      <w:r>
        <w:t>častější vyvážení tříděného odpadu, přidat popelnice na papír</w:t>
      </w:r>
    </w:p>
    <w:p w14:paraId="57D3B18A" w14:textId="77777777" w:rsidR="00686706" w:rsidRDefault="00686706">
      <w:pPr>
        <w:pStyle w:val="Odstavecseseznamem"/>
        <w:numPr>
          <w:ilvl w:val="1"/>
          <w:numId w:val="4"/>
        </w:numPr>
        <w:spacing w:before="60" w:after="60"/>
        <w:ind w:left="850" w:hanging="357"/>
        <w:contextualSpacing w:val="0"/>
        <w:jc w:val="both"/>
      </w:pPr>
      <w:r>
        <w:t>lepší možnosti třídění odpadu, např. zavedení veřejného kontejneru na papír a kovy</w:t>
      </w:r>
    </w:p>
    <w:p w14:paraId="6F4EE4B4" w14:textId="77777777" w:rsidR="00686706" w:rsidRDefault="00686706">
      <w:pPr>
        <w:pStyle w:val="Odstavecseseznamem"/>
        <w:numPr>
          <w:ilvl w:val="1"/>
          <w:numId w:val="4"/>
        </w:numPr>
        <w:spacing w:before="60" w:after="60"/>
        <w:ind w:left="850" w:hanging="357"/>
        <w:contextualSpacing w:val="0"/>
        <w:jc w:val="both"/>
      </w:pPr>
      <w:r>
        <w:t>nedostatečná síť kontejnerů na třídění</w:t>
      </w:r>
    </w:p>
    <w:p w14:paraId="40A8CAF9" w14:textId="77777777" w:rsidR="00686706" w:rsidRDefault="00686706">
      <w:pPr>
        <w:pStyle w:val="Odstavecseseznamem"/>
        <w:numPr>
          <w:ilvl w:val="1"/>
          <w:numId w:val="4"/>
        </w:numPr>
        <w:spacing w:before="60" w:after="60"/>
        <w:ind w:left="850" w:hanging="357"/>
        <w:contextualSpacing w:val="0"/>
        <w:jc w:val="both"/>
      </w:pPr>
      <w:r>
        <w:t>více kontejnerů na plast</w:t>
      </w:r>
    </w:p>
    <w:p w14:paraId="267F766B" w14:textId="77777777" w:rsidR="00686706" w:rsidRDefault="00686706">
      <w:pPr>
        <w:pStyle w:val="Odstavecseseznamem"/>
        <w:numPr>
          <w:ilvl w:val="1"/>
          <w:numId w:val="4"/>
        </w:numPr>
        <w:spacing w:before="60" w:after="60"/>
        <w:ind w:left="850" w:hanging="357"/>
        <w:contextualSpacing w:val="0"/>
        <w:jc w:val="both"/>
      </w:pPr>
      <w:r>
        <w:t>více kontejnerů na tříděný odpad obecně</w:t>
      </w:r>
    </w:p>
    <w:p w14:paraId="5BD8B4F8" w14:textId="3BD458AD" w:rsidR="00686706" w:rsidRDefault="00686706">
      <w:pPr>
        <w:pStyle w:val="Odstavecseseznamem"/>
        <w:numPr>
          <w:ilvl w:val="1"/>
          <w:numId w:val="4"/>
        </w:numPr>
        <w:spacing w:before="60" w:after="60"/>
        <w:ind w:left="850" w:hanging="357"/>
        <w:contextualSpacing w:val="0"/>
        <w:jc w:val="both"/>
      </w:pPr>
      <w:r>
        <w:t>více nádob na odpad – papír, ole</w:t>
      </w:r>
      <w:r w:rsidR="00504667">
        <w:t>j atd.</w:t>
      </w:r>
    </w:p>
    <w:p w14:paraId="0398168D" w14:textId="41DDB011" w:rsidR="00770BEF" w:rsidRDefault="00770BEF">
      <w:pPr>
        <w:pStyle w:val="Odstavecseseznamem"/>
        <w:numPr>
          <w:ilvl w:val="0"/>
          <w:numId w:val="4"/>
        </w:numPr>
        <w:spacing w:before="240" w:after="60"/>
        <w:ind w:left="426" w:hanging="357"/>
        <w:contextualSpacing w:val="0"/>
        <w:jc w:val="both"/>
      </w:pPr>
      <w:r>
        <w:rPr>
          <w:b/>
          <w:bCs/>
        </w:rPr>
        <w:t>S</w:t>
      </w:r>
      <w:r w:rsidRPr="00686706">
        <w:rPr>
          <w:b/>
          <w:bCs/>
        </w:rPr>
        <w:t>ouvislost s</w:t>
      </w:r>
      <w:r>
        <w:rPr>
          <w:b/>
          <w:bCs/>
        </w:rPr>
        <w:t> autobusovými zastávkami</w:t>
      </w:r>
      <w:r>
        <w:t xml:space="preserve"> – 5x (co odrážka níže, to jeden názor):</w:t>
      </w:r>
    </w:p>
    <w:p w14:paraId="67ABE9DB" w14:textId="792E59A8" w:rsidR="00770BEF" w:rsidRDefault="00770BEF">
      <w:pPr>
        <w:pStyle w:val="Odstavecseseznamem"/>
        <w:numPr>
          <w:ilvl w:val="1"/>
          <w:numId w:val="4"/>
        </w:numPr>
        <w:spacing w:before="60" w:after="60"/>
        <w:ind w:left="850" w:hanging="357"/>
        <w:contextualSpacing w:val="0"/>
        <w:jc w:val="both"/>
      </w:pPr>
      <w:r>
        <w:t>řešit stav autobusových zastávek obecně</w:t>
      </w:r>
    </w:p>
    <w:p w14:paraId="49376F58" w14:textId="3D515EB4" w:rsidR="00770BEF" w:rsidRDefault="00770BEF">
      <w:pPr>
        <w:pStyle w:val="Odstavecseseznamem"/>
        <w:numPr>
          <w:ilvl w:val="1"/>
          <w:numId w:val="4"/>
        </w:numPr>
        <w:spacing w:before="60" w:after="60"/>
        <w:ind w:left="850" w:hanging="357"/>
        <w:contextualSpacing w:val="0"/>
        <w:jc w:val="both"/>
      </w:pPr>
      <w:r>
        <w:t>autobusová zastávka na konečné v Horních Starých Bukách (lavičky, krytá čekárna, zeleň)</w:t>
      </w:r>
    </w:p>
    <w:p w14:paraId="6EB75550" w14:textId="77777777" w:rsidR="00770BEF" w:rsidRDefault="00770BEF">
      <w:pPr>
        <w:pStyle w:val="Odstavecseseznamem"/>
        <w:numPr>
          <w:ilvl w:val="1"/>
          <w:numId w:val="4"/>
        </w:numPr>
        <w:spacing w:before="60" w:after="60"/>
        <w:ind w:left="850" w:hanging="357"/>
        <w:contextualSpacing w:val="0"/>
        <w:jc w:val="both"/>
      </w:pPr>
      <w:r>
        <w:t>rekonstrukce nebo výměna zastávek</w:t>
      </w:r>
    </w:p>
    <w:p w14:paraId="0A50CFCF" w14:textId="77777777" w:rsidR="00770BEF" w:rsidRDefault="00770BEF">
      <w:pPr>
        <w:pStyle w:val="Odstavecseseznamem"/>
        <w:numPr>
          <w:ilvl w:val="1"/>
          <w:numId w:val="4"/>
        </w:numPr>
        <w:spacing w:before="60" w:after="60"/>
        <w:ind w:left="850" w:hanging="357"/>
        <w:contextualSpacing w:val="0"/>
        <w:jc w:val="both"/>
      </w:pPr>
      <w:r>
        <w:t>kultivovat autobusové zastávky, kde dotyčná osoba opět vidí možnost zapojení členů komunity</w:t>
      </w:r>
    </w:p>
    <w:p w14:paraId="4F909939" w14:textId="5940E17C" w:rsidR="00770BEF" w:rsidRDefault="00770BEF">
      <w:pPr>
        <w:pStyle w:val="Odstavecseseznamem"/>
        <w:numPr>
          <w:ilvl w:val="1"/>
          <w:numId w:val="4"/>
        </w:numPr>
        <w:spacing w:before="60" w:after="60"/>
        <w:ind w:left="850" w:hanging="357"/>
        <w:contextualSpacing w:val="0"/>
        <w:jc w:val="both"/>
      </w:pPr>
      <w:r>
        <w:t>natřít zastávky</w:t>
      </w:r>
    </w:p>
    <w:p w14:paraId="7964E766" w14:textId="4E11955B" w:rsidR="003F7015" w:rsidRDefault="003F7015">
      <w:pPr>
        <w:pStyle w:val="Odstavecseseznamem"/>
        <w:numPr>
          <w:ilvl w:val="0"/>
          <w:numId w:val="4"/>
        </w:numPr>
        <w:spacing w:before="240" w:after="60"/>
        <w:ind w:left="426" w:hanging="357"/>
        <w:contextualSpacing w:val="0"/>
        <w:jc w:val="both"/>
      </w:pPr>
      <w:r>
        <w:rPr>
          <w:b/>
          <w:bCs/>
        </w:rPr>
        <w:t>S</w:t>
      </w:r>
      <w:r w:rsidRPr="00686706">
        <w:rPr>
          <w:b/>
          <w:bCs/>
        </w:rPr>
        <w:t>ouvislost s</w:t>
      </w:r>
      <w:r>
        <w:rPr>
          <w:b/>
          <w:bCs/>
        </w:rPr>
        <w:t> cyklostezkou</w:t>
      </w:r>
      <w:r>
        <w:t xml:space="preserve"> – 4x</w:t>
      </w:r>
    </w:p>
    <w:p w14:paraId="2F0E1E3B" w14:textId="7F4996D1" w:rsidR="003F7015" w:rsidRDefault="003F7015">
      <w:pPr>
        <w:pStyle w:val="Odstavecseseznamem"/>
        <w:numPr>
          <w:ilvl w:val="1"/>
          <w:numId w:val="4"/>
        </w:numPr>
        <w:spacing w:before="60" w:after="60"/>
        <w:ind w:left="850" w:hanging="357"/>
        <w:contextualSpacing w:val="0"/>
        <w:jc w:val="both"/>
      </w:pPr>
      <w:r w:rsidRPr="003F7015">
        <w:t>cyklostezka do Trutnova</w:t>
      </w:r>
      <w:r>
        <w:t xml:space="preserve"> – 2x</w:t>
      </w:r>
    </w:p>
    <w:p w14:paraId="4BAA8E22" w14:textId="6A542513" w:rsidR="003F7015" w:rsidRDefault="003F7015">
      <w:pPr>
        <w:pStyle w:val="Odstavecseseznamem"/>
        <w:numPr>
          <w:ilvl w:val="1"/>
          <w:numId w:val="4"/>
        </w:numPr>
        <w:spacing w:before="60" w:after="60"/>
        <w:ind w:left="850" w:hanging="357"/>
        <w:contextualSpacing w:val="0"/>
        <w:jc w:val="both"/>
      </w:pPr>
      <w:r w:rsidRPr="003F7015">
        <w:t>cyklostezka směr Dolce</w:t>
      </w:r>
      <w:r>
        <w:t xml:space="preserve"> – 1x</w:t>
      </w:r>
    </w:p>
    <w:p w14:paraId="7B04A73A" w14:textId="3839D6D4" w:rsidR="003F7015" w:rsidRDefault="003F7015">
      <w:pPr>
        <w:pStyle w:val="Odstavecseseznamem"/>
        <w:numPr>
          <w:ilvl w:val="1"/>
          <w:numId w:val="4"/>
        </w:numPr>
        <w:spacing w:before="60" w:after="60"/>
        <w:ind w:left="850" w:hanging="357"/>
        <w:contextualSpacing w:val="0"/>
        <w:jc w:val="both"/>
      </w:pPr>
      <w:r w:rsidRPr="003F7015">
        <w:t>propojit cyklostezkou Dolce, Severku, Staré Buky</w:t>
      </w:r>
      <w:r>
        <w:t xml:space="preserve"> – 1x</w:t>
      </w:r>
    </w:p>
    <w:p w14:paraId="58B799E3" w14:textId="234CB4B6" w:rsidR="000978B1" w:rsidRDefault="000978B1">
      <w:pPr>
        <w:pStyle w:val="Odstavecseseznamem"/>
        <w:numPr>
          <w:ilvl w:val="0"/>
          <w:numId w:val="4"/>
        </w:numPr>
        <w:spacing w:before="240" w:after="60"/>
        <w:ind w:left="426" w:hanging="357"/>
        <w:contextualSpacing w:val="0"/>
        <w:jc w:val="both"/>
      </w:pPr>
      <w:r>
        <w:rPr>
          <w:b/>
          <w:bCs/>
        </w:rPr>
        <w:t>S</w:t>
      </w:r>
      <w:r w:rsidRPr="00686706">
        <w:rPr>
          <w:b/>
          <w:bCs/>
        </w:rPr>
        <w:t>ouvislost s</w:t>
      </w:r>
      <w:r>
        <w:rPr>
          <w:b/>
          <w:bCs/>
        </w:rPr>
        <w:t> veřejnou dopravou</w:t>
      </w:r>
      <w:r>
        <w:t xml:space="preserve"> – 3x (co odrážka níže, to jeden názor):</w:t>
      </w:r>
    </w:p>
    <w:p w14:paraId="1697855D" w14:textId="4350447B" w:rsidR="000978B1" w:rsidRDefault="000978B1">
      <w:pPr>
        <w:pStyle w:val="Odstavecseseznamem"/>
        <w:numPr>
          <w:ilvl w:val="1"/>
          <w:numId w:val="4"/>
        </w:numPr>
        <w:spacing w:before="60" w:after="60"/>
        <w:ind w:left="850" w:hanging="357"/>
        <w:contextualSpacing w:val="0"/>
        <w:jc w:val="both"/>
      </w:pPr>
      <w:r>
        <w:t>zajištění</w:t>
      </w:r>
      <w:r w:rsidRPr="000978B1">
        <w:t xml:space="preserve"> dopravy o víkendech</w:t>
      </w:r>
    </w:p>
    <w:p w14:paraId="4DE409D7" w14:textId="5B9FE6AD" w:rsidR="000978B1" w:rsidRDefault="000978B1">
      <w:pPr>
        <w:pStyle w:val="Odstavecseseznamem"/>
        <w:numPr>
          <w:ilvl w:val="1"/>
          <w:numId w:val="4"/>
        </w:numPr>
        <w:spacing w:before="60" w:after="60"/>
        <w:ind w:left="850" w:hanging="357"/>
        <w:contextualSpacing w:val="0"/>
        <w:jc w:val="both"/>
      </w:pPr>
      <w:r w:rsidRPr="000978B1">
        <w:t>žádná veřejná doprava v Dolníkách</w:t>
      </w:r>
    </w:p>
    <w:p w14:paraId="405A5AC4" w14:textId="648D8341" w:rsidR="000978B1" w:rsidRDefault="000978B1">
      <w:pPr>
        <w:pStyle w:val="Odstavecseseznamem"/>
        <w:numPr>
          <w:ilvl w:val="1"/>
          <w:numId w:val="4"/>
        </w:numPr>
        <w:spacing w:before="60" w:after="60"/>
        <w:ind w:left="850" w:hanging="357"/>
        <w:contextualSpacing w:val="0"/>
        <w:jc w:val="both"/>
      </w:pPr>
      <w:r>
        <w:t>dle dotyčné osoby</w:t>
      </w:r>
      <w:r w:rsidRPr="000978B1">
        <w:t xml:space="preserve"> by bylo dobré lobbovat za alespoň 1-2 víkendové spoje do obce denně</w:t>
      </w:r>
    </w:p>
    <w:p w14:paraId="7E731CEF" w14:textId="77777777" w:rsidR="00D030F8" w:rsidRDefault="00D030F8">
      <w:pPr>
        <w:pStyle w:val="Odstavecseseznamem"/>
        <w:numPr>
          <w:ilvl w:val="0"/>
          <w:numId w:val="4"/>
        </w:numPr>
        <w:spacing w:before="240" w:after="60"/>
        <w:ind w:left="426" w:hanging="357"/>
        <w:contextualSpacing w:val="0"/>
        <w:jc w:val="both"/>
        <w:rPr>
          <w:b/>
          <w:bCs/>
        </w:rPr>
      </w:pPr>
      <w:r>
        <w:rPr>
          <w:b/>
          <w:bCs/>
        </w:rPr>
        <w:br w:type="page"/>
      </w:r>
    </w:p>
    <w:p w14:paraId="48644013" w14:textId="189A9C83" w:rsidR="00355945" w:rsidRDefault="00355945">
      <w:pPr>
        <w:pStyle w:val="Odstavecseseznamem"/>
        <w:numPr>
          <w:ilvl w:val="0"/>
          <w:numId w:val="4"/>
        </w:numPr>
        <w:spacing w:before="240" w:after="60"/>
        <w:ind w:left="426" w:hanging="357"/>
        <w:contextualSpacing w:val="0"/>
        <w:jc w:val="both"/>
      </w:pPr>
      <w:r w:rsidRPr="00360894">
        <w:rPr>
          <w:b/>
          <w:bCs/>
        </w:rPr>
        <w:lastRenderedPageBreak/>
        <w:t>Další vyjádření a komentáře</w:t>
      </w:r>
      <w:r>
        <w:t xml:space="preserve"> (co odrážka níže, to jeden názor):</w:t>
      </w:r>
    </w:p>
    <w:p w14:paraId="7292DC9B" w14:textId="370B789B" w:rsidR="00FE261C" w:rsidRDefault="0080741D">
      <w:pPr>
        <w:pStyle w:val="Odstavecseseznamem"/>
        <w:numPr>
          <w:ilvl w:val="1"/>
          <w:numId w:val="4"/>
        </w:numPr>
        <w:spacing w:after="60"/>
        <w:ind w:left="850" w:hanging="357"/>
        <w:contextualSpacing w:val="0"/>
        <w:jc w:val="both"/>
      </w:pPr>
      <w:r w:rsidRPr="0080741D">
        <w:t xml:space="preserve">dlouhá doba změny územního plánu </w:t>
      </w:r>
      <w:r>
        <w:t>–</w:t>
      </w:r>
      <w:r w:rsidRPr="0080741D">
        <w:t xml:space="preserve"> 2 roky </w:t>
      </w:r>
      <w:r>
        <w:t xml:space="preserve">dotyční </w:t>
      </w:r>
      <w:r w:rsidRPr="0080741D">
        <w:t>ček</w:t>
      </w:r>
      <w:r>
        <w:t>ají</w:t>
      </w:r>
      <w:r w:rsidRPr="0080741D">
        <w:t xml:space="preserve"> na převedení pozemku na zahradu</w:t>
      </w:r>
    </w:p>
    <w:p w14:paraId="072614C2" w14:textId="3FEC547D" w:rsidR="00FE261C" w:rsidRDefault="0080741D">
      <w:pPr>
        <w:pStyle w:val="Odstavecseseznamem"/>
        <w:numPr>
          <w:ilvl w:val="1"/>
          <w:numId w:val="4"/>
        </w:numPr>
        <w:spacing w:after="60"/>
        <w:ind w:left="850" w:hanging="357"/>
        <w:contextualSpacing w:val="0"/>
        <w:jc w:val="both"/>
      </w:pPr>
      <w:r w:rsidRPr="0080741D">
        <w:t>zajistit na menší úvazek praktického lékaře</w:t>
      </w:r>
    </w:p>
    <w:p w14:paraId="5AF7000F" w14:textId="66AF526A" w:rsidR="00FE261C" w:rsidRDefault="0080741D">
      <w:pPr>
        <w:pStyle w:val="Odstavecseseznamem"/>
        <w:numPr>
          <w:ilvl w:val="1"/>
          <w:numId w:val="4"/>
        </w:numPr>
        <w:spacing w:after="60"/>
        <w:ind w:left="850" w:hanging="357"/>
        <w:contextualSpacing w:val="0"/>
        <w:jc w:val="both"/>
      </w:pPr>
      <w:r w:rsidRPr="0080741D">
        <w:t>vrátka u kostela</w:t>
      </w:r>
    </w:p>
    <w:p w14:paraId="76958E31" w14:textId="7548A39D" w:rsidR="00FE261C" w:rsidRDefault="0080741D">
      <w:pPr>
        <w:pStyle w:val="Odstavecseseznamem"/>
        <w:numPr>
          <w:ilvl w:val="1"/>
          <w:numId w:val="4"/>
        </w:numPr>
        <w:spacing w:after="60"/>
        <w:ind w:left="850" w:hanging="357"/>
        <w:contextualSpacing w:val="0"/>
        <w:jc w:val="both"/>
      </w:pPr>
      <w:r w:rsidRPr="0080741D">
        <w:t xml:space="preserve">omezit veřejné </w:t>
      </w:r>
      <w:r>
        <w:t>„</w:t>
      </w:r>
      <w:r w:rsidRPr="0080741D">
        <w:t>plky</w:t>
      </w:r>
      <w:r>
        <w:t>“</w:t>
      </w:r>
      <w:r w:rsidRPr="0080741D">
        <w:t xml:space="preserve"> na </w:t>
      </w:r>
      <w:r>
        <w:t>F</w:t>
      </w:r>
      <w:r w:rsidRPr="0080741D">
        <w:t>acebooku a k tomu nesmyslné vyjádření ze strany obce</w:t>
      </w:r>
    </w:p>
    <w:p w14:paraId="7EB9C5CD" w14:textId="4771813F" w:rsidR="00F11E78" w:rsidRDefault="00F11E78">
      <w:pPr>
        <w:pStyle w:val="Odstavecseseznamem"/>
        <w:numPr>
          <w:ilvl w:val="1"/>
          <w:numId w:val="4"/>
        </w:numPr>
        <w:spacing w:after="60"/>
        <w:ind w:left="850" w:hanging="357"/>
        <w:contextualSpacing w:val="0"/>
        <w:jc w:val="both"/>
      </w:pPr>
      <w:r>
        <w:t xml:space="preserve">dotyčná osoba to nechá </w:t>
      </w:r>
      <w:r w:rsidRPr="00F11E78">
        <w:t>na vedení obce</w:t>
      </w:r>
    </w:p>
    <w:p w14:paraId="687815D1" w14:textId="44FD6496" w:rsidR="00F11E78" w:rsidRDefault="00F11E78">
      <w:pPr>
        <w:pStyle w:val="Odstavecseseznamem"/>
        <w:numPr>
          <w:ilvl w:val="1"/>
          <w:numId w:val="4"/>
        </w:numPr>
        <w:spacing w:after="60"/>
        <w:ind w:left="850" w:hanging="357"/>
        <w:contextualSpacing w:val="0"/>
        <w:jc w:val="both"/>
      </w:pPr>
      <w:r>
        <w:t>dotyčná osoba d</w:t>
      </w:r>
      <w:r w:rsidRPr="00F11E78">
        <w:t>ěkuj</w:t>
      </w:r>
      <w:r>
        <w:t>e</w:t>
      </w:r>
      <w:r w:rsidRPr="00F11E78">
        <w:t xml:space="preserve"> panu starostovi a zastupitelům za aktivní a odpovědný přístup a informování občanů</w:t>
      </w:r>
    </w:p>
    <w:p w14:paraId="4808B944" w14:textId="7E8B388D" w:rsidR="00F11E78" w:rsidRDefault="00F11E78">
      <w:pPr>
        <w:pStyle w:val="Odstavecseseznamem"/>
        <w:numPr>
          <w:ilvl w:val="1"/>
          <w:numId w:val="4"/>
        </w:numPr>
        <w:spacing w:after="60"/>
        <w:ind w:left="850" w:hanging="357"/>
        <w:contextualSpacing w:val="0"/>
        <w:jc w:val="both"/>
      </w:pPr>
      <w:r>
        <w:t>dotyčná osoba p</w:t>
      </w:r>
      <w:r w:rsidRPr="00F11E78">
        <w:t>ředně d</w:t>
      </w:r>
      <w:r>
        <w:t>ě</w:t>
      </w:r>
      <w:r w:rsidRPr="00F11E78">
        <w:t>kuj</w:t>
      </w:r>
      <w:r>
        <w:t>e</w:t>
      </w:r>
      <w:r w:rsidRPr="00F11E78">
        <w:t xml:space="preserve"> za tento dotazník</w:t>
      </w:r>
      <w:r>
        <w:t>,</w:t>
      </w:r>
      <w:r w:rsidRPr="00F11E78">
        <w:t xml:space="preserve"> </w:t>
      </w:r>
      <w:r>
        <w:t>j</w:t>
      </w:r>
      <w:r w:rsidRPr="00F11E78">
        <w:t>e příjemné mít možnost vyjádřit svůj názor</w:t>
      </w:r>
      <w:r>
        <w:t>; dotyčná osoba se r</w:t>
      </w:r>
      <w:r w:rsidRPr="00F11E78">
        <w:t>áda bud</w:t>
      </w:r>
      <w:r>
        <w:t>e</w:t>
      </w:r>
      <w:r w:rsidRPr="00F11E78">
        <w:t xml:space="preserve"> podílet na čemkoli</w:t>
      </w:r>
      <w:r>
        <w:t>, co povede</w:t>
      </w:r>
      <w:r w:rsidRPr="00F11E78">
        <w:t xml:space="preserve"> k rozvoji obce, dobrý</w:t>
      </w:r>
      <w:r>
        <w:t xml:space="preserve">m </w:t>
      </w:r>
      <w:r w:rsidRPr="00F11E78">
        <w:t>mezilidský</w:t>
      </w:r>
      <w:r>
        <w:t>m</w:t>
      </w:r>
      <w:r w:rsidRPr="00F11E78">
        <w:t xml:space="preserve"> vztahů</w:t>
      </w:r>
      <w:r>
        <w:t>m</w:t>
      </w:r>
      <w:r w:rsidRPr="00F11E78">
        <w:t>, zlepšování životního prostředí</w:t>
      </w:r>
    </w:p>
    <w:p w14:paraId="3E0575D4" w14:textId="709E409D" w:rsidR="00F11E78" w:rsidRDefault="00F11E78">
      <w:pPr>
        <w:pStyle w:val="Odstavecseseznamem"/>
        <w:numPr>
          <w:ilvl w:val="1"/>
          <w:numId w:val="4"/>
        </w:numPr>
        <w:spacing w:after="60"/>
        <w:ind w:left="850" w:hanging="357"/>
        <w:contextualSpacing w:val="0"/>
        <w:jc w:val="both"/>
      </w:pPr>
      <w:r w:rsidRPr="00F11E78">
        <w:t>"</w:t>
      </w:r>
      <w:r>
        <w:t>?</w:t>
      </w:r>
      <w:r w:rsidRPr="00F11E78">
        <w:t>"</w:t>
      </w:r>
    </w:p>
    <w:p w14:paraId="1AA26630" w14:textId="5E630760" w:rsidR="00F11E78" w:rsidRDefault="00F11E78">
      <w:pPr>
        <w:pStyle w:val="Odstavecseseznamem"/>
        <w:numPr>
          <w:ilvl w:val="1"/>
          <w:numId w:val="4"/>
        </w:numPr>
        <w:spacing w:after="60"/>
        <w:ind w:left="850" w:hanging="357"/>
        <w:contextualSpacing w:val="0"/>
        <w:jc w:val="both"/>
      </w:pPr>
      <w:r w:rsidRPr="00F11E78">
        <w:t>"-"</w:t>
      </w:r>
    </w:p>
    <w:p w14:paraId="6B0D32C9" w14:textId="16F712CC" w:rsidR="002F29B7" w:rsidRDefault="002F29B7" w:rsidP="008147E6">
      <w:pPr>
        <w:spacing w:after="160" w:line="259" w:lineRule="auto"/>
        <w:jc w:val="both"/>
      </w:pPr>
    </w:p>
    <w:p w14:paraId="73AA5A7F" w14:textId="77777777" w:rsidR="00461ECF" w:rsidRDefault="00461ECF" w:rsidP="00461ECF">
      <w:pPr>
        <w:pStyle w:val="Nadpis2"/>
      </w:pPr>
      <w:bookmarkStart w:id="512" w:name="_Toc464333909"/>
      <w:bookmarkStart w:id="513" w:name="_Toc480752679"/>
      <w:bookmarkStart w:id="514" w:name="_Toc65790892"/>
      <w:bookmarkStart w:id="515" w:name="_Toc120652163"/>
      <w:r>
        <w:t>2.3 Vyhodnocení veřejného projednávání</w:t>
      </w:r>
      <w:bookmarkEnd w:id="512"/>
      <w:bookmarkEnd w:id="513"/>
      <w:bookmarkEnd w:id="514"/>
      <w:bookmarkEnd w:id="515"/>
    </w:p>
    <w:p w14:paraId="6DA71BB3" w14:textId="111C9D92" w:rsidR="00707226" w:rsidRPr="00707226" w:rsidRDefault="00707226" w:rsidP="00707226">
      <w:pPr>
        <w:spacing w:after="160" w:line="259" w:lineRule="auto"/>
        <w:jc w:val="both"/>
        <w:rPr>
          <w:rFonts w:ascii="Calibri" w:eastAsia="Calibri" w:hAnsi="Calibri" w:cs="Times New Roman"/>
        </w:rPr>
      </w:pPr>
      <w:r w:rsidRPr="00707226">
        <w:rPr>
          <w:rFonts w:ascii="Calibri" w:eastAsia="Calibri" w:hAnsi="Calibri" w:cs="Times New Roman"/>
        </w:rPr>
        <w:t>Veřejné projednávání se uskutečnilo v</w:t>
      </w:r>
      <w:r>
        <w:rPr>
          <w:rFonts w:ascii="Calibri" w:eastAsia="Calibri" w:hAnsi="Calibri" w:cs="Times New Roman"/>
        </w:rPr>
        <w:t> sále hospody U Smrku ve Starých Bukách dne</w:t>
      </w:r>
      <w:r w:rsidRPr="00707226">
        <w:rPr>
          <w:rFonts w:ascii="Calibri" w:eastAsia="Calibri" w:hAnsi="Calibri" w:cs="Times New Roman"/>
        </w:rPr>
        <w:t xml:space="preserve"> 2</w:t>
      </w:r>
      <w:r>
        <w:rPr>
          <w:rFonts w:ascii="Calibri" w:eastAsia="Calibri" w:hAnsi="Calibri" w:cs="Times New Roman"/>
        </w:rPr>
        <w:t>4</w:t>
      </w:r>
      <w:r w:rsidRPr="00707226">
        <w:rPr>
          <w:rFonts w:ascii="Calibri" w:eastAsia="Calibri" w:hAnsi="Calibri" w:cs="Times New Roman"/>
        </w:rPr>
        <w:t xml:space="preserve">. </w:t>
      </w:r>
      <w:r>
        <w:rPr>
          <w:rFonts w:ascii="Calibri" w:eastAsia="Calibri" w:hAnsi="Calibri" w:cs="Times New Roman"/>
        </w:rPr>
        <w:t>6</w:t>
      </w:r>
      <w:r w:rsidRPr="00707226">
        <w:rPr>
          <w:rFonts w:ascii="Calibri" w:eastAsia="Calibri" w:hAnsi="Calibri" w:cs="Times New Roman"/>
        </w:rPr>
        <w:t>. 20</w:t>
      </w:r>
      <w:r>
        <w:rPr>
          <w:rFonts w:ascii="Calibri" w:eastAsia="Calibri" w:hAnsi="Calibri" w:cs="Times New Roman"/>
        </w:rPr>
        <w:t>22</w:t>
      </w:r>
      <w:r w:rsidRPr="00707226">
        <w:rPr>
          <w:rFonts w:ascii="Calibri" w:eastAsia="Calibri" w:hAnsi="Calibri" w:cs="Times New Roman"/>
        </w:rPr>
        <w:t xml:space="preserve"> od 18:00</w:t>
      </w:r>
      <w:r w:rsidR="00CA5A44">
        <w:rPr>
          <w:rFonts w:ascii="Calibri" w:eastAsia="Calibri" w:hAnsi="Calibri" w:cs="Times New Roman"/>
        </w:rPr>
        <w:t xml:space="preserve"> hodin</w:t>
      </w:r>
      <w:r w:rsidRPr="00707226">
        <w:rPr>
          <w:rFonts w:ascii="Calibri" w:eastAsia="Calibri" w:hAnsi="Calibri" w:cs="Times New Roman"/>
        </w:rPr>
        <w:t xml:space="preserve">. Byla projednávána následující témata: </w:t>
      </w:r>
      <w:r w:rsidR="00CA5A44" w:rsidRPr="00707226">
        <w:rPr>
          <w:rFonts w:ascii="Calibri" w:eastAsia="Calibri" w:hAnsi="Calibri" w:cs="Times New Roman"/>
        </w:rPr>
        <w:t>INFRASTRUKTURA</w:t>
      </w:r>
      <w:r w:rsidR="00CA5A44">
        <w:rPr>
          <w:rFonts w:ascii="Calibri" w:eastAsia="Calibri" w:hAnsi="Calibri" w:cs="Times New Roman"/>
        </w:rPr>
        <w:t>,</w:t>
      </w:r>
      <w:r w:rsidR="00CA5A44" w:rsidRPr="00707226">
        <w:rPr>
          <w:rFonts w:ascii="Calibri" w:eastAsia="Calibri" w:hAnsi="Calibri" w:cs="Times New Roman"/>
        </w:rPr>
        <w:t xml:space="preserve"> </w:t>
      </w:r>
      <w:r w:rsidRPr="00707226">
        <w:rPr>
          <w:rFonts w:ascii="Calibri" w:eastAsia="Calibri" w:hAnsi="Calibri" w:cs="Times New Roman"/>
        </w:rPr>
        <w:t xml:space="preserve">VYBAVENOST </w:t>
      </w:r>
      <w:r w:rsidR="00CA5A44">
        <w:rPr>
          <w:rFonts w:ascii="Calibri" w:eastAsia="Calibri" w:hAnsi="Calibri" w:cs="Times New Roman"/>
        </w:rPr>
        <w:t xml:space="preserve">A PROSTŘEDÍ OBCE a </w:t>
      </w:r>
      <w:r w:rsidRPr="00707226">
        <w:rPr>
          <w:rFonts w:ascii="Calibri" w:eastAsia="Calibri" w:hAnsi="Calibri" w:cs="Times New Roman"/>
        </w:rPr>
        <w:t>VOLNÝ ČAS.</w:t>
      </w:r>
    </w:p>
    <w:p w14:paraId="3EDE9232" w14:textId="046061E0" w:rsidR="00707226" w:rsidRPr="00707226" w:rsidRDefault="00707226" w:rsidP="00707226">
      <w:pPr>
        <w:spacing w:after="160" w:line="259" w:lineRule="auto"/>
        <w:jc w:val="both"/>
        <w:rPr>
          <w:rFonts w:ascii="Calibri" w:eastAsia="Calibri" w:hAnsi="Calibri" w:cs="Times New Roman"/>
        </w:rPr>
      </w:pPr>
      <w:r w:rsidRPr="00707226">
        <w:rPr>
          <w:rFonts w:ascii="Calibri" w:eastAsia="Calibri" w:hAnsi="Calibri" w:cs="Times New Roman"/>
        </w:rPr>
        <w:t xml:space="preserve">Projednávání se zúčastnil starosta </w:t>
      </w:r>
      <w:r w:rsidR="004E41E2">
        <w:rPr>
          <w:rFonts w:ascii="Calibri" w:eastAsia="Calibri" w:hAnsi="Calibri" w:cs="Times New Roman"/>
        </w:rPr>
        <w:t xml:space="preserve">obce </w:t>
      </w:r>
      <w:r w:rsidRPr="00707226">
        <w:rPr>
          <w:rFonts w:ascii="Calibri" w:eastAsia="Calibri" w:hAnsi="Calibri" w:cs="Times New Roman"/>
        </w:rPr>
        <w:t xml:space="preserve">(zástupce </w:t>
      </w:r>
      <w:r w:rsidR="004E41E2">
        <w:rPr>
          <w:rFonts w:ascii="Calibri" w:eastAsia="Calibri" w:hAnsi="Calibri" w:cs="Times New Roman"/>
        </w:rPr>
        <w:t>obce Staré Buky</w:t>
      </w:r>
      <w:r w:rsidR="004E41E2" w:rsidRPr="00707226">
        <w:rPr>
          <w:rFonts w:ascii="Calibri" w:eastAsia="Calibri" w:hAnsi="Calibri" w:cs="Times New Roman"/>
        </w:rPr>
        <w:t xml:space="preserve"> </w:t>
      </w:r>
      <w:r w:rsidRPr="00707226">
        <w:rPr>
          <w:rFonts w:ascii="Calibri" w:eastAsia="Calibri" w:hAnsi="Calibri" w:cs="Times New Roman"/>
        </w:rPr>
        <w:t xml:space="preserve">jako garanta projektu), </w:t>
      </w:r>
      <w:r w:rsidRPr="00707226">
        <w:rPr>
          <w:rFonts w:ascii="Calibri" w:eastAsia="Calibri" w:hAnsi="Calibri" w:cs="Times New Roman"/>
        </w:rPr>
        <w:br/>
        <w:t xml:space="preserve">Ing. Michal Hátle a Mgr. Karel Turek (zástupci společnosti DRAG s.r.o., zpracovatelé projektu), občané </w:t>
      </w:r>
      <w:r w:rsidR="004E41E2">
        <w:rPr>
          <w:rFonts w:ascii="Calibri" w:eastAsia="Calibri" w:hAnsi="Calibri" w:cs="Times New Roman"/>
        </w:rPr>
        <w:t>obce</w:t>
      </w:r>
      <w:r w:rsidRPr="00707226">
        <w:rPr>
          <w:rFonts w:ascii="Calibri" w:eastAsia="Calibri" w:hAnsi="Calibri" w:cs="Times New Roman"/>
        </w:rPr>
        <w:t xml:space="preserve"> a zástupci organizací působících v </w:t>
      </w:r>
      <w:r w:rsidR="004E41E2">
        <w:rPr>
          <w:rFonts w:ascii="Calibri" w:eastAsia="Calibri" w:hAnsi="Calibri" w:cs="Times New Roman"/>
        </w:rPr>
        <w:t>obci</w:t>
      </w:r>
      <w:r w:rsidRPr="00707226">
        <w:rPr>
          <w:rFonts w:ascii="Calibri" w:eastAsia="Calibri" w:hAnsi="Calibri" w:cs="Times New Roman"/>
        </w:rPr>
        <w:t>.</w:t>
      </w:r>
    </w:p>
    <w:p w14:paraId="7B9B5EDA" w14:textId="77777777" w:rsidR="00707226" w:rsidRPr="00707226" w:rsidRDefault="00707226" w:rsidP="00027385">
      <w:pPr>
        <w:spacing w:after="120" w:line="259" w:lineRule="auto"/>
        <w:jc w:val="both"/>
        <w:rPr>
          <w:rFonts w:ascii="Calibri" w:eastAsia="Calibri" w:hAnsi="Calibri" w:cs="Times New Roman"/>
        </w:rPr>
      </w:pPr>
      <w:r w:rsidRPr="00707226">
        <w:rPr>
          <w:rFonts w:ascii="Calibri" w:eastAsia="Calibri" w:hAnsi="Calibri" w:cs="Times New Roman"/>
        </w:rPr>
        <w:t xml:space="preserve">Moderováním veřejného projednávání byl pověřen Ing. Michal Hátle, který se tak zároveň stal </w:t>
      </w:r>
      <w:r w:rsidRPr="00707226">
        <w:rPr>
          <w:rFonts w:ascii="Calibri" w:eastAsia="Calibri" w:hAnsi="Calibri" w:cs="Times New Roman"/>
        </w:rPr>
        <w:br/>
        <w:t>i facilitátorem diskuse. Program veřejného projednávání byl následující:</w:t>
      </w:r>
    </w:p>
    <w:p w14:paraId="1292D778" w14:textId="77777777" w:rsidR="00707226" w:rsidRPr="00707226" w:rsidRDefault="00707226">
      <w:pPr>
        <w:numPr>
          <w:ilvl w:val="0"/>
          <w:numId w:val="19"/>
        </w:numPr>
        <w:spacing w:after="60"/>
        <w:ind w:left="425"/>
        <w:jc w:val="both"/>
        <w:rPr>
          <w:rFonts w:ascii="Calibri" w:eastAsia="Calibri" w:hAnsi="Calibri" w:cs="Times New Roman"/>
          <w:b/>
        </w:rPr>
      </w:pPr>
      <w:r w:rsidRPr="00707226">
        <w:rPr>
          <w:rFonts w:ascii="Calibri" w:eastAsia="Calibri" w:hAnsi="Calibri" w:cs="Times New Roman"/>
          <w:b/>
        </w:rPr>
        <w:t>Význam a tvorba dokumentu</w:t>
      </w:r>
    </w:p>
    <w:p w14:paraId="2660DD41" w14:textId="598793F5" w:rsidR="00707226" w:rsidRPr="00707226" w:rsidRDefault="00707226">
      <w:pPr>
        <w:numPr>
          <w:ilvl w:val="0"/>
          <w:numId w:val="19"/>
        </w:numPr>
        <w:spacing w:after="60"/>
        <w:ind w:left="425"/>
        <w:jc w:val="both"/>
        <w:rPr>
          <w:rFonts w:ascii="Calibri" w:eastAsia="Calibri" w:hAnsi="Calibri" w:cs="Times New Roman"/>
          <w:b/>
        </w:rPr>
      </w:pPr>
      <w:r w:rsidRPr="00707226">
        <w:rPr>
          <w:rFonts w:ascii="Calibri" w:eastAsia="Calibri" w:hAnsi="Calibri" w:cs="Times New Roman"/>
          <w:b/>
        </w:rPr>
        <w:t>Struktura PR</w:t>
      </w:r>
      <w:r w:rsidR="00027385">
        <w:rPr>
          <w:rFonts w:ascii="Calibri" w:eastAsia="Calibri" w:hAnsi="Calibri" w:cs="Times New Roman"/>
          <w:b/>
        </w:rPr>
        <w:t>O</w:t>
      </w:r>
      <w:r w:rsidRPr="00707226">
        <w:rPr>
          <w:rFonts w:ascii="Calibri" w:eastAsia="Calibri" w:hAnsi="Calibri" w:cs="Times New Roman"/>
          <w:b/>
        </w:rPr>
        <w:t xml:space="preserve"> </w:t>
      </w:r>
      <w:r w:rsidR="00027385">
        <w:rPr>
          <w:rFonts w:ascii="Calibri" w:eastAsia="Calibri" w:hAnsi="Calibri" w:cs="Times New Roman"/>
          <w:b/>
        </w:rPr>
        <w:t>Staré Buky</w:t>
      </w:r>
      <w:r w:rsidRPr="00707226">
        <w:rPr>
          <w:rFonts w:ascii="Calibri" w:eastAsia="Calibri" w:hAnsi="Calibri" w:cs="Times New Roman"/>
          <w:b/>
        </w:rPr>
        <w:t xml:space="preserve"> a proces jeho tvorby</w:t>
      </w:r>
    </w:p>
    <w:p w14:paraId="6D14C51A" w14:textId="77777777" w:rsidR="00707226" w:rsidRPr="00707226" w:rsidRDefault="00707226">
      <w:pPr>
        <w:numPr>
          <w:ilvl w:val="0"/>
          <w:numId w:val="19"/>
        </w:numPr>
        <w:spacing w:after="60"/>
        <w:ind w:left="425" w:hanging="357"/>
        <w:jc w:val="both"/>
        <w:rPr>
          <w:rFonts w:ascii="Calibri" w:eastAsia="Calibri" w:hAnsi="Calibri" w:cs="Times New Roman"/>
          <w:b/>
        </w:rPr>
      </w:pPr>
      <w:r w:rsidRPr="00707226">
        <w:rPr>
          <w:rFonts w:ascii="Calibri" w:eastAsia="Calibri" w:hAnsi="Calibri" w:cs="Times New Roman"/>
          <w:b/>
        </w:rPr>
        <w:t>Zhodnocení výsledků dotazníkového šetření</w:t>
      </w:r>
    </w:p>
    <w:p w14:paraId="50DA6304" w14:textId="77777777" w:rsidR="00707226" w:rsidRPr="00707226" w:rsidRDefault="00707226">
      <w:pPr>
        <w:numPr>
          <w:ilvl w:val="0"/>
          <w:numId w:val="19"/>
        </w:numPr>
        <w:spacing w:after="60"/>
        <w:ind w:left="425" w:hanging="357"/>
        <w:jc w:val="both"/>
        <w:rPr>
          <w:rFonts w:ascii="Calibri" w:eastAsia="Calibri" w:hAnsi="Calibri" w:cs="Times New Roman"/>
          <w:b/>
        </w:rPr>
      </w:pPr>
      <w:r w:rsidRPr="00707226">
        <w:rPr>
          <w:rFonts w:ascii="Calibri" w:eastAsia="Calibri" w:hAnsi="Calibri" w:cs="Times New Roman"/>
          <w:b/>
        </w:rPr>
        <w:t>Klíčové oblasti rozvoje – klady, zápory, projektové záměry</w:t>
      </w:r>
    </w:p>
    <w:p w14:paraId="651571EF" w14:textId="77777777" w:rsidR="00707226" w:rsidRPr="00707226" w:rsidRDefault="00707226">
      <w:pPr>
        <w:numPr>
          <w:ilvl w:val="0"/>
          <w:numId w:val="19"/>
        </w:numPr>
        <w:spacing w:after="60"/>
        <w:ind w:left="425"/>
        <w:jc w:val="both"/>
        <w:rPr>
          <w:rFonts w:ascii="Calibri" w:eastAsia="Calibri" w:hAnsi="Calibri" w:cs="Times New Roman"/>
          <w:b/>
        </w:rPr>
      </w:pPr>
      <w:r w:rsidRPr="00707226">
        <w:rPr>
          <w:rFonts w:ascii="Calibri" w:eastAsia="Calibri" w:hAnsi="Calibri" w:cs="Times New Roman"/>
          <w:b/>
        </w:rPr>
        <w:t>Práce ve skupinách</w:t>
      </w:r>
    </w:p>
    <w:p w14:paraId="02C0C3BB" w14:textId="77777777" w:rsidR="00707226" w:rsidRPr="00707226" w:rsidRDefault="00707226">
      <w:pPr>
        <w:numPr>
          <w:ilvl w:val="0"/>
          <w:numId w:val="19"/>
        </w:numPr>
        <w:spacing w:after="160" w:line="259" w:lineRule="auto"/>
        <w:ind w:left="426"/>
        <w:contextualSpacing/>
        <w:jc w:val="both"/>
        <w:rPr>
          <w:rFonts w:ascii="Calibri" w:eastAsia="Calibri" w:hAnsi="Calibri" w:cs="Times New Roman"/>
          <w:b/>
        </w:rPr>
      </w:pPr>
      <w:r w:rsidRPr="00707226">
        <w:rPr>
          <w:rFonts w:ascii="Calibri" w:eastAsia="Calibri" w:hAnsi="Calibri" w:cs="Times New Roman"/>
          <w:b/>
        </w:rPr>
        <w:t>Diskuze</w:t>
      </w:r>
    </w:p>
    <w:p w14:paraId="3821919C" w14:textId="77777777" w:rsidR="00707226" w:rsidRPr="00707226" w:rsidRDefault="00707226" w:rsidP="00707226">
      <w:pPr>
        <w:spacing w:after="160" w:line="259" w:lineRule="auto"/>
        <w:jc w:val="both"/>
        <w:rPr>
          <w:rFonts w:ascii="Calibri" w:eastAsia="Calibri" w:hAnsi="Calibri" w:cs="Times New Roman"/>
        </w:rPr>
      </w:pPr>
    </w:p>
    <w:p w14:paraId="7ADBDBBF" w14:textId="4371D08E" w:rsidR="00707226" w:rsidRPr="00707226" w:rsidRDefault="00707226" w:rsidP="00707226">
      <w:pPr>
        <w:spacing w:after="160" w:line="259" w:lineRule="auto"/>
        <w:jc w:val="both"/>
        <w:rPr>
          <w:rFonts w:ascii="Calibri" w:eastAsia="Calibri" w:hAnsi="Calibri" w:cs="Times New Roman"/>
        </w:rPr>
      </w:pPr>
      <w:r w:rsidRPr="00707226">
        <w:rPr>
          <w:rFonts w:ascii="Calibri" w:eastAsia="Calibri" w:hAnsi="Calibri" w:cs="Times New Roman"/>
        </w:rPr>
        <w:t>Přítomní občané a zástupci organizací byli seznámeni s postupem tvorby strategického dokumentu, jeho strukturou, se zjištěnými poznatky z provedeného dotazníkového šetření. Dále byli přítomní obeznámeni s klady a prostory ke zlepšení v rámci jednotlivých témat a následně s navrženými konkrétními projektovými záměry pro strategickou část dokumentu. Tyto záměry byly identifikovány na základě zjištěných poznatků ze zpracované analytické části</w:t>
      </w:r>
      <w:r w:rsidR="005C4B62">
        <w:rPr>
          <w:rFonts w:ascii="Calibri" w:eastAsia="Calibri" w:hAnsi="Calibri" w:cs="Times New Roman"/>
        </w:rPr>
        <w:t>, z dotazníkového šetření a z jednání pracovní skupiny</w:t>
      </w:r>
      <w:r w:rsidRPr="00707226">
        <w:rPr>
          <w:rFonts w:ascii="Calibri" w:eastAsia="Calibri" w:hAnsi="Calibri" w:cs="Times New Roman"/>
        </w:rPr>
        <w:t xml:space="preserve">.  </w:t>
      </w:r>
    </w:p>
    <w:p w14:paraId="5F8A2991" w14:textId="0D4EAC01" w:rsidR="00707226" w:rsidRPr="00707226" w:rsidRDefault="00707226" w:rsidP="00707226">
      <w:pPr>
        <w:spacing w:after="160" w:line="259" w:lineRule="auto"/>
        <w:jc w:val="both"/>
        <w:rPr>
          <w:rFonts w:ascii="Calibri" w:eastAsia="Calibri" w:hAnsi="Calibri" w:cs="Times New Roman"/>
        </w:rPr>
      </w:pPr>
      <w:r w:rsidRPr="00707226">
        <w:rPr>
          <w:rFonts w:ascii="Calibri" w:eastAsia="Calibri" w:hAnsi="Calibri" w:cs="Times New Roman"/>
        </w:rPr>
        <w:t>Následoval nejdůležitější bod programu, práce ve skupinách. Aktivita byla přenesena na přítomné, kteří se v rámci pracovních skupinek podle jednotlivých probíraných témat měli vyjádřit – napsat, jaké spatřují klady a zápory v</w:t>
      </w:r>
      <w:r w:rsidR="005973BF">
        <w:rPr>
          <w:rFonts w:ascii="Calibri" w:eastAsia="Calibri" w:hAnsi="Calibri" w:cs="Times New Roman"/>
        </w:rPr>
        <w:t xml:space="preserve"> obci Staré Buky </w:t>
      </w:r>
      <w:r w:rsidRPr="00707226">
        <w:rPr>
          <w:rFonts w:ascii="Calibri" w:eastAsia="Calibri" w:hAnsi="Calibri" w:cs="Times New Roman"/>
        </w:rPr>
        <w:t>z pohledu diskutované oblasti a následně navrhnout projektové záměry, které by měly být v</w:t>
      </w:r>
      <w:r w:rsidR="005973BF">
        <w:rPr>
          <w:rFonts w:ascii="Calibri" w:eastAsia="Calibri" w:hAnsi="Calibri" w:cs="Times New Roman"/>
        </w:rPr>
        <w:t xml:space="preserve"> obci </w:t>
      </w:r>
      <w:r w:rsidRPr="00707226">
        <w:rPr>
          <w:rFonts w:ascii="Calibri" w:eastAsia="Calibri" w:hAnsi="Calibri" w:cs="Times New Roman"/>
        </w:rPr>
        <w:t>v následujícím období realizovány. Přítomní se mohli samozřejmě vyjádřit i k dalším diskutovaným tématům.</w:t>
      </w:r>
    </w:p>
    <w:p w14:paraId="52699131" w14:textId="2AF85491" w:rsidR="00707226" w:rsidRPr="00707226" w:rsidRDefault="00707226" w:rsidP="00707226">
      <w:pPr>
        <w:spacing w:after="160" w:line="259" w:lineRule="auto"/>
        <w:jc w:val="both"/>
        <w:rPr>
          <w:rFonts w:ascii="Calibri" w:eastAsia="Calibri" w:hAnsi="Calibri" w:cs="Times New Roman"/>
        </w:rPr>
      </w:pPr>
      <w:r w:rsidRPr="00707226">
        <w:rPr>
          <w:rFonts w:ascii="Calibri" w:eastAsia="Calibri" w:hAnsi="Calibri" w:cs="Times New Roman"/>
        </w:rPr>
        <w:lastRenderedPageBreak/>
        <w:t xml:space="preserve">Na definování kladů, záporů a projektových záměrů měli přítomní </w:t>
      </w:r>
      <w:r w:rsidR="005973BF">
        <w:rPr>
          <w:rFonts w:ascii="Calibri" w:eastAsia="Calibri" w:hAnsi="Calibri" w:cs="Times New Roman"/>
        </w:rPr>
        <w:t xml:space="preserve">necelou </w:t>
      </w:r>
      <w:r w:rsidRPr="00707226">
        <w:rPr>
          <w:rFonts w:ascii="Calibri" w:eastAsia="Calibri" w:hAnsi="Calibri" w:cs="Times New Roman"/>
        </w:rPr>
        <w:t>hodin</w:t>
      </w:r>
      <w:r w:rsidR="005973BF">
        <w:rPr>
          <w:rFonts w:ascii="Calibri" w:eastAsia="Calibri" w:hAnsi="Calibri" w:cs="Times New Roman"/>
        </w:rPr>
        <w:t>u</w:t>
      </w:r>
      <w:r w:rsidRPr="00707226">
        <w:rPr>
          <w:rFonts w:ascii="Calibri" w:eastAsia="Calibri" w:hAnsi="Calibri" w:cs="Times New Roman"/>
        </w:rPr>
        <w:t xml:space="preserve"> času.</w:t>
      </w:r>
      <w:r w:rsidRPr="00707226">
        <w:rPr>
          <w:rFonts w:ascii="Calibri" w:eastAsia="Calibri" w:hAnsi="Calibri" w:cs="Times New Roman"/>
        </w:rPr>
        <w:br/>
        <w:t>Po uplynutí vymezené doby představila každá pracovní skupina, prostřednictvím svého mluvčího, výsledky své práce. Každý účastník měl na závěr možnost vybrat tři projektové záměry</w:t>
      </w:r>
      <w:r w:rsidRPr="00707226">
        <w:rPr>
          <w:rFonts w:ascii="Calibri" w:eastAsia="Calibri" w:hAnsi="Calibri" w:cs="Times New Roman"/>
        </w:rPr>
        <w:br/>
        <w:t>v rámci probíraných témat, které ze svého pohledu považuje za nejdůležitější, a udělit jim preferenční hlasy.</w:t>
      </w:r>
    </w:p>
    <w:p w14:paraId="36F3E5C2" w14:textId="77777777" w:rsidR="00707226" w:rsidRPr="00707226" w:rsidRDefault="00707226" w:rsidP="00707226">
      <w:pPr>
        <w:spacing w:after="160" w:line="259" w:lineRule="auto"/>
        <w:jc w:val="both"/>
        <w:rPr>
          <w:rFonts w:ascii="Calibri" w:eastAsia="Calibri" w:hAnsi="Calibri" w:cs="Times New Roman"/>
        </w:rPr>
      </w:pPr>
    </w:p>
    <w:p w14:paraId="45C21EF7" w14:textId="48D187CD" w:rsidR="00707226" w:rsidRPr="00707226" w:rsidRDefault="00707226" w:rsidP="00707226">
      <w:pPr>
        <w:spacing w:line="360" w:lineRule="auto"/>
        <w:jc w:val="both"/>
        <w:rPr>
          <w:rFonts w:ascii="Calibri" w:eastAsia="Calibri" w:hAnsi="Calibri" w:cs="Times New Roman"/>
          <w:b/>
          <w:u w:val="single"/>
        </w:rPr>
      </w:pPr>
      <w:r w:rsidRPr="00707226">
        <w:rPr>
          <w:rFonts w:ascii="Calibri" w:eastAsia="Calibri" w:hAnsi="Calibri" w:cs="Times New Roman"/>
          <w:b/>
          <w:u w:val="single"/>
        </w:rPr>
        <w:t xml:space="preserve">Výsledky za téma </w:t>
      </w:r>
      <w:r w:rsidR="005973BF" w:rsidRPr="005973BF">
        <w:rPr>
          <w:rFonts w:ascii="Calibri" w:eastAsia="Calibri" w:hAnsi="Calibri" w:cs="Times New Roman"/>
          <w:b/>
          <w:u w:val="single"/>
        </w:rPr>
        <w:t>INFRASTRUKTURA</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4516"/>
        <w:gridCol w:w="4510"/>
      </w:tblGrid>
      <w:tr w:rsidR="00707226" w:rsidRPr="00707226" w14:paraId="1830FAA5" w14:textId="77777777" w:rsidTr="00292E9C">
        <w:tc>
          <w:tcPr>
            <w:tcW w:w="4516" w:type="dxa"/>
            <w:tcBorders>
              <w:top w:val="single" w:sz="18" w:space="0" w:color="auto"/>
              <w:bottom w:val="single" w:sz="12" w:space="0" w:color="auto"/>
              <w:right w:val="single" w:sz="12" w:space="0" w:color="auto"/>
            </w:tcBorders>
            <w:shd w:val="clear" w:color="auto" w:fill="FFC000"/>
            <w:vAlign w:val="center"/>
          </w:tcPr>
          <w:p w14:paraId="432ABB41" w14:textId="77777777" w:rsidR="00707226" w:rsidRPr="00707226" w:rsidRDefault="00707226" w:rsidP="00707226">
            <w:pPr>
              <w:spacing w:before="20" w:after="20" w:line="259" w:lineRule="auto"/>
              <w:jc w:val="center"/>
              <w:rPr>
                <w:rFonts w:ascii="Calibri" w:eastAsia="Calibri" w:hAnsi="Calibri" w:cs="Times New Roman"/>
                <w:b/>
              </w:rPr>
            </w:pPr>
            <w:r w:rsidRPr="00707226">
              <w:rPr>
                <w:rFonts w:ascii="Calibri" w:eastAsia="Calibri" w:hAnsi="Calibri" w:cs="Times New Roman"/>
                <w:b/>
              </w:rPr>
              <w:t>Klady</w:t>
            </w:r>
          </w:p>
        </w:tc>
        <w:tc>
          <w:tcPr>
            <w:tcW w:w="4510" w:type="dxa"/>
            <w:tcBorders>
              <w:top w:val="single" w:sz="18" w:space="0" w:color="auto"/>
              <w:left w:val="single" w:sz="12" w:space="0" w:color="auto"/>
              <w:bottom w:val="single" w:sz="12" w:space="0" w:color="auto"/>
            </w:tcBorders>
            <w:shd w:val="clear" w:color="auto" w:fill="FFC000"/>
            <w:vAlign w:val="center"/>
          </w:tcPr>
          <w:p w14:paraId="595E7811" w14:textId="77777777" w:rsidR="00707226" w:rsidRPr="00707226" w:rsidRDefault="00707226" w:rsidP="00707226">
            <w:pPr>
              <w:spacing w:before="20" w:after="20" w:line="259" w:lineRule="auto"/>
              <w:jc w:val="center"/>
              <w:rPr>
                <w:rFonts w:ascii="Calibri" w:eastAsia="Calibri" w:hAnsi="Calibri" w:cs="Times New Roman"/>
                <w:b/>
              </w:rPr>
            </w:pPr>
            <w:r w:rsidRPr="00707226">
              <w:rPr>
                <w:rFonts w:ascii="Calibri" w:eastAsia="Calibri" w:hAnsi="Calibri" w:cs="Times New Roman"/>
                <w:b/>
              </w:rPr>
              <w:t>Zápory</w:t>
            </w:r>
          </w:p>
        </w:tc>
      </w:tr>
      <w:tr w:rsidR="00707226" w:rsidRPr="00707226" w14:paraId="0E77388F" w14:textId="77777777" w:rsidTr="004A7FDE">
        <w:tc>
          <w:tcPr>
            <w:tcW w:w="4516" w:type="dxa"/>
            <w:tcBorders>
              <w:top w:val="single" w:sz="12" w:space="0" w:color="auto"/>
              <w:right w:val="single" w:sz="12" w:space="0" w:color="auto"/>
            </w:tcBorders>
            <w:vAlign w:val="center"/>
          </w:tcPr>
          <w:p w14:paraId="2A0C56F2" w14:textId="66910831" w:rsidR="00707226" w:rsidRPr="00707226" w:rsidRDefault="00CC5686" w:rsidP="00707226">
            <w:pPr>
              <w:spacing w:before="20" w:after="20" w:line="259" w:lineRule="auto"/>
              <w:jc w:val="center"/>
              <w:rPr>
                <w:rFonts w:ascii="Calibri" w:eastAsia="Calibri" w:hAnsi="Calibri" w:cs="Times New Roman"/>
              </w:rPr>
            </w:pPr>
            <w:r>
              <w:rPr>
                <w:rFonts w:ascii="Calibri" w:eastAsia="Calibri" w:hAnsi="Calibri" w:cs="Times New Roman"/>
              </w:rPr>
              <w:t>Veřejné osvětlení</w:t>
            </w:r>
          </w:p>
        </w:tc>
        <w:tc>
          <w:tcPr>
            <w:tcW w:w="4510" w:type="dxa"/>
            <w:tcBorders>
              <w:top w:val="single" w:sz="12" w:space="0" w:color="auto"/>
              <w:left w:val="single" w:sz="12" w:space="0" w:color="auto"/>
            </w:tcBorders>
            <w:vAlign w:val="center"/>
          </w:tcPr>
          <w:p w14:paraId="367054EF" w14:textId="6418D226" w:rsidR="00707226" w:rsidRPr="00707226" w:rsidRDefault="00E40653" w:rsidP="00707226">
            <w:pPr>
              <w:spacing w:before="20" w:after="20" w:line="259" w:lineRule="auto"/>
              <w:jc w:val="center"/>
              <w:rPr>
                <w:rFonts w:ascii="Calibri" w:eastAsia="Calibri" w:hAnsi="Calibri" w:cs="Times New Roman"/>
              </w:rPr>
            </w:pPr>
            <w:r>
              <w:rPr>
                <w:rFonts w:ascii="Calibri" w:eastAsia="Calibri" w:hAnsi="Calibri" w:cs="Times New Roman"/>
              </w:rPr>
              <w:t>Stav příjezdové komunikace do lokality Dolníky</w:t>
            </w:r>
          </w:p>
        </w:tc>
      </w:tr>
      <w:tr w:rsidR="00707226" w:rsidRPr="00707226" w14:paraId="5C6D4FAF" w14:textId="77777777" w:rsidTr="004A7FDE">
        <w:tc>
          <w:tcPr>
            <w:tcW w:w="4516" w:type="dxa"/>
            <w:tcBorders>
              <w:right w:val="single" w:sz="12" w:space="0" w:color="auto"/>
            </w:tcBorders>
            <w:vAlign w:val="center"/>
          </w:tcPr>
          <w:p w14:paraId="0EC1705D" w14:textId="14C3B5F3" w:rsidR="00707226" w:rsidRPr="00707226" w:rsidRDefault="00CC5686" w:rsidP="00707226">
            <w:pPr>
              <w:spacing w:before="20" w:after="20" w:line="259" w:lineRule="auto"/>
              <w:jc w:val="center"/>
              <w:rPr>
                <w:rFonts w:ascii="Calibri" w:eastAsia="Calibri" w:hAnsi="Calibri" w:cs="Times New Roman"/>
              </w:rPr>
            </w:pPr>
            <w:r>
              <w:rPr>
                <w:rFonts w:ascii="Calibri" w:eastAsia="Calibri" w:hAnsi="Calibri" w:cs="Times New Roman"/>
              </w:rPr>
              <w:t>Autobusová doprava</w:t>
            </w:r>
          </w:p>
        </w:tc>
        <w:tc>
          <w:tcPr>
            <w:tcW w:w="4510" w:type="dxa"/>
            <w:tcBorders>
              <w:left w:val="single" w:sz="12" w:space="0" w:color="auto"/>
            </w:tcBorders>
            <w:vAlign w:val="center"/>
          </w:tcPr>
          <w:p w14:paraId="2E004BEB" w14:textId="7D23702E" w:rsidR="00707226" w:rsidRPr="00707226" w:rsidRDefault="00707226" w:rsidP="00707226">
            <w:pPr>
              <w:spacing w:before="20" w:after="20" w:line="259" w:lineRule="auto"/>
              <w:jc w:val="center"/>
              <w:rPr>
                <w:rFonts w:ascii="Calibri" w:eastAsia="Calibri" w:hAnsi="Calibri" w:cs="Times New Roman"/>
              </w:rPr>
            </w:pPr>
            <w:r w:rsidRPr="00707226">
              <w:rPr>
                <w:rFonts w:ascii="Calibri" w:eastAsia="Calibri" w:hAnsi="Calibri" w:cs="Times New Roman"/>
              </w:rPr>
              <w:t xml:space="preserve">Absence </w:t>
            </w:r>
            <w:r w:rsidR="00E40653">
              <w:rPr>
                <w:rFonts w:ascii="Calibri" w:eastAsia="Calibri" w:hAnsi="Calibri" w:cs="Times New Roman"/>
              </w:rPr>
              <w:t>kanalizace v lokalitě Dolníky</w:t>
            </w:r>
          </w:p>
        </w:tc>
      </w:tr>
      <w:tr w:rsidR="00707226" w:rsidRPr="00707226" w14:paraId="1865CB3D" w14:textId="77777777" w:rsidTr="004A7FDE">
        <w:tc>
          <w:tcPr>
            <w:tcW w:w="4516" w:type="dxa"/>
            <w:tcBorders>
              <w:right w:val="single" w:sz="12" w:space="0" w:color="auto"/>
            </w:tcBorders>
            <w:vAlign w:val="center"/>
          </w:tcPr>
          <w:p w14:paraId="6896DA31" w14:textId="5EFE0A09" w:rsidR="00707226" w:rsidRPr="00707226" w:rsidRDefault="00707226" w:rsidP="00707226">
            <w:pPr>
              <w:spacing w:before="20" w:after="20" w:line="259" w:lineRule="auto"/>
              <w:jc w:val="center"/>
              <w:rPr>
                <w:rFonts w:ascii="Calibri" w:eastAsia="Calibri" w:hAnsi="Calibri" w:cs="Times New Roman"/>
              </w:rPr>
            </w:pPr>
          </w:p>
        </w:tc>
        <w:tc>
          <w:tcPr>
            <w:tcW w:w="4510" w:type="dxa"/>
            <w:tcBorders>
              <w:left w:val="single" w:sz="12" w:space="0" w:color="auto"/>
            </w:tcBorders>
            <w:vAlign w:val="center"/>
          </w:tcPr>
          <w:p w14:paraId="7E3D8009" w14:textId="16E731E8" w:rsidR="00707226" w:rsidRPr="00707226" w:rsidRDefault="00E40653" w:rsidP="00707226">
            <w:pPr>
              <w:spacing w:before="20" w:after="20" w:line="259" w:lineRule="auto"/>
              <w:jc w:val="center"/>
              <w:rPr>
                <w:rFonts w:ascii="Calibri" w:eastAsia="Calibri" w:hAnsi="Calibri" w:cs="Times New Roman"/>
              </w:rPr>
            </w:pPr>
            <w:r>
              <w:rPr>
                <w:rFonts w:ascii="Calibri" w:eastAsia="Calibri" w:hAnsi="Calibri" w:cs="Times New Roman"/>
              </w:rPr>
              <w:t>Výstavba v lokalitě Dolníky – omezit ji</w:t>
            </w:r>
          </w:p>
        </w:tc>
      </w:tr>
      <w:tr w:rsidR="00707226" w:rsidRPr="00707226" w14:paraId="486EE654" w14:textId="77777777" w:rsidTr="004A7FDE">
        <w:tc>
          <w:tcPr>
            <w:tcW w:w="4516" w:type="dxa"/>
            <w:tcBorders>
              <w:right w:val="single" w:sz="12" w:space="0" w:color="auto"/>
            </w:tcBorders>
            <w:vAlign w:val="center"/>
          </w:tcPr>
          <w:p w14:paraId="1432A147" w14:textId="4D537C24" w:rsidR="00707226" w:rsidRPr="00707226" w:rsidRDefault="00707226" w:rsidP="00707226">
            <w:pPr>
              <w:spacing w:before="20" w:after="20" w:line="259" w:lineRule="auto"/>
              <w:jc w:val="center"/>
              <w:rPr>
                <w:rFonts w:ascii="Calibri" w:eastAsia="Calibri" w:hAnsi="Calibri" w:cs="Times New Roman"/>
              </w:rPr>
            </w:pPr>
          </w:p>
        </w:tc>
        <w:tc>
          <w:tcPr>
            <w:tcW w:w="4510" w:type="dxa"/>
            <w:tcBorders>
              <w:left w:val="single" w:sz="12" w:space="0" w:color="auto"/>
            </w:tcBorders>
            <w:vAlign w:val="center"/>
          </w:tcPr>
          <w:p w14:paraId="7561EA85" w14:textId="5ADF543D" w:rsidR="00707226" w:rsidRPr="00707226" w:rsidRDefault="00E40653" w:rsidP="00707226">
            <w:pPr>
              <w:spacing w:before="20" w:after="20" w:line="259" w:lineRule="auto"/>
              <w:jc w:val="center"/>
              <w:rPr>
                <w:rFonts w:ascii="Calibri" w:eastAsia="Calibri" w:hAnsi="Calibri" w:cs="Times New Roman"/>
              </w:rPr>
            </w:pPr>
            <w:r>
              <w:rPr>
                <w:rFonts w:ascii="Calibri" w:eastAsia="Calibri" w:hAnsi="Calibri" w:cs="Times New Roman"/>
              </w:rPr>
              <w:t>Špatný stav autobusových zastávek</w:t>
            </w:r>
          </w:p>
        </w:tc>
      </w:tr>
      <w:tr w:rsidR="00707226" w:rsidRPr="00707226" w14:paraId="139AA484" w14:textId="77777777" w:rsidTr="004A7FDE">
        <w:tc>
          <w:tcPr>
            <w:tcW w:w="4516" w:type="dxa"/>
            <w:tcBorders>
              <w:right w:val="single" w:sz="12" w:space="0" w:color="auto"/>
            </w:tcBorders>
            <w:vAlign w:val="center"/>
          </w:tcPr>
          <w:p w14:paraId="618701A6" w14:textId="16CE52F0" w:rsidR="00707226" w:rsidRPr="00707226" w:rsidRDefault="00707226" w:rsidP="00707226">
            <w:pPr>
              <w:spacing w:before="20" w:after="20" w:line="259" w:lineRule="auto"/>
              <w:jc w:val="center"/>
              <w:rPr>
                <w:rFonts w:ascii="Calibri" w:eastAsia="Calibri" w:hAnsi="Calibri" w:cs="Times New Roman"/>
              </w:rPr>
            </w:pPr>
          </w:p>
        </w:tc>
        <w:tc>
          <w:tcPr>
            <w:tcW w:w="4510" w:type="dxa"/>
            <w:tcBorders>
              <w:left w:val="single" w:sz="12" w:space="0" w:color="auto"/>
            </w:tcBorders>
            <w:vAlign w:val="center"/>
          </w:tcPr>
          <w:p w14:paraId="1357350B" w14:textId="1E8A277C" w:rsidR="00707226" w:rsidRPr="00707226" w:rsidRDefault="00707226" w:rsidP="00707226">
            <w:pPr>
              <w:spacing w:before="20" w:after="20" w:line="259" w:lineRule="auto"/>
              <w:jc w:val="center"/>
              <w:rPr>
                <w:rFonts w:ascii="Calibri" w:eastAsia="Calibri" w:hAnsi="Calibri" w:cs="Times New Roman"/>
              </w:rPr>
            </w:pPr>
            <w:r w:rsidRPr="00707226">
              <w:rPr>
                <w:rFonts w:ascii="Calibri" w:eastAsia="Calibri" w:hAnsi="Calibri" w:cs="Times New Roman"/>
              </w:rPr>
              <w:t xml:space="preserve">Stav </w:t>
            </w:r>
            <w:r w:rsidR="00E40653">
              <w:rPr>
                <w:rFonts w:ascii="Calibri" w:eastAsia="Calibri" w:hAnsi="Calibri" w:cs="Times New Roman"/>
              </w:rPr>
              <w:t xml:space="preserve">některých komunikací ve vlastnictví obce </w:t>
            </w:r>
          </w:p>
        </w:tc>
      </w:tr>
      <w:tr w:rsidR="00707226" w:rsidRPr="00707226" w14:paraId="4D2802C2" w14:textId="77777777" w:rsidTr="004A7FDE">
        <w:tc>
          <w:tcPr>
            <w:tcW w:w="4516" w:type="dxa"/>
            <w:tcBorders>
              <w:right w:val="single" w:sz="12" w:space="0" w:color="auto"/>
            </w:tcBorders>
            <w:vAlign w:val="center"/>
          </w:tcPr>
          <w:p w14:paraId="3183D5EE" w14:textId="1EE020B0" w:rsidR="00707226" w:rsidRPr="00707226" w:rsidRDefault="00707226" w:rsidP="00707226">
            <w:pPr>
              <w:spacing w:before="20" w:after="20" w:line="259" w:lineRule="auto"/>
              <w:jc w:val="center"/>
              <w:rPr>
                <w:rFonts w:ascii="Calibri" w:eastAsia="Calibri" w:hAnsi="Calibri" w:cs="Times New Roman"/>
              </w:rPr>
            </w:pPr>
          </w:p>
        </w:tc>
        <w:tc>
          <w:tcPr>
            <w:tcW w:w="4510" w:type="dxa"/>
            <w:tcBorders>
              <w:left w:val="single" w:sz="12" w:space="0" w:color="auto"/>
            </w:tcBorders>
            <w:vAlign w:val="center"/>
          </w:tcPr>
          <w:p w14:paraId="29B2D87D" w14:textId="0972AD75" w:rsidR="00707226" w:rsidRPr="00707226" w:rsidRDefault="0034609A" w:rsidP="00707226">
            <w:pPr>
              <w:spacing w:before="20" w:after="20" w:line="259" w:lineRule="auto"/>
              <w:jc w:val="center"/>
              <w:rPr>
                <w:rFonts w:ascii="Calibri" w:eastAsia="Calibri" w:hAnsi="Calibri" w:cs="Times New Roman"/>
              </w:rPr>
            </w:pPr>
            <w:r>
              <w:rPr>
                <w:rFonts w:ascii="Calibri" w:eastAsia="Calibri" w:hAnsi="Calibri" w:cs="Times New Roman"/>
              </w:rPr>
              <w:t>Nakládání s odpady</w:t>
            </w:r>
          </w:p>
        </w:tc>
      </w:tr>
    </w:tbl>
    <w:p w14:paraId="12FEB408" w14:textId="77777777" w:rsidR="00707226" w:rsidRPr="00707226" w:rsidRDefault="00707226" w:rsidP="00707226">
      <w:pPr>
        <w:spacing w:after="160" w:line="259" w:lineRule="auto"/>
        <w:contextualSpacing/>
        <w:jc w:val="both"/>
        <w:rPr>
          <w:rFonts w:ascii="Calibri" w:eastAsia="Calibri" w:hAnsi="Calibri" w:cs="Times New Roman"/>
        </w:rPr>
      </w:pPr>
    </w:p>
    <w:p w14:paraId="504D4B6E" w14:textId="77777777" w:rsidR="00707226" w:rsidRPr="00707226" w:rsidRDefault="00707226" w:rsidP="00707226">
      <w:pPr>
        <w:spacing w:after="160" w:line="259" w:lineRule="auto"/>
        <w:contextualSpacing/>
        <w:jc w:val="both"/>
        <w:rPr>
          <w:rFonts w:ascii="Calibri" w:eastAsia="Calibri" w:hAnsi="Calibri" w:cs="Times New Roman"/>
          <w:u w:val="single"/>
        </w:rPr>
      </w:pPr>
      <w:r w:rsidRPr="00707226">
        <w:rPr>
          <w:rFonts w:ascii="Calibri" w:eastAsia="Calibri" w:hAnsi="Calibri" w:cs="Times New Roman"/>
          <w:u w:val="single"/>
        </w:rPr>
        <w:t>Projektové záměry (v závorce uveden počet preferenčních hlasů)</w:t>
      </w:r>
    </w:p>
    <w:p w14:paraId="55FEF776" w14:textId="77777777" w:rsidR="00671FDB" w:rsidRPr="00707226" w:rsidRDefault="00671FDB">
      <w:pPr>
        <w:numPr>
          <w:ilvl w:val="0"/>
          <w:numId w:val="20"/>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Obnova/rekonstrukce autobusových zastávek</w:t>
      </w:r>
      <w:r w:rsidRPr="00707226">
        <w:rPr>
          <w:rFonts w:ascii="Calibri" w:eastAsia="Calibri" w:hAnsi="Calibri" w:cs="Times New Roman"/>
        </w:rPr>
        <w:t xml:space="preserve"> (</w:t>
      </w:r>
      <w:r>
        <w:rPr>
          <w:rFonts w:ascii="Calibri" w:eastAsia="Calibri" w:hAnsi="Calibri" w:cs="Times New Roman"/>
        </w:rPr>
        <w:t>7</w:t>
      </w:r>
      <w:r w:rsidRPr="00707226">
        <w:rPr>
          <w:rFonts w:ascii="Calibri" w:eastAsia="Calibri" w:hAnsi="Calibri" w:cs="Times New Roman"/>
        </w:rPr>
        <w:t>)</w:t>
      </w:r>
    </w:p>
    <w:p w14:paraId="4053A177" w14:textId="0B249AF4" w:rsidR="00707226" w:rsidRPr="00707226" w:rsidRDefault="0001189B">
      <w:pPr>
        <w:numPr>
          <w:ilvl w:val="0"/>
          <w:numId w:val="20"/>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Omezit výstavbu v lokalitě Dolníky</w:t>
      </w:r>
      <w:r w:rsidR="00707226" w:rsidRPr="00707226">
        <w:rPr>
          <w:rFonts w:ascii="Calibri" w:eastAsia="Calibri" w:hAnsi="Calibri" w:cs="Times New Roman"/>
        </w:rPr>
        <w:t xml:space="preserve"> (</w:t>
      </w:r>
      <w:r>
        <w:rPr>
          <w:rFonts w:ascii="Calibri" w:eastAsia="Calibri" w:hAnsi="Calibri" w:cs="Times New Roman"/>
        </w:rPr>
        <w:t>6</w:t>
      </w:r>
      <w:r w:rsidR="00707226" w:rsidRPr="00707226">
        <w:rPr>
          <w:rFonts w:ascii="Calibri" w:eastAsia="Calibri" w:hAnsi="Calibri" w:cs="Times New Roman"/>
        </w:rPr>
        <w:t>)</w:t>
      </w:r>
    </w:p>
    <w:p w14:paraId="230B2E79" w14:textId="77777777" w:rsidR="00671FDB" w:rsidRPr="00707226" w:rsidRDefault="00671FDB">
      <w:pPr>
        <w:numPr>
          <w:ilvl w:val="0"/>
          <w:numId w:val="20"/>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Řešit nakládání s odpady</w:t>
      </w:r>
      <w:r w:rsidRPr="00707226">
        <w:rPr>
          <w:rFonts w:ascii="Calibri" w:eastAsia="Calibri" w:hAnsi="Calibri" w:cs="Times New Roman"/>
        </w:rPr>
        <w:t xml:space="preserve"> (</w:t>
      </w:r>
      <w:r>
        <w:rPr>
          <w:rFonts w:ascii="Calibri" w:eastAsia="Calibri" w:hAnsi="Calibri" w:cs="Times New Roman"/>
        </w:rPr>
        <w:t>4</w:t>
      </w:r>
      <w:r w:rsidRPr="00707226">
        <w:rPr>
          <w:rFonts w:ascii="Calibri" w:eastAsia="Calibri" w:hAnsi="Calibri" w:cs="Times New Roman"/>
        </w:rPr>
        <w:t>)</w:t>
      </w:r>
    </w:p>
    <w:p w14:paraId="02D585FC" w14:textId="77777777" w:rsidR="00671FDB" w:rsidRDefault="00671FDB">
      <w:pPr>
        <w:numPr>
          <w:ilvl w:val="0"/>
          <w:numId w:val="20"/>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Změna dopravního značení v Dolníkách (zařadit do obytné zóny)</w:t>
      </w:r>
      <w:r w:rsidRPr="00707226">
        <w:rPr>
          <w:rFonts w:ascii="Calibri" w:eastAsia="Calibri" w:hAnsi="Calibri" w:cs="Times New Roman"/>
        </w:rPr>
        <w:t xml:space="preserve"> (</w:t>
      </w:r>
      <w:r>
        <w:rPr>
          <w:rFonts w:ascii="Calibri" w:eastAsia="Calibri" w:hAnsi="Calibri" w:cs="Times New Roman"/>
        </w:rPr>
        <w:t>4</w:t>
      </w:r>
      <w:r w:rsidRPr="00707226">
        <w:rPr>
          <w:rFonts w:ascii="Calibri" w:eastAsia="Calibri" w:hAnsi="Calibri" w:cs="Times New Roman"/>
        </w:rPr>
        <w:t>)</w:t>
      </w:r>
    </w:p>
    <w:p w14:paraId="1FC61100" w14:textId="77777777" w:rsidR="00671FDB" w:rsidRPr="00707226" w:rsidRDefault="00671FDB">
      <w:pPr>
        <w:numPr>
          <w:ilvl w:val="0"/>
          <w:numId w:val="20"/>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Zahájit jednání s vlastníky komunikací („Holandské domky“) – ničí obecní komunikaci náplavou štěrku (3)</w:t>
      </w:r>
    </w:p>
    <w:p w14:paraId="5EBEA25A" w14:textId="3C38A0F8" w:rsidR="00707226" w:rsidRPr="00707226" w:rsidRDefault="009C1156">
      <w:pPr>
        <w:numPr>
          <w:ilvl w:val="0"/>
          <w:numId w:val="20"/>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Rekonstrukce komunikací ve vlastnictví obce</w:t>
      </w:r>
      <w:r w:rsidR="00707226" w:rsidRPr="00707226">
        <w:rPr>
          <w:rFonts w:ascii="Calibri" w:eastAsia="Calibri" w:hAnsi="Calibri" w:cs="Times New Roman"/>
        </w:rPr>
        <w:t xml:space="preserve"> (2)</w:t>
      </w:r>
    </w:p>
    <w:p w14:paraId="5DBD726B" w14:textId="4AEEF710" w:rsidR="00707226" w:rsidRPr="00707226" w:rsidRDefault="009C1156">
      <w:pPr>
        <w:numPr>
          <w:ilvl w:val="0"/>
          <w:numId w:val="20"/>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Řešit stav příjezdové komunikace do lokality Dolníky</w:t>
      </w:r>
      <w:r w:rsidRPr="00707226">
        <w:rPr>
          <w:rFonts w:ascii="Calibri" w:eastAsia="Calibri" w:hAnsi="Calibri" w:cs="Times New Roman"/>
        </w:rPr>
        <w:t xml:space="preserve"> </w:t>
      </w:r>
      <w:r w:rsidR="00707226" w:rsidRPr="00707226">
        <w:rPr>
          <w:rFonts w:ascii="Calibri" w:eastAsia="Calibri" w:hAnsi="Calibri" w:cs="Times New Roman"/>
        </w:rPr>
        <w:t>(1)</w:t>
      </w:r>
    </w:p>
    <w:p w14:paraId="1E297EE9" w14:textId="71AA94DC" w:rsidR="009C1156" w:rsidRPr="00707226" w:rsidRDefault="009C1156">
      <w:pPr>
        <w:numPr>
          <w:ilvl w:val="0"/>
          <w:numId w:val="20"/>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Řešit absenci kanalizace v lokalitě Dolníky</w:t>
      </w:r>
      <w:r w:rsidRPr="00707226">
        <w:rPr>
          <w:rFonts w:ascii="Calibri" w:eastAsia="Calibri" w:hAnsi="Calibri" w:cs="Times New Roman"/>
        </w:rPr>
        <w:t xml:space="preserve"> (1)</w:t>
      </w:r>
    </w:p>
    <w:p w14:paraId="47DB6DFA" w14:textId="349C7138" w:rsidR="00707226" w:rsidRPr="00707226" w:rsidRDefault="009C1156">
      <w:pPr>
        <w:numPr>
          <w:ilvl w:val="0"/>
          <w:numId w:val="20"/>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Zorganizovat veřejné zasedání občanů dvakrát do roka (0)</w:t>
      </w:r>
    </w:p>
    <w:p w14:paraId="348FCD3A" w14:textId="77777777" w:rsidR="00707226" w:rsidRPr="00707226" w:rsidRDefault="00707226" w:rsidP="00707226">
      <w:pPr>
        <w:spacing w:after="160" w:line="259" w:lineRule="auto"/>
        <w:contextualSpacing/>
        <w:jc w:val="both"/>
        <w:rPr>
          <w:rFonts w:ascii="Calibri" w:eastAsia="Calibri" w:hAnsi="Calibri" w:cs="Times New Roman"/>
        </w:rPr>
      </w:pPr>
    </w:p>
    <w:p w14:paraId="0BC10530" w14:textId="77777777" w:rsidR="00707226" w:rsidRPr="00707226" w:rsidRDefault="00707226" w:rsidP="00707226">
      <w:pPr>
        <w:spacing w:after="160" w:line="259" w:lineRule="auto"/>
        <w:contextualSpacing/>
        <w:jc w:val="both"/>
        <w:rPr>
          <w:rFonts w:ascii="Calibri" w:eastAsia="Calibri" w:hAnsi="Calibri" w:cs="Times New Roman"/>
        </w:rPr>
      </w:pPr>
    </w:p>
    <w:p w14:paraId="06F0B11F" w14:textId="77777777" w:rsidR="00707226" w:rsidRPr="00707226" w:rsidRDefault="00707226" w:rsidP="00707226">
      <w:pPr>
        <w:spacing w:line="360" w:lineRule="auto"/>
        <w:jc w:val="both"/>
        <w:rPr>
          <w:rFonts w:ascii="Calibri" w:eastAsia="Calibri" w:hAnsi="Calibri" w:cs="Times New Roman"/>
          <w:b/>
          <w:u w:val="single"/>
        </w:rPr>
      </w:pPr>
      <w:r w:rsidRPr="00707226">
        <w:rPr>
          <w:rFonts w:ascii="Calibri" w:eastAsia="Calibri" w:hAnsi="Calibri" w:cs="Times New Roman"/>
          <w:b/>
          <w:u w:val="single"/>
        </w:rPr>
        <w:br w:type="page"/>
      </w:r>
    </w:p>
    <w:p w14:paraId="5AC7ABF5" w14:textId="567B88EF" w:rsidR="00707226" w:rsidRPr="00707226" w:rsidRDefault="00707226" w:rsidP="00707226">
      <w:pPr>
        <w:spacing w:line="360" w:lineRule="auto"/>
        <w:jc w:val="both"/>
        <w:rPr>
          <w:rFonts w:ascii="Calibri" w:eastAsia="Calibri" w:hAnsi="Calibri" w:cs="Times New Roman"/>
          <w:b/>
          <w:u w:val="single"/>
        </w:rPr>
      </w:pPr>
      <w:r w:rsidRPr="00707226">
        <w:rPr>
          <w:rFonts w:ascii="Calibri" w:eastAsia="Calibri" w:hAnsi="Calibri" w:cs="Times New Roman"/>
          <w:b/>
          <w:u w:val="single"/>
        </w:rPr>
        <w:lastRenderedPageBreak/>
        <w:t xml:space="preserve">Výsledky za téma </w:t>
      </w:r>
      <w:r w:rsidR="00840023">
        <w:rPr>
          <w:rFonts w:ascii="Calibri" w:eastAsia="Calibri" w:hAnsi="Calibri" w:cs="Times New Roman"/>
          <w:b/>
          <w:u w:val="single"/>
        </w:rPr>
        <w:t>VYBAVENOST A PROSTŘEDÍ OBCE</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4606"/>
        <w:gridCol w:w="4606"/>
      </w:tblGrid>
      <w:tr w:rsidR="00707226" w:rsidRPr="00707226" w14:paraId="1E142120" w14:textId="77777777" w:rsidTr="00840023">
        <w:tc>
          <w:tcPr>
            <w:tcW w:w="4606" w:type="dxa"/>
            <w:tcBorders>
              <w:top w:val="single" w:sz="18" w:space="0" w:color="auto"/>
              <w:bottom w:val="single" w:sz="12" w:space="0" w:color="auto"/>
              <w:right w:val="single" w:sz="12" w:space="0" w:color="auto"/>
            </w:tcBorders>
            <w:shd w:val="clear" w:color="auto" w:fill="FFC000"/>
            <w:vAlign w:val="center"/>
          </w:tcPr>
          <w:p w14:paraId="391CAA99" w14:textId="77777777" w:rsidR="00707226" w:rsidRPr="00707226" w:rsidRDefault="00707226" w:rsidP="00707226">
            <w:pPr>
              <w:spacing w:before="20" w:after="20" w:line="259" w:lineRule="auto"/>
              <w:jc w:val="center"/>
              <w:rPr>
                <w:rFonts w:ascii="Calibri" w:eastAsia="Calibri" w:hAnsi="Calibri" w:cs="Times New Roman"/>
                <w:b/>
              </w:rPr>
            </w:pPr>
            <w:r w:rsidRPr="00707226">
              <w:rPr>
                <w:rFonts w:ascii="Calibri" w:eastAsia="Calibri" w:hAnsi="Calibri" w:cs="Times New Roman"/>
                <w:b/>
              </w:rPr>
              <w:t>Klady</w:t>
            </w:r>
          </w:p>
        </w:tc>
        <w:tc>
          <w:tcPr>
            <w:tcW w:w="4606" w:type="dxa"/>
            <w:tcBorders>
              <w:top w:val="single" w:sz="18" w:space="0" w:color="auto"/>
              <w:left w:val="single" w:sz="12" w:space="0" w:color="auto"/>
              <w:bottom w:val="single" w:sz="12" w:space="0" w:color="auto"/>
            </w:tcBorders>
            <w:shd w:val="clear" w:color="auto" w:fill="FFC000"/>
            <w:vAlign w:val="center"/>
          </w:tcPr>
          <w:p w14:paraId="1BC98C32" w14:textId="77777777" w:rsidR="00707226" w:rsidRPr="00707226" w:rsidRDefault="00707226" w:rsidP="00707226">
            <w:pPr>
              <w:spacing w:before="20" w:after="20" w:line="259" w:lineRule="auto"/>
              <w:jc w:val="center"/>
              <w:rPr>
                <w:rFonts w:ascii="Calibri" w:eastAsia="Calibri" w:hAnsi="Calibri" w:cs="Times New Roman"/>
                <w:b/>
              </w:rPr>
            </w:pPr>
            <w:r w:rsidRPr="00707226">
              <w:rPr>
                <w:rFonts w:ascii="Calibri" w:eastAsia="Calibri" w:hAnsi="Calibri" w:cs="Times New Roman"/>
                <w:b/>
              </w:rPr>
              <w:t>Zápory</w:t>
            </w:r>
          </w:p>
        </w:tc>
      </w:tr>
      <w:tr w:rsidR="00707226" w:rsidRPr="00707226" w14:paraId="5EE71485" w14:textId="77777777" w:rsidTr="004A7FDE">
        <w:tc>
          <w:tcPr>
            <w:tcW w:w="4606" w:type="dxa"/>
            <w:tcBorders>
              <w:top w:val="single" w:sz="12" w:space="0" w:color="auto"/>
              <w:right w:val="single" w:sz="12" w:space="0" w:color="auto"/>
            </w:tcBorders>
            <w:vAlign w:val="center"/>
          </w:tcPr>
          <w:p w14:paraId="05477CA1" w14:textId="290FD21E" w:rsidR="00707226" w:rsidRPr="00707226" w:rsidRDefault="00FF5B30" w:rsidP="00707226">
            <w:pPr>
              <w:spacing w:before="20" w:after="20" w:line="259" w:lineRule="auto"/>
              <w:jc w:val="center"/>
              <w:rPr>
                <w:rFonts w:ascii="Calibri" w:eastAsia="Calibri" w:hAnsi="Calibri" w:cs="Times New Roman"/>
              </w:rPr>
            </w:pPr>
            <w:r>
              <w:rPr>
                <w:rFonts w:ascii="Calibri" w:eastAsia="Calibri" w:hAnsi="Calibri" w:cs="Times New Roman"/>
              </w:rPr>
              <w:t>Existence</w:t>
            </w:r>
            <w:r w:rsidR="006C5645">
              <w:rPr>
                <w:rFonts w:ascii="Calibri" w:eastAsia="Calibri" w:hAnsi="Calibri" w:cs="Times New Roman"/>
              </w:rPr>
              <w:t xml:space="preserve"> autobus</w:t>
            </w:r>
            <w:r>
              <w:rPr>
                <w:rFonts w:ascii="Calibri" w:eastAsia="Calibri" w:hAnsi="Calibri" w:cs="Times New Roman"/>
              </w:rPr>
              <w:t>u</w:t>
            </w:r>
          </w:p>
        </w:tc>
        <w:tc>
          <w:tcPr>
            <w:tcW w:w="4606" w:type="dxa"/>
            <w:tcBorders>
              <w:top w:val="single" w:sz="12" w:space="0" w:color="auto"/>
              <w:left w:val="single" w:sz="12" w:space="0" w:color="auto"/>
            </w:tcBorders>
            <w:vAlign w:val="center"/>
          </w:tcPr>
          <w:p w14:paraId="2284E237" w14:textId="57D0B51C" w:rsidR="00707226" w:rsidRPr="00707226" w:rsidRDefault="00FF5B30" w:rsidP="00707226">
            <w:pPr>
              <w:spacing w:before="20" w:after="20" w:line="259" w:lineRule="auto"/>
              <w:jc w:val="center"/>
              <w:rPr>
                <w:rFonts w:ascii="Calibri" w:eastAsia="Calibri" w:hAnsi="Calibri" w:cs="Times New Roman"/>
              </w:rPr>
            </w:pPr>
            <w:r>
              <w:rPr>
                <w:rFonts w:ascii="Calibri" w:eastAsia="Calibri" w:hAnsi="Calibri" w:cs="Times New Roman"/>
              </w:rPr>
              <w:t>Málo spojů autobusu</w:t>
            </w:r>
          </w:p>
        </w:tc>
      </w:tr>
      <w:tr w:rsidR="00707226" w:rsidRPr="00707226" w14:paraId="2E24C56C" w14:textId="77777777" w:rsidTr="004A7FDE">
        <w:tc>
          <w:tcPr>
            <w:tcW w:w="4606" w:type="dxa"/>
            <w:tcBorders>
              <w:right w:val="single" w:sz="12" w:space="0" w:color="auto"/>
            </w:tcBorders>
            <w:vAlign w:val="center"/>
          </w:tcPr>
          <w:p w14:paraId="620B2987" w14:textId="34012158" w:rsidR="00707226" w:rsidRPr="00707226" w:rsidRDefault="006C5645" w:rsidP="00707226">
            <w:pPr>
              <w:spacing w:before="20" w:after="20" w:line="259" w:lineRule="auto"/>
              <w:jc w:val="center"/>
              <w:rPr>
                <w:rFonts w:ascii="Calibri" w:eastAsia="Calibri" w:hAnsi="Calibri" w:cs="Times New Roman"/>
              </w:rPr>
            </w:pPr>
            <w:r>
              <w:rPr>
                <w:rFonts w:ascii="Calibri" w:eastAsia="Calibri" w:hAnsi="Calibri" w:cs="Times New Roman"/>
              </w:rPr>
              <w:t>Omezení rychlosti</w:t>
            </w:r>
          </w:p>
        </w:tc>
        <w:tc>
          <w:tcPr>
            <w:tcW w:w="4606" w:type="dxa"/>
            <w:tcBorders>
              <w:left w:val="single" w:sz="12" w:space="0" w:color="auto"/>
            </w:tcBorders>
            <w:vAlign w:val="center"/>
          </w:tcPr>
          <w:p w14:paraId="6144F981" w14:textId="2A3FCD9A" w:rsidR="00707226" w:rsidRPr="00707226" w:rsidRDefault="00FF5B30" w:rsidP="00707226">
            <w:pPr>
              <w:spacing w:before="20" w:after="20" w:line="259" w:lineRule="auto"/>
              <w:jc w:val="center"/>
              <w:rPr>
                <w:rFonts w:ascii="Calibri" w:eastAsia="Calibri" w:hAnsi="Calibri" w:cs="Times New Roman"/>
              </w:rPr>
            </w:pPr>
            <w:r>
              <w:rPr>
                <w:rFonts w:ascii="Calibri" w:eastAsia="Calibri" w:hAnsi="Calibri" w:cs="Times New Roman"/>
              </w:rPr>
              <w:t>Nedostatečná kontrola rychlosti</w:t>
            </w:r>
          </w:p>
        </w:tc>
      </w:tr>
      <w:tr w:rsidR="00707226" w:rsidRPr="00707226" w14:paraId="064A095D" w14:textId="77777777" w:rsidTr="004A7FDE">
        <w:tc>
          <w:tcPr>
            <w:tcW w:w="4606" w:type="dxa"/>
            <w:tcBorders>
              <w:right w:val="single" w:sz="12" w:space="0" w:color="auto"/>
            </w:tcBorders>
            <w:vAlign w:val="center"/>
          </w:tcPr>
          <w:p w14:paraId="53B687DD" w14:textId="60616CCC" w:rsidR="00707226" w:rsidRPr="00707226" w:rsidRDefault="006C5645" w:rsidP="00707226">
            <w:pPr>
              <w:spacing w:before="20" w:after="20" w:line="259" w:lineRule="auto"/>
              <w:jc w:val="center"/>
              <w:rPr>
                <w:rFonts w:ascii="Calibri" w:eastAsia="Calibri" w:hAnsi="Calibri" w:cs="Times New Roman"/>
              </w:rPr>
            </w:pPr>
            <w:r>
              <w:rPr>
                <w:rFonts w:ascii="Calibri" w:eastAsia="Calibri" w:hAnsi="Calibri" w:cs="Times New Roman"/>
              </w:rPr>
              <w:t>Existence pošty</w:t>
            </w:r>
          </w:p>
        </w:tc>
        <w:tc>
          <w:tcPr>
            <w:tcW w:w="4606" w:type="dxa"/>
            <w:tcBorders>
              <w:left w:val="single" w:sz="12" w:space="0" w:color="auto"/>
            </w:tcBorders>
            <w:vAlign w:val="center"/>
          </w:tcPr>
          <w:p w14:paraId="1C871C01" w14:textId="7076FB09" w:rsidR="00707226" w:rsidRPr="00707226" w:rsidRDefault="00FF5B30" w:rsidP="00707226">
            <w:pPr>
              <w:spacing w:before="20" w:after="20" w:line="259" w:lineRule="auto"/>
              <w:jc w:val="center"/>
              <w:rPr>
                <w:rFonts w:ascii="Calibri" w:eastAsia="Calibri" w:hAnsi="Calibri" w:cs="Times New Roman"/>
              </w:rPr>
            </w:pPr>
            <w:r>
              <w:rPr>
                <w:rFonts w:ascii="Calibri" w:eastAsia="Calibri" w:hAnsi="Calibri" w:cs="Times New Roman"/>
              </w:rPr>
              <w:t>Nedostatečná péče o zámecký park</w:t>
            </w:r>
          </w:p>
        </w:tc>
      </w:tr>
      <w:tr w:rsidR="00707226" w:rsidRPr="00707226" w14:paraId="49670A54" w14:textId="77777777" w:rsidTr="004A7FDE">
        <w:tc>
          <w:tcPr>
            <w:tcW w:w="4606" w:type="dxa"/>
            <w:tcBorders>
              <w:right w:val="single" w:sz="12" w:space="0" w:color="auto"/>
            </w:tcBorders>
            <w:vAlign w:val="center"/>
          </w:tcPr>
          <w:p w14:paraId="6155F4B3" w14:textId="48CB6A08" w:rsidR="00707226" w:rsidRPr="00707226" w:rsidRDefault="006C5645" w:rsidP="00707226">
            <w:pPr>
              <w:spacing w:before="20" w:after="20" w:line="259" w:lineRule="auto"/>
              <w:jc w:val="center"/>
              <w:rPr>
                <w:rFonts w:ascii="Calibri" w:eastAsia="Calibri" w:hAnsi="Calibri" w:cs="Times New Roman"/>
              </w:rPr>
            </w:pPr>
            <w:r>
              <w:rPr>
                <w:rFonts w:ascii="Calibri" w:eastAsia="Calibri" w:hAnsi="Calibri" w:cs="Times New Roman"/>
              </w:rPr>
              <w:t>Úřad starosty</w:t>
            </w:r>
          </w:p>
        </w:tc>
        <w:tc>
          <w:tcPr>
            <w:tcW w:w="4606" w:type="dxa"/>
            <w:tcBorders>
              <w:left w:val="single" w:sz="12" w:space="0" w:color="auto"/>
            </w:tcBorders>
            <w:vAlign w:val="center"/>
          </w:tcPr>
          <w:p w14:paraId="39994E8B" w14:textId="1811B321" w:rsidR="00707226" w:rsidRPr="00707226" w:rsidRDefault="00FF5B30" w:rsidP="00707226">
            <w:pPr>
              <w:spacing w:before="20" w:after="20" w:line="259" w:lineRule="auto"/>
              <w:jc w:val="center"/>
              <w:rPr>
                <w:rFonts w:ascii="Calibri" w:eastAsia="Calibri" w:hAnsi="Calibri" w:cs="Times New Roman"/>
              </w:rPr>
            </w:pPr>
            <w:r>
              <w:rPr>
                <w:rFonts w:ascii="Calibri" w:eastAsia="Calibri" w:hAnsi="Calibri" w:cs="Times New Roman"/>
              </w:rPr>
              <w:t>Nezpevněná cesta do Dolců od rybníka</w:t>
            </w:r>
          </w:p>
        </w:tc>
      </w:tr>
      <w:tr w:rsidR="00707226" w:rsidRPr="00707226" w14:paraId="634E9180" w14:textId="77777777" w:rsidTr="004A7FDE">
        <w:tc>
          <w:tcPr>
            <w:tcW w:w="4606" w:type="dxa"/>
            <w:tcBorders>
              <w:right w:val="single" w:sz="12" w:space="0" w:color="auto"/>
            </w:tcBorders>
            <w:vAlign w:val="center"/>
          </w:tcPr>
          <w:p w14:paraId="11041E92" w14:textId="68A3DD9F" w:rsidR="00707226" w:rsidRPr="00707226" w:rsidRDefault="006C5645" w:rsidP="00707226">
            <w:pPr>
              <w:spacing w:before="20" w:after="20" w:line="259" w:lineRule="auto"/>
              <w:jc w:val="center"/>
              <w:rPr>
                <w:rFonts w:ascii="Calibri" w:eastAsia="Calibri" w:hAnsi="Calibri" w:cs="Times New Roman"/>
              </w:rPr>
            </w:pPr>
            <w:r>
              <w:rPr>
                <w:rFonts w:ascii="Calibri" w:eastAsia="Calibri" w:hAnsi="Calibri" w:cs="Times New Roman"/>
              </w:rPr>
              <w:t>Dětské hřiště</w:t>
            </w:r>
          </w:p>
        </w:tc>
        <w:tc>
          <w:tcPr>
            <w:tcW w:w="4606" w:type="dxa"/>
            <w:tcBorders>
              <w:left w:val="single" w:sz="12" w:space="0" w:color="auto"/>
            </w:tcBorders>
            <w:vAlign w:val="center"/>
          </w:tcPr>
          <w:p w14:paraId="661589A6" w14:textId="246922DD" w:rsidR="00707226" w:rsidRPr="00707226" w:rsidRDefault="00FF5B30" w:rsidP="00707226">
            <w:pPr>
              <w:spacing w:before="20" w:after="20" w:line="259" w:lineRule="auto"/>
              <w:jc w:val="center"/>
              <w:rPr>
                <w:rFonts w:ascii="Calibri" w:eastAsia="Calibri" w:hAnsi="Calibri" w:cs="Times New Roman"/>
              </w:rPr>
            </w:pPr>
            <w:r>
              <w:rPr>
                <w:rFonts w:ascii="Calibri" w:eastAsia="Calibri" w:hAnsi="Calibri" w:cs="Times New Roman"/>
              </w:rPr>
              <w:t>Absence centra vesnice</w:t>
            </w:r>
          </w:p>
        </w:tc>
      </w:tr>
      <w:tr w:rsidR="00707226" w:rsidRPr="00707226" w14:paraId="49926100" w14:textId="77777777" w:rsidTr="004A7FDE">
        <w:tc>
          <w:tcPr>
            <w:tcW w:w="4606" w:type="dxa"/>
            <w:tcBorders>
              <w:right w:val="single" w:sz="12" w:space="0" w:color="auto"/>
            </w:tcBorders>
            <w:vAlign w:val="center"/>
          </w:tcPr>
          <w:p w14:paraId="5830C06D" w14:textId="1EAED174" w:rsidR="00707226" w:rsidRPr="00707226" w:rsidRDefault="006C5645" w:rsidP="00707226">
            <w:pPr>
              <w:spacing w:before="20" w:after="20" w:line="259" w:lineRule="auto"/>
              <w:jc w:val="center"/>
              <w:rPr>
                <w:rFonts w:ascii="Calibri" w:eastAsia="Calibri" w:hAnsi="Calibri" w:cs="Times New Roman"/>
              </w:rPr>
            </w:pPr>
            <w:r>
              <w:rPr>
                <w:rFonts w:ascii="Calibri" w:eastAsia="Calibri" w:hAnsi="Calibri" w:cs="Times New Roman"/>
              </w:rPr>
              <w:t>Dostupnost přidělování bytů</w:t>
            </w:r>
          </w:p>
        </w:tc>
        <w:tc>
          <w:tcPr>
            <w:tcW w:w="4606" w:type="dxa"/>
            <w:tcBorders>
              <w:left w:val="single" w:sz="12" w:space="0" w:color="auto"/>
            </w:tcBorders>
            <w:vAlign w:val="center"/>
          </w:tcPr>
          <w:p w14:paraId="61530923" w14:textId="015B0476" w:rsidR="00707226" w:rsidRPr="00707226" w:rsidRDefault="00FF5B30" w:rsidP="00707226">
            <w:pPr>
              <w:spacing w:before="20" w:after="20" w:line="259" w:lineRule="auto"/>
              <w:jc w:val="center"/>
              <w:rPr>
                <w:rFonts w:ascii="Calibri" w:eastAsia="Calibri" w:hAnsi="Calibri" w:cs="Times New Roman"/>
              </w:rPr>
            </w:pPr>
            <w:r>
              <w:rPr>
                <w:rFonts w:ascii="Calibri" w:eastAsia="Calibri" w:hAnsi="Calibri" w:cs="Times New Roman"/>
              </w:rPr>
              <w:t>Vyžití pro starší děti (6+)</w:t>
            </w:r>
          </w:p>
        </w:tc>
      </w:tr>
      <w:tr w:rsidR="00707226" w:rsidRPr="00707226" w14:paraId="7AE068B3" w14:textId="77777777" w:rsidTr="004A7FDE">
        <w:tc>
          <w:tcPr>
            <w:tcW w:w="4606" w:type="dxa"/>
            <w:tcBorders>
              <w:right w:val="single" w:sz="12" w:space="0" w:color="auto"/>
            </w:tcBorders>
            <w:vAlign w:val="center"/>
          </w:tcPr>
          <w:p w14:paraId="0FA01C50" w14:textId="77777777" w:rsidR="00707226" w:rsidRPr="00707226" w:rsidRDefault="00707226" w:rsidP="00707226">
            <w:pPr>
              <w:spacing w:before="20" w:after="20" w:line="259" w:lineRule="auto"/>
              <w:jc w:val="center"/>
              <w:rPr>
                <w:rFonts w:ascii="Calibri" w:eastAsia="Calibri" w:hAnsi="Calibri" w:cs="Times New Roman"/>
              </w:rPr>
            </w:pPr>
          </w:p>
        </w:tc>
        <w:tc>
          <w:tcPr>
            <w:tcW w:w="4606" w:type="dxa"/>
            <w:tcBorders>
              <w:left w:val="single" w:sz="12" w:space="0" w:color="auto"/>
            </w:tcBorders>
            <w:vAlign w:val="center"/>
          </w:tcPr>
          <w:p w14:paraId="0C6ADE57" w14:textId="32360CDB" w:rsidR="00707226" w:rsidRPr="00707226" w:rsidRDefault="00FF5B30" w:rsidP="00707226">
            <w:pPr>
              <w:spacing w:before="20" w:after="20" w:line="259" w:lineRule="auto"/>
              <w:jc w:val="center"/>
              <w:rPr>
                <w:rFonts w:ascii="Calibri" w:eastAsia="Calibri" w:hAnsi="Calibri" w:cs="Times New Roman"/>
              </w:rPr>
            </w:pPr>
            <w:r>
              <w:rPr>
                <w:rFonts w:ascii="Calibri" w:eastAsia="Calibri" w:hAnsi="Calibri" w:cs="Times New Roman"/>
              </w:rPr>
              <w:t>Absence sdružení hasičů v obci</w:t>
            </w:r>
          </w:p>
        </w:tc>
      </w:tr>
      <w:tr w:rsidR="00707226" w:rsidRPr="00707226" w14:paraId="27A4F217" w14:textId="77777777" w:rsidTr="004A7FDE">
        <w:tc>
          <w:tcPr>
            <w:tcW w:w="4606" w:type="dxa"/>
            <w:tcBorders>
              <w:right w:val="single" w:sz="12" w:space="0" w:color="auto"/>
            </w:tcBorders>
            <w:vAlign w:val="center"/>
          </w:tcPr>
          <w:p w14:paraId="0E1D849B" w14:textId="77777777" w:rsidR="00707226" w:rsidRPr="00707226" w:rsidRDefault="00707226" w:rsidP="00707226">
            <w:pPr>
              <w:spacing w:before="20" w:after="20" w:line="259" w:lineRule="auto"/>
              <w:jc w:val="center"/>
              <w:rPr>
                <w:rFonts w:ascii="Calibri" w:eastAsia="Calibri" w:hAnsi="Calibri" w:cs="Times New Roman"/>
              </w:rPr>
            </w:pPr>
          </w:p>
        </w:tc>
        <w:tc>
          <w:tcPr>
            <w:tcW w:w="4606" w:type="dxa"/>
            <w:tcBorders>
              <w:left w:val="single" w:sz="12" w:space="0" w:color="auto"/>
            </w:tcBorders>
            <w:vAlign w:val="center"/>
          </w:tcPr>
          <w:p w14:paraId="1D74DF3D" w14:textId="4D1EE055" w:rsidR="00707226" w:rsidRPr="00707226" w:rsidRDefault="00FF5B30" w:rsidP="00707226">
            <w:pPr>
              <w:spacing w:before="20" w:after="20" w:line="259" w:lineRule="auto"/>
              <w:jc w:val="center"/>
              <w:rPr>
                <w:rFonts w:ascii="Calibri" w:eastAsia="Calibri" w:hAnsi="Calibri" w:cs="Times New Roman"/>
              </w:rPr>
            </w:pPr>
            <w:r>
              <w:rPr>
                <w:rFonts w:ascii="Calibri" w:eastAsia="Calibri" w:hAnsi="Calibri" w:cs="Times New Roman"/>
              </w:rPr>
              <w:t>Nedostatečná práce s</w:t>
            </w:r>
            <w:r w:rsidR="00B803D2">
              <w:rPr>
                <w:rFonts w:ascii="Calibri" w:eastAsia="Calibri" w:hAnsi="Calibri" w:cs="Times New Roman"/>
              </w:rPr>
              <w:t> </w:t>
            </w:r>
            <w:r>
              <w:rPr>
                <w:rFonts w:ascii="Calibri" w:eastAsia="Calibri" w:hAnsi="Calibri" w:cs="Times New Roman"/>
              </w:rPr>
              <w:t>mládeží</w:t>
            </w:r>
            <w:r w:rsidR="00B803D2">
              <w:rPr>
                <w:rFonts w:ascii="Calibri" w:eastAsia="Calibri" w:hAnsi="Calibri" w:cs="Times New Roman"/>
              </w:rPr>
              <w:t xml:space="preserve"> – myslivci, fotbalisti</w:t>
            </w:r>
          </w:p>
        </w:tc>
      </w:tr>
      <w:tr w:rsidR="00B803D2" w:rsidRPr="00707226" w14:paraId="27FE4985" w14:textId="77777777" w:rsidTr="004A7FDE">
        <w:tc>
          <w:tcPr>
            <w:tcW w:w="4606" w:type="dxa"/>
            <w:tcBorders>
              <w:right w:val="single" w:sz="12" w:space="0" w:color="auto"/>
            </w:tcBorders>
            <w:vAlign w:val="center"/>
          </w:tcPr>
          <w:p w14:paraId="5E8F773D" w14:textId="77777777" w:rsidR="00B803D2" w:rsidRPr="00707226" w:rsidRDefault="00B803D2" w:rsidP="00707226">
            <w:pPr>
              <w:spacing w:before="20" w:after="20" w:line="259" w:lineRule="auto"/>
              <w:jc w:val="center"/>
              <w:rPr>
                <w:rFonts w:ascii="Calibri" w:eastAsia="Calibri" w:hAnsi="Calibri" w:cs="Times New Roman"/>
              </w:rPr>
            </w:pPr>
          </w:p>
        </w:tc>
        <w:tc>
          <w:tcPr>
            <w:tcW w:w="4606" w:type="dxa"/>
            <w:tcBorders>
              <w:left w:val="single" w:sz="12" w:space="0" w:color="auto"/>
            </w:tcBorders>
            <w:vAlign w:val="center"/>
          </w:tcPr>
          <w:p w14:paraId="40DE375A" w14:textId="308D399E" w:rsidR="00B803D2" w:rsidRDefault="00B803D2" w:rsidP="00707226">
            <w:pPr>
              <w:spacing w:before="20" w:after="20" w:line="259" w:lineRule="auto"/>
              <w:jc w:val="center"/>
              <w:rPr>
                <w:rFonts w:ascii="Calibri" w:eastAsia="Calibri" w:hAnsi="Calibri" w:cs="Times New Roman"/>
              </w:rPr>
            </w:pPr>
            <w:r>
              <w:rPr>
                <w:rFonts w:ascii="Calibri" w:eastAsia="Calibri" w:hAnsi="Calibri" w:cs="Times New Roman"/>
              </w:rPr>
              <w:t>Nedostatečné zadržování vody v krajině</w:t>
            </w:r>
          </w:p>
        </w:tc>
      </w:tr>
    </w:tbl>
    <w:p w14:paraId="7DE82867" w14:textId="77777777" w:rsidR="00707226" w:rsidRPr="00707226" w:rsidRDefault="00707226" w:rsidP="00707226">
      <w:pPr>
        <w:spacing w:after="160" w:line="259" w:lineRule="auto"/>
        <w:contextualSpacing/>
        <w:jc w:val="both"/>
        <w:rPr>
          <w:rFonts w:ascii="Calibri" w:eastAsia="Calibri" w:hAnsi="Calibri" w:cs="Times New Roman"/>
        </w:rPr>
      </w:pPr>
    </w:p>
    <w:p w14:paraId="4E6305A2" w14:textId="77777777" w:rsidR="00707226" w:rsidRPr="00707226" w:rsidRDefault="00707226" w:rsidP="00707226">
      <w:pPr>
        <w:spacing w:after="160" w:line="259" w:lineRule="auto"/>
        <w:contextualSpacing/>
        <w:jc w:val="both"/>
        <w:rPr>
          <w:rFonts w:ascii="Calibri" w:eastAsia="Calibri" w:hAnsi="Calibri" w:cs="Times New Roman"/>
        </w:rPr>
      </w:pPr>
    </w:p>
    <w:p w14:paraId="47DBE866" w14:textId="77777777" w:rsidR="00707226" w:rsidRPr="00707226" w:rsidRDefault="00707226" w:rsidP="00707226">
      <w:pPr>
        <w:spacing w:after="160" w:line="259" w:lineRule="auto"/>
        <w:contextualSpacing/>
        <w:jc w:val="both"/>
        <w:rPr>
          <w:rFonts w:ascii="Calibri" w:eastAsia="Calibri" w:hAnsi="Calibri" w:cs="Times New Roman"/>
        </w:rPr>
      </w:pPr>
      <w:r w:rsidRPr="00707226">
        <w:rPr>
          <w:rFonts w:ascii="Calibri" w:eastAsia="Calibri" w:hAnsi="Calibri" w:cs="Times New Roman"/>
          <w:u w:val="single"/>
        </w:rPr>
        <w:t>Projektové záměry (v závorce uveden počet preferenčních hlasů)</w:t>
      </w:r>
    </w:p>
    <w:p w14:paraId="5A6F7502" w14:textId="14B12020" w:rsidR="00707226" w:rsidRPr="00707226" w:rsidRDefault="0073086F">
      <w:pPr>
        <w:numPr>
          <w:ilvl w:val="0"/>
          <w:numId w:val="21"/>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Řešit centrum obce</w:t>
      </w:r>
      <w:r w:rsidR="00707226" w:rsidRPr="00707226">
        <w:rPr>
          <w:rFonts w:ascii="Calibri" w:eastAsia="Calibri" w:hAnsi="Calibri" w:cs="Times New Roman"/>
        </w:rPr>
        <w:t xml:space="preserve"> (</w:t>
      </w:r>
      <w:r w:rsidR="002E58F4">
        <w:rPr>
          <w:rFonts w:ascii="Calibri" w:eastAsia="Calibri" w:hAnsi="Calibri" w:cs="Times New Roman"/>
        </w:rPr>
        <w:t>17</w:t>
      </w:r>
      <w:r w:rsidR="00707226" w:rsidRPr="00707226">
        <w:rPr>
          <w:rFonts w:ascii="Calibri" w:eastAsia="Calibri" w:hAnsi="Calibri" w:cs="Times New Roman"/>
        </w:rPr>
        <w:t>)</w:t>
      </w:r>
    </w:p>
    <w:p w14:paraId="00E8B369" w14:textId="6BF6257D" w:rsidR="00707226" w:rsidRPr="00707226" w:rsidRDefault="002E58F4">
      <w:pPr>
        <w:numPr>
          <w:ilvl w:val="0"/>
          <w:numId w:val="21"/>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Zpevnit cestu do Dolců – cyklostezka do Trutnova</w:t>
      </w:r>
      <w:r w:rsidR="00707226" w:rsidRPr="00707226">
        <w:rPr>
          <w:rFonts w:ascii="Calibri" w:eastAsia="Calibri" w:hAnsi="Calibri" w:cs="Times New Roman"/>
        </w:rPr>
        <w:t xml:space="preserve"> (</w:t>
      </w:r>
      <w:r>
        <w:rPr>
          <w:rFonts w:ascii="Calibri" w:eastAsia="Calibri" w:hAnsi="Calibri" w:cs="Times New Roman"/>
        </w:rPr>
        <w:t>9</w:t>
      </w:r>
      <w:r w:rsidR="00707226" w:rsidRPr="00707226">
        <w:rPr>
          <w:rFonts w:ascii="Calibri" w:eastAsia="Calibri" w:hAnsi="Calibri" w:cs="Times New Roman"/>
        </w:rPr>
        <w:t>)</w:t>
      </w:r>
    </w:p>
    <w:p w14:paraId="6EE1E7AC" w14:textId="77777777" w:rsidR="00A27B61" w:rsidRPr="00707226" w:rsidRDefault="00A27B61">
      <w:pPr>
        <w:numPr>
          <w:ilvl w:val="0"/>
          <w:numId w:val="21"/>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Práce s mládeží – myslivci, fotbalisti – akce, pravidelné aktivity</w:t>
      </w:r>
      <w:r w:rsidRPr="00707226">
        <w:rPr>
          <w:rFonts w:ascii="Calibri" w:eastAsia="Calibri" w:hAnsi="Calibri" w:cs="Times New Roman"/>
        </w:rPr>
        <w:t xml:space="preserve"> (</w:t>
      </w:r>
      <w:r>
        <w:rPr>
          <w:rFonts w:ascii="Calibri" w:eastAsia="Calibri" w:hAnsi="Calibri" w:cs="Times New Roman"/>
        </w:rPr>
        <w:t>5</w:t>
      </w:r>
      <w:r w:rsidRPr="00707226">
        <w:rPr>
          <w:rFonts w:ascii="Calibri" w:eastAsia="Calibri" w:hAnsi="Calibri" w:cs="Times New Roman"/>
        </w:rPr>
        <w:t>)</w:t>
      </w:r>
    </w:p>
    <w:p w14:paraId="7A3762E9" w14:textId="11D7716A" w:rsidR="00707226" w:rsidRPr="00707226" w:rsidRDefault="002E58F4">
      <w:pPr>
        <w:numPr>
          <w:ilvl w:val="0"/>
          <w:numId w:val="21"/>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Zlepšit kontrolu rychlosti vozidel</w:t>
      </w:r>
      <w:r w:rsidR="00707226" w:rsidRPr="00707226">
        <w:rPr>
          <w:rFonts w:ascii="Calibri" w:eastAsia="Calibri" w:hAnsi="Calibri" w:cs="Times New Roman"/>
        </w:rPr>
        <w:t xml:space="preserve"> (</w:t>
      </w:r>
      <w:r>
        <w:rPr>
          <w:rFonts w:ascii="Calibri" w:eastAsia="Calibri" w:hAnsi="Calibri" w:cs="Times New Roman"/>
        </w:rPr>
        <w:t>3</w:t>
      </w:r>
      <w:r w:rsidR="00707226" w:rsidRPr="00707226">
        <w:rPr>
          <w:rFonts w:ascii="Calibri" w:eastAsia="Calibri" w:hAnsi="Calibri" w:cs="Times New Roman"/>
        </w:rPr>
        <w:t>)</w:t>
      </w:r>
    </w:p>
    <w:p w14:paraId="2DA16A59" w14:textId="77777777" w:rsidR="00160A94" w:rsidRPr="00707226" w:rsidRDefault="00160A94">
      <w:pPr>
        <w:numPr>
          <w:ilvl w:val="0"/>
          <w:numId w:val="21"/>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Zadržování vody v krajině</w:t>
      </w:r>
      <w:r w:rsidRPr="00707226">
        <w:rPr>
          <w:rFonts w:ascii="Calibri" w:eastAsia="Calibri" w:hAnsi="Calibri" w:cs="Times New Roman"/>
        </w:rPr>
        <w:t xml:space="preserve"> (</w:t>
      </w:r>
      <w:r>
        <w:rPr>
          <w:rFonts w:ascii="Calibri" w:eastAsia="Calibri" w:hAnsi="Calibri" w:cs="Times New Roman"/>
        </w:rPr>
        <w:t>3</w:t>
      </w:r>
      <w:r w:rsidRPr="00707226">
        <w:rPr>
          <w:rFonts w:ascii="Calibri" w:eastAsia="Calibri" w:hAnsi="Calibri" w:cs="Times New Roman"/>
        </w:rPr>
        <w:t>)</w:t>
      </w:r>
    </w:p>
    <w:p w14:paraId="39DA8573" w14:textId="69818A22" w:rsidR="00707226" w:rsidRPr="00707226" w:rsidRDefault="002E58F4">
      <w:pPr>
        <w:numPr>
          <w:ilvl w:val="0"/>
          <w:numId w:val="21"/>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Zlepšit péči o zámecký park</w:t>
      </w:r>
      <w:r w:rsidRPr="00707226">
        <w:rPr>
          <w:rFonts w:ascii="Calibri" w:eastAsia="Calibri" w:hAnsi="Calibri" w:cs="Times New Roman"/>
        </w:rPr>
        <w:t xml:space="preserve"> </w:t>
      </w:r>
      <w:r w:rsidR="00707226" w:rsidRPr="00707226">
        <w:rPr>
          <w:rFonts w:ascii="Calibri" w:eastAsia="Calibri" w:hAnsi="Calibri" w:cs="Times New Roman"/>
        </w:rPr>
        <w:t>(2)</w:t>
      </w:r>
    </w:p>
    <w:p w14:paraId="5B095D3D" w14:textId="77777777" w:rsidR="00707226" w:rsidRPr="00707226" w:rsidRDefault="00707226" w:rsidP="00707226">
      <w:pPr>
        <w:spacing w:after="160" w:line="259" w:lineRule="auto"/>
        <w:jc w:val="both"/>
        <w:rPr>
          <w:rFonts w:ascii="Calibri" w:eastAsia="Calibri" w:hAnsi="Calibri" w:cs="Times New Roman"/>
        </w:rPr>
      </w:pPr>
    </w:p>
    <w:p w14:paraId="114ACB59" w14:textId="77777777" w:rsidR="00707226" w:rsidRPr="00707226" w:rsidRDefault="00707226" w:rsidP="00707226">
      <w:pPr>
        <w:spacing w:after="160" w:line="259" w:lineRule="auto"/>
        <w:contextualSpacing/>
        <w:jc w:val="both"/>
        <w:rPr>
          <w:rFonts w:ascii="Calibri" w:eastAsia="Calibri" w:hAnsi="Calibri" w:cs="Times New Roman"/>
        </w:rPr>
      </w:pPr>
    </w:p>
    <w:p w14:paraId="7D67D52B" w14:textId="592DAF1F" w:rsidR="00707226" w:rsidRPr="00707226" w:rsidRDefault="00707226" w:rsidP="00707226">
      <w:pPr>
        <w:spacing w:line="360" w:lineRule="auto"/>
        <w:jc w:val="both"/>
        <w:rPr>
          <w:rFonts w:ascii="Calibri" w:eastAsia="Calibri" w:hAnsi="Calibri" w:cs="Times New Roman"/>
          <w:b/>
          <w:u w:val="single"/>
        </w:rPr>
      </w:pPr>
      <w:r w:rsidRPr="00707226">
        <w:rPr>
          <w:rFonts w:ascii="Calibri" w:eastAsia="Calibri" w:hAnsi="Calibri" w:cs="Times New Roman"/>
          <w:b/>
          <w:u w:val="single"/>
        </w:rPr>
        <w:t xml:space="preserve">Výsledky za téma </w:t>
      </w:r>
      <w:r w:rsidR="003E26D5">
        <w:rPr>
          <w:rFonts w:ascii="Calibri" w:eastAsia="Calibri" w:hAnsi="Calibri" w:cs="Times New Roman"/>
          <w:b/>
          <w:u w:val="single"/>
        </w:rPr>
        <w:t>VOLNÝ ČAS</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4507"/>
        <w:gridCol w:w="4519"/>
      </w:tblGrid>
      <w:tr w:rsidR="00707226" w:rsidRPr="00707226" w14:paraId="34E570F9" w14:textId="77777777" w:rsidTr="003E26D5">
        <w:tc>
          <w:tcPr>
            <w:tcW w:w="4507" w:type="dxa"/>
            <w:tcBorders>
              <w:top w:val="single" w:sz="18" w:space="0" w:color="auto"/>
              <w:bottom w:val="single" w:sz="12" w:space="0" w:color="auto"/>
              <w:right w:val="single" w:sz="12" w:space="0" w:color="auto"/>
            </w:tcBorders>
            <w:shd w:val="clear" w:color="auto" w:fill="FFC000"/>
            <w:vAlign w:val="center"/>
          </w:tcPr>
          <w:p w14:paraId="1369C989" w14:textId="77777777" w:rsidR="00707226" w:rsidRPr="00707226" w:rsidRDefault="00707226" w:rsidP="00707226">
            <w:pPr>
              <w:spacing w:before="20" w:after="20" w:line="259" w:lineRule="auto"/>
              <w:jc w:val="center"/>
              <w:rPr>
                <w:rFonts w:ascii="Calibri" w:eastAsia="Calibri" w:hAnsi="Calibri" w:cs="Times New Roman"/>
                <w:b/>
              </w:rPr>
            </w:pPr>
            <w:r w:rsidRPr="00707226">
              <w:rPr>
                <w:rFonts w:ascii="Calibri" w:eastAsia="Calibri" w:hAnsi="Calibri" w:cs="Times New Roman"/>
                <w:b/>
              </w:rPr>
              <w:t>Klady</w:t>
            </w:r>
          </w:p>
        </w:tc>
        <w:tc>
          <w:tcPr>
            <w:tcW w:w="4519" w:type="dxa"/>
            <w:tcBorders>
              <w:top w:val="single" w:sz="18" w:space="0" w:color="auto"/>
              <w:left w:val="single" w:sz="12" w:space="0" w:color="auto"/>
              <w:bottom w:val="single" w:sz="12" w:space="0" w:color="auto"/>
            </w:tcBorders>
            <w:shd w:val="clear" w:color="auto" w:fill="FFC000"/>
            <w:vAlign w:val="center"/>
          </w:tcPr>
          <w:p w14:paraId="5C654A6F" w14:textId="77777777" w:rsidR="00707226" w:rsidRPr="00707226" w:rsidRDefault="00707226" w:rsidP="00707226">
            <w:pPr>
              <w:spacing w:before="20" w:after="20" w:line="259" w:lineRule="auto"/>
              <w:jc w:val="center"/>
              <w:rPr>
                <w:rFonts w:ascii="Calibri" w:eastAsia="Calibri" w:hAnsi="Calibri" w:cs="Times New Roman"/>
                <w:b/>
              </w:rPr>
            </w:pPr>
            <w:r w:rsidRPr="00707226">
              <w:rPr>
                <w:rFonts w:ascii="Calibri" w:eastAsia="Calibri" w:hAnsi="Calibri" w:cs="Times New Roman"/>
                <w:b/>
              </w:rPr>
              <w:t>Zápory</w:t>
            </w:r>
          </w:p>
        </w:tc>
      </w:tr>
      <w:tr w:rsidR="00707226" w:rsidRPr="00707226" w14:paraId="60A98550" w14:textId="77777777" w:rsidTr="004A7FDE">
        <w:tc>
          <w:tcPr>
            <w:tcW w:w="4507" w:type="dxa"/>
            <w:tcBorders>
              <w:top w:val="single" w:sz="12" w:space="0" w:color="auto"/>
              <w:right w:val="single" w:sz="12" w:space="0" w:color="auto"/>
            </w:tcBorders>
            <w:vAlign w:val="center"/>
          </w:tcPr>
          <w:p w14:paraId="612BC278" w14:textId="5E64C40D" w:rsidR="00707226" w:rsidRPr="00707226" w:rsidRDefault="004616B1" w:rsidP="00707226">
            <w:pPr>
              <w:spacing w:before="20" w:after="20" w:line="259" w:lineRule="auto"/>
              <w:jc w:val="center"/>
              <w:rPr>
                <w:rFonts w:ascii="Calibri" w:eastAsia="Calibri" w:hAnsi="Calibri" w:cs="Times New Roman"/>
              </w:rPr>
            </w:pPr>
            <w:r>
              <w:rPr>
                <w:rFonts w:ascii="Calibri" w:eastAsia="Calibri" w:hAnsi="Calibri" w:cs="Times New Roman"/>
              </w:rPr>
              <w:t>Fotbalové hřiště</w:t>
            </w:r>
          </w:p>
        </w:tc>
        <w:tc>
          <w:tcPr>
            <w:tcW w:w="4519" w:type="dxa"/>
            <w:tcBorders>
              <w:top w:val="single" w:sz="12" w:space="0" w:color="auto"/>
              <w:left w:val="single" w:sz="12" w:space="0" w:color="auto"/>
            </w:tcBorders>
            <w:vAlign w:val="center"/>
          </w:tcPr>
          <w:p w14:paraId="66D05068" w14:textId="40B705D1" w:rsidR="00707226" w:rsidRPr="00707226" w:rsidRDefault="002D0935" w:rsidP="00707226">
            <w:pPr>
              <w:spacing w:before="20" w:after="20" w:line="259" w:lineRule="auto"/>
              <w:jc w:val="center"/>
              <w:rPr>
                <w:rFonts w:ascii="Calibri" w:eastAsia="Calibri" w:hAnsi="Calibri" w:cs="Times New Roman"/>
              </w:rPr>
            </w:pPr>
            <w:r>
              <w:rPr>
                <w:rFonts w:ascii="Calibri" w:eastAsia="Calibri" w:hAnsi="Calibri" w:cs="Times New Roman"/>
              </w:rPr>
              <w:t>Chybí chodník</w:t>
            </w:r>
          </w:p>
        </w:tc>
      </w:tr>
      <w:tr w:rsidR="00707226" w:rsidRPr="00707226" w14:paraId="43E5C11E" w14:textId="77777777" w:rsidTr="004A7FDE">
        <w:tc>
          <w:tcPr>
            <w:tcW w:w="4507" w:type="dxa"/>
            <w:tcBorders>
              <w:right w:val="single" w:sz="12" w:space="0" w:color="auto"/>
            </w:tcBorders>
            <w:vAlign w:val="center"/>
          </w:tcPr>
          <w:p w14:paraId="626C3E9A" w14:textId="1F65C492" w:rsidR="00707226" w:rsidRPr="00707226" w:rsidRDefault="004616B1" w:rsidP="00707226">
            <w:pPr>
              <w:spacing w:before="20" w:after="20" w:line="259" w:lineRule="auto"/>
              <w:jc w:val="center"/>
              <w:rPr>
                <w:rFonts w:ascii="Calibri" w:eastAsia="Calibri" w:hAnsi="Calibri" w:cs="Times New Roman"/>
              </w:rPr>
            </w:pPr>
            <w:r>
              <w:rPr>
                <w:rFonts w:ascii="Calibri" w:eastAsia="Calibri" w:hAnsi="Calibri" w:cs="Times New Roman"/>
              </w:rPr>
              <w:t>Dětské hřiště</w:t>
            </w:r>
          </w:p>
        </w:tc>
        <w:tc>
          <w:tcPr>
            <w:tcW w:w="4519" w:type="dxa"/>
            <w:tcBorders>
              <w:left w:val="single" w:sz="12" w:space="0" w:color="auto"/>
            </w:tcBorders>
            <w:vAlign w:val="center"/>
          </w:tcPr>
          <w:p w14:paraId="6DAA9367" w14:textId="030C52AF" w:rsidR="00707226" w:rsidRPr="00707226" w:rsidRDefault="002D0935" w:rsidP="00707226">
            <w:pPr>
              <w:spacing w:before="20" w:after="20" w:line="259" w:lineRule="auto"/>
              <w:jc w:val="center"/>
              <w:rPr>
                <w:rFonts w:ascii="Calibri" w:eastAsia="Calibri" w:hAnsi="Calibri" w:cs="Times New Roman"/>
              </w:rPr>
            </w:pPr>
            <w:r>
              <w:rPr>
                <w:rFonts w:ascii="Calibri" w:eastAsia="Calibri" w:hAnsi="Calibri" w:cs="Times New Roman"/>
              </w:rPr>
              <w:t>Chybí multifunkční místo pro různé obyvatele</w:t>
            </w:r>
          </w:p>
        </w:tc>
      </w:tr>
      <w:tr w:rsidR="00707226" w:rsidRPr="00707226" w14:paraId="5FD5BA83" w14:textId="77777777" w:rsidTr="004A7FDE">
        <w:tc>
          <w:tcPr>
            <w:tcW w:w="4507" w:type="dxa"/>
            <w:tcBorders>
              <w:right w:val="single" w:sz="12" w:space="0" w:color="auto"/>
            </w:tcBorders>
            <w:vAlign w:val="center"/>
          </w:tcPr>
          <w:p w14:paraId="602E688C" w14:textId="3C834A20" w:rsidR="00707226" w:rsidRPr="00707226" w:rsidRDefault="002D0935" w:rsidP="00707226">
            <w:pPr>
              <w:spacing w:before="20" w:after="20" w:line="259" w:lineRule="auto"/>
              <w:jc w:val="center"/>
              <w:rPr>
                <w:rFonts w:ascii="Calibri" w:eastAsia="Calibri" w:hAnsi="Calibri" w:cs="Times New Roman"/>
              </w:rPr>
            </w:pPr>
            <w:r>
              <w:rPr>
                <w:rFonts w:ascii="Calibri" w:eastAsia="Calibri" w:hAnsi="Calibri" w:cs="Times New Roman"/>
              </w:rPr>
              <w:t>„Cyklofriendly“</w:t>
            </w:r>
          </w:p>
        </w:tc>
        <w:tc>
          <w:tcPr>
            <w:tcW w:w="4519" w:type="dxa"/>
            <w:tcBorders>
              <w:left w:val="single" w:sz="12" w:space="0" w:color="auto"/>
            </w:tcBorders>
            <w:vAlign w:val="center"/>
          </w:tcPr>
          <w:p w14:paraId="6F6DBC17" w14:textId="1DF1EB69" w:rsidR="00707226" w:rsidRPr="00707226" w:rsidRDefault="002D0935" w:rsidP="00707226">
            <w:pPr>
              <w:spacing w:before="20" w:after="20" w:line="259" w:lineRule="auto"/>
              <w:jc w:val="center"/>
              <w:rPr>
                <w:rFonts w:ascii="Calibri" w:eastAsia="Calibri" w:hAnsi="Calibri" w:cs="Times New Roman"/>
              </w:rPr>
            </w:pPr>
            <w:r>
              <w:rPr>
                <w:rFonts w:ascii="Calibri" w:eastAsia="Calibri" w:hAnsi="Calibri" w:cs="Times New Roman"/>
              </w:rPr>
              <w:t>Špatný stav cest (např. po dešti se na Dolce nedá)</w:t>
            </w:r>
          </w:p>
        </w:tc>
      </w:tr>
      <w:tr w:rsidR="002D0935" w:rsidRPr="00707226" w14:paraId="78D78ED9" w14:textId="77777777" w:rsidTr="004A7FDE">
        <w:tc>
          <w:tcPr>
            <w:tcW w:w="4507" w:type="dxa"/>
            <w:tcBorders>
              <w:right w:val="single" w:sz="12" w:space="0" w:color="auto"/>
            </w:tcBorders>
            <w:vAlign w:val="center"/>
          </w:tcPr>
          <w:p w14:paraId="7C3F4CB8" w14:textId="39537F95" w:rsidR="002D0935" w:rsidRPr="00707226" w:rsidRDefault="002D0935" w:rsidP="002D0935">
            <w:pPr>
              <w:spacing w:before="20" w:after="20" w:line="259" w:lineRule="auto"/>
              <w:jc w:val="center"/>
              <w:rPr>
                <w:rFonts w:ascii="Calibri" w:eastAsia="Calibri" w:hAnsi="Calibri" w:cs="Times New Roman"/>
              </w:rPr>
            </w:pPr>
            <w:r>
              <w:rPr>
                <w:rFonts w:ascii="Calibri" w:eastAsia="Calibri" w:hAnsi="Calibri" w:cs="Times New Roman"/>
              </w:rPr>
              <w:t>Blízko k Dolcům</w:t>
            </w:r>
          </w:p>
        </w:tc>
        <w:tc>
          <w:tcPr>
            <w:tcW w:w="4519" w:type="dxa"/>
            <w:tcBorders>
              <w:left w:val="single" w:sz="12" w:space="0" w:color="auto"/>
            </w:tcBorders>
            <w:vAlign w:val="center"/>
          </w:tcPr>
          <w:p w14:paraId="236F1DD1" w14:textId="53523A57" w:rsidR="002D0935" w:rsidRPr="00707226" w:rsidRDefault="002D0935" w:rsidP="002D0935">
            <w:pPr>
              <w:spacing w:before="20" w:after="20" w:line="259" w:lineRule="auto"/>
              <w:jc w:val="center"/>
              <w:rPr>
                <w:rFonts w:ascii="Calibri" w:eastAsia="Calibri" w:hAnsi="Calibri" w:cs="Times New Roman"/>
              </w:rPr>
            </w:pPr>
            <w:r>
              <w:rPr>
                <w:rFonts w:ascii="Calibri" w:eastAsia="Calibri" w:hAnsi="Calibri" w:cs="Times New Roman"/>
              </w:rPr>
              <w:t>Málo akcí pro dospělé k vzájemnému poznávání „původních“ s „novými“</w:t>
            </w:r>
          </w:p>
        </w:tc>
      </w:tr>
    </w:tbl>
    <w:p w14:paraId="00901651" w14:textId="77777777" w:rsidR="00707226" w:rsidRPr="00707226" w:rsidRDefault="00707226" w:rsidP="00707226">
      <w:pPr>
        <w:spacing w:after="160" w:line="259" w:lineRule="auto"/>
        <w:contextualSpacing/>
        <w:jc w:val="both"/>
        <w:rPr>
          <w:rFonts w:ascii="Calibri" w:eastAsia="Calibri" w:hAnsi="Calibri" w:cs="Times New Roman"/>
          <w:b/>
        </w:rPr>
      </w:pPr>
    </w:p>
    <w:p w14:paraId="32B4E217" w14:textId="77777777" w:rsidR="00707226" w:rsidRPr="00707226" w:rsidRDefault="00707226" w:rsidP="00707226">
      <w:pPr>
        <w:spacing w:after="160" w:line="259" w:lineRule="auto"/>
        <w:contextualSpacing/>
        <w:jc w:val="both"/>
        <w:rPr>
          <w:rFonts w:ascii="Calibri" w:eastAsia="Calibri" w:hAnsi="Calibri" w:cs="Times New Roman"/>
        </w:rPr>
      </w:pPr>
      <w:r w:rsidRPr="00707226">
        <w:rPr>
          <w:rFonts w:ascii="Calibri" w:eastAsia="Calibri" w:hAnsi="Calibri" w:cs="Times New Roman"/>
          <w:u w:val="single"/>
        </w:rPr>
        <w:t>Projektové záměry (v závorce uveden počet preferenčních hlasů)</w:t>
      </w:r>
    </w:p>
    <w:p w14:paraId="61754668" w14:textId="77777777" w:rsidR="003446DD" w:rsidRPr="00707226" w:rsidRDefault="003446DD">
      <w:pPr>
        <w:numPr>
          <w:ilvl w:val="0"/>
          <w:numId w:val="22"/>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Vybudování společenského centra v prostorách zámečku</w:t>
      </w:r>
      <w:r w:rsidRPr="00707226">
        <w:rPr>
          <w:rFonts w:ascii="Calibri" w:eastAsia="Calibri" w:hAnsi="Calibri" w:cs="Times New Roman"/>
        </w:rPr>
        <w:t xml:space="preserve"> (</w:t>
      </w:r>
      <w:r>
        <w:rPr>
          <w:rFonts w:ascii="Calibri" w:eastAsia="Calibri" w:hAnsi="Calibri" w:cs="Times New Roman"/>
        </w:rPr>
        <w:t>1</w:t>
      </w:r>
      <w:r w:rsidRPr="00707226">
        <w:rPr>
          <w:rFonts w:ascii="Calibri" w:eastAsia="Calibri" w:hAnsi="Calibri" w:cs="Times New Roman"/>
        </w:rPr>
        <w:t>0)</w:t>
      </w:r>
    </w:p>
    <w:p w14:paraId="3D632EEB" w14:textId="77777777" w:rsidR="003446DD" w:rsidRPr="00707226" w:rsidRDefault="003446DD">
      <w:pPr>
        <w:numPr>
          <w:ilvl w:val="0"/>
          <w:numId w:val="22"/>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Vytvoření tradice „Svatoanenské slavnosti“ (8)</w:t>
      </w:r>
    </w:p>
    <w:p w14:paraId="60525CD4" w14:textId="17336DF7" w:rsidR="00707226" w:rsidRPr="00707226" w:rsidRDefault="003446DD">
      <w:pPr>
        <w:numPr>
          <w:ilvl w:val="0"/>
          <w:numId w:val="22"/>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Multifunkční areál, kde by se setkávali různí obyvatelé (rodiče s dětmi apod.)</w:t>
      </w:r>
      <w:r w:rsidR="00707226" w:rsidRPr="00707226">
        <w:rPr>
          <w:rFonts w:ascii="Calibri" w:eastAsia="Calibri" w:hAnsi="Calibri" w:cs="Times New Roman"/>
        </w:rPr>
        <w:t xml:space="preserve"> (</w:t>
      </w:r>
      <w:r>
        <w:rPr>
          <w:rFonts w:ascii="Calibri" w:eastAsia="Calibri" w:hAnsi="Calibri" w:cs="Times New Roman"/>
        </w:rPr>
        <w:t>5</w:t>
      </w:r>
      <w:r w:rsidR="00707226" w:rsidRPr="00707226">
        <w:rPr>
          <w:rFonts w:ascii="Calibri" w:eastAsia="Calibri" w:hAnsi="Calibri" w:cs="Times New Roman"/>
        </w:rPr>
        <w:t>)</w:t>
      </w:r>
    </w:p>
    <w:p w14:paraId="6D1969C3" w14:textId="77777777" w:rsidR="003446DD" w:rsidRDefault="003446DD">
      <w:pPr>
        <w:numPr>
          <w:ilvl w:val="0"/>
          <w:numId w:val="22"/>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Trailové hřiště pro děti (nic velkého a drahého)</w:t>
      </w:r>
      <w:r w:rsidRPr="00707226">
        <w:rPr>
          <w:rFonts w:ascii="Calibri" w:eastAsia="Calibri" w:hAnsi="Calibri" w:cs="Times New Roman"/>
        </w:rPr>
        <w:t xml:space="preserve"> (</w:t>
      </w:r>
      <w:r>
        <w:rPr>
          <w:rFonts w:ascii="Calibri" w:eastAsia="Calibri" w:hAnsi="Calibri" w:cs="Times New Roman"/>
        </w:rPr>
        <w:t>4</w:t>
      </w:r>
      <w:r w:rsidRPr="00707226">
        <w:rPr>
          <w:rFonts w:ascii="Calibri" w:eastAsia="Calibri" w:hAnsi="Calibri" w:cs="Times New Roman"/>
        </w:rPr>
        <w:t>)</w:t>
      </w:r>
    </w:p>
    <w:p w14:paraId="52C01981" w14:textId="03EFA53C" w:rsidR="00707226" w:rsidRPr="00707226" w:rsidRDefault="003446DD">
      <w:pPr>
        <w:numPr>
          <w:ilvl w:val="0"/>
          <w:numId w:val="22"/>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Více akcí pro dospělé</w:t>
      </w:r>
      <w:r w:rsidR="00707226" w:rsidRPr="00707226">
        <w:rPr>
          <w:rFonts w:ascii="Calibri" w:eastAsia="Calibri" w:hAnsi="Calibri" w:cs="Times New Roman"/>
        </w:rPr>
        <w:t xml:space="preserve"> (1)</w:t>
      </w:r>
    </w:p>
    <w:p w14:paraId="75C731BB" w14:textId="28FB1E37" w:rsidR="003446DD" w:rsidRDefault="003446DD">
      <w:pPr>
        <w:numPr>
          <w:ilvl w:val="0"/>
          <w:numId w:val="22"/>
        </w:numPr>
        <w:spacing w:after="160" w:line="259" w:lineRule="auto"/>
        <w:ind w:left="714" w:hanging="357"/>
        <w:contextualSpacing/>
        <w:jc w:val="both"/>
        <w:rPr>
          <w:rFonts w:ascii="Calibri" w:eastAsia="Calibri" w:hAnsi="Calibri" w:cs="Times New Roman"/>
        </w:rPr>
      </w:pPr>
      <w:r>
        <w:rPr>
          <w:rFonts w:ascii="Calibri" w:eastAsia="Calibri" w:hAnsi="Calibri" w:cs="Times New Roman"/>
        </w:rPr>
        <w:t>Přírodní hřiště (0)</w:t>
      </w:r>
    </w:p>
    <w:p w14:paraId="2ED3FE77" w14:textId="77777777" w:rsidR="00707226" w:rsidRPr="00707226" w:rsidRDefault="00707226" w:rsidP="00707226">
      <w:pPr>
        <w:spacing w:after="160" w:line="259" w:lineRule="auto"/>
        <w:jc w:val="both"/>
        <w:rPr>
          <w:rFonts w:ascii="Calibri" w:eastAsia="Calibri" w:hAnsi="Calibri" w:cs="Times New Roman"/>
        </w:rPr>
      </w:pPr>
    </w:p>
    <w:p w14:paraId="15D5E93C" w14:textId="77777777" w:rsidR="00707226" w:rsidRPr="00707226" w:rsidRDefault="00707226" w:rsidP="00707226">
      <w:pPr>
        <w:spacing w:after="160" w:line="259" w:lineRule="auto"/>
        <w:contextualSpacing/>
        <w:jc w:val="both"/>
        <w:rPr>
          <w:rFonts w:ascii="Calibri" w:eastAsia="Calibri" w:hAnsi="Calibri" w:cs="Times New Roman"/>
        </w:rPr>
      </w:pPr>
    </w:p>
    <w:p w14:paraId="4A6159A5" w14:textId="77777777" w:rsidR="00707226" w:rsidRPr="00707226" w:rsidRDefault="00707226" w:rsidP="00707226">
      <w:pPr>
        <w:spacing w:line="360" w:lineRule="auto"/>
        <w:jc w:val="both"/>
        <w:rPr>
          <w:rFonts w:ascii="Calibri" w:eastAsia="Calibri" w:hAnsi="Calibri" w:cs="Times New Roman"/>
          <w:b/>
          <w:u w:val="single"/>
        </w:rPr>
      </w:pPr>
      <w:r w:rsidRPr="00707226">
        <w:rPr>
          <w:rFonts w:ascii="Calibri" w:eastAsia="Calibri" w:hAnsi="Calibri" w:cs="Times New Roman"/>
          <w:b/>
          <w:u w:val="single"/>
        </w:rPr>
        <w:br w:type="page"/>
      </w:r>
    </w:p>
    <w:p w14:paraId="51CA7015" w14:textId="7E1D9951" w:rsidR="00707226" w:rsidRPr="00707226" w:rsidRDefault="00173F8C" w:rsidP="00707226">
      <w:pPr>
        <w:spacing w:after="160" w:line="259" w:lineRule="auto"/>
        <w:jc w:val="both"/>
        <w:rPr>
          <w:rFonts w:ascii="Calibri" w:eastAsia="Calibri" w:hAnsi="Calibri" w:cs="Times New Roman"/>
        </w:rPr>
      </w:pPr>
      <w:r>
        <w:rPr>
          <w:rFonts w:ascii="Calibri" w:eastAsia="Calibri" w:hAnsi="Calibri" w:cs="Times New Roman"/>
        </w:rPr>
        <w:lastRenderedPageBreak/>
        <w:t>Někteří účastníci veřejného projednávání přidělili preferenční hlas výrokům uvedeným v kladech na území obce.</w:t>
      </w:r>
    </w:p>
    <w:p w14:paraId="695EA7C1" w14:textId="6598335A" w:rsidR="00461ECF" w:rsidRDefault="00707226" w:rsidP="00707226">
      <w:pPr>
        <w:spacing w:after="160" w:line="259" w:lineRule="auto"/>
        <w:jc w:val="both"/>
      </w:pPr>
      <w:r w:rsidRPr="00707226">
        <w:rPr>
          <w:rFonts w:ascii="Calibri" w:eastAsia="Calibri" w:hAnsi="Calibri" w:cs="Times New Roman"/>
        </w:rPr>
        <w:t xml:space="preserve">Informace získané z veřejného projednávání představují důležitý podklad pro zpracování strategické části dokumentu. Díky těmto informacím byly jednak potvrzeny závěry z analytické části dokumentu </w:t>
      </w:r>
      <w:r w:rsidRPr="00707226">
        <w:rPr>
          <w:rFonts w:ascii="Calibri" w:eastAsia="Calibri" w:hAnsi="Calibri" w:cs="Times New Roman"/>
        </w:rPr>
        <w:br/>
        <w:t xml:space="preserve">a zároveň byly získány nové náměty, které mají pro rozvoj </w:t>
      </w:r>
      <w:r w:rsidR="00400F4C">
        <w:rPr>
          <w:rFonts w:ascii="Calibri" w:eastAsia="Calibri" w:hAnsi="Calibri" w:cs="Times New Roman"/>
        </w:rPr>
        <w:t>obce Staré Buky</w:t>
      </w:r>
      <w:r w:rsidRPr="00707226">
        <w:rPr>
          <w:rFonts w:ascii="Calibri" w:eastAsia="Calibri" w:hAnsi="Calibri" w:cs="Times New Roman"/>
        </w:rPr>
        <w:t xml:space="preserve"> značný význam.</w:t>
      </w:r>
    </w:p>
    <w:p w14:paraId="50A71831" w14:textId="237A0B23" w:rsidR="00DC69CC" w:rsidRDefault="00DC69CC" w:rsidP="00DC69CC">
      <w:pPr>
        <w:spacing w:after="160" w:line="259" w:lineRule="auto"/>
        <w:jc w:val="both"/>
      </w:pPr>
    </w:p>
    <w:p w14:paraId="1C09F0E5" w14:textId="77777777" w:rsidR="007C3496" w:rsidRDefault="007C3496" w:rsidP="00DC69CC">
      <w:pPr>
        <w:spacing w:after="160" w:line="259" w:lineRule="auto"/>
        <w:jc w:val="both"/>
      </w:pPr>
    </w:p>
    <w:p w14:paraId="126221D5" w14:textId="6E7E33D2" w:rsidR="008147E6" w:rsidRDefault="008147E6" w:rsidP="00814D5A">
      <w:pPr>
        <w:pStyle w:val="Nadpis2"/>
      </w:pPr>
      <w:bookmarkStart w:id="516" w:name="_Toc413418388"/>
      <w:bookmarkStart w:id="517" w:name="_Toc440566367"/>
      <w:bookmarkStart w:id="518" w:name="_Toc441227518"/>
      <w:bookmarkStart w:id="519" w:name="_Toc32580139"/>
      <w:bookmarkStart w:id="520" w:name="_Toc120652164"/>
      <w:r>
        <w:t>2.</w:t>
      </w:r>
      <w:r w:rsidR="00461ECF">
        <w:t>4</w:t>
      </w:r>
      <w:r>
        <w:t xml:space="preserve"> Východiska pro návrhovou část</w:t>
      </w:r>
      <w:bookmarkEnd w:id="516"/>
      <w:bookmarkEnd w:id="517"/>
      <w:bookmarkEnd w:id="518"/>
      <w:bookmarkEnd w:id="519"/>
      <w:bookmarkEnd w:id="520"/>
    </w:p>
    <w:p w14:paraId="59B89868" w14:textId="5521D943" w:rsidR="008147E6" w:rsidRDefault="008147E6" w:rsidP="008147E6">
      <w:pPr>
        <w:spacing w:after="160" w:line="259" w:lineRule="auto"/>
        <w:jc w:val="both"/>
      </w:pPr>
      <w:r>
        <w:t>Zpracováním analytické části, informací z dotazníkového šetření</w:t>
      </w:r>
      <w:r w:rsidR="00705ECE">
        <w:t xml:space="preserve">, </w:t>
      </w:r>
      <w:r>
        <w:t>informací z</w:t>
      </w:r>
      <w:r w:rsidR="00705ECE">
        <w:t xml:space="preserve"> jednání </w:t>
      </w:r>
      <w:r w:rsidR="00CB241C">
        <w:t xml:space="preserve">realizačního týmu a </w:t>
      </w:r>
      <w:r w:rsidR="00BD10A9">
        <w:t xml:space="preserve">pracovní skupiny, informací z jednání </w:t>
      </w:r>
      <w:r w:rsidR="00705ECE">
        <w:t>s vedením obce</w:t>
      </w:r>
      <w:r w:rsidR="00CB241C">
        <w:t xml:space="preserve"> a informací z veřejného projednávání </w:t>
      </w:r>
      <w:r>
        <w:t xml:space="preserve">byly zjištěny zásadní poznatky, na které je vhodné se zaměřit v rámci návrhové části a při definici potenciálu obce </w:t>
      </w:r>
      <w:r w:rsidR="00CB241C">
        <w:t>Staré Buky</w:t>
      </w:r>
      <w:r w:rsidR="00871A54">
        <w:t>.</w:t>
      </w:r>
      <w:r>
        <w:t xml:space="preserve"> Byl</w:t>
      </w:r>
      <w:r w:rsidR="00705ECE">
        <w:t>y</w:t>
      </w:r>
      <w:r>
        <w:t xml:space="preserve"> definován</w:t>
      </w:r>
      <w:r w:rsidR="00705ECE">
        <w:t>y</w:t>
      </w:r>
      <w:r>
        <w:t xml:space="preserve"> celkem </w:t>
      </w:r>
      <w:r w:rsidR="00E46B0C">
        <w:t>3</w:t>
      </w:r>
      <w:r>
        <w:t xml:space="preserve"> klíčov</w:t>
      </w:r>
      <w:r w:rsidR="00705ECE">
        <w:t>é</w:t>
      </w:r>
      <w:r>
        <w:t xml:space="preserve"> oblast</w:t>
      </w:r>
      <w:r w:rsidR="00705ECE">
        <w:t>i</w:t>
      </w:r>
      <w:r>
        <w:t xml:space="preserve"> rozvoje:</w:t>
      </w:r>
    </w:p>
    <w:p w14:paraId="19BBB82F" w14:textId="6A650076" w:rsidR="008147E6" w:rsidRPr="00BD10A9" w:rsidRDefault="00907A59">
      <w:pPr>
        <w:pStyle w:val="Odstavecseseznamem"/>
        <w:numPr>
          <w:ilvl w:val="0"/>
          <w:numId w:val="5"/>
        </w:numPr>
        <w:spacing w:after="60" w:line="259" w:lineRule="auto"/>
        <w:ind w:left="714" w:hanging="357"/>
        <w:contextualSpacing w:val="0"/>
        <w:jc w:val="both"/>
        <w:rPr>
          <w:b/>
          <w:sz w:val="24"/>
          <w:szCs w:val="24"/>
        </w:rPr>
      </w:pPr>
      <w:r>
        <w:rPr>
          <w:b/>
          <w:sz w:val="24"/>
          <w:szCs w:val="24"/>
        </w:rPr>
        <w:t>INFRASTRUKTURA</w:t>
      </w:r>
    </w:p>
    <w:p w14:paraId="2DEC77F9" w14:textId="3E1545D3" w:rsidR="00BD10A9" w:rsidRPr="00BD10A9" w:rsidRDefault="00907A59">
      <w:pPr>
        <w:pStyle w:val="Odstavecseseznamem"/>
        <w:numPr>
          <w:ilvl w:val="0"/>
          <w:numId w:val="5"/>
        </w:numPr>
        <w:spacing w:after="60" w:line="259" w:lineRule="auto"/>
        <w:ind w:left="714" w:hanging="357"/>
        <w:contextualSpacing w:val="0"/>
        <w:jc w:val="both"/>
        <w:rPr>
          <w:b/>
          <w:bCs/>
          <w:sz w:val="24"/>
          <w:szCs w:val="24"/>
        </w:rPr>
      </w:pPr>
      <w:r>
        <w:rPr>
          <w:b/>
          <w:sz w:val="24"/>
          <w:szCs w:val="24"/>
        </w:rPr>
        <w:t>VYBAVENOST A PROSTŘEDÍ OBCE</w:t>
      </w:r>
    </w:p>
    <w:p w14:paraId="79FD896C" w14:textId="73F0A0C8" w:rsidR="00357387" w:rsidRPr="00907A59" w:rsidRDefault="00907A59">
      <w:pPr>
        <w:pStyle w:val="Odstavecseseznamem"/>
        <w:numPr>
          <w:ilvl w:val="0"/>
          <w:numId w:val="5"/>
        </w:numPr>
        <w:spacing w:after="60" w:line="259" w:lineRule="auto"/>
        <w:ind w:left="714" w:hanging="357"/>
        <w:contextualSpacing w:val="0"/>
        <w:jc w:val="both"/>
        <w:rPr>
          <w:b/>
          <w:sz w:val="24"/>
          <w:szCs w:val="24"/>
        </w:rPr>
      </w:pPr>
      <w:r>
        <w:rPr>
          <w:b/>
          <w:sz w:val="24"/>
          <w:szCs w:val="24"/>
        </w:rPr>
        <w:t>VOLNÝ ČAS</w:t>
      </w:r>
    </w:p>
    <w:p w14:paraId="26F05988" w14:textId="438EC1DE" w:rsidR="007519C4" w:rsidRDefault="007519C4" w:rsidP="00176649">
      <w:pPr>
        <w:spacing w:after="160" w:line="259" w:lineRule="auto"/>
        <w:jc w:val="both"/>
        <w:rPr>
          <w:b/>
          <w:sz w:val="24"/>
          <w:szCs w:val="24"/>
          <w:highlight w:val="yellow"/>
        </w:rPr>
      </w:pPr>
    </w:p>
    <w:p w14:paraId="07330D22" w14:textId="0CEE60DF" w:rsidR="008147E6" w:rsidRDefault="008147E6" w:rsidP="00814D5A">
      <w:pPr>
        <w:pStyle w:val="Nadpis3"/>
      </w:pPr>
      <w:bookmarkStart w:id="521" w:name="_Toc413418389"/>
      <w:bookmarkStart w:id="522" w:name="_Toc440566368"/>
      <w:bookmarkStart w:id="523" w:name="_Toc441227519"/>
      <w:bookmarkStart w:id="524" w:name="_Toc32580140"/>
      <w:bookmarkStart w:id="525" w:name="_Toc120652165"/>
      <w:r>
        <w:t>2.</w:t>
      </w:r>
      <w:r w:rsidR="00461ECF">
        <w:t>4</w:t>
      </w:r>
      <w:r>
        <w:t>.1 Potenciál vyplývající z analýzy současného stavu</w:t>
      </w:r>
      <w:bookmarkEnd w:id="521"/>
      <w:bookmarkEnd w:id="522"/>
      <w:bookmarkEnd w:id="523"/>
      <w:bookmarkEnd w:id="524"/>
      <w:bookmarkEnd w:id="525"/>
    </w:p>
    <w:p w14:paraId="7BD87025" w14:textId="79DC5568" w:rsidR="00BD10A9" w:rsidRDefault="00907A59" w:rsidP="008147E6">
      <w:pPr>
        <w:spacing w:after="160" w:line="259" w:lineRule="auto"/>
        <w:jc w:val="both"/>
        <w:rPr>
          <w:bCs/>
        </w:rPr>
      </w:pPr>
      <w:r w:rsidRPr="00BD10A9">
        <w:rPr>
          <w:b/>
          <w:u w:val="single"/>
        </w:rPr>
        <w:t>Klíčová oblast rozvoje 1</w:t>
      </w:r>
      <w:r>
        <w:rPr>
          <w:b/>
          <w:u w:val="single"/>
        </w:rPr>
        <w:t xml:space="preserve">: </w:t>
      </w:r>
      <w:r w:rsidRPr="009E71F8">
        <w:rPr>
          <w:b/>
          <w:u w:val="single"/>
        </w:rPr>
        <w:t>INFRASTRUKTURA</w:t>
      </w:r>
    </w:p>
    <w:p w14:paraId="18799875" w14:textId="37618E47" w:rsidR="00081C38" w:rsidRDefault="006A110B" w:rsidP="008147E6">
      <w:pPr>
        <w:spacing w:after="160" w:line="259" w:lineRule="auto"/>
        <w:jc w:val="both"/>
        <w:rPr>
          <w:bCs/>
        </w:rPr>
      </w:pPr>
      <w:r>
        <w:rPr>
          <w:bCs/>
        </w:rPr>
        <w:t>Obec Staré Buky disponuje značnou sítí místních a účelových komunikací. Jejich kvalita je různá. Potenciál má obec v postupném zajištění oprav těch komunikací, které jsou v nevyhovujícím stavu.</w:t>
      </w:r>
    </w:p>
    <w:p w14:paraId="349C064C" w14:textId="2E2CD0F1" w:rsidR="006A110B" w:rsidRDefault="006A110B" w:rsidP="006A110B">
      <w:pPr>
        <w:spacing w:after="160" w:line="259" w:lineRule="auto"/>
        <w:jc w:val="both"/>
        <w:rPr>
          <w:bCs/>
        </w:rPr>
      </w:pPr>
      <w:r>
        <w:rPr>
          <w:bCs/>
        </w:rPr>
        <w:t xml:space="preserve">V souvislosti s dopravní infrastrukturou má obec potenciál ve </w:t>
      </w:r>
      <w:r w:rsidRPr="006A110B">
        <w:rPr>
          <w:bCs/>
        </w:rPr>
        <w:t xml:space="preserve">zvýšení množství bezpečnostních prvků </w:t>
      </w:r>
      <w:r>
        <w:rPr>
          <w:bCs/>
        </w:rPr>
        <w:t xml:space="preserve">a provedení bezpečnostních opatření </w:t>
      </w:r>
      <w:r w:rsidRPr="006A110B">
        <w:rPr>
          <w:bCs/>
        </w:rPr>
        <w:t>v</w:t>
      </w:r>
      <w:r>
        <w:rPr>
          <w:bCs/>
        </w:rPr>
        <w:t> </w:t>
      </w:r>
      <w:r w:rsidRPr="006A110B">
        <w:rPr>
          <w:bCs/>
        </w:rPr>
        <w:t>obci</w:t>
      </w:r>
      <w:r>
        <w:rPr>
          <w:bCs/>
        </w:rPr>
        <w:t>, které s dopravou souvisí. Zmínit lze např. vybudování chodníku v žádoucích místech v centru obce, opravu mostních konstrukcí apod.</w:t>
      </w:r>
    </w:p>
    <w:p w14:paraId="78A88101" w14:textId="48D08934" w:rsidR="005156D4" w:rsidRDefault="000A6E71" w:rsidP="005156D4">
      <w:pPr>
        <w:spacing w:after="160" w:line="259" w:lineRule="auto"/>
        <w:jc w:val="both"/>
        <w:rPr>
          <w:bCs/>
        </w:rPr>
      </w:pPr>
      <w:r>
        <w:rPr>
          <w:bCs/>
        </w:rPr>
        <w:t>Některé lokality na území obce disponují vodovodní sítí, dále v</w:t>
      </w:r>
      <w:r w:rsidRPr="000A6E71">
        <w:rPr>
          <w:bCs/>
        </w:rPr>
        <w:t xml:space="preserve"> Prostředních Starých Bukách byla pro 25 rodinných domů vybudována oddílná splašková kanalizace</w:t>
      </w:r>
      <w:r>
        <w:rPr>
          <w:bCs/>
        </w:rPr>
        <w:t xml:space="preserve">. Většina zástavby obce však vodovodní a kanalizační sítí nedisponuje. Potenciál tak tkví v řešení </w:t>
      </w:r>
      <w:r w:rsidRPr="000A6E71">
        <w:rPr>
          <w:bCs/>
        </w:rPr>
        <w:t>tématik</w:t>
      </w:r>
      <w:r>
        <w:rPr>
          <w:bCs/>
        </w:rPr>
        <w:t>y</w:t>
      </w:r>
      <w:r w:rsidRPr="000A6E71">
        <w:rPr>
          <w:bCs/>
        </w:rPr>
        <w:t xml:space="preserve"> vodovodu a vodovodní sítě</w:t>
      </w:r>
      <w:r>
        <w:rPr>
          <w:bCs/>
        </w:rPr>
        <w:t xml:space="preserve"> a </w:t>
      </w:r>
      <w:r w:rsidRPr="000A6E71">
        <w:rPr>
          <w:bCs/>
        </w:rPr>
        <w:t>problematik</w:t>
      </w:r>
      <w:r>
        <w:rPr>
          <w:bCs/>
        </w:rPr>
        <w:t>y</w:t>
      </w:r>
      <w:r w:rsidRPr="000A6E71">
        <w:rPr>
          <w:bCs/>
        </w:rPr>
        <w:t xml:space="preserve"> kanalizace a kanalizační sítě</w:t>
      </w:r>
      <w:r>
        <w:rPr>
          <w:bCs/>
        </w:rPr>
        <w:t>.</w:t>
      </w:r>
      <w:r w:rsidR="005156D4">
        <w:rPr>
          <w:bCs/>
        </w:rPr>
        <w:t xml:space="preserve"> V oblasti technické infrastruktury má obec potenciál ve v</w:t>
      </w:r>
      <w:r w:rsidR="005156D4" w:rsidRPr="005156D4">
        <w:rPr>
          <w:bCs/>
        </w:rPr>
        <w:t>ybudov</w:t>
      </w:r>
      <w:r w:rsidR="005156D4">
        <w:rPr>
          <w:bCs/>
        </w:rPr>
        <w:t>ání</w:t>
      </w:r>
      <w:r w:rsidR="005156D4" w:rsidRPr="005156D4">
        <w:rPr>
          <w:bCs/>
        </w:rPr>
        <w:t xml:space="preserve"> varovn</w:t>
      </w:r>
      <w:r w:rsidR="005156D4">
        <w:rPr>
          <w:bCs/>
        </w:rPr>
        <w:t>ého</w:t>
      </w:r>
      <w:r w:rsidR="005156D4" w:rsidRPr="005156D4">
        <w:rPr>
          <w:bCs/>
        </w:rPr>
        <w:t xml:space="preserve"> a vyrozumívací</w:t>
      </w:r>
      <w:r w:rsidR="005156D4">
        <w:rPr>
          <w:bCs/>
        </w:rPr>
        <w:t>ho</w:t>
      </w:r>
      <w:r w:rsidR="005156D4" w:rsidRPr="005156D4">
        <w:rPr>
          <w:bCs/>
        </w:rPr>
        <w:t xml:space="preserve"> systém</w:t>
      </w:r>
      <w:r w:rsidR="005156D4">
        <w:rPr>
          <w:bCs/>
        </w:rPr>
        <w:t>u.</w:t>
      </w:r>
    </w:p>
    <w:p w14:paraId="032C68BE" w14:textId="6093C9BF" w:rsidR="00C063A2" w:rsidRDefault="00C063A2" w:rsidP="00C063A2">
      <w:pPr>
        <w:spacing w:after="160" w:line="259" w:lineRule="auto"/>
        <w:jc w:val="both"/>
        <w:rPr>
          <w:bCs/>
        </w:rPr>
      </w:pPr>
      <w:r>
        <w:rPr>
          <w:bCs/>
        </w:rPr>
        <w:t xml:space="preserve">Obec Staré Buky má svém vlastnictví některé budovy. Řada z nich je v neodpovídajícím stavu a potenciál tak tkví v zajištění jejich rekonstrukce. Potenciál dále spočívá i ve zlepšení stavu </w:t>
      </w:r>
      <w:r w:rsidRPr="00C063A2">
        <w:rPr>
          <w:bCs/>
        </w:rPr>
        <w:t>vytipovaných ploch ve vlastnictví obce či majících charakter veřejné infrastruktury</w:t>
      </w:r>
      <w:r>
        <w:rPr>
          <w:bCs/>
        </w:rPr>
        <w:t>.</w:t>
      </w:r>
    </w:p>
    <w:p w14:paraId="012DACA3" w14:textId="602971C8" w:rsidR="007C3496" w:rsidRDefault="007C3496" w:rsidP="008147E6">
      <w:pPr>
        <w:spacing w:after="160" w:line="259" w:lineRule="auto"/>
        <w:jc w:val="both"/>
        <w:rPr>
          <w:bCs/>
        </w:rPr>
      </w:pPr>
      <w:r>
        <w:rPr>
          <w:bCs/>
        </w:rPr>
        <w:br w:type="page"/>
      </w:r>
    </w:p>
    <w:p w14:paraId="5E89A6DA" w14:textId="6497475D" w:rsidR="007E24CF" w:rsidRDefault="007E24CF" w:rsidP="008147E6">
      <w:pPr>
        <w:spacing w:after="160" w:line="259" w:lineRule="auto"/>
        <w:jc w:val="both"/>
        <w:rPr>
          <w:bCs/>
        </w:rPr>
      </w:pPr>
      <w:r w:rsidRPr="00BD10A9">
        <w:rPr>
          <w:b/>
          <w:u w:val="single"/>
        </w:rPr>
        <w:lastRenderedPageBreak/>
        <w:t xml:space="preserve">Klíčová oblast rozvoje </w:t>
      </w:r>
      <w:r w:rsidR="00566B2F">
        <w:rPr>
          <w:b/>
          <w:u w:val="single"/>
        </w:rPr>
        <w:t>2</w:t>
      </w:r>
      <w:r>
        <w:rPr>
          <w:b/>
          <w:u w:val="single"/>
        </w:rPr>
        <w:t xml:space="preserve">: </w:t>
      </w:r>
      <w:r w:rsidRPr="007E24CF">
        <w:rPr>
          <w:b/>
          <w:u w:val="single"/>
        </w:rPr>
        <w:t>VYBAVENOST A PROSTŘEDÍ OBCE</w:t>
      </w:r>
    </w:p>
    <w:p w14:paraId="729DEB15" w14:textId="15B46441" w:rsidR="00907A59" w:rsidRDefault="00481344" w:rsidP="008147E6">
      <w:pPr>
        <w:spacing w:after="160" w:line="259" w:lineRule="auto"/>
        <w:jc w:val="both"/>
        <w:rPr>
          <w:bCs/>
        </w:rPr>
      </w:pPr>
      <w:r>
        <w:rPr>
          <w:bCs/>
        </w:rPr>
        <w:t xml:space="preserve">Obec Staré Buky disponuje určitou občanskou vybaveností, např. je zde k dispozici pobočka pošty partner. </w:t>
      </w:r>
      <w:r w:rsidR="001E56E8">
        <w:rPr>
          <w:bCs/>
        </w:rPr>
        <w:t xml:space="preserve">Potenciál obce tkví v podpoře rozšíření spektra </w:t>
      </w:r>
      <w:r w:rsidR="001E56E8" w:rsidRPr="001E56E8">
        <w:rPr>
          <w:bCs/>
        </w:rPr>
        <w:t>dostupných služeb v</w:t>
      </w:r>
      <w:r w:rsidR="001E56E8">
        <w:rPr>
          <w:bCs/>
        </w:rPr>
        <w:t> </w:t>
      </w:r>
      <w:r w:rsidR="001E56E8" w:rsidRPr="001E56E8">
        <w:rPr>
          <w:bCs/>
        </w:rPr>
        <w:t>obci</w:t>
      </w:r>
      <w:r w:rsidR="001E56E8">
        <w:rPr>
          <w:bCs/>
        </w:rPr>
        <w:t>, které jsou v obci postrádány.</w:t>
      </w:r>
    </w:p>
    <w:p w14:paraId="05E744C7" w14:textId="77777777" w:rsidR="001E56E8" w:rsidRDefault="001E56E8" w:rsidP="008147E6">
      <w:pPr>
        <w:spacing w:after="160" w:line="259" w:lineRule="auto"/>
        <w:jc w:val="both"/>
        <w:rPr>
          <w:bCs/>
        </w:rPr>
      </w:pPr>
      <w:r>
        <w:rPr>
          <w:bCs/>
        </w:rPr>
        <w:t>Obec disponuje rozlehlým areálem poblíž centra obce, který v současné době není využití. Potenciál tkví ve v</w:t>
      </w:r>
      <w:r w:rsidRPr="001E56E8">
        <w:rPr>
          <w:bCs/>
        </w:rPr>
        <w:t>ytvoř</w:t>
      </w:r>
      <w:r>
        <w:rPr>
          <w:bCs/>
        </w:rPr>
        <w:t>ení</w:t>
      </w:r>
      <w:r w:rsidRPr="001E56E8">
        <w:rPr>
          <w:bCs/>
        </w:rPr>
        <w:t xml:space="preserve"> a rozvíje</w:t>
      </w:r>
      <w:r>
        <w:rPr>
          <w:bCs/>
        </w:rPr>
        <w:t>ní</w:t>
      </w:r>
      <w:r w:rsidRPr="001E56E8">
        <w:rPr>
          <w:bCs/>
        </w:rPr>
        <w:t xml:space="preserve"> přirozené</w:t>
      </w:r>
      <w:r>
        <w:rPr>
          <w:bCs/>
        </w:rPr>
        <w:t>ho</w:t>
      </w:r>
      <w:r w:rsidRPr="001E56E8">
        <w:rPr>
          <w:bCs/>
        </w:rPr>
        <w:t xml:space="preserve"> centr</w:t>
      </w:r>
      <w:r>
        <w:rPr>
          <w:bCs/>
        </w:rPr>
        <w:t>a</w:t>
      </w:r>
      <w:r w:rsidRPr="001E56E8">
        <w:rPr>
          <w:bCs/>
        </w:rPr>
        <w:t xml:space="preserve"> obce</w:t>
      </w:r>
      <w:r>
        <w:rPr>
          <w:bCs/>
        </w:rPr>
        <w:t>, tj. využití potenciálu budovy zámečku a jeho okolí.</w:t>
      </w:r>
    </w:p>
    <w:p w14:paraId="4476C22B" w14:textId="6F87FCDC" w:rsidR="001E56E8" w:rsidRDefault="001E56E8" w:rsidP="001E56E8">
      <w:pPr>
        <w:spacing w:after="160" w:line="259" w:lineRule="auto"/>
        <w:jc w:val="both"/>
        <w:rPr>
          <w:bCs/>
        </w:rPr>
      </w:pPr>
      <w:r>
        <w:rPr>
          <w:bCs/>
        </w:rPr>
        <w:t>Dalším potenciál spočívá v postupných snahách o z</w:t>
      </w:r>
      <w:r w:rsidRPr="001E56E8">
        <w:rPr>
          <w:bCs/>
        </w:rPr>
        <w:t>lepšov</w:t>
      </w:r>
      <w:r>
        <w:rPr>
          <w:bCs/>
        </w:rPr>
        <w:t>ání</w:t>
      </w:r>
      <w:r w:rsidRPr="001E56E8">
        <w:rPr>
          <w:bCs/>
        </w:rPr>
        <w:t xml:space="preserve"> prostředí obce</w:t>
      </w:r>
      <w:r>
        <w:rPr>
          <w:bCs/>
        </w:rPr>
        <w:t xml:space="preserve"> skrze realizaci a podporu</w:t>
      </w:r>
      <w:r w:rsidRPr="001E56E8">
        <w:rPr>
          <w:bCs/>
        </w:rPr>
        <w:t xml:space="preserve"> činností majících pozitivní vliv na něj</w:t>
      </w:r>
      <w:r>
        <w:rPr>
          <w:bCs/>
        </w:rPr>
        <w:t>.</w:t>
      </w:r>
      <w:r w:rsidR="004737BB">
        <w:rPr>
          <w:bCs/>
        </w:rPr>
        <w:t xml:space="preserve"> Zmínit lze např. aktivity související s postupným rozvojem odpadového hospodářství v obci, úsilí o realizaci komplexních pozemkových úprav, podpora aktivit vedoucích k zadržování vody v krajině, revitalizaci konkrétních prostranství či Starobuckého potoka apod.</w:t>
      </w:r>
    </w:p>
    <w:p w14:paraId="4EFC68B3" w14:textId="1AA52AA9" w:rsidR="004737BB" w:rsidRDefault="004737BB" w:rsidP="001E56E8">
      <w:pPr>
        <w:spacing w:after="160" w:line="259" w:lineRule="auto"/>
        <w:jc w:val="both"/>
        <w:rPr>
          <w:bCs/>
        </w:rPr>
      </w:pPr>
      <w:r>
        <w:rPr>
          <w:bCs/>
        </w:rPr>
        <w:t xml:space="preserve">Opomenout nelze ani potenciál ve využití dalších moderních technologií, jejichž existence napomůže </w:t>
      </w:r>
      <w:r w:rsidRPr="00D61831">
        <w:rPr>
          <w:rFonts w:ascii="Calibri" w:eastAsia="Calibri" w:hAnsi="Calibri" w:cs="Times New Roman"/>
        </w:rPr>
        <w:t>ke zvýšení efektivnosti poskytování služeb občanům</w:t>
      </w:r>
      <w:r>
        <w:rPr>
          <w:rFonts w:ascii="Calibri" w:eastAsia="Calibri" w:hAnsi="Calibri" w:cs="Times New Roman"/>
        </w:rPr>
        <w:t xml:space="preserve"> či potenciál intenzivnější meziobecní spolupráce.</w:t>
      </w:r>
    </w:p>
    <w:p w14:paraId="5A2AF9ED" w14:textId="7A44531D" w:rsidR="00907A59" w:rsidRDefault="00907A59" w:rsidP="008147E6">
      <w:pPr>
        <w:spacing w:after="160" w:line="259" w:lineRule="auto"/>
        <w:jc w:val="both"/>
        <w:rPr>
          <w:bCs/>
        </w:rPr>
      </w:pPr>
    </w:p>
    <w:p w14:paraId="5DC93191" w14:textId="17C48735" w:rsidR="004737BB" w:rsidRDefault="004737BB" w:rsidP="004737BB">
      <w:pPr>
        <w:spacing w:after="160" w:line="259" w:lineRule="auto"/>
        <w:jc w:val="both"/>
        <w:rPr>
          <w:bCs/>
        </w:rPr>
      </w:pPr>
      <w:r w:rsidRPr="00BD10A9">
        <w:rPr>
          <w:b/>
          <w:u w:val="single"/>
        </w:rPr>
        <w:t xml:space="preserve">Klíčová oblast rozvoje </w:t>
      </w:r>
      <w:r>
        <w:rPr>
          <w:b/>
          <w:u w:val="single"/>
        </w:rPr>
        <w:t>3: VOLNÝ ČAS</w:t>
      </w:r>
    </w:p>
    <w:p w14:paraId="1DE70F07" w14:textId="1B2C0697" w:rsidR="008221F2" w:rsidRDefault="008221F2" w:rsidP="008221F2">
      <w:pPr>
        <w:spacing w:after="160" w:line="259" w:lineRule="auto"/>
        <w:jc w:val="both"/>
        <w:rPr>
          <w:bCs/>
        </w:rPr>
      </w:pPr>
      <w:r>
        <w:rPr>
          <w:bCs/>
        </w:rPr>
        <w:t xml:space="preserve">V obci je v průběhu roku pořádána řada kulturně-společenských akcí. V tomto ohledu je důležité spektrum pořádaných akcí udržet a zároveň lze potenciál spatřovat i v rozšíření počtu akcí konaných v obci. Potenciál má obec i ve vytvoření </w:t>
      </w:r>
      <w:r w:rsidR="00E12136">
        <w:rPr>
          <w:bCs/>
        </w:rPr>
        <w:t xml:space="preserve">obecní </w:t>
      </w:r>
      <w:r>
        <w:rPr>
          <w:bCs/>
        </w:rPr>
        <w:t>kulturně-společenské tradice</w:t>
      </w:r>
      <w:r w:rsidR="00E12136">
        <w:rPr>
          <w:bCs/>
        </w:rPr>
        <w:t>.</w:t>
      </w:r>
    </w:p>
    <w:p w14:paraId="44382F1F" w14:textId="4B3D8010" w:rsidR="008221F2" w:rsidRDefault="008221F2" w:rsidP="008221F2">
      <w:pPr>
        <w:spacing w:after="160" w:line="259" w:lineRule="auto"/>
        <w:jc w:val="both"/>
        <w:rPr>
          <w:bCs/>
        </w:rPr>
      </w:pPr>
      <w:r>
        <w:rPr>
          <w:bCs/>
        </w:rPr>
        <w:t xml:space="preserve">V obci působí i několik zájmových spolků, které jsou poměrně aktivní v rámci své činnosti. Potenciál </w:t>
      </w:r>
      <w:r w:rsidR="003F2E02">
        <w:rPr>
          <w:bCs/>
        </w:rPr>
        <w:t xml:space="preserve">spočívá v další podpoře jejich činnosti ze strany obce a ve </w:t>
      </w:r>
      <w:r w:rsidR="003F2E02" w:rsidRPr="003F2E02">
        <w:rPr>
          <w:bCs/>
        </w:rPr>
        <w:t>sna</w:t>
      </w:r>
      <w:r w:rsidR="003F2E02">
        <w:rPr>
          <w:bCs/>
        </w:rPr>
        <w:t>ze</w:t>
      </w:r>
      <w:r w:rsidR="003F2E02" w:rsidRPr="003F2E02">
        <w:rPr>
          <w:bCs/>
        </w:rPr>
        <w:t xml:space="preserve"> existence více aktivit a akcí pro mládež</w:t>
      </w:r>
      <w:r w:rsidR="003F2E02">
        <w:rPr>
          <w:bCs/>
        </w:rPr>
        <w:t xml:space="preserve"> ze strany zájmových spolků</w:t>
      </w:r>
      <w:r>
        <w:rPr>
          <w:bCs/>
        </w:rPr>
        <w:t>.</w:t>
      </w:r>
    </w:p>
    <w:p w14:paraId="3A749F37" w14:textId="1166CC8B" w:rsidR="008221F2" w:rsidRDefault="008221F2" w:rsidP="008221F2">
      <w:pPr>
        <w:spacing w:after="160" w:line="259" w:lineRule="auto"/>
        <w:jc w:val="both"/>
        <w:rPr>
          <w:bCs/>
        </w:rPr>
      </w:pPr>
      <w:r>
        <w:rPr>
          <w:bCs/>
        </w:rPr>
        <w:t xml:space="preserve">Z pohledu volnočasových aktivit má obec potenciál ve zvýšení jejich variability, díky čemuž dojde k </w:t>
      </w:r>
      <w:r>
        <w:t>posílení možností trávení volného času jak pro místní obyvatele, tak pro turisty ubytované v obci či navštěvující obec.</w:t>
      </w:r>
    </w:p>
    <w:p w14:paraId="2A356750" w14:textId="29452E10" w:rsidR="004737BB" w:rsidRDefault="003F2E02" w:rsidP="008221F2">
      <w:pPr>
        <w:spacing w:after="160" w:line="259" w:lineRule="auto"/>
        <w:jc w:val="both"/>
        <w:rPr>
          <w:bCs/>
        </w:rPr>
      </w:pPr>
      <w:r>
        <w:rPr>
          <w:bCs/>
        </w:rPr>
        <w:t>Potenciál má také podpora většího</w:t>
      </w:r>
      <w:r w:rsidRPr="003F2E02">
        <w:rPr>
          <w:bCs/>
        </w:rPr>
        <w:t xml:space="preserve"> sepjetí a soudržnosti místních obyvatel</w:t>
      </w:r>
      <w:r>
        <w:rPr>
          <w:bCs/>
        </w:rPr>
        <w:t xml:space="preserve"> a též i snaha je více zapojit do dění v obci</w:t>
      </w:r>
      <w:r w:rsidR="008221F2">
        <w:rPr>
          <w:bCs/>
        </w:rPr>
        <w:t>.</w:t>
      </w:r>
    </w:p>
    <w:p w14:paraId="693D1A7E" w14:textId="77777777" w:rsidR="00907A59" w:rsidRDefault="00907A59" w:rsidP="008147E6">
      <w:pPr>
        <w:spacing w:after="160" w:line="259" w:lineRule="auto"/>
        <w:jc w:val="both"/>
        <w:rPr>
          <w:bCs/>
        </w:rPr>
      </w:pPr>
    </w:p>
    <w:p w14:paraId="35BB7443" w14:textId="1604E29B" w:rsidR="008147E6" w:rsidRDefault="008147E6" w:rsidP="00814D5A">
      <w:pPr>
        <w:pStyle w:val="Nadpis3"/>
      </w:pPr>
      <w:bookmarkStart w:id="526" w:name="_Toc413418390"/>
      <w:bookmarkStart w:id="527" w:name="_Toc440566369"/>
      <w:bookmarkStart w:id="528" w:name="_Toc441227520"/>
      <w:bookmarkStart w:id="529" w:name="_Toc32580141"/>
      <w:bookmarkStart w:id="530" w:name="_Toc120652166"/>
      <w:r>
        <w:t>2.</w:t>
      </w:r>
      <w:r w:rsidR="00461ECF">
        <w:t>4</w:t>
      </w:r>
      <w:r>
        <w:t>.2 Návaznost na jiné strategické</w:t>
      </w:r>
      <w:r w:rsidR="004A27C1">
        <w:t xml:space="preserve"> a územní</w:t>
      </w:r>
      <w:r>
        <w:t xml:space="preserve"> dokumenty</w:t>
      </w:r>
      <w:bookmarkEnd w:id="526"/>
      <w:bookmarkEnd w:id="527"/>
      <w:bookmarkEnd w:id="528"/>
      <w:bookmarkEnd w:id="529"/>
      <w:bookmarkEnd w:id="530"/>
    </w:p>
    <w:p w14:paraId="7368034E" w14:textId="4A7F48C9" w:rsidR="008147E6" w:rsidRDefault="008147E6" w:rsidP="008147E6">
      <w:pPr>
        <w:spacing w:after="160" w:line="259" w:lineRule="auto"/>
        <w:jc w:val="both"/>
      </w:pPr>
      <w:r>
        <w:t xml:space="preserve">PRO </w:t>
      </w:r>
      <w:r w:rsidR="007B3AF1">
        <w:t>Staré Buky</w:t>
      </w:r>
      <w:r>
        <w:t xml:space="preserve"> není izolovaný dokument, ale respektuje a akceptuje další strategické dokumenty. Strategická část a v ní definované cíle, opatření a aktivity jsou navrženy tak, aby nedošlo k rozporu </w:t>
      </w:r>
      <w:r w:rsidR="00410888">
        <w:br/>
      </w:r>
      <w:r>
        <w:t xml:space="preserve">s těmito základními strategickými a územními dokumenty. Dokumenty </w:t>
      </w:r>
      <w:r w:rsidRPr="0059460C">
        <w:t xml:space="preserve">shrnuje tabulka </w:t>
      </w:r>
      <w:r w:rsidR="0059460C">
        <w:t>39</w:t>
      </w:r>
      <w:r>
        <w:t>.</w:t>
      </w:r>
    </w:p>
    <w:p w14:paraId="7853C6C9" w14:textId="7D7061BB" w:rsidR="007C3496" w:rsidRDefault="007C3496" w:rsidP="008147E6">
      <w:pPr>
        <w:spacing w:after="160" w:line="259" w:lineRule="auto"/>
        <w:jc w:val="both"/>
      </w:pPr>
      <w:r>
        <w:br w:type="page"/>
      </w:r>
    </w:p>
    <w:p w14:paraId="40FE0C2C" w14:textId="7929E1BC" w:rsidR="008147E6" w:rsidRPr="00C568A4" w:rsidRDefault="008147E6" w:rsidP="00843EC3">
      <w:pPr>
        <w:pStyle w:val="TABULKA0"/>
      </w:pPr>
      <w:bookmarkStart w:id="531" w:name="_Toc441221940"/>
      <w:bookmarkStart w:id="532" w:name="_Toc32577816"/>
      <w:bookmarkStart w:id="533" w:name="_Toc120651955"/>
      <w:r w:rsidRPr="0059460C">
        <w:lastRenderedPageBreak/>
        <w:t xml:space="preserve">Tabulka </w:t>
      </w:r>
      <w:r w:rsidR="0059460C" w:rsidRPr="0059460C">
        <w:t>3</w:t>
      </w:r>
      <w:r w:rsidR="00DC69CC">
        <w:t>3</w:t>
      </w:r>
      <w:r w:rsidRPr="0059460C">
        <w:t>:</w:t>
      </w:r>
      <w:r w:rsidRPr="00C568A4">
        <w:t xml:space="preserve"> Přehled strategických a územních dokumentů</w:t>
      </w:r>
      <w:bookmarkEnd w:id="531"/>
      <w:bookmarkEnd w:id="532"/>
      <w:bookmarkEnd w:id="533"/>
      <w:r w:rsidRPr="00C568A4">
        <w:t xml:space="preserve"> </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75"/>
      </w:tblGrid>
      <w:tr w:rsidR="00AC6C6C" w:rsidRPr="00E92FFC" w14:paraId="2C3396D8" w14:textId="77777777" w:rsidTr="00B019CE">
        <w:trPr>
          <w:trHeight w:val="23"/>
          <w:jc w:val="center"/>
        </w:trPr>
        <w:tc>
          <w:tcPr>
            <w:tcW w:w="8575" w:type="dxa"/>
            <w:tcBorders>
              <w:top w:val="single" w:sz="18" w:space="0" w:color="auto"/>
              <w:bottom w:val="single" w:sz="12" w:space="0" w:color="auto"/>
            </w:tcBorders>
            <w:shd w:val="clear" w:color="auto" w:fill="FFC000"/>
            <w:noWrap/>
            <w:vAlign w:val="center"/>
          </w:tcPr>
          <w:p w14:paraId="6B1F5603" w14:textId="77777777" w:rsidR="00AC6C6C" w:rsidRPr="00E92FFC" w:rsidRDefault="00AC6C6C" w:rsidP="00CB1F66">
            <w:pPr>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Nadn</w:t>
            </w:r>
            <w:r w:rsidRPr="00E92FFC">
              <w:rPr>
                <w:rFonts w:ascii="Calibri" w:eastAsia="Times New Roman" w:hAnsi="Calibri" w:cs="Times New Roman"/>
                <w:b/>
                <w:bCs/>
                <w:color w:val="000000"/>
                <w:lang w:eastAsia="cs-CZ"/>
              </w:rPr>
              <w:t>árodní úroveň</w:t>
            </w:r>
          </w:p>
        </w:tc>
      </w:tr>
      <w:tr w:rsidR="00AC6C6C" w:rsidRPr="00E92FFC" w14:paraId="6331DC19" w14:textId="77777777" w:rsidTr="00B019CE">
        <w:trPr>
          <w:trHeight w:val="38"/>
          <w:jc w:val="center"/>
        </w:trPr>
        <w:tc>
          <w:tcPr>
            <w:tcW w:w="8575" w:type="dxa"/>
            <w:tcBorders>
              <w:top w:val="single" w:sz="12" w:space="0" w:color="auto"/>
              <w:bottom w:val="single" w:sz="6" w:space="0" w:color="auto"/>
            </w:tcBorders>
            <w:shd w:val="clear" w:color="auto" w:fill="auto"/>
            <w:noWrap/>
            <w:vAlign w:val="center"/>
          </w:tcPr>
          <w:p w14:paraId="522EA9B8" w14:textId="77777777" w:rsidR="00AC6C6C" w:rsidRPr="00EA6FB2" w:rsidRDefault="00AC6C6C" w:rsidP="00CB1F66">
            <w:pPr>
              <w:rPr>
                <w:rFonts w:ascii="Calibri" w:eastAsia="Times New Roman" w:hAnsi="Calibri" w:cs="Times New Roman"/>
                <w:bCs/>
                <w:color w:val="000000"/>
                <w:lang w:eastAsia="cs-CZ"/>
              </w:rPr>
            </w:pPr>
            <w:r w:rsidRPr="00432742">
              <w:rPr>
                <w:rFonts w:ascii="Calibri" w:eastAsia="Times New Roman" w:hAnsi="Calibri" w:cs="Times New Roman"/>
                <w:bCs/>
                <w:color w:val="000000"/>
                <w:lang w:eastAsia="cs-CZ"/>
              </w:rPr>
              <w:t>Udržitelná Evropa do roku 2030</w:t>
            </w:r>
          </w:p>
        </w:tc>
      </w:tr>
      <w:tr w:rsidR="00AC6C6C" w:rsidRPr="00E92FFC" w14:paraId="3612D7DC" w14:textId="77777777" w:rsidTr="00B019CE">
        <w:trPr>
          <w:trHeight w:val="38"/>
          <w:jc w:val="center"/>
        </w:trPr>
        <w:tc>
          <w:tcPr>
            <w:tcW w:w="8575" w:type="dxa"/>
            <w:tcBorders>
              <w:top w:val="single" w:sz="12" w:space="0" w:color="auto"/>
              <w:bottom w:val="single" w:sz="12" w:space="0" w:color="auto"/>
            </w:tcBorders>
            <w:shd w:val="clear" w:color="auto" w:fill="FFC000"/>
            <w:noWrap/>
            <w:vAlign w:val="center"/>
            <w:hideMark/>
          </w:tcPr>
          <w:p w14:paraId="03A39835" w14:textId="77777777" w:rsidR="00AC6C6C" w:rsidRPr="00E92FFC" w:rsidRDefault="00AC6C6C" w:rsidP="00CB1F66">
            <w:pPr>
              <w:jc w:val="center"/>
              <w:rPr>
                <w:rFonts w:ascii="Calibri" w:eastAsia="Times New Roman" w:hAnsi="Calibri" w:cs="Times New Roman"/>
                <w:b/>
                <w:bCs/>
                <w:color w:val="000000"/>
                <w:lang w:eastAsia="cs-CZ"/>
              </w:rPr>
            </w:pPr>
            <w:r w:rsidRPr="00E92FFC">
              <w:rPr>
                <w:rFonts w:ascii="Calibri" w:eastAsia="Times New Roman" w:hAnsi="Calibri" w:cs="Times New Roman"/>
                <w:b/>
                <w:bCs/>
                <w:color w:val="000000"/>
                <w:lang w:eastAsia="cs-CZ"/>
              </w:rPr>
              <w:t>Národní úroveň</w:t>
            </w:r>
          </w:p>
        </w:tc>
      </w:tr>
      <w:tr w:rsidR="00AC6C6C" w:rsidRPr="00E92FFC" w14:paraId="0E3E07CF" w14:textId="77777777" w:rsidTr="00B019CE">
        <w:trPr>
          <w:trHeight w:val="58"/>
          <w:jc w:val="center"/>
        </w:trPr>
        <w:tc>
          <w:tcPr>
            <w:tcW w:w="8575" w:type="dxa"/>
            <w:shd w:val="clear" w:color="auto" w:fill="auto"/>
            <w:noWrap/>
            <w:vAlign w:val="center"/>
            <w:hideMark/>
          </w:tcPr>
          <w:p w14:paraId="0BEFEC04" w14:textId="0565E6B8" w:rsidR="00AC6C6C" w:rsidRPr="00E92FFC" w:rsidRDefault="00AC6C6C" w:rsidP="00CB1F66">
            <w:pPr>
              <w:rPr>
                <w:rFonts w:ascii="Calibri" w:eastAsia="Times New Roman" w:hAnsi="Calibri" w:cs="Times New Roman"/>
                <w:color w:val="000000"/>
                <w:lang w:eastAsia="cs-CZ"/>
              </w:rPr>
            </w:pPr>
            <w:r w:rsidRPr="00E92FFC">
              <w:rPr>
                <w:rFonts w:ascii="Calibri" w:eastAsia="Times New Roman" w:hAnsi="Calibri" w:cs="Times New Roman"/>
                <w:color w:val="000000"/>
                <w:lang w:eastAsia="cs-CZ"/>
              </w:rPr>
              <w:t>Politika územního rozvoje České republiky</w:t>
            </w:r>
            <w:r>
              <w:rPr>
                <w:rFonts w:ascii="Calibri" w:eastAsia="Times New Roman" w:hAnsi="Calibri" w:cs="Times New Roman"/>
                <w:color w:val="000000"/>
                <w:lang w:eastAsia="cs-CZ"/>
              </w:rPr>
              <w:t xml:space="preserve">, ve znění Aktualizace č. </w:t>
            </w:r>
            <w:r w:rsidR="00A97119">
              <w:rPr>
                <w:rFonts w:ascii="Calibri" w:eastAsia="Times New Roman" w:hAnsi="Calibri" w:cs="Times New Roman"/>
                <w:color w:val="000000"/>
                <w:lang w:eastAsia="cs-CZ"/>
              </w:rPr>
              <w:t>4</w:t>
            </w:r>
            <w:r>
              <w:rPr>
                <w:rFonts w:ascii="Calibri" w:eastAsia="Times New Roman" w:hAnsi="Calibri" w:cs="Times New Roman"/>
                <w:color w:val="000000"/>
                <w:lang w:eastAsia="cs-CZ"/>
              </w:rPr>
              <w:t xml:space="preserve"> (ze září 202</w:t>
            </w:r>
            <w:r w:rsidR="00A97119">
              <w:rPr>
                <w:rFonts w:ascii="Calibri" w:eastAsia="Times New Roman" w:hAnsi="Calibri" w:cs="Times New Roman"/>
                <w:color w:val="000000"/>
                <w:lang w:eastAsia="cs-CZ"/>
              </w:rPr>
              <w:t>1</w:t>
            </w:r>
            <w:r>
              <w:rPr>
                <w:rFonts w:ascii="Calibri" w:eastAsia="Times New Roman" w:hAnsi="Calibri" w:cs="Times New Roman"/>
                <w:color w:val="000000"/>
                <w:lang w:eastAsia="cs-CZ"/>
              </w:rPr>
              <w:t>)</w:t>
            </w:r>
          </w:p>
        </w:tc>
      </w:tr>
      <w:tr w:rsidR="00AC6C6C" w:rsidRPr="00E92FFC" w14:paraId="2A931162" w14:textId="77777777" w:rsidTr="00B019CE">
        <w:trPr>
          <w:trHeight w:val="58"/>
          <w:jc w:val="center"/>
        </w:trPr>
        <w:tc>
          <w:tcPr>
            <w:tcW w:w="8575" w:type="dxa"/>
            <w:tcBorders>
              <w:bottom w:val="single" w:sz="12" w:space="0" w:color="auto"/>
            </w:tcBorders>
            <w:shd w:val="clear" w:color="auto" w:fill="auto"/>
            <w:noWrap/>
            <w:vAlign w:val="center"/>
            <w:hideMark/>
          </w:tcPr>
          <w:p w14:paraId="7CBE4612" w14:textId="77777777" w:rsidR="00AC6C6C" w:rsidRPr="00E92FFC" w:rsidRDefault="00AC6C6C" w:rsidP="00CB1F66">
            <w:pPr>
              <w:rPr>
                <w:rFonts w:ascii="Calibri" w:eastAsia="Times New Roman" w:hAnsi="Calibri" w:cs="Times New Roman"/>
                <w:color w:val="000000"/>
                <w:lang w:eastAsia="cs-CZ"/>
              </w:rPr>
            </w:pPr>
            <w:r w:rsidRPr="00E92FFC">
              <w:rPr>
                <w:rFonts w:ascii="Calibri" w:eastAsia="Times New Roman" w:hAnsi="Calibri" w:cs="Times New Roman"/>
                <w:color w:val="000000"/>
                <w:lang w:eastAsia="cs-CZ"/>
              </w:rPr>
              <w:t>Strategie regionálního rozvoje České republiky 20</w:t>
            </w:r>
            <w:r>
              <w:rPr>
                <w:rFonts w:ascii="Calibri" w:eastAsia="Times New Roman" w:hAnsi="Calibri" w:cs="Times New Roman"/>
                <w:color w:val="000000"/>
                <w:lang w:eastAsia="cs-CZ"/>
              </w:rPr>
              <w:t>21+</w:t>
            </w:r>
          </w:p>
        </w:tc>
      </w:tr>
      <w:tr w:rsidR="00AC6C6C" w:rsidRPr="00E92FFC" w14:paraId="37EA7C36" w14:textId="77777777" w:rsidTr="00B019CE">
        <w:trPr>
          <w:trHeight w:val="38"/>
          <w:jc w:val="center"/>
        </w:trPr>
        <w:tc>
          <w:tcPr>
            <w:tcW w:w="8575" w:type="dxa"/>
            <w:tcBorders>
              <w:top w:val="single" w:sz="12" w:space="0" w:color="auto"/>
              <w:bottom w:val="single" w:sz="12" w:space="0" w:color="auto"/>
            </w:tcBorders>
            <w:shd w:val="clear" w:color="auto" w:fill="FFC000"/>
            <w:noWrap/>
            <w:vAlign w:val="center"/>
            <w:hideMark/>
          </w:tcPr>
          <w:p w14:paraId="670EA55B" w14:textId="77777777" w:rsidR="00AC6C6C" w:rsidRPr="00E92FFC" w:rsidRDefault="00AC6C6C" w:rsidP="00CB1F66">
            <w:pPr>
              <w:jc w:val="center"/>
              <w:rPr>
                <w:rFonts w:ascii="Calibri" w:eastAsia="Times New Roman" w:hAnsi="Calibri" w:cs="Times New Roman"/>
                <w:b/>
                <w:bCs/>
                <w:color w:val="000000"/>
                <w:lang w:eastAsia="cs-CZ"/>
              </w:rPr>
            </w:pPr>
            <w:r w:rsidRPr="00E92FFC">
              <w:rPr>
                <w:rFonts w:ascii="Calibri" w:eastAsia="Times New Roman" w:hAnsi="Calibri" w:cs="Times New Roman"/>
                <w:b/>
                <w:bCs/>
                <w:color w:val="000000"/>
                <w:lang w:eastAsia="cs-CZ"/>
              </w:rPr>
              <w:t>Regionální úroveň</w:t>
            </w:r>
          </w:p>
        </w:tc>
      </w:tr>
      <w:tr w:rsidR="00AC6C6C" w:rsidRPr="00E92FFC" w14:paraId="132AA594" w14:textId="77777777" w:rsidTr="00B019CE">
        <w:trPr>
          <w:trHeight w:val="38"/>
          <w:jc w:val="center"/>
        </w:trPr>
        <w:tc>
          <w:tcPr>
            <w:tcW w:w="8575" w:type="dxa"/>
            <w:tcBorders>
              <w:top w:val="single" w:sz="12" w:space="0" w:color="auto"/>
            </w:tcBorders>
            <w:shd w:val="clear" w:color="auto" w:fill="auto"/>
            <w:noWrap/>
            <w:vAlign w:val="center"/>
            <w:hideMark/>
          </w:tcPr>
          <w:p w14:paraId="39ABE987" w14:textId="77777777" w:rsidR="00AC6C6C" w:rsidRPr="00E92FFC" w:rsidRDefault="00AC6C6C" w:rsidP="00CB1F66">
            <w:pPr>
              <w:rPr>
                <w:rFonts w:ascii="Calibri" w:eastAsia="Times New Roman" w:hAnsi="Calibri" w:cs="Times New Roman"/>
                <w:color w:val="000000"/>
                <w:lang w:eastAsia="cs-CZ"/>
              </w:rPr>
            </w:pPr>
            <w:r w:rsidRPr="00E92FFC">
              <w:rPr>
                <w:rFonts w:ascii="Calibri" w:eastAsia="Times New Roman" w:hAnsi="Calibri" w:cs="Times New Roman"/>
                <w:color w:val="000000"/>
                <w:lang w:eastAsia="cs-CZ"/>
              </w:rPr>
              <w:t>Zásady územního rozvoje Královéhradeckého kraje</w:t>
            </w:r>
            <w:r>
              <w:rPr>
                <w:rFonts w:ascii="Calibri" w:eastAsia="Times New Roman" w:hAnsi="Calibri" w:cs="Times New Roman"/>
                <w:color w:val="000000"/>
                <w:lang w:eastAsia="cs-CZ"/>
              </w:rPr>
              <w:t>, ve znění Aktualizace č. 4 (červen 2020)</w:t>
            </w:r>
          </w:p>
        </w:tc>
      </w:tr>
      <w:tr w:rsidR="00AC6C6C" w:rsidRPr="00E92FFC" w14:paraId="4AB040F3" w14:textId="77777777" w:rsidTr="00B019CE">
        <w:trPr>
          <w:trHeight w:val="58"/>
          <w:jc w:val="center"/>
        </w:trPr>
        <w:tc>
          <w:tcPr>
            <w:tcW w:w="8575" w:type="dxa"/>
            <w:tcBorders>
              <w:bottom w:val="single" w:sz="4" w:space="0" w:color="auto"/>
            </w:tcBorders>
            <w:shd w:val="clear" w:color="auto" w:fill="auto"/>
            <w:noWrap/>
            <w:vAlign w:val="center"/>
            <w:hideMark/>
          </w:tcPr>
          <w:p w14:paraId="661EE7D2" w14:textId="77777777" w:rsidR="00AC6C6C" w:rsidRPr="00E92FFC" w:rsidRDefault="00AC6C6C" w:rsidP="00CB1F66">
            <w:pPr>
              <w:rPr>
                <w:rFonts w:ascii="Calibri" w:eastAsia="Times New Roman" w:hAnsi="Calibri" w:cs="Times New Roman"/>
                <w:color w:val="000000"/>
                <w:lang w:eastAsia="cs-CZ"/>
              </w:rPr>
            </w:pPr>
            <w:r w:rsidRPr="0023199F">
              <w:rPr>
                <w:rFonts w:ascii="Calibri" w:eastAsia="Times New Roman" w:hAnsi="Calibri" w:cs="Times New Roman"/>
                <w:color w:val="000000"/>
                <w:lang w:eastAsia="cs-CZ"/>
              </w:rPr>
              <w:t>Strategie rozvoje Královéhradeckého kraje na období 2021-2027</w:t>
            </w:r>
          </w:p>
        </w:tc>
      </w:tr>
      <w:tr w:rsidR="00AC6C6C" w:rsidRPr="00E92FFC" w14:paraId="4FFC0135" w14:textId="77777777" w:rsidTr="00B019CE">
        <w:trPr>
          <w:trHeight w:val="58"/>
          <w:jc w:val="center"/>
        </w:trPr>
        <w:tc>
          <w:tcPr>
            <w:tcW w:w="8575" w:type="dxa"/>
            <w:tcBorders>
              <w:top w:val="single" w:sz="4" w:space="0" w:color="auto"/>
              <w:bottom w:val="single" w:sz="4" w:space="0" w:color="auto"/>
            </w:tcBorders>
            <w:shd w:val="clear" w:color="auto" w:fill="auto"/>
            <w:noWrap/>
            <w:vAlign w:val="center"/>
            <w:hideMark/>
          </w:tcPr>
          <w:p w14:paraId="66B88610" w14:textId="77777777" w:rsidR="00AC6C6C" w:rsidRPr="00E92FFC" w:rsidRDefault="00AC6C6C" w:rsidP="00CB1F66">
            <w:pPr>
              <w:rPr>
                <w:rFonts w:ascii="Calibri" w:eastAsia="Times New Roman" w:hAnsi="Calibri" w:cs="Times New Roman"/>
                <w:color w:val="000000"/>
                <w:lang w:eastAsia="cs-CZ"/>
              </w:rPr>
            </w:pPr>
            <w:r>
              <w:rPr>
                <w:rFonts w:ascii="Calibri" w:eastAsia="Times New Roman" w:hAnsi="Calibri" w:cs="Times New Roman"/>
                <w:color w:val="000000"/>
                <w:lang w:eastAsia="cs-CZ"/>
              </w:rPr>
              <w:t>Program rozvoje Královéhradeckého kraje 2017-2020</w:t>
            </w:r>
          </w:p>
        </w:tc>
      </w:tr>
      <w:tr w:rsidR="00AC6C6C" w:rsidRPr="00E92FFC" w14:paraId="21796576" w14:textId="77777777" w:rsidTr="00B019CE">
        <w:trPr>
          <w:trHeight w:val="58"/>
          <w:jc w:val="center"/>
        </w:trPr>
        <w:tc>
          <w:tcPr>
            <w:tcW w:w="8575" w:type="dxa"/>
            <w:tcBorders>
              <w:top w:val="single" w:sz="4" w:space="0" w:color="auto"/>
              <w:bottom w:val="single" w:sz="6" w:space="0" w:color="auto"/>
            </w:tcBorders>
            <w:shd w:val="clear" w:color="auto" w:fill="auto"/>
            <w:noWrap/>
            <w:vAlign w:val="center"/>
          </w:tcPr>
          <w:p w14:paraId="11C72F97" w14:textId="77777777" w:rsidR="00AC6C6C" w:rsidRPr="00E92FFC" w:rsidRDefault="00AC6C6C" w:rsidP="00CB1F66">
            <w:pPr>
              <w:rPr>
                <w:rFonts w:ascii="Calibri" w:eastAsia="Times New Roman" w:hAnsi="Calibri" w:cs="Times New Roman"/>
                <w:color w:val="000000"/>
                <w:lang w:eastAsia="cs-CZ"/>
              </w:rPr>
            </w:pPr>
            <w:r w:rsidRPr="00A35E30">
              <w:rPr>
                <w:rFonts w:ascii="Calibri" w:eastAsia="Times New Roman" w:hAnsi="Calibri" w:cs="Times New Roman"/>
                <w:color w:val="000000"/>
                <w:lang w:eastAsia="cs-CZ"/>
              </w:rPr>
              <w:t>Koncepce Královéhradecký kraj</w:t>
            </w:r>
            <w:r>
              <w:rPr>
                <w:rFonts w:ascii="Calibri" w:eastAsia="Times New Roman" w:hAnsi="Calibri" w:cs="Times New Roman"/>
                <w:color w:val="000000"/>
                <w:lang w:eastAsia="cs-CZ"/>
              </w:rPr>
              <w:t xml:space="preserve"> </w:t>
            </w:r>
            <w:r w:rsidRPr="00A35E30">
              <w:rPr>
                <w:rFonts w:ascii="Calibri" w:eastAsia="Times New Roman" w:hAnsi="Calibri" w:cs="Times New Roman"/>
                <w:color w:val="000000"/>
                <w:lang w:eastAsia="cs-CZ"/>
              </w:rPr>
              <w:t>Chytrý region</w:t>
            </w:r>
          </w:p>
        </w:tc>
      </w:tr>
      <w:tr w:rsidR="00F03D7F" w:rsidRPr="00E92FFC" w14:paraId="3F4E6FFE" w14:textId="77777777" w:rsidTr="00B019CE">
        <w:trPr>
          <w:trHeight w:val="58"/>
          <w:jc w:val="center"/>
        </w:trPr>
        <w:tc>
          <w:tcPr>
            <w:tcW w:w="8575" w:type="dxa"/>
            <w:tcBorders>
              <w:top w:val="single" w:sz="4" w:space="0" w:color="auto"/>
              <w:bottom w:val="single" w:sz="6" w:space="0" w:color="auto"/>
            </w:tcBorders>
            <w:shd w:val="clear" w:color="auto" w:fill="auto"/>
            <w:noWrap/>
            <w:vAlign w:val="center"/>
          </w:tcPr>
          <w:p w14:paraId="18F9B982" w14:textId="3767D69C" w:rsidR="00F03D7F" w:rsidRPr="00A35E30" w:rsidRDefault="00F03D7F" w:rsidP="00CB1F66">
            <w:pPr>
              <w:rPr>
                <w:rFonts w:ascii="Calibri" w:eastAsia="Times New Roman" w:hAnsi="Calibri" w:cs="Times New Roman"/>
                <w:color w:val="000000"/>
                <w:lang w:eastAsia="cs-CZ"/>
              </w:rPr>
            </w:pPr>
            <w:r>
              <w:rPr>
                <w:rFonts w:ascii="Calibri" w:eastAsia="Times New Roman" w:hAnsi="Calibri" w:cs="Times New Roman"/>
                <w:color w:val="000000"/>
                <w:lang w:eastAsia="cs-CZ"/>
              </w:rPr>
              <w:t>ÚAP ORP</w:t>
            </w:r>
            <w:r w:rsidRPr="00F03D7F">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T</w:t>
            </w:r>
            <w:r w:rsidRPr="00F03D7F">
              <w:rPr>
                <w:rFonts w:ascii="Calibri" w:eastAsia="Times New Roman" w:hAnsi="Calibri" w:cs="Times New Roman"/>
                <w:color w:val="000000"/>
                <w:lang w:eastAsia="cs-CZ"/>
              </w:rPr>
              <w:t>rutnov</w:t>
            </w:r>
            <w:r w:rsidR="00ED6FFB">
              <w:rPr>
                <w:rFonts w:ascii="Calibri" w:eastAsia="Times New Roman" w:hAnsi="Calibri" w:cs="Times New Roman"/>
                <w:color w:val="000000"/>
                <w:lang w:eastAsia="cs-CZ"/>
              </w:rPr>
              <w:t xml:space="preserve"> ve znění aktualizace č. 5 (rok 2020)</w:t>
            </w:r>
          </w:p>
        </w:tc>
      </w:tr>
      <w:tr w:rsidR="00AC6C6C" w:rsidRPr="00E92FFC" w14:paraId="3BFB1859" w14:textId="77777777" w:rsidTr="00B019CE">
        <w:trPr>
          <w:trHeight w:val="38"/>
          <w:jc w:val="center"/>
        </w:trPr>
        <w:tc>
          <w:tcPr>
            <w:tcW w:w="8575" w:type="dxa"/>
            <w:tcBorders>
              <w:top w:val="single" w:sz="12" w:space="0" w:color="auto"/>
              <w:bottom w:val="single" w:sz="12" w:space="0" w:color="auto"/>
            </w:tcBorders>
            <w:shd w:val="clear" w:color="auto" w:fill="FFC000"/>
            <w:noWrap/>
            <w:vAlign w:val="center"/>
            <w:hideMark/>
          </w:tcPr>
          <w:p w14:paraId="49361CC9" w14:textId="77777777" w:rsidR="00AC6C6C" w:rsidRPr="00757FB1" w:rsidRDefault="00AC6C6C" w:rsidP="00CB1F66">
            <w:pPr>
              <w:jc w:val="center"/>
              <w:rPr>
                <w:rFonts w:ascii="Calibri" w:eastAsia="Times New Roman" w:hAnsi="Calibri" w:cs="Times New Roman"/>
                <w:b/>
                <w:bCs/>
                <w:lang w:eastAsia="cs-CZ"/>
              </w:rPr>
            </w:pPr>
            <w:r w:rsidRPr="00757FB1">
              <w:rPr>
                <w:rFonts w:ascii="Calibri" w:eastAsia="Times New Roman" w:hAnsi="Calibri" w:cs="Times New Roman"/>
                <w:b/>
                <w:bCs/>
                <w:lang w:eastAsia="cs-CZ"/>
              </w:rPr>
              <w:t>Lokální úroveň</w:t>
            </w:r>
          </w:p>
        </w:tc>
      </w:tr>
      <w:tr w:rsidR="00AC6C6C" w:rsidRPr="00E92FFC" w14:paraId="346FD5DE" w14:textId="77777777" w:rsidTr="00B019CE">
        <w:trPr>
          <w:trHeight w:val="38"/>
          <w:jc w:val="center"/>
        </w:trPr>
        <w:tc>
          <w:tcPr>
            <w:tcW w:w="8575" w:type="dxa"/>
            <w:tcBorders>
              <w:top w:val="single" w:sz="12" w:space="0" w:color="auto"/>
            </w:tcBorders>
            <w:shd w:val="clear" w:color="auto" w:fill="auto"/>
            <w:noWrap/>
            <w:vAlign w:val="center"/>
          </w:tcPr>
          <w:p w14:paraId="2AE1D331" w14:textId="01F28332" w:rsidR="00AC6C6C" w:rsidRPr="00E92FFC" w:rsidRDefault="00AC6C6C" w:rsidP="00CB1F66">
            <w:pPr>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Územní plán </w:t>
            </w:r>
            <w:r w:rsidR="0083557D">
              <w:rPr>
                <w:rFonts w:ascii="Calibri" w:eastAsia="Times New Roman" w:hAnsi="Calibri" w:cs="Times New Roman"/>
                <w:color w:val="000000"/>
                <w:lang w:eastAsia="cs-CZ"/>
              </w:rPr>
              <w:t>Staré Buky</w:t>
            </w:r>
          </w:p>
        </w:tc>
      </w:tr>
      <w:tr w:rsidR="00096E23" w:rsidRPr="00E92FFC" w14:paraId="0C3F2B72" w14:textId="77777777" w:rsidTr="00B019CE">
        <w:trPr>
          <w:trHeight w:val="58"/>
          <w:jc w:val="center"/>
        </w:trPr>
        <w:tc>
          <w:tcPr>
            <w:tcW w:w="8575" w:type="dxa"/>
            <w:shd w:val="clear" w:color="auto" w:fill="auto"/>
            <w:noWrap/>
            <w:vAlign w:val="center"/>
          </w:tcPr>
          <w:p w14:paraId="78B3292A" w14:textId="3AA2CAAD" w:rsidR="00096E23" w:rsidRPr="00E92FFC" w:rsidRDefault="00330935" w:rsidP="00096E23">
            <w:pPr>
              <w:rPr>
                <w:rFonts w:ascii="Calibri" w:eastAsia="Times New Roman" w:hAnsi="Calibri" w:cs="Times New Roman"/>
                <w:color w:val="000000"/>
                <w:lang w:eastAsia="cs-CZ"/>
              </w:rPr>
            </w:pPr>
            <w:r>
              <w:t>Strategie komunitně vedeného místního rozvoje pro území Místní akční skupiny Království-Jestřebí hory, o.p.s. na období 2021–2027</w:t>
            </w:r>
          </w:p>
        </w:tc>
      </w:tr>
    </w:tbl>
    <w:p w14:paraId="08BA0037" w14:textId="77777777" w:rsidR="00AC6C6C" w:rsidRDefault="00AC6C6C" w:rsidP="00AC6C6C">
      <w:pPr>
        <w:jc w:val="both"/>
        <w:rPr>
          <w:sz w:val="20"/>
          <w:szCs w:val="20"/>
        </w:rPr>
      </w:pPr>
      <w:r w:rsidRPr="00E92FFC">
        <w:rPr>
          <w:b/>
          <w:sz w:val="20"/>
          <w:szCs w:val="20"/>
        </w:rPr>
        <w:t>Zdroj</w:t>
      </w:r>
      <w:r>
        <w:rPr>
          <w:b/>
          <w:sz w:val="20"/>
          <w:szCs w:val="20"/>
        </w:rPr>
        <w:t>e</w:t>
      </w:r>
      <w:r w:rsidRPr="00E92FFC">
        <w:rPr>
          <w:b/>
          <w:sz w:val="20"/>
          <w:szCs w:val="20"/>
        </w:rPr>
        <w:t>:</w:t>
      </w:r>
      <w:r w:rsidRPr="00E92FFC">
        <w:rPr>
          <w:sz w:val="20"/>
          <w:szCs w:val="20"/>
        </w:rPr>
        <w:t xml:space="preserve"> </w:t>
      </w:r>
      <w:r w:rsidRPr="00423D19">
        <w:rPr>
          <w:sz w:val="20"/>
          <w:szCs w:val="20"/>
        </w:rPr>
        <w:t xml:space="preserve">Internetové stránky Ministerstva pro místní rozvoj </w:t>
      </w:r>
      <w:hyperlink r:id="rId119" w:history="1">
        <w:r w:rsidRPr="00F72503">
          <w:rPr>
            <w:rStyle w:val="Hypertextovodkaz"/>
            <w:sz w:val="20"/>
            <w:szCs w:val="20"/>
          </w:rPr>
          <w:t>https://www.mmr.cz/</w:t>
        </w:r>
      </w:hyperlink>
      <w:r>
        <w:rPr>
          <w:sz w:val="20"/>
          <w:szCs w:val="20"/>
        </w:rPr>
        <w:t xml:space="preserve"> </w:t>
      </w:r>
      <w:r>
        <w:t xml:space="preserve"> </w:t>
      </w:r>
      <w:r>
        <w:rPr>
          <w:sz w:val="20"/>
          <w:szCs w:val="20"/>
        </w:rPr>
        <w:t xml:space="preserve">            </w:t>
      </w:r>
    </w:p>
    <w:p w14:paraId="62A7010B" w14:textId="77777777" w:rsidR="00AC6C6C" w:rsidRPr="004439FF" w:rsidRDefault="00AC6C6C" w:rsidP="00AC6C6C">
      <w:pPr>
        <w:contextualSpacing/>
        <w:jc w:val="both"/>
        <w:rPr>
          <w:b/>
          <w:bCs/>
          <w:sz w:val="20"/>
          <w:szCs w:val="20"/>
        </w:rPr>
      </w:pPr>
      <w:r>
        <w:rPr>
          <w:sz w:val="20"/>
          <w:szCs w:val="20"/>
        </w:rPr>
        <w:t xml:space="preserve">              </w:t>
      </w:r>
      <w:r w:rsidRPr="004439FF">
        <w:rPr>
          <w:sz w:val="20"/>
          <w:szCs w:val="20"/>
        </w:rPr>
        <w:t xml:space="preserve">Portál územního plánování </w:t>
      </w:r>
      <w:r w:rsidRPr="004439FF">
        <w:rPr>
          <w:bCs/>
          <w:sz w:val="20"/>
          <w:szCs w:val="20"/>
        </w:rPr>
        <w:t>Ústavu územního rozvoje</w:t>
      </w:r>
      <w:r w:rsidRPr="004439FF">
        <w:rPr>
          <w:sz w:val="20"/>
          <w:szCs w:val="20"/>
        </w:rPr>
        <w:t xml:space="preserve"> </w:t>
      </w:r>
      <w:hyperlink r:id="rId120" w:history="1">
        <w:r w:rsidRPr="004439FF">
          <w:rPr>
            <w:rStyle w:val="Hypertextovodkaz"/>
            <w:sz w:val="20"/>
            <w:szCs w:val="20"/>
          </w:rPr>
          <w:t>http://portal.uur.cz/</w:t>
        </w:r>
      </w:hyperlink>
      <w:r w:rsidRPr="004439FF">
        <w:rPr>
          <w:sz w:val="20"/>
          <w:szCs w:val="20"/>
        </w:rPr>
        <w:t xml:space="preserve"> </w:t>
      </w:r>
    </w:p>
    <w:p w14:paraId="3BDFE345" w14:textId="3112E050" w:rsidR="00AC6C6C" w:rsidRDefault="00AC6C6C" w:rsidP="00AC6C6C">
      <w:pPr>
        <w:contextualSpacing/>
        <w:jc w:val="both"/>
        <w:rPr>
          <w:sz w:val="20"/>
          <w:szCs w:val="20"/>
        </w:rPr>
      </w:pPr>
      <w:r>
        <w:rPr>
          <w:sz w:val="20"/>
          <w:szCs w:val="20"/>
        </w:rPr>
        <w:t xml:space="preserve">              </w:t>
      </w:r>
      <w:r w:rsidRPr="00E92FFC">
        <w:rPr>
          <w:sz w:val="20"/>
          <w:szCs w:val="20"/>
        </w:rPr>
        <w:t>Internetové stránky Královéhradeckého kraje</w:t>
      </w:r>
      <w:r>
        <w:rPr>
          <w:sz w:val="20"/>
          <w:szCs w:val="20"/>
        </w:rPr>
        <w:t xml:space="preserve"> </w:t>
      </w:r>
      <w:hyperlink r:id="rId121" w:history="1">
        <w:r w:rsidR="00A92B55" w:rsidRPr="00FE0D26">
          <w:rPr>
            <w:rStyle w:val="Hypertextovodkaz"/>
            <w:sz w:val="20"/>
            <w:szCs w:val="20"/>
          </w:rPr>
          <w:t>https://www.kr-kralovehradecky.cz/</w:t>
        </w:r>
      </w:hyperlink>
      <w:r>
        <w:rPr>
          <w:sz w:val="20"/>
          <w:szCs w:val="20"/>
        </w:rPr>
        <w:t xml:space="preserve"> </w:t>
      </w:r>
    </w:p>
    <w:p w14:paraId="171EA848" w14:textId="7CB1B2B2" w:rsidR="00AC6C6C" w:rsidRDefault="00AC6C6C" w:rsidP="00AC6C6C">
      <w:pPr>
        <w:contextualSpacing/>
        <w:jc w:val="both"/>
        <w:rPr>
          <w:sz w:val="20"/>
          <w:szCs w:val="20"/>
        </w:rPr>
      </w:pPr>
      <w:r>
        <w:rPr>
          <w:sz w:val="20"/>
          <w:szCs w:val="20"/>
        </w:rPr>
        <w:t xml:space="preserve">              </w:t>
      </w:r>
      <w:r w:rsidR="00A62896" w:rsidRPr="00E92FFC">
        <w:rPr>
          <w:sz w:val="20"/>
          <w:szCs w:val="20"/>
        </w:rPr>
        <w:t>Internetové stránky</w:t>
      </w:r>
      <w:r w:rsidR="00A62896">
        <w:rPr>
          <w:sz w:val="20"/>
          <w:szCs w:val="20"/>
        </w:rPr>
        <w:t xml:space="preserve"> MAS </w:t>
      </w:r>
      <w:r w:rsidR="00A62896" w:rsidRPr="00975291">
        <w:rPr>
          <w:sz w:val="20"/>
          <w:szCs w:val="20"/>
        </w:rPr>
        <w:t>Království-Jestřebí hory</w:t>
      </w:r>
      <w:r w:rsidR="00A62896">
        <w:rPr>
          <w:sz w:val="20"/>
          <w:szCs w:val="20"/>
        </w:rPr>
        <w:t xml:space="preserve">, o. p. s. </w:t>
      </w:r>
      <w:hyperlink r:id="rId122" w:history="1">
        <w:r w:rsidR="00A62896" w:rsidRPr="00A64C2E">
          <w:rPr>
            <w:rStyle w:val="Hypertextovodkaz"/>
            <w:sz w:val="20"/>
            <w:szCs w:val="20"/>
          </w:rPr>
          <w:t>https://www.kjh.cz/</w:t>
        </w:r>
      </w:hyperlink>
      <w:r>
        <w:rPr>
          <w:sz w:val="20"/>
          <w:szCs w:val="20"/>
        </w:rPr>
        <w:t xml:space="preserve"> </w:t>
      </w:r>
    </w:p>
    <w:p w14:paraId="0E2AA04F" w14:textId="5E52C01F" w:rsidR="00AC6C6C" w:rsidRDefault="00854542" w:rsidP="00A62896">
      <w:pPr>
        <w:jc w:val="both"/>
        <w:rPr>
          <w:sz w:val="20"/>
          <w:szCs w:val="20"/>
        </w:rPr>
      </w:pPr>
      <w:r w:rsidRPr="00854542">
        <w:rPr>
          <w:sz w:val="20"/>
          <w:szCs w:val="20"/>
        </w:rPr>
        <w:t xml:space="preserve">             </w:t>
      </w:r>
      <w:r>
        <w:rPr>
          <w:sz w:val="20"/>
          <w:szCs w:val="20"/>
        </w:rPr>
        <w:t xml:space="preserve"> </w:t>
      </w:r>
      <w:r w:rsidR="00A62896" w:rsidRPr="00A62896">
        <w:rPr>
          <w:sz w:val="20"/>
          <w:szCs w:val="20"/>
        </w:rPr>
        <w:t>Územně plánovací dokumentace</w:t>
      </w:r>
      <w:r w:rsidR="00A62896">
        <w:rPr>
          <w:sz w:val="20"/>
          <w:szCs w:val="20"/>
        </w:rPr>
        <w:t xml:space="preserve"> </w:t>
      </w:r>
      <w:r w:rsidR="00A62896" w:rsidRPr="00A62896">
        <w:rPr>
          <w:sz w:val="20"/>
          <w:szCs w:val="20"/>
        </w:rPr>
        <w:t>ORP Trutnov</w:t>
      </w:r>
      <w:r w:rsidR="00096E23" w:rsidRPr="00096E23">
        <w:rPr>
          <w:sz w:val="20"/>
          <w:szCs w:val="20"/>
        </w:rPr>
        <w:t xml:space="preserve"> </w:t>
      </w:r>
      <w:hyperlink r:id="rId123" w:history="1">
        <w:r w:rsidR="00A62896" w:rsidRPr="00B52C05">
          <w:rPr>
            <w:rStyle w:val="Hypertextovodkaz"/>
            <w:sz w:val="20"/>
            <w:szCs w:val="20"/>
          </w:rPr>
          <w:t>http://upd.trutnov.cz/</w:t>
        </w:r>
      </w:hyperlink>
      <w:r w:rsidR="00A62896">
        <w:rPr>
          <w:sz w:val="20"/>
          <w:szCs w:val="20"/>
        </w:rPr>
        <w:t xml:space="preserve"> </w:t>
      </w:r>
    </w:p>
    <w:p w14:paraId="45610556" w14:textId="7148DB35" w:rsidR="00096E23" w:rsidRPr="00096E23" w:rsidRDefault="00096E23" w:rsidP="00AC6C6C">
      <w:pPr>
        <w:spacing w:after="160"/>
        <w:jc w:val="both"/>
        <w:rPr>
          <w:sz w:val="20"/>
          <w:szCs w:val="20"/>
        </w:rPr>
      </w:pPr>
      <w:r w:rsidRPr="00096E23">
        <w:rPr>
          <w:sz w:val="20"/>
          <w:szCs w:val="20"/>
        </w:rPr>
        <w:t xml:space="preserve">              </w:t>
      </w:r>
      <w:r w:rsidR="00A62896" w:rsidRPr="00E92FFC">
        <w:rPr>
          <w:sz w:val="20"/>
          <w:szCs w:val="20"/>
        </w:rPr>
        <w:t>Internetové stránky</w:t>
      </w:r>
      <w:r w:rsidR="00A62896">
        <w:rPr>
          <w:sz w:val="20"/>
          <w:szCs w:val="20"/>
        </w:rPr>
        <w:t xml:space="preserve"> obce Staré Buky </w:t>
      </w:r>
      <w:hyperlink r:id="rId124" w:history="1">
        <w:r w:rsidR="00A62896" w:rsidRPr="00B52C05">
          <w:rPr>
            <w:rStyle w:val="Hypertextovodkaz"/>
            <w:sz w:val="20"/>
            <w:szCs w:val="20"/>
          </w:rPr>
          <w:t>https://www.starebuky.cz/</w:t>
        </w:r>
      </w:hyperlink>
      <w:r w:rsidR="00A62896">
        <w:rPr>
          <w:sz w:val="20"/>
          <w:szCs w:val="20"/>
        </w:rPr>
        <w:t xml:space="preserve"> </w:t>
      </w:r>
    </w:p>
    <w:p w14:paraId="60F99E72" w14:textId="77777777" w:rsidR="008147E6" w:rsidRDefault="008147E6" w:rsidP="008147E6">
      <w:pPr>
        <w:spacing w:after="160" w:line="259" w:lineRule="auto"/>
        <w:jc w:val="both"/>
      </w:pPr>
    </w:p>
    <w:p w14:paraId="0D0E39AB" w14:textId="6A69C7EB" w:rsidR="00B019CE" w:rsidRDefault="00B019CE" w:rsidP="00B019CE">
      <w:pPr>
        <w:spacing w:after="160" w:line="259" w:lineRule="auto"/>
        <w:jc w:val="both"/>
      </w:pPr>
      <w:r w:rsidRPr="00473DD5">
        <w:rPr>
          <w:rFonts w:ascii="Calibri" w:eastAsia="Calibri" w:hAnsi="Calibri" w:cs="Times New Roman"/>
        </w:rPr>
        <w:t>Aby mohly být některé</w:t>
      </w:r>
      <w:r w:rsidRPr="00D854C6">
        <w:rPr>
          <w:rFonts w:ascii="Calibri" w:eastAsia="Calibri" w:hAnsi="Calibri" w:cs="Times New Roman"/>
        </w:rPr>
        <w:t xml:space="preserve"> aktivity realizovány, je možné, že bude nutné v budoucnosti provést určité změny územního plánu, které budou spočívat ve změně funkčního využití některých ploch, které jsou danými aktivitami dotčeny a u nichž je změna funkce nutnou podmínkou k realizaci. </w:t>
      </w:r>
      <w:r w:rsidRPr="00D854C6">
        <w:rPr>
          <w:rFonts w:ascii="Calibri" w:eastAsia="Calibri" w:hAnsi="Calibri" w:cs="Times New Roman"/>
          <w:b/>
        </w:rPr>
        <w:t xml:space="preserve">Územní plán </w:t>
      </w:r>
      <w:r w:rsidR="009248B6">
        <w:rPr>
          <w:rFonts w:ascii="Calibri" w:eastAsia="Calibri" w:hAnsi="Calibri" w:cs="Times New Roman"/>
          <w:b/>
        </w:rPr>
        <w:t>Staré Buky</w:t>
      </w:r>
      <w:r w:rsidRPr="00D854C6">
        <w:rPr>
          <w:rFonts w:ascii="Calibri" w:eastAsia="Calibri" w:hAnsi="Calibri" w:cs="Times New Roman"/>
          <w:b/>
        </w:rPr>
        <w:t xml:space="preserve"> nabyl účinnosti </w:t>
      </w:r>
      <w:r>
        <w:rPr>
          <w:rFonts w:ascii="Calibri" w:eastAsia="Calibri" w:hAnsi="Calibri" w:cs="Times New Roman"/>
          <w:b/>
        </w:rPr>
        <w:t>1</w:t>
      </w:r>
      <w:r w:rsidR="00010B41">
        <w:rPr>
          <w:rFonts w:ascii="Calibri" w:eastAsia="Calibri" w:hAnsi="Calibri" w:cs="Times New Roman"/>
          <w:b/>
        </w:rPr>
        <w:t>4</w:t>
      </w:r>
      <w:r w:rsidRPr="00D854C6">
        <w:rPr>
          <w:rFonts w:ascii="Calibri" w:eastAsia="Calibri" w:hAnsi="Calibri" w:cs="Times New Roman"/>
          <w:b/>
        </w:rPr>
        <w:t xml:space="preserve">. </w:t>
      </w:r>
      <w:r w:rsidR="00010B41">
        <w:rPr>
          <w:rFonts w:ascii="Calibri" w:eastAsia="Calibri" w:hAnsi="Calibri" w:cs="Times New Roman"/>
          <w:b/>
        </w:rPr>
        <w:t>5</w:t>
      </w:r>
      <w:r w:rsidRPr="00D854C6">
        <w:rPr>
          <w:rFonts w:ascii="Calibri" w:eastAsia="Calibri" w:hAnsi="Calibri" w:cs="Times New Roman"/>
          <w:b/>
        </w:rPr>
        <w:t>. 20</w:t>
      </w:r>
      <w:r>
        <w:rPr>
          <w:rFonts w:ascii="Calibri" w:eastAsia="Calibri" w:hAnsi="Calibri" w:cs="Times New Roman"/>
          <w:b/>
        </w:rPr>
        <w:t>08</w:t>
      </w:r>
      <w:r w:rsidRPr="007372EA">
        <w:rPr>
          <w:rFonts w:ascii="Calibri" w:eastAsia="Calibri" w:hAnsi="Calibri" w:cs="Times New Roman"/>
          <w:bCs/>
        </w:rPr>
        <w:t>.</w:t>
      </w:r>
      <w:r w:rsidRPr="00D854C6">
        <w:rPr>
          <w:rFonts w:ascii="Calibri" w:eastAsia="Calibri" w:hAnsi="Calibri" w:cs="Times New Roman"/>
        </w:rPr>
        <w:t xml:space="preserve"> </w:t>
      </w:r>
      <w:r w:rsidR="00010B41">
        <w:rPr>
          <w:rFonts w:ascii="Calibri" w:eastAsia="Calibri" w:hAnsi="Calibri" w:cs="Times New Roman"/>
        </w:rPr>
        <w:t xml:space="preserve">Ještě </w:t>
      </w:r>
      <w:r w:rsidR="00010B41">
        <w:rPr>
          <w:b/>
        </w:rPr>
        <w:t>v</w:t>
      </w:r>
      <w:r>
        <w:rPr>
          <w:b/>
        </w:rPr>
        <w:t> roce 200</w:t>
      </w:r>
      <w:r w:rsidR="00010B41">
        <w:rPr>
          <w:b/>
        </w:rPr>
        <w:t>8</w:t>
      </w:r>
      <w:r>
        <w:rPr>
          <w:b/>
        </w:rPr>
        <w:t xml:space="preserve"> bylo schváleno pořízení změny č. 1 územního plánu, která nabyla účinnosti 2</w:t>
      </w:r>
      <w:r w:rsidR="00010B41">
        <w:rPr>
          <w:b/>
        </w:rPr>
        <w:t>2</w:t>
      </w:r>
      <w:r>
        <w:rPr>
          <w:b/>
        </w:rPr>
        <w:t xml:space="preserve">. </w:t>
      </w:r>
      <w:r w:rsidR="00010B41">
        <w:rPr>
          <w:b/>
        </w:rPr>
        <w:t>10</w:t>
      </w:r>
      <w:r>
        <w:rPr>
          <w:b/>
        </w:rPr>
        <w:t>. 20</w:t>
      </w:r>
      <w:r w:rsidR="00010B41">
        <w:rPr>
          <w:b/>
        </w:rPr>
        <w:t>09</w:t>
      </w:r>
      <w:r>
        <w:rPr>
          <w:b/>
        </w:rPr>
        <w:t>.</w:t>
      </w:r>
      <w:r w:rsidRPr="0072386A">
        <w:rPr>
          <w:b/>
        </w:rPr>
        <w:t xml:space="preserve"> </w:t>
      </w:r>
      <w:r>
        <w:rPr>
          <w:b/>
        </w:rPr>
        <w:t xml:space="preserve">V roce </w:t>
      </w:r>
      <w:r w:rsidR="00010B41">
        <w:rPr>
          <w:b/>
        </w:rPr>
        <w:t>2011</w:t>
      </w:r>
      <w:r>
        <w:rPr>
          <w:b/>
        </w:rPr>
        <w:t xml:space="preserve"> bylo schváleno pořízení změny č. 2 územního plánu,</w:t>
      </w:r>
      <w:r w:rsidRPr="0072386A">
        <w:rPr>
          <w:b/>
        </w:rPr>
        <w:t xml:space="preserve"> </w:t>
      </w:r>
      <w:r>
        <w:rPr>
          <w:b/>
        </w:rPr>
        <w:t xml:space="preserve">která nabyla účinnosti </w:t>
      </w:r>
      <w:r w:rsidR="00010B41">
        <w:rPr>
          <w:b/>
        </w:rPr>
        <w:t>25</w:t>
      </w:r>
      <w:r>
        <w:rPr>
          <w:b/>
        </w:rPr>
        <w:t xml:space="preserve">. </w:t>
      </w:r>
      <w:r w:rsidR="00010B41">
        <w:rPr>
          <w:b/>
        </w:rPr>
        <w:t>10</w:t>
      </w:r>
      <w:r>
        <w:rPr>
          <w:b/>
        </w:rPr>
        <w:t>. 20</w:t>
      </w:r>
      <w:r w:rsidR="00010B41">
        <w:rPr>
          <w:b/>
        </w:rPr>
        <w:t>13</w:t>
      </w:r>
      <w:r w:rsidR="00347FCC">
        <w:rPr>
          <w:b/>
        </w:rPr>
        <w:t>. V roce 2015 bylo schváleno pořízení změny č. 3 územního plánu,</w:t>
      </w:r>
      <w:r w:rsidR="00347FCC" w:rsidRPr="0072386A">
        <w:rPr>
          <w:b/>
        </w:rPr>
        <w:t xml:space="preserve"> </w:t>
      </w:r>
      <w:r w:rsidR="00347FCC">
        <w:rPr>
          <w:b/>
        </w:rPr>
        <w:t>která nabyla účinnosti 5. 6. 2020. K 30. 9. 2021 bylo schváleno pořízení změny č. 4 územního plánu</w:t>
      </w:r>
      <w:r w:rsidRPr="004E1856">
        <w:rPr>
          <w:rStyle w:val="Znakapoznpodarou"/>
          <w:bCs/>
        </w:rPr>
        <w:footnoteReference w:id="70"/>
      </w:r>
      <w:r w:rsidRPr="0072386A">
        <w:rPr>
          <w:bCs/>
        </w:rPr>
        <w:t>.</w:t>
      </w:r>
    </w:p>
    <w:p w14:paraId="6D08C74E" w14:textId="75C71CF9" w:rsidR="0059460C" w:rsidRDefault="00B019CE" w:rsidP="00B019CE">
      <w:pPr>
        <w:spacing w:after="160" w:line="259" w:lineRule="auto"/>
        <w:jc w:val="both"/>
        <w:rPr>
          <w:rFonts w:ascii="Calibri" w:eastAsia="Calibri" w:hAnsi="Calibri" w:cs="Times New Roman"/>
        </w:rPr>
      </w:pPr>
      <w:r w:rsidRPr="00D854C6">
        <w:rPr>
          <w:rFonts w:ascii="Calibri" w:eastAsia="Calibri" w:hAnsi="Calibri" w:cs="Times New Roman"/>
        </w:rPr>
        <w:t xml:space="preserve">Při aktualizacích se vychází z platného územního plánu a jsou respektovány jeho hlavní principy. Díky změnám územního plánu dochází k jeho aktualizaci a k pozměnění funkčního využití určitého území. Tyto změny vycházejí z potřeb </w:t>
      </w:r>
      <w:r>
        <w:rPr>
          <w:rFonts w:ascii="Calibri" w:eastAsia="Calibri" w:hAnsi="Calibri" w:cs="Times New Roman"/>
        </w:rPr>
        <w:t>obce</w:t>
      </w:r>
      <w:r w:rsidRPr="00D854C6">
        <w:rPr>
          <w:rFonts w:ascii="Calibri" w:eastAsia="Calibri" w:hAnsi="Calibri" w:cs="Times New Roman"/>
        </w:rPr>
        <w:t xml:space="preserve"> a je</w:t>
      </w:r>
      <w:r>
        <w:rPr>
          <w:rFonts w:ascii="Calibri" w:eastAsia="Calibri" w:hAnsi="Calibri" w:cs="Times New Roman"/>
        </w:rPr>
        <w:t>jích</w:t>
      </w:r>
      <w:r w:rsidRPr="00D854C6">
        <w:rPr>
          <w:rFonts w:ascii="Calibri" w:eastAsia="Calibri" w:hAnsi="Calibri" w:cs="Times New Roman"/>
        </w:rPr>
        <w:t xml:space="preserve"> obyvatel, přičemž odborný zpracovatel musí respektovat nadřazené dokumenty a zákony v oblasti územního plánování.</w:t>
      </w:r>
    </w:p>
    <w:p w14:paraId="27D4B636" w14:textId="66834ED1" w:rsidR="00081C38" w:rsidRDefault="00081C38" w:rsidP="00891E9B">
      <w:pPr>
        <w:spacing w:after="160" w:line="259" w:lineRule="auto"/>
        <w:jc w:val="both"/>
      </w:pPr>
      <w:r>
        <w:br w:type="page"/>
      </w:r>
    </w:p>
    <w:p w14:paraId="6ADA07C4" w14:textId="4E6343B6" w:rsidR="008147E6" w:rsidRDefault="008147E6" w:rsidP="00814D5A">
      <w:pPr>
        <w:pStyle w:val="Nadpis3"/>
      </w:pPr>
      <w:bookmarkStart w:id="537" w:name="_Toc413418391"/>
      <w:bookmarkStart w:id="538" w:name="_Toc440566370"/>
      <w:bookmarkStart w:id="539" w:name="_Toc441227521"/>
      <w:bookmarkStart w:id="540" w:name="_Toc32580142"/>
      <w:bookmarkStart w:id="541" w:name="_Toc120652167"/>
      <w:r>
        <w:lastRenderedPageBreak/>
        <w:t>2.</w:t>
      </w:r>
      <w:r w:rsidR="00461ECF">
        <w:t>4</w:t>
      </w:r>
      <w:r>
        <w:t>.3 Limity rozvoje</w:t>
      </w:r>
      <w:bookmarkEnd w:id="537"/>
      <w:bookmarkEnd w:id="538"/>
      <w:bookmarkEnd w:id="539"/>
      <w:bookmarkEnd w:id="540"/>
      <w:bookmarkEnd w:id="541"/>
    </w:p>
    <w:p w14:paraId="07A759B1" w14:textId="77777777" w:rsidR="00973B0D" w:rsidRDefault="00973B0D" w:rsidP="00973B0D">
      <w:pPr>
        <w:spacing w:after="160" w:line="259" w:lineRule="auto"/>
        <w:jc w:val="both"/>
      </w:pPr>
      <w:r>
        <w:t>Limity rozvoje představují faktory, které může obec</w:t>
      </w:r>
      <w:r w:rsidRPr="0001658E">
        <w:t xml:space="preserve"> jen obtížně ovlivnit a které musí respektovat </w:t>
      </w:r>
      <w:r>
        <w:br/>
      </w:r>
      <w:r w:rsidRPr="0001658E">
        <w:t>při</w:t>
      </w:r>
      <w:r>
        <w:t xml:space="preserve"> </w:t>
      </w:r>
      <w:r w:rsidRPr="0001658E">
        <w:t>plánování rozvoje</w:t>
      </w:r>
      <w:r>
        <w:t xml:space="preserve">. Limitů rozvoje je celá řada. Jedná se např. o ochranná pásma dopravní </w:t>
      </w:r>
      <w:r>
        <w:br/>
        <w:t>a technické infrastruktury (pozemních komunikací</w:t>
      </w:r>
      <w:r>
        <w:rPr>
          <w:rStyle w:val="Znakapoznpodarou"/>
        </w:rPr>
        <w:footnoteReference w:id="71"/>
      </w:r>
      <w:r>
        <w:t>, železniční tratě</w:t>
      </w:r>
      <w:r>
        <w:rPr>
          <w:rStyle w:val="Znakapoznpodarou"/>
        </w:rPr>
        <w:footnoteReference w:id="72"/>
      </w:r>
      <w:r>
        <w:t>, elektrického vedení</w:t>
      </w:r>
      <w:r>
        <w:rPr>
          <w:rStyle w:val="Znakapoznpodarou"/>
        </w:rPr>
        <w:footnoteReference w:id="73"/>
      </w:r>
      <w:r>
        <w:t>, vodovodní a kanalizační sítě</w:t>
      </w:r>
      <w:r>
        <w:rPr>
          <w:rStyle w:val="Znakapoznpodarou"/>
        </w:rPr>
        <w:footnoteReference w:id="74"/>
      </w:r>
      <w:r>
        <w:t>, komunikačního vedení a rádiových zařízení</w:t>
      </w:r>
      <w:r>
        <w:rPr>
          <w:rStyle w:val="Znakapoznpodarou"/>
        </w:rPr>
        <w:footnoteReference w:id="75"/>
      </w:r>
      <w:r>
        <w:t>), o ochranu ZPF</w:t>
      </w:r>
      <w:r>
        <w:rPr>
          <w:rStyle w:val="Znakapoznpodarou"/>
        </w:rPr>
        <w:footnoteReference w:id="76"/>
      </w:r>
      <w:r>
        <w:t xml:space="preserve"> či ochranu nemovitých kulturních památek</w:t>
      </w:r>
      <w:r>
        <w:rPr>
          <w:rStyle w:val="Znakapoznpodarou"/>
        </w:rPr>
        <w:footnoteReference w:id="77"/>
      </w:r>
      <w:r>
        <w:t>.</w:t>
      </w:r>
    </w:p>
    <w:p w14:paraId="4A4CA870" w14:textId="3A28A2C8" w:rsidR="008147E6" w:rsidRDefault="00973B0D" w:rsidP="00973B0D">
      <w:pPr>
        <w:spacing w:after="160" w:line="259" w:lineRule="auto"/>
        <w:jc w:val="both"/>
      </w:pPr>
      <w:r w:rsidRPr="00D41DA3">
        <w:t xml:space="preserve">Dále musí </w:t>
      </w:r>
      <w:r>
        <w:t xml:space="preserve">být všeobecně respektován zákon č. </w:t>
      </w:r>
      <w:r w:rsidRPr="00D41DA3">
        <w:t>17/</w:t>
      </w:r>
      <w:r>
        <w:t>1992 Sb., o životním prostředí a celá řada dalších nařízení</w:t>
      </w:r>
      <w:r w:rsidRPr="00D41DA3">
        <w:t>.</w:t>
      </w:r>
    </w:p>
    <w:p w14:paraId="79E6C08D" w14:textId="77777777" w:rsidR="001D3421" w:rsidRDefault="001D3421" w:rsidP="00F43355">
      <w:pPr>
        <w:spacing w:after="160" w:line="259" w:lineRule="auto"/>
        <w:jc w:val="both"/>
      </w:pPr>
    </w:p>
    <w:p w14:paraId="2475E8B2" w14:textId="3CBFFDF4" w:rsidR="008147E6" w:rsidRDefault="008147E6" w:rsidP="00814D5A">
      <w:pPr>
        <w:pStyle w:val="Nadpis3"/>
      </w:pPr>
      <w:bookmarkStart w:id="542" w:name="_Toc413418392"/>
      <w:bookmarkStart w:id="543" w:name="_Toc440566371"/>
      <w:bookmarkStart w:id="544" w:name="_Toc441227522"/>
      <w:bookmarkStart w:id="545" w:name="_Toc32580143"/>
      <w:bookmarkStart w:id="546" w:name="_Toc120652168"/>
      <w:r>
        <w:t>2.</w:t>
      </w:r>
      <w:r w:rsidR="00461ECF">
        <w:t>4</w:t>
      </w:r>
      <w:r>
        <w:t>.4 SWOT analýza</w:t>
      </w:r>
      <w:bookmarkEnd w:id="542"/>
      <w:bookmarkEnd w:id="543"/>
      <w:bookmarkEnd w:id="544"/>
      <w:bookmarkEnd w:id="545"/>
      <w:bookmarkEnd w:id="546"/>
    </w:p>
    <w:p w14:paraId="29288AD7" w14:textId="77777777" w:rsidR="00A943D0" w:rsidRPr="00322218" w:rsidRDefault="00A943D0" w:rsidP="00A943D0">
      <w:pPr>
        <w:spacing w:after="160" w:line="259" w:lineRule="auto"/>
        <w:jc w:val="both"/>
        <w:rPr>
          <w:rFonts w:ascii="Calibri" w:eastAsia="Calibri" w:hAnsi="Calibri" w:cs="Times New Roman"/>
        </w:rPr>
      </w:pPr>
      <w:r w:rsidRPr="00322218">
        <w:rPr>
          <w:rFonts w:ascii="Calibri" w:eastAsia="Calibri" w:hAnsi="Calibri" w:cs="Times New Roman"/>
        </w:rPr>
        <w:t xml:space="preserve">Analýza SWOT představuje shrnutí a zhodnocení výsledků dosažených v dílčích analýzách. SWOT </w:t>
      </w:r>
      <w:r w:rsidRPr="00322218">
        <w:rPr>
          <w:rFonts w:ascii="Calibri" w:eastAsia="Calibri" w:hAnsi="Calibri" w:cs="Times New Roman"/>
        </w:rPr>
        <w:br/>
        <w:t>je zkratkou pro jednotlivá hodnocení: S – Strengths (silné stránky), W – Weaknesses (slabé stránky),</w:t>
      </w:r>
      <w:r w:rsidRPr="00322218">
        <w:rPr>
          <w:rFonts w:ascii="Calibri" w:eastAsia="Calibri" w:hAnsi="Calibri" w:cs="Times New Roman"/>
        </w:rPr>
        <w:br/>
        <w:t>O – Opportunities (příležitosti) a T – Threats (hrozby)</w:t>
      </w:r>
      <w:r w:rsidRPr="00322218">
        <w:rPr>
          <w:rFonts w:ascii="Calibri" w:eastAsia="Calibri" w:hAnsi="Calibri" w:cs="Times New Roman"/>
          <w:vertAlign w:val="superscript"/>
        </w:rPr>
        <w:footnoteReference w:id="78"/>
      </w:r>
      <w:r w:rsidRPr="00322218">
        <w:rPr>
          <w:rFonts w:ascii="Calibri" w:eastAsia="Calibri" w:hAnsi="Calibri" w:cs="Times New Roman"/>
        </w:rPr>
        <w:t xml:space="preserve">. </w:t>
      </w:r>
    </w:p>
    <w:p w14:paraId="5A6CB7B9" w14:textId="281A032E" w:rsidR="008147E6" w:rsidRDefault="00A943D0" w:rsidP="00A943D0">
      <w:pPr>
        <w:spacing w:after="160" w:line="259" w:lineRule="auto"/>
        <w:jc w:val="both"/>
        <w:rPr>
          <w:rFonts w:ascii="Calibri" w:eastAsia="Calibri" w:hAnsi="Calibri" w:cs="Times New Roman"/>
        </w:rPr>
      </w:pPr>
      <w:r w:rsidRPr="00322218">
        <w:rPr>
          <w:rFonts w:ascii="Calibri" w:eastAsia="Calibri" w:hAnsi="Calibri" w:cs="Times New Roman"/>
        </w:rPr>
        <w:t>Existuje více přístupů, jak přikročit k tvorbě SWOT analýzy. V</w:t>
      </w:r>
      <w:r w:rsidR="00162A5E">
        <w:rPr>
          <w:rFonts w:ascii="Calibri" w:eastAsia="Calibri" w:hAnsi="Calibri" w:cs="Times New Roman"/>
        </w:rPr>
        <w:t> tomto dokumentu</w:t>
      </w:r>
      <w:r w:rsidRPr="00322218">
        <w:rPr>
          <w:rFonts w:ascii="Calibri" w:eastAsia="Calibri" w:hAnsi="Calibri" w:cs="Times New Roman"/>
        </w:rPr>
        <w:t xml:space="preserve"> byl využit přístup, kdy silné a slabé stránky představují faktory, které se týkají daného problému v současnosti. Příležitosti a hrozby představují faktory, které se týkají daného problému v budoucnosti, tj. mohou a nemusí nastat</w:t>
      </w:r>
      <w:r w:rsidRPr="00322218">
        <w:rPr>
          <w:rFonts w:ascii="Calibri" w:eastAsia="Calibri" w:hAnsi="Calibri" w:cs="Times New Roman"/>
          <w:vertAlign w:val="superscript"/>
        </w:rPr>
        <w:footnoteReference w:id="79"/>
      </w:r>
      <w:r w:rsidRPr="00322218">
        <w:rPr>
          <w:rFonts w:ascii="Calibri" w:eastAsia="Calibri" w:hAnsi="Calibri" w:cs="Times New Roman"/>
        </w:rPr>
        <w:t>.</w:t>
      </w:r>
    </w:p>
    <w:p w14:paraId="122AA9BF" w14:textId="77777777" w:rsidR="00DB4097" w:rsidRDefault="00DB4097" w:rsidP="00631DE5">
      <w:pPr>
        <w:spacing w:after="160" w:line="259" w:lineRule="auto"/>
        <w:jc w:val="both"/>
      </w:pP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8624"/>
      </w:tblGrid>
      <w:tr w:rsidR="00DB4097" w:rsidRPr="00963E81" w14:paraId="77E20573" w14:textId="77777777" w:rsidTr="00DB4097">
        <w:trPr>
          <w:trHeight w:val="23"/>
          <w:jc w:val="center"/>
        </w:trPr>
        <w:tc>
          <w:tcPr>
            <w:tcW w:w="8624" w:type="dxa"/>
            <w:tcBorders>
              <w:top w:val="single" w:sz="18" w:space="0" w:color="auto"/>
              <w:bottom w:val="single" w:sz="12" w:space="0" w:color="auto"/>
            </w:tcBorders>
            <w:shd w:val="clear" w:color="auto" w:fill="FFC000"/>
          </w:tcPr>
          <w:p w14:paraId="09BECD98" w14:textId="77777777" w:rsidR="00DB4097" w:rsidRPr="00577C0C" w:rsidRDefault="00DB4097" w:rsidP="00A62A8E">
            <w:pPr>
              <w:jc w:val="center"/>
              <w:rPr>
                <w:b/>
                <w:sz w:val="24"/>
                <w:szCs w:val="24"/>
              </w:rPr>
            </w:pPr>
            <w:r w:rsidRPr="00577C0C">
              <w:rPr>
                <w:b/>
                <w:sz w:val="24"/>
                <w:szCs w:val="24"/>
              </w:rPr>
              <w:t>Silné stránky</w:t>
            </w:r>
          </w:p>
        </w:tc>
      </w:tr>
      <w:tr w:rsidR="00DB4097" w:rsidRPr="00963E81" w14:paraId="2A2555CC" w14:textId="77777777" w:rsidTr="006D4B67">
        <w:trPr>
          <w:jc w:val="center"/>
        </w:trPr>
        <w:tc>
          <w:tcPr>
            <w:tcW w:w="8624" w:type="dxa"/>
            <w:tcBorders>
              <w:top w:val="single" w:sz="12" w:space="0" w:color="auto"/>
              <w:bottom w:val="single" w:sz="6" w:space="0" w:color="auto"/>
            </w:tcBorders>
          </w:tcPr>
          <w:p w14:paraId="34F806B0" w14:textId="7E71ECE0" w:rsidR="00DB4097" w:rsidRPr="006E4164" w:rsidRDefault="00DB4097" w:rsidP="00DB4097">
            <w:pPr>
              <w:pStyle w:val="Default"/>
              <w:spacing w:after="0"/>
              <w:rPr>
                <w:rFonts w:asciiTheme="minorHAnsi" w:hAnsiTheme="minorHAnsi" w:cstheme="minorHAnsi"/>
              </w:rPr>
            </w:pPr>
            <w:r w:rsidRPr="006E4164">
              <w:rPr>
                <w:rFonts w:asciiTheme="minorHAnsi" w:hAnsiTheme="minorHAnsi" w:cstheme="minorHAnsi"/>
              </w:rPr>
              <w:t>ZDRAVÉ ŽIVOTNÍ PROSTŘEDÍ</w:t>
            </w:r>
          </w:p>
        </w:tc>
      </w:tr>
      <w:tr w:rsidR="00DB4097" w:rsidRPr="00963E81" w14:paraId="7946AD5C" w14:textId="77777777" w:rsidTr="006D4B67">
        <w:trPr>
          <w:jc w:val="center"/>
        </w:trPr>
        <w:tc>
          <w:tcPr>
            <w:tcW w:w="8624" w:type="dxa"/>
            <w:tcBorders>
              <w:top w:val="single" w:sz="6" w:space="0" w:color="auto"/>
              <w:bottom w:val="single" w:sz="6" w:space="0" w:color="auto"/>
            </w:tcBorders>
          </w:tcPr>
          <w:p w14:paraId="75592E00" w14:textId="73994B1A" w:rsidR="00DB4097" w:rsidRPr="006E4164" w:rsidRDefault="00DB4097" w:rsidP="00DB4097">
            <w:pPr>
              <w:pStyle w:val="Default"/>
              <w:spacing w:after="0"/>
              <w:rPr>
                <w:rFonts w:asciiTheme="minorHAnsi" w:hAnsiTheme="minorHAnsi" w:cstheme="minorHAnsi"/>
              </w:rPr>
            </w:pPr>
            <w:r w:rsidRPr="006E4164">
              <w:rPr>
                <w:rFonts w:asciiTheme="minorHAnsi" w:hAnsiTheme="minorHAnsi" w:cstheme="minorHAnsi"/>
              </w:rPr>
              <w:t>BLÍZKOST PŘÍRODY</w:t>
            </w:r>
          </w:p>
        </w:tc>
      </w:tr>
      <w:tr w:rsidR="00DB4097" w:rsidRPr="00963E81" w14:paraId="6338108C" w14:textId="77777777" w:rsidTr="006D4B67">
        <w:trPr>
          <w:jc w:val="center"/>
        </w:trPr>
        <w:tc>
          <w:tcPr>
            <w:tcW w:w="8624" w:type="dxa"/>
            <w:tcBorders>
              <w:top w:val="single" w:sz="6" w:space="0" w:color="auto"/>
              <w:bottom w:val="single" w:sz="6" w:space="0" w:color="auto"/>
            </w:tcBorders>
          </w:tcPr>
          <w:p w14:paraId="277589E6" w14:textId="5AE31CDB" w:rsidR="00DB4097" w:rsidRPr="006E4164" w:rsidRDefault="00DB4097" w:rsidP="00DB4097">
            <w:pPr>
              <w:pStyle w:val="Default"/>
              <w:spacing w:after="0"/>
              <w:rPr>
                <w:rFonts w:asciiTheme="minorHAnsi" w:hAnsiTheme="minorHAnsi" w:cstheme="minorHAnsi"/>
              </w:rPr>
            </w:pPr>
            <w:r w:rsidRPr="006E4164">
              <w:rPr>
                <w:rFonts w:asciiTheme="minorHAnsi" w:hAnsiTheme="minorHAnsi" w:cstheme="minorHAnsi"/>
              </w:rPr>
              <w:t>KLIDNÉ MÍSTO PRO ŽIVOT</w:t>
            </w:r>
          </w:p>
        </w:tc>
      </w:tr>
      <w:tr w:rsidR="00DB4097" w:rsidRPr="00963E81" w14:paraId="3A4D6FB4" w14:textId="77777777" w:rsidTr="006D4B67">
        <w:trPr>
          <w:jc w:val="center"/>
        </w:trPr>
        <w:tc>
          <w:tcPr>
            <w:tcW w:w="8624" w:type="dxa"/>
            <w:tcBorders>
              <w:top w:val="single" w:sz="6" w:space="0" w:color="auto"/>
              <w:bottom w:val="single" w:sz="6" w:space="0" w:color="auto"/>
            </w:tcBorders>
          </w:tcPr>
          <w:p w14:paraId="78DFBC73" w14:textId="55D6D380" w:rsidR="00DB4097" w:rsidRPr="006E4164" w:rsidRDefault="00DB4097" w:rsidP="00DB4097">
            <w:pPr>
              <w:pStyle w:val="Default"/>
              <w:spacing w:after="0"/>
              <w:rPr>
                <w:rFonts w:asciiTheme="minorHAnsi" w:hAnsiTheme="minorHAnsi" w:cstheme="minorHAnsi"/>
              </w:rPr>
            </w:pPr>
            <w:r w:rsidRPr="006E4164">
              <w:rPr>
                <w:rFonts w:asciiTheme="minorHAnsi" w:hAnsiTheme="minorHAnsi" w:cstheme="minorHAnsi"/>
              </w:rPr>
              <w:t>GEOGRAFICKÁ POLOHA OBCE (BLÍZKOST TRUTNOVA, BLÍZKOST DOLCŮ, BLÍZKOST KRKONOŠ)</w:t>
            </w:r>
          </w:p>
        </w:tc>
      </w:tr>
      <w:tr w:rsidR="00DB4097" w:rsidRPr="00963E81" w14:paraId="24427B3F" w14:textId="77777777" w:rsidTr="006D4B67">
        <w:trPr>
          <w:jc w:val="center"/>
        </w:trPr>
        <w:tc>
          <w:tcPr>
            <w:tcW w:w="8624" w:type="dxa"/>
            <w:tcBorders>
              <w:top w:val="single" w:sz="6" w:space="0" w:color="auto"/>
              <w:bottom w:val="single" w:sz="6" w:space="0" w:color="auto"/>
            </w:tcBorders>
          </w:tcPr>
          <w:p w14:paraId="47C323D5" w14:textId="04B2F129" w:rsidR="00DB4097" w:rsidRPr="006E4164" w:rsidRDefault="00D72743" w:rsidP="00DB4097">
            <w:pPr>
              <w:pStyle w:val="Default"/>
              <w:spacing w:after="0"/>
              <w:rPr>
                <w:rFonts w:asciiTheme="minorHAnsi" w:hAnsiTheme="minorHAnsi" w:cstheme="minorHAnsi"/>
              </w:rPr>
            </w:pPr>
            <w:r w:rsidRPr="006E4164">
              <w:rPr>
                <w:rFonts w:asciiTheme="minorHAnsi" w:hAnsiTheme="minorHAnsi" w:cstheme="minorHAnsi"/>
              </w:rPr>
              <w:t xml:space="preserve">EXISTENCE ROZVOJOVÉ PLOCHY V CENTRU OBCE </w:t>
            </w:r>
          </w:p>
        </w:tc>
      </w:tr>
      <w:tr w:rsidR="00DB4097" w:rsidRPr="00963E81" w14:paraId="0FF20C44" w14:textId="77777777" w:rsidTr="006D4B67">
        <w:trPr>
          <w:jc w:val="center"/>
        </w:trPr>
        <w:tc>
          <w:tcPr>
            <w:tcW w:w="8624" w:type="dxa"/>
            <w:tcBorders>
              <w:top w:val="single" w:sz="6" w:space="0" w:color="auto"/>
              <w:bottom w:val="single" w:sz="6" w:space="0" w:color="auto"/>
            </w:tcBorders>
          </w:tcPr>
          <w:p w14:paraId="257EE3B3" w14:textId="2C6776B9" w:rsidR="00DB4097" w:rsidRPr="006E4164" w:rsidRDefault="00D72743" w:rsidP="00DB4097">
            <w:pPr>
              <w:pStyle w:val="Default"/>
              <w:spacing w:after="0"/>
              <w:rPr>
                <w:rFonts w:asciiTheme="minorHAnsi" w:hAnsiTheme="minorHAnsi" w:cstheme="minorHAnsi"/>
              </w:rPr>
            </w:pPr>
            <w:r w:rsidRPr="006E4164">
              <w:rPr>
                <w:rFonts w:asciiTheme="minorHAnsi" w:hAnsiTheme="minorHAnsi" w:cstheme="minorHAnsi"/>
              </w:rPr>
              <w:t>DLOUHODOBÝ NÁRŮST POČTU OBYVATEL</w:t>
            </w:r>
          </w:p>
        </w:tc>
      </w:tr>
      <w:tr w:rsidR="00DB4097" w:rsidRPr="00963E81" w14:paraId="076B50A0" w14:textId="77777777" w:rsidTr="006D4B67">
        <w:trPr>
          <w:jc w:val="center"/>
        </w:trPr>
        <w:tc>
          <w:tcPr>
            <w:tcW w:w="8624" w:type="dxa"/>
            <w:tcBorders>
              <w:top w:val="single" w:sz="6" w:space="0" w:color="auto"/>
              <w:bottom w:val="single" w:sz="6" w:space="0" w:color="auto"/>
            </w:tcBorders>
          </w:tcPr>
          <w:p w14:paraId="53CD560F" w14:textId="2ECCA87D" w:rsidR="00DB4097" w:rsidRPr="006E4164" w:rsidRDefault="00D72743" w:rsidP="00DB4097">
            <w:pPr>
              <w:pStyle w:val="Default"/>
              <w:spacing w:after="0"/>
              <w:rPr>
                <w:rFonts w:asciiTheme="minorHAnsi" w:hAnsiTheme="minorHAnsi" w:cstheme="minorHAnsi"/>
              </w:rPr>
            </w:pPr>
            <w:r w:rsidRPr="006E4164">
              <w:rPr>
                <w:rFonts w:asciiTheme="minorHAnsi" w:hAnsiTheme="minorHAnsi" w:cstheme="minorHAnsi"/>
              </w:rPr>
              <w:t>EXISTENCE ZASTAVITELNÝCH PLOCH PRO VÝSTAVBU NOVÝCH RODINNÝCH DOMŮ</w:t>
            </w:r>
          </w:p>
        </w:tc>
      </w:tr>
      <w:tr w:rsidR="00DB4097" w:rsidRPr="00963E81" w14:paraId="2448E7B5" w14:textId="77777777" w:rsidTr="006D4B67">
        <w:trPr>
          <w:jc w:val="center"/>
        </w:trPr>
        <w:tc>
          <w:tcPr>
            <w:tcW w:w="8624" w:type="dxa"/>
            <w:tcBorders>
              <w:top w:val="single" w:sz="6" w:space="0" w:color="auto"/>
              <w:bottom w:val="single" w:sz="6" w:space="0" w:color="auto"/>
            </w:tcBorders>
          </w:tcPr>
          <w:p w14:paraId="3B00AF11" w14:textId="6DCBAF95" w:rsidR="00DB4097" w:rsidRPr="006E4164" w:rsidRDefault="00D72743" w:rsidP="00DB4097">
            <w:pPr>
              <w:pStyle w:val="Default"/>
              <w:spacing w:after="0"/>
              <w:rPr>
                <w:rFonts w:asciiTheme="minorHAnsi" w:hAnsiTheme="minorHAnsi" w:cstheme="minorHAnsi"/>
              </w:rPr>
            </w:pPr>
            <w:r w:rsidRPr="006E4164">
              <w:rPr>
                <w:rFonts w:asciiTheme="minorHAnsi" w:hAnsiTheme="minorHAnsi" w:cstheme="minorHAnsi"/>
              </w:rPr>
              <w:t>EXISTENCE AKTIVNÍCH ZÁJMOVÝCH SPOLKŮ (SOKOL, MYSLIVCI, FIT KLUB)</w:t>
            </w:r>
          </w:p>
        </w:tc>
      </w:tr>
      <w:tr w:rsidR="00DB4097" w:rsidRPr="00963E81" w14:paraId="00A14CF7" w14:textId="77777777" w:rsidTr="006D4B67">
        <w:trPr>
          <w:jc w:val="center"/>
        </w:trPr>
        <w:tc>
          <w:tcPr>
            <w:tcW w:w="8624" w:type="dxa"/>
            <w:tcBorders>
              <w:top w:val="single" w:sz="6" w:space="0" w:color="auto"/>
              <w:bottom w:val="single" w:sz="6" w:space="0" w:color="auto"/>
            </w:tcBorders>
          </w:tcPr>
          <w:p w14:paraId="7C3B0E52" w14:textId="6DF65C2E" w:rsidR="00DB4097" w:rsidRPr="006E4164" w:rsidRDefault="00D72743" w:rsidP="00DB4097">
            <w:pPr>
              <w:pStyle w:val="Default"/>
              <w:spacing w:after="0"/>
              <w:rPr>
                <w:rFonts w:asciiTheme="minorHAnsi" w:hAnsiTheme="minorHAnsi" w:cstheme="minorHAnsi"/>
              </w:rPr>
            </w:pPr>
            <w:r w:rsidRPr="006E4164">
              <w:rPr>
                <w:rFonts w:asciiTheme="minorHAnsi" w:hAnsiTheme="minorHAnsi" w:cstheme="minorHAnsi"/>
              </w:rPr>
              <w:t>PŘÍZNIVÁ VĚKOVÁ STRUKTURA</w:t>
            </w:r>
          </w:p>
        </w:tc>
      </w:tr>
      <w:tr w:rsidR="00DB4097" w:rsidRPr="00963E81" w14:paraId="230F40F3" w14:textId="77777777" w:rsidTr="006D4B67">
        <w:trPr>
          <w:jc w:val="center"/>
        </w:trPr>
        <w:tc>
          <w:tcPr>
            <w:tcW w:w="8624" w:type="dxa"/>
            <w:tcBorders>
              <w:top w:val="single" w:sz="6" w:space="0" w:color="auto"/>
              <w:bottom w:val="single" w:sz="6" w:space="0" w:color="auto"/>
            </w:tcBorders>
          </w:tcPr>
          <w:p w14:paraId="471245DE" w14:textId="4C97F4B7" w:rsidR="00DB4097" w:rsidRPr="006E4164" w:rsidRDefault="00DB4097" w:rsidP="00DB4097">
            <w:pPr>
              <w:pStyle w:val="Default"/>
              <w:spacing w:after="0"/>
              <w:rPr>
                <w:rFonts w:asciiTheme="minorHAnsi" w:hAnsiTheme="minorHAnsi" w:cstheme="minorHAnsi"/>
              </w:rPr>
            </w:pPr>
            <w:r w:rsidRPr="006E4164">
              <w:rPr>
                <w:rFonts w:asciiTheme="minorHAnsi" w:hAnsiTheme="minorHAnsi" w:cstheme="minorHAnsi"/>
              </w:rPr>
              <w:t>DOBRÁ DOPRAVNÍ OBSLUŽNOST V PRACOVNÍ DNY</w:t>
            </w:r>
          </w:p>
        </w:tc>
      </w:tr>
      <w:tr w:rsidR="00DB4097" w:rsidRPr="00963E81" w14:paraId="51E14BC1" w14:textId="77777777" w:rsidTr="006D4B67">
        <w:trPr>
          <w:jc w:val="center"/>
        </w:trPr>
        <w:tc>
          <w:tcPr>
            <w:tcW w:w="8624" w:type="dxa"/>
            <w:tcBorders>
              <w:top w:val="single" w:sz="6" w:space="0" w:color="auto"/>
              <w:bottom w:val="single" w:sz="6" w:space="0" w:color="auto"/>
            </w:tcBorders>
          </w:tcPr>
          <w:p w14:paraId="1B3B6D6A" w14:textId="5FDA5FF9" w:rsidR="00DB4097" w:rsidRPr="006E4164" w:rsidRDefault="00D72743" w:rsidP="00DB4097">
            <w:pPr>
              <w:pStyle w:val="Default"/>
              <w:spacing w:after="0"/>
              <w:rPr>
                <w:rFonts w:asciiTheme="minorHAnsi" w:hAnsiTheme="minorHAnsi" w:cstheme="minorHAnsi"/>
              </w:rPr>
            </w:pPr>
            <w:r w:rsidRPr="006E4164">
              <w:rPr>
                <w:rFonts w:asciiTheme="minorHAnsi" w:hAnsiTheme="minorHAnsi" w:cstheme="minorHAnsi"/>
              </w:rPr>
              <w:t>DLOUHODOBĚ VYROVNANÝ ROZPOČET OBCE</w:t>
            </w:r>
          </w:p>
        </w:tc>
      </w:tr>
      <w:tr w:rsidR="00DB4097" w:rsidRPr="00963E81" w14:paraId="42F552BF" w14:textId="77777777" w:rsidTr="006D4B67">
        <w:trPr>
          <w:jc w:val="center"/>
        </w:trPr>
        <w:tc>
          <w:tcPr>
            <w:tcW w:w="8624" w:type="dxa"/>
            <w:tcBorders>
              <w:top w:val="single" w:sz="6" w:space="0" w:color="auto"/>
              <w:bottom w:val="single" w:sz="6" w:space="0" w:color="auto"/>
            </w:tcBorders>
          </w:tcPr>
          <w:p w14:paraId="4B24198F" w14:textId="4FD9513F" w:rsidR="00DB4097" w:rsidRPr="006E4164" w:rsidRDefault="00DB4097" w:rsidP="00DB4097">
            <w:pPr>
              <w:pStyle w:val="Default"/>
              <w:spacing w:after="0"/>
              <w:rPr>
                <w:rFonts w:asciiTheme="minorHAnsi" w:hAnsiTheme="minorHAnsi" w:cstheme="minorHAnsi"/>
              </w:rPr>
            </w:pPr>
            <w:r w:rsidRPr="006E4164">
              <w:rPr>
                <w:rFonts w:asciiTheme="minorHAnsi" w:hAnsiTheme="minorHAnsi" w:cstheme="minorHAnsi"/>
              </w:rPr>
              <w:t>ŘADA DOMŮ DISPONUJE VLASTNÍ STUDNOU</w:t>
            </w:r>
          </w:p>
        </w:tc>
      </w:tr>
      <w:tr w:rsidR="00DB4097" w:rsidRPr="00963E81" w14:paraId="01D61C21" w14:textId="77777777" w:rsidTr="006D4B67">
        <w:trPr>
          <w:jc w:val="center"/>
        </w:trPr>
        <w:tc>
          <w:tcPr>
            <w:tcW w:w="8624" w:type="dxa"/>
            <w:tcBorders>
              <w:top w:val="single" w:sz="6" w:space="0" w:color="auto"/>
              <w:bottom w:val="single" w:sz="18" w:space="0" w:color="auto"/>
            </w:tcBorders>
          </w:tcPr>
          <w:p w14:paraId="58745462" w14:textId="5F0EC80F" w:rsidR="00DB4097" w:rsidRPr="006E4164" w:rsidRDefault="00DB4097" w:rsidP="00DB4097">
            <w:pPr>
              <w:pStyle w:val="Default"/>
              <w:spacing w:after="0"/>
              <w:rPr>
                <w:rFonts w:asciiTheme="minorHAnsi" w:hAnsiTheme="minorHAnsi" w:cstheme="minorHAnsi"/>
              </w:rPr>
            </w:pPr>
            <w:r w:rsidRPr="006E4164">
              <w:rPr>
                <w:rFonts w:asciiTheme="minorHAnsi" w:hAnsiTheme="minorHAnsi" w:cstheme="minorHAnsi"/>
              </w:rPr>
              <w:t>LESY VE VLASTNICTVÍ OBCE</w:t>
            </w:r>
          </w:p>
        </w:tc>
      </w:tr>
    </w:tbl>
    <w:p w14:paraId="2F970E87" w14:textId="2967E78C" w:rsidR="00153F36" w:rsidRDefault="00153F36" w:rsidP="00631DE5">
      <w:pPr>
        <w:spacing w:after="160" w:line="259" w:lineRule="auto"/>
        <w:jc w:val="both"/>
      </w:pPr>
      <w:r>
        <w:br w:type="page"/>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8624"/>
      </w:tblGrid>
      <w:tr w:rsidR="00631DE5" w:rsidRPr="00963E81" w14:paraId="0FF11898" w14:textId="77777777" w:rsidTr="00A91A12">
        <w:trPr>
          <w:jc w:val="center"/>
        </w:trPr>
        <w:tc>
          <w:tcPr>
            <w:tcW w:w="8624" w:type="dxa"/>
            <w:tcBorders>
              <w:top w:val="single" w:sz="18" w:space="0" w:color="auto"/>
              <w:bottom w:val="single" w:sz="12" w:space="0" w:color="auto"/>
            </w:tcBorders>
            <w:shd w:val="clear" w:color="auto" w:fill="FFC000"/>
          </w:tcPr>
          <w:p w14:paraId="6A1DAFE0" w14:textId="77777777" w:rsidR="00631DE5" w:rsidRPr="00577C0C" w:rsidRDefault="00631DE5" w:rsidP="00CB1F66">
            <w:pPr>
              <w:jc w:val="center"/>
              <w:rPr>
                <w:b/>
                <w:sz w:val="24"/>
                <w:szCs w:val="24"/>
              </w:rPr>
            </w:pPr>
            <w:r>
              <w:rPr>
                <w:b/>
                <w:sz w:val="24"/>
                <w:szCs w:val="24"/>
              </w:rPr>
              <w:lastRenderedPageBreak/>
              <w:t>Slabé</w:t>
            </w:r>
            <w:r w:rsidRPr="00577C0C">
              <w:rPr>
                <w:b/>
                <w:sz w:val="24"/>
                <w:szCs w:val="24"/>
              </w:rPr>
              <w:t xml:space="preserve"> stránky</w:t>
            </w:r>
          </w:p>
        </w:tc>
      </w:tr>
      <w:tr w:rsidR="006E4164" w:rsidRPr="00963E81" w14:paraId="24955A93" w14:textId="77777777" w:rsidTr="003C0AF4">
        <w:trPr>
          <w:jc w:val="center"/>
        </w:trPr>
        <w:tc>
          <w:tcPr>
            <w:tcW w:w="8624" w:type="dxa"/>
            <w:tcBorders>
              <w:top w:val="single" w:sz="12" w:space="0" w:color="auto"/>
              <w:bottom w:val="single" w:sz="6" w:space="0" w:color="auto"/>
            </w:tcBorders>
          </w:tcPr>
          <w:p w14:paraId="2F492822" w14:textId="3DFA0538" w:rsidR="006E4164" w:rsidRPr="00A9680A" w:rsidRDefault="006E4164" w:rsidP="006E4164">
            <w:r w:rsidRPr="00223397">
              <w:t xml:space="preserve">NEEXISTENCE PŘIROZENÉHO CENTRA OBCE </w:t>
            </w:r>
          </w:p>
        </w:tc>
      </w:tr>
      <w:tr w:rsidR="006E4164" w:rsidRPr="00963E81" w14:paraId="41E41C7D" w14:textId="77777777" w:rsidTr="003C0AF4">
        <w:trPr>
          <w:jc w:val="center"/>
        </w:trPr>
        <w:tc>
          <w:tcPr>
            <w:tcW w:w="8624" w:type="dxa"/>
            <w:tcBorders>
              <w:top w:val="single" w:sz="6" w:space="0" w:color="auto"/>
              <w:bottom w:val="single" w:sz="6" w:space="0" w:color="auto"/>
            </w:tcBorders>
          </w:tcPr>
          <w:p w14:paraId="10C0720D" w14:textId="3A3D013F" w:rsidR="006E4164" w:rsidRPr="00A9680A" w:rsidRDefault="006E4164" w:rsidP="006E4164">
            <w:r w:rsidRPr="00223397">
              <w:t xml:space="preserve">TECHNICKÝ STAV OBJEKTŮ VE VLASTNICTVÍ OBCE (hřiště, </w:t>
            </w:r>
            <w:r>
              <w:t>obecní úřad</w:t>
            </w:r>
            <w:r w:rsidRPr="00223397">
              <w:t>, márnice, interiér kostela, zámeček)</w:t>
            </w:r>
          </w:p>
        </w:tc>
      </w:tr>
      <w:tr w:rsidR="006E4164" w:rsidRPr="00963E81" w14:paraId="2B809F77" w14:textId="77777777" w:rsidTr="003C0AF4">
        <w:trPr>
          <w:jc w:val="center"/>
        </w:trPr>
        <w:tc>
          <w:tcPr>
            <w:tcW w:w="8624" w:type="dxa"/>
            <w:tcBorders>
              <w:top w:val="single" w:sz="6" w:space="0" w:color="auto"/>
              <w:bottom w:val="single" w:sz="6" w:space="0" w:color="auto"/>
            </w:tcBorders>
          </w:tcPr>
          <w:p w14:paraId="0DF5D888" w14:textId="2393F590" w:rsidR="006E4164" w:rsidRDefault="006E4164" w:rsidP="006E4164">
            <w:r w:rsidRPr="00223397">
              <w:t>ABSENCE MULTIFUNKČNÍHO STŘEDISKA (pro sport, kulturu)</w:t>
            </w:r>
          </w:p>
        </w:tc>
      </w:tr>
      <w:tr w:rsidR="006E4164" w:rsidRPr="00963E81" w14:paraId="2C03C1FD" w14:textId="77777777" w:rsidTr="003C0AF4">
        <w:trPr>
          <w:jc w:val="center"/>
        </w:trPr>
        <w:tc>
          <w:tcPr>
            <w:tcW w:w="8624" w:type="dxa"/>
            <w:tcBorders>
              <w:top w:val="single" w:sz="6" w:space="0" w:color="auto"/>
              <w:bottom w:val="single" w:sz="6" w:space="0" w:color="auto"/>
            </w:tcBorders>
          </w:tcPr>
          <w:p w14:paraId="6725B0FD" w14:textId="7E4067A8" w:rsidR="006E4164" w:rsidRDefault="006E4164" w:rsidP="006E4164">
            <w:r w:rsidRPr="00223397">
              <w:t>ABSENCE SLUŽEB (potraviny, lékař, škola)</w:t>
            </w:r>
          </w:p>
        </w:tc>
      </w:tr>
      <w:tr w:rsidR="006E4164" w:rsidRPr="00963E81" w14:paraId="54F405D9" w14:textId="77777777" w:rsidTr="003C0AF4">
        <w:trPr>
          <w:jc w:val="center"/>
        </w:trPr>
        <w:tc>
          <w:tcPr>
            <w:tcW w:w="8624" w:type="dxa"/>
            <w:tcBorders>
              <w:top w:val="single" w:sz="6" w:space="0" w:color="auto"/>
              <w:bottom w:val="single" w:sz="6" w:space="0" w:color="auto"/>
            </w:tcBorders>
          </w:tcPr>
          <w:p w14:paraId="2735C5DA" w14:textId="07D589C7" w:rsidR="006E4164" w:rsidRDefault="006E4164" w:rsidP="006E4164">
            <w:r w:rsidRPr="00223397">
              <w:t>MALÉ KULTURNĚ-SPOLEČENSKÉ VYŽITÍ V OBCI</w:t>
            </w:r>
          </w:p>
        </w:tc>
      </w:tr>
      <w:tr w:rsidR="006E4164" w:rsidRPr="00963E81" w14:paraId="30FE1E58" w14:textId="77777777" w:rsidTr="003C0AF4">
        <w:trPr>
          <w:jc w:val="center"/>
        </w:trPr>
        <w:tc>
          <w:tcPr>
            <w:tcW w:w="8624" w:type="dxa"/>
            <w:tcBorders>
              <w:top w:val="single" w:sz="6" w:space="0" w:color="auto"/>
              <w:bottom w:val="single" w:sz="6" w:space="0" w:color="auto"/>
            </w:tcBorders>
          </w:tcPr>
          <w:p w14:paraId="180272E3" w14:textId="26134095" w:rsidR="006E4164" w:rsidRDefault="006E4164" w:rsidP="006E4164">
            <w:r w:rsidRPr="00223397">
              <w:t>ABSENCE VODOVODU</w:t>
            </w:r>
          </w:p>
        </w:tc>
      </w:tr>
      <w:tr w:rsidR="006E4164" w:rsidRPr="00963E81" w14:paraId="0E3FF580" w14:textId="77777777" w:rsidTr="003C0AF4">
        <w:trPr>
          <w:jc w:val="center"/>
        </w:trPr>
        <w:tc>
          <w:tcPr>
            <w:tcW w:w="8624" w:type="dxa"/>
            <w:tcBorders>
              <w:top w:val="single" w:sz="6" w:space="0" w:color="auto"/>
              <w:bottom w:val="single" w:sz="6" w:space="0" w:color="auto"/>
            </w:tcBorders>
          </w:tcPr>
          <w:p w14:paraId="6E4CAAC3" w14:textId="4BA14AD4" w:rsidR="006E4164" w:rsidRDefault="006E4164" w:rsidP="006E4164">
            <w:r w:rsidRPr="00223397">
              <w:t>ABSENCE KANALIZACE</w:t>
            </w:r>
          </w:p>
        </w:tc>
      </w:tr>
      <w:tr w:rsidR="006E4164" w:rsidRPr="00963E81" w14:paraId="541E0452" w14:textId="77777777" w:rsidTr="003C0AF4">
        <w:trPr>
          <w:jc w:val="center"/>
        </w:trPr>
        <w:tc>
          <w:tcPr>
            <w:tcW w:w="8624" w:type="dxa"/>
            <w:tcBorders>
              <w:top w:val="single" w:sz="6" w:space="0" w:color="auto"/>
              <w:bottom w:val="single" w:sz="6" w:space="0" w:color="auto"/>
            </w:tcBorders>
          </w:tcPr>
          <w:p w14:paraId="423A5D67" w14:textId="3BA7182D" w:rsidR="006E4164" w:rsidRDefault="006E4164" w:rsidP="006E4164">
            <w:r w:rsidRPr="00223397">
              <w:t>NÍZKÁ DOPRAVNÍ BEZPEČNOST (ABSENCE CHODNÍKŮ, BEZPEČNOSTNÍCH PRVKŮ apod.)</w:t>
            </w:r>
          </w:p>
        </w:tc>
      </w:tr>
      <w:tr w:rsidR="006E4164" w:rsidRPr="00963E81" w14:paraId="36623358" w14:textId="77777777" w:rsidTr="003C0AF4">
        <w:trPr>
          <w:jc w:val="center"/>
        </w:trPr>
        <w:tc>
          <w:tcPr>
            <w:tcW w:w="8624" w:type="dxa"/>
            <w:tcBorders>
              <w:top w:val="single" w:sz="6" w:space="0" w:color="auto"/>
              <w:bottom w:val="single" w:sz="6" w:space="0" w:color="auto"/>
            </w:tcBorders>
          </w:tcPr>
          <w:p w14:paraId="7D3005FA" w14:textId="42CBFDDF" w:rsidR="006E4164" w:rsidRDefault="006E4164" w:rsidP="006E4164">
            <w:r w:rsidRPr="00223397">
              <w:t>STAV NĚKTERÝCH MÍSTNÍCH KOMUNIKACÍ (např. komunikace NA STAROSTI)</w:t>
            </w:r>
          </w:p>
        </w:tc>
      </w:tr>
      <w:tr w:rsidR="006E4164" w:rsidRPr="00963E81" w14:paraId="5E160C11" w14:textId="77777777" w:rsidTr="003C0AF4">
        <w:trPr>
          <w:jc w:val="center"/>
        </w:trPr>
        <w:tc>
          <w:tcPr>
            <w:tcW w:w="8624" w:type="dxa"/>
            <w:tcBorders>
              <w:top w:val="single" w:sz="6" w:space="0" w:color="auto"/>
              <w:bottom w:val="single" w:sz="18" w:space="0" w:color="auto"/>
            </w:tcBorders>
          </w:tcPr>
          <w:p w14:paraId="72E88A7F" w14:textId="26D73259" w:rsidR="006E4164" w:rsidRDefault="006E4164" w:rsidP="006E4164">
            <w:r w:rsidRPr="00223397">
              <w:t>NEEXISTENCE VAROVNÉHO A VYROZUMÍVACÍHO SYSTÉMU</w:t>
            </w:r>
          </w:p>
        </w:tc>
      </w:tr>
    </w:tbl>
    <w:p w14:paraId="5CD840A1" w14:textId="77777777" w:rsidR="00870669" w:rsidRDefault="00870669" w:rsidP="00631DE5">
      <w:pPr>
        <w:spacing w:line="259" w:lineRule="auto"/>
        <w:jc w:val="both"/>
      </w:pPr>
    </w:p>
    <w:p w14:paraId="654882DD" w14:textId="77777777" w:rsidR="00870669" w:rsidRDefault="00870669" w:rsidP="00631DE5">
      <w:pPr>
        <w:spacing w:line="259" w:lineRule="auto"/>
        <w:jc w:val="both"/>
      </w:pP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8624"/>
      </w:tblGrid>
      <w:tr w:rsidR="00631DE5" w:rsidRPr="00963E81" w14:paraId="2D9FFEEF" w14:textId="77777777" w:rsidTr="00A91A12">
        <w:trPr>
          <w:jc w:val="center"/>
        </w:trPr>
        <w:tc>
          <w:tcPr>
            <w:tcW w:w="8624" w:type="dxa"/>
            <w:tcBorders>
              <w:top w:val="single" w:sz="18" w:space="0" w:color="auto"/>
              <w:bottom w:val="single" w:sz="12" w:space="0" w:color="auto"/>
            </w:tcBorders>
            <w:shd w:val="clear" w:color="auto" w:fill="FFC000"/>
          </w:tcPr>
          <w:p w14:paraId="6DDC0B07" w14:textId="77777777" w:rsidR="00631DE5" w:rsidRPr="00577C0C" w:rsidRDefault="00631DE5" w:rsidP="00CB1F66">
            <w:pPr>
              <w:jc w:val="center"/>
              <w:rPr>
                <w:b/>
                <w:sz w:val="24"/>
                <w:szCs w:val="24"/>
              </w:rPr>
            </w:pPr>
            <w:r>
              <w:rPr>
                <w:b/>
                <w:sz w:val="24"/>
                <w:szCs w:val="24"/>
              </w:rPr>
              <w:t>Příležitosti</w:t>
            </w:r>
          </w:p>
        </w:tc>
      </w:tr>
      <w:tr w:rsidR="00781DF4" w:rsidRPr="00963E81" w14:paraId="26A20D8A" w14:textId="77777777" w:rsidTr="008F1C8F">
        <w:trPr>
          <w:jc w:val="center"/>
        </w:trPr>
        <w:tc>
          <w:tcPr>
            <w:tcW w:w="8624" w:type="dxa"/>
            <w:tcBorders>
              <w:top w:val="single" w:sz="12" w:space="0" w:color="auto"/>
              <w:bottom w:val="single" w:sz="6" w:space="0" w:color="auto"/>
            </w:tcBorders>
          </w:tcPr>
          <w:p w14:paraId="6E03E62C" w14:textId="53468E4A" w:rsidR="00781DF4" w:rsidRPr="00963E81" w:rsidRDefault="00781DF4" w:rsidP="00781DF4">
            <w:r w:rsidRPr="004015FA">
              <w:t>VELKÝ ZÁJEM OBYVATEL ZAPOJIT SE DO ROZVOJE OBCE</w:t>
            </w:r>
          </w:p>
        </w:tc>
      </w:tr>
      <w:tr w:rsidR="00781DF4" w:rsidRPr="00963E81" w14:paraId="16ADA247" w14:textId="77777777" w:rsidTr="008F1C8F">
        <w:trPr>
          <w:jc w:val="center"/>
        </w:trPr>
        <w:tc>
          <w:tcPr>
            <w:tcW w:w="8624" w:type="dxa"/>
            <w:tcBorders>
              <w:top w:val="single" w:sz="6" w:space="0" w:color="auto"/>
              <w:bottom w:val="single" w:sz="6" w:space="0" w:color="auto"/>
            </w:tcBorders>
          </w:tcPr>
          <w:p w14:paraId="31EE1BCF" w14:textId="54CD909D" w:rsidR="00781DF4" w:rsidRDefault="00781DF4" w:rsidP="00781DF4">
            <w:r w:rsidRPr="004015FA">
              <w:t>REVITALIZACE AREÁLU ZÁMEČKU A JEHO OKOLÍ</w:t>
            </w:r>
          </w:p>
        </w:tc>
      </w:tr>
      <w:tr w:rsidR="00781DF4" w:rsidRPr="00963E81" w14:paraId="47F6A3E4" w14:textId="77777777" w:rsidTr="008F1C8F">
        <w:trPr>
          <w:jc w:val="center"/>
        </w:trPr>
        <w:tc>
          <w:tcPr>
            <w:tcW w:w="8624" w:type="dxa"/>
            <w:tcBorders>
              <w:top w:val="single" w:sz="6" w:space="0" w:color="auto"/>
              <w:bottom w:val="single" w:sz="6" w:space="0" w:color="auto"/>
            </w:tcBorders>
          </w:tcPr>
          <w:p w14:paraId="1E373B9C" w14:textId="1CEB6493" w:rsidR="00781DF4" w:rsidRDefault="001C6A77" w:rsidP="00781DF4">
            <w:r w:rsidRPr="004015FA">
              <w:t>KOMPLEXNÍ POZEMKOVÉ ÚPRAVY</w:t>
            </w:r>
          </w:p>
        </w:tc>
      </w:tr>
      <w:tr w:rsidR="00781DF4" w:rsidRPr="00963E81" w14:paraId="306BD424" w14:textId="77777777" w:rsidTr="008F1C8F">
        <w:trPr>
          <w:jc w:val="center"/>
        </w:trPr>
        <w:tc>
          <w:tcPr>
            <w:tcW w:w="8624" w:type="dxa"/>
            <w:tcBorders>
              <w:top w:val="single" w:sz="6" w:space="0" w:color="auto"/>
              <w:bottom w:val="single" w:sz="6" w:space="0" w:color="auto"/>
            </w:tcBorders>
          </w:tcPr>
          <w:p w14:paraId="0B149A30" w14:textId="1CF7B741" w:rsidR="00781DF4" w:rsidRDefault="001C6A77" w:rsidP="00781DF4">
            <w:r w:rsidRPr="004015FA">
              <w:t xml:space="preserve">VYUŽITÍ TRANSFEROVÝCH PŘÍJMŮ </w:t>
            </w:r>
          </w:p>
        </w:tc>
      </w:tr>
      <w:tr w:rsidR="001C6A77" w:rsidRPr="00963E81" w14:paraId="536D56A6" w14:textId="77777777" w:rsidTr="008F1C8F">
        <w:trPr>
          <w:jc w:val="center"/>
        </w:trPr>
        <w:tc>
          <w:tcPr>
            <w:tcW w:w="8624" w:type="dxa"/>
            <w:tcBorders>
              <w:top w:val="single" w:sz="6" w:space="0" w:color="auto"/>
              <w:bottom w:val="single" w:sz="6" w:space="0" w:color="auto"/>
            </w:tcBorders>
          </w:tcPr>
          <w:p w14:paraId="442B7D29" w14:textId="41D58B4C" w:rsidR="001C6A77" w:rsidRPr="004015FA" w:rsidRDefault="001C6A77" w:rsidP="00781DF4">
            <w:r w:rsidRPr="004015FA">
              <w:t>INTENZIVNĚJŠÍ SPOLUPRÁCE S OKOLNÍMI OBCEMI</w:t>
            </w:r>
          </w:p>
        </w:tc>
      </w:tr>
      <w:tr w:rsidR="00781DF4" w:rsidRPr="00963E81" w14:paraId="67A94EF8" w14:textId="77777777" w:rsidTr="008F1C8F">
        <w:trPr>
          <w:jc w:val="center"/>
        </w:trPr>
        <w:tc>
          <w:tcPr>
            <w:tcW w:w="8624" w:type="dxa"/>
            <w:tcBorders>
              <w:top w:val="single" w:sz="6" w:space="0" w:color="auto"/>
              <w:bottom w:val="single" w:sz="6" w:space="0" w:color="auto"/>
            </w:tcBorders>
          </w:tcPr>
          <w:p w14:paraId="560A63F3" w14:textId="6A39757A" w:rsidR="00781DF4" w:rsidRPr="00963E81" w:rsidRDefault="001C6A77" w:rsidP="00781DF4">
            <w:r w:rsidRPr="004015FA">
              <w:t>ZAPOJENÍ MLADŠÍCH SKUPIN OBYVATEL DO ROZHODOVACÍCH MECHANISMŮ OBCE</w:t>
            </w:r>
          </w:p>
        </w:tc>
      </w:tr>
      <w:tr w:rsidR="00781DF4" w:rsidRPr="00963E81" w14:paraId="029EBA75" w14:textId="77777777" w:rsidTr="008F1C8F">
        <w:trPr>
          <w:jc w:val="center"/>
        </w:trPr>
        <w:tc>
          <w:tcPr>
            <w:tcW w:w="8624" w:type="dxa"/>
            <w:tcBorders>
              <w:top w:val="single" w:sz="6" w:space="0" w:color="auto"/>
              <w:bottom w:val="single" w:sz="6" w:space="0" w:color="auto"/>
            </w:tcBorders>
          </w:tcPr>
          <w:p w14:paraId="65477D4C" w14:textId="0D7E22E3" w:rsidR="00781DF4" w:rsidRPr="00963E81" w:rsidRDefault="00781DF4" w:rsidP="00781DF4">
            <w:r w:rsidRPr="004015FA">
              <w:t>VYBUDOVÁNÍ VODOVODU</w:t>
            </w:r>
          </w:p>
        </w:tc>
      </w:tr>
      <w:tr w:rsidR="00781DF4" w:rsidRPr="00963E81" w14:paraId="78D377DE" w14:textId="77777777" w:rsidTr="008F1C8F">
        <w:trPr>
          <w:jc w:val="center"/>
        </w:trPr>
        <w:tc>
          <w:tcPr>
            <w:tcW w:w="8624" w:type="dxa"/>
            <w:tcBorders>
              <w:top w:val="single" w:sz="6" w:space="0" w:color="auto"/>
              <w:bottom w:val="single" w:sz="6" w:space="0" w:color="auto"/>
            </w:tcBorders>
          </w:tcPr>
          <w:p w14:paraId="380D7F25" w14:textId="1C5073D1" w:rsidR="00781DF4" w:rsidRDefault="00781DF4" w:rsidP="00781DF4">
            <w:r w:rsidRPr="004015FA">
              <w:t>VYUŽITÍ DOMÁCÍCH ČISTIČEK ODPADNÍCH VOD, SEPTIKŮ S BIOFILTREM</w:t>
            </w:r>
          </w:p>
        </w:tc>
      </w:tr>
      <w:tr w:rsidR="00781DF4" w:rsidRPr="00963E81" w14:paraId="778594F9" w14:textId="77777777" w:rsidTr="008F1C8F">
        <w:trPr>
          <w:jc w:val="center"/>
        </w:trPr>
        <w:tc>
          <w:tcPr>
            <w:tcW w:w="8624" w:type="dxa"/>
            <w:tcBorders>
              <w:top w:val="single" w:sz="6" w:space="0" w:color="auto"/>
              <w:bottom w:val="single" w:sz="6" w:space="0" w:color="auto"/>
            </w:tcBorders>
          </w:tcPr>
          <w:p w14:paraId="1E63D8EC" w14:textId="5577E4E7" w:rsidR="00781DF4" w:rsidRPr="00963E81" w:rsidRDefault="00781DF4" w:rsidP="00781DF4">
            <w:r w:rsidRPr="004015FA">
              <w:t>VYBUDOVÁNÍ VAROVNÉHO A VYROZUMÍVACÍHO SYSTÉMU</w:t>
            </w:r>
          </w:p>
        </w:tc>
      </w:tr>
      <w:tr w:rsidR="00781DF4" w:rsidRPr="00963E81" w14:paraId="74D0BBC5" w14:textId="77777777" w:rsidTr="008F1C8F">
        <w:trPr>
          <w:jc w:val="center"/>
        </w:trPr>
        <w:tc>
          <w:tcPr>
            <w:tcW w:w="8624" w:type="dxa"/>
            <w:tcBorders>
              <w:top w:val="single" w:sz="6" w:space="0" w:color="auto"/>
              <w:bottom w:val="single" w:sz="6" w:space="0" w:color="auto"/>
            </w:tcBorders>
          </w:tcPr>
          <w:p w14:paraId="6136225A" w14:textId="739552CC" w:rsidR="00781DF4" w:rsidRPr="00963E81" w:rsidRDefault="00781DF4" w:rsidP="00781DF4">
            <w:r w:rsidRPr="004015FA">
              <w:t>ZAVEDENÍ INFORMAČNÍHO SYSTÉMU (např. MUNIPOLIS)</w:t>
            </w:r>
          </w:p>
        </w:tc>
      </w:tr>
      <w:tr w:rsidR="00781DF4" w:rsidRPr="00963E81" w14:paraId="11265AFF" w14:textId="77777777" w:rsidTr="008F1C8F">
        <w:trPr>
          <w:jc w:val="center"/>
        </w:trPr>
        <w:tc>
          <w:tcPr>
            <w:tcW w:w="8624" w:type="dxa"/>
            <w:tcBorders>
              <w:top w:val="single" w:sz="6" w:space="0" w:color="auto"/>
              <w:bottom w:val="single" w:sz="6" w:space="0" w:color="auto"/>
            </w:tcBorders>
          </w:tcPr>
          <w:p w14:paraId="0A5244CE" w14:textId="429656FE" w:rsidR="00781DF4" w:rsidRDefault="00781DF4" w:rsidP="00781DF4">
            <w:r w:rsidRPr="004015FA">
              <w:t>PODPORA ENERGETICKY ÚSPORNÝCH OPATŘENÍ BUDOV</w:t>
            </w:r>
          </w:p>
        </w:tc>
      </w:tr>
      <w:tr w:rsidR="00781DF4" w:rsidRPr="00963E81" w14:paraId="6879DFDB" w14:textId="77777777" w:rsidTr="008F1C8F">
        <w:trPr>
          <w:jc w:val="center"/>
        </w:trPr>
        <w:tc>
          <w:tcPr>
            <w:tcW w:w="8624" w:type="dxa"/>
            <w:tcBorders>
              <w:top w:val="single" w:sz="6" w:space="0" w:color="auto"/>
              <w:bottom w:val="single" w:sz="6" w:space="0" w:color="auto"/>
            </w:tcBorders>
          </w:tcPr>
          <w:p w14:paraId="4E387F56" w14:textId="663DFA53" w:rsidR="00781DF4" w:rsidRDefault="001C6A77" w:rsidP="00781DF4">
            <w:r w:rsidRPr="004015FA">
              <w:t>VÍCE KULTURNĚ-SPOLEČENSKÝCH AKTIVIT V OBCI</w:t>
            </w:r>
          </w:p>
        </w:tc>
      </w:tr>
      <w:tr w:rsidR="00781DF4" w:rsidRPr="00963E81" w14:paraId="25CCC0B1" w14:textId="77777777" w:rsidTr="008F1C8F">
        <w:trPr>
          <w:jc w:val="center"/>
        </w:trPr>
        <w:tc>
          <w:tcPr>
            <w:tcW w:w="8624" w:type="dxa"/>
            <w:tcBorders>
              <w:top w:val="single" w:sz="6" w:space="0" w:color="auto"/>
              <w:bottom w:val="single" w:sz="6" w:space="0" w:color="auto"/>
            </w:tcBorders>
          </w:tcPr>
          <w:p w14:paraId="268DB7B1" w14:textId="7A32B972" w:rsidR="00781DF4" w:rsidRDefault="00781DF4" w:rsidP="00781DF4">
            <w:r w:rsidRPr="004015FA">
              <w:t>MOŽNOST EXISTENCE SOCIÁLNÍHO BYDLENÍ, STARTOVACÍHO BYDLENÍ</w:t>
            </w:r>
          </w:p>
        </w:tc>
      </w:tr>
      <w:tr w:rsidR="00781DF4" w:rsidRPr="00963E81" w14:paraId="663A2CBC" w14:textId="77777777" w:rsidTr="008F1C8F">
        <w:trPr>
          <w:jc w:val="center"/>
        </w:trPr>
        <w:tc>
          <w:tcPr>
            <w:tcW w:w="8624" w:type="dxa"/>
            <w:tcBorders>
              <w:top w:val="single" w:sz="6" w:space="0" w:color="auto"/>
              <w:bottom w:val="single" w:sz="6" w:space="0" w:color="auto"/>
            </w:tcBorders>
          </w:tcPr>
          <w:p w14:paraId="3B091367" w14:textId="07014AC5" w:rsidR="00781DF4" w:rsidRDefault="00781DF4" w:rsidP="00781DF4">
            <w:r w:rsidRPr="004015FA">
              <w:t>PERMANENTNÍ ZDOKONALOVÁNÍ SBĚRU A SVOZU ODPADU</w:t>
            </w:r>
          </w:p>
        </w:tc>
      </w:tr>
      <w:tr w:rsidR="00781DF4" w:rsidRPr="00963E81" w14:paraId="1B75B9D6" w14:textId="77777777" w:rsidTr="008F1C8F">
        <w:trPr>
          <w:jc w:val="center"/>
        </w:trPr>
        <w:tc>
          <w:tcPr>
            <w:tcW w:w="8624" w:type="dxa"/>
            <w:tcBorders>
              <w:top w:val="single" w:sz="6" w:space="0" w:color="auto"/>
              <w:bottom w:val="single" w:sz="6" w:space="0" w:color="auto"/>
            </w:tcBorders>
          </w:tcPr>
          <w:p w14:paraId="60D30BBA" w14:textId="4242AB24" w:rsidR="00781DF4" w:rsidRDefault="001C6A77" w:rsidP="00781DF4">
            <w:r w:rsidRPr="004015FA">
              <w:t>PODPORA AKTIVNÍCH SPOLKŮ/OSOB POŘÁDAJÍCÍCH RŮZNORODÉ SPOLEČENSKÉ AKTIVITY</w:t>
            </w:r>
          </w:p>
        </w:tc>
      </w:tr>
      <w:tr w:rsidR="00781DF4" w:rsidRPr="00963E81" w14:paraId="20F8B83D" w14:textId="77777777" w:rsidTr="008F1C8F">
        <w:trPr>
          <w:jc w:val="center"/>
        </w:trPr>
        <w:tc>
          <w:tcPr>
            <w:tcW w:w="8624" w:type="dxa"/>
            <w:tcBorders>
              <w:top w:val="single" w:sz="6" w:space="0" w:color="auto"/>
              <w:bottom w:val="single" w:sz="6" w:space="0" w:color="auto"/>
            </w:tcBorders>
          </w:tcPr>
          <w:p w14:paraId="0E67035D" w14:textId="68607C94" w:rsidR="00781DF4" w:rsidRDefault="00781DF4" w:rsidP="00781DF4">
            <w:r w:rsidRPr="004015FA">
              <w:t>VYMYSLET OBECNÍ TRADICI</w:t>
            </w:r>
          </w:p>
        </w:tc>
      </w:tr>
      <w:tr w:rsidR="00781DF4" w:rsidRPr="00963E81" w14:paraId="207D590B" w14:textId="77777777" w:rsidTr="00B321F0">
        <w:trPr>
          <w:jc w:val="center"/>
        </w:trPr>
        <w:tc>
          <w:tcPr>
            <w:tcW w:w="8624" w:type="dxa"/>
            <w:tcBorders>
              <w:top w:val="single" w:sz="6" w:space="0" w:color="auto"/>
              <w:bottom w:val="single" w:sz="6" w:space="0" w:color="auto"/>
            </w:tcBorders>
          </w:tcPr>
          <w:p w14:paraId="06C0760C" w14:textId="60B5CAA1" w:rsidR="00781DF4" w:rsidRPr="00963E81" w:rsidRDefault="00781DF4" w:rsidP="00781DF4">
            <w:r w:rsidRPr="004015FA">
              <w:t>VYUŽITÍ ZNALOSTÍ A DOVEDNOSTÍ ŽIVNOSTNÍKŮ PRO ROZVOJ OBCE</w:t>
            </w:r>
          </w:p>
        </w:tc>
      </w:tr>
      <w:tr w:rsidR="00781DF4" w:rsidRPr="00963E81" w14:paraId="0599BEE6" w14:textId="77777777" w:rsidTr="008F1C8F">
        <w:trPr>
          <w:jc w:val="center"/>
        </w:trPr>
        <w:tc>
          <w:tcPr>
            <w:tcW w:w="8624" w:type="dxa"/>
            <w:tcBorders>
              <w:top w:val="single" w:sz="6" w:space="0" w:color="auto"/>
              <w:bottom w:val="single" w:sz="18" w:space="0" w:color="auto"/>
            </w:tcBorders>
          </w:tcPr>
          <w:p w14:paraId="03CDB4B2" w14:textId="1CB312F8" w:rsidR="00781DF4" w:rsidRPr="00963E81" w:rsidRDefault="001C6A77" w:rsidP="00781DF4">
            <w:r w:rsidRPr="004015FA">
              <w:t>POŘÍZENÍ MIKROBUSU PRO OBEC (využití pro volnočasové aktivity všech věkových kategorií obyvatel)</w:t>
            </w:r>
          </w:p>
        </w:tc>
      </w:tr>
    </w:tbl>
    <w:p w14:paraId="08CFC226" w14:textId="11147074" w:rsidR="00631DE5" w:rsidRDefault="00631DE5" w:rsidP="00631DE5">
      <w:pPr>
        <w:spacing w:line="259" w:lineRule="auto"/>
        <w:jc w:val="both"/>
      </w:pPr>
    </w:p>
    <w:p w14:paraId="582ABC06" w14:textId="77777777" w:rsidR="00B57CA4" w:rsidRDefault="00B57CA4" w:rsidP="00631DE5">
      <w:pPr>
        <w:spacing w:line="259" w:lineRule="auto"/>
        <w:jc w:val="both"/>
      </w:pP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8624"/>
      </w:tblGrid>
      <w:tr w:rsidR="00631DE5" w:rsidRPr="00963E81" w14:paraId="34A25B69" w14:textId="77777777" w:rsidTr="00A91A12">
        <w:trPr>
          <w:jc w:val="center"/>
        </w:trPr>
        <w:tc>
          <w:tcPr>
            <w:tcW w:w="8624" w:type="dxa"/>
            <w:tcBorders>
              <w:top w:val="single" w:sz="18" w:space="0" w:color="auto"/>
              <w:bottom w:val="single" w:sz="12" w:space="0" w:color="auto"/>
            </w:tcBorders>
            <w:shd w:val="clear" w:color="auto" w:fill="FFC000"/>
          </w:tcPr>
          <w:p w14:paraId="2557CEB9" w14:textId="77777777" w:rsidR="00631DE5" w:rsidRPr="00577C0C" w:rsidRDefault="00631DE5" w:rsidP="00CB1F66">
            <w:pPr>
              <w:jc w:val="center"/>
              <w:rPr>
                <w:b/>
                <w:sz w:val="24"/>
                <w:szCs w:val="24"/>
              </w:rPr>
            </w:pPr>
            <w:r>
              <w:rPr>
                <w:b/>
                <w:sz w:val="24"/>
                <w:szCs w:val="24"/>
              </w:rPr>
              <w:t>Hrozby</w:t>
            </w:r>
          </w:p>
        </w:tc>
      </w:tr>
      <w:tr w:rsidR="001C6A77" w:rsidRPr="00963E81" w14:paraId="03D9A6D1" w14:textId="77777777" w:rsidTr="005E315C">
        <w:trPr>
          <w:jc w:val="center"/>
        </w:trPr>
        <w:tc>
          <w:tcPr>
            <w:tcW w:w="8624" w:type="dxa"/>
            <w:tcBorders>
              <w:top w:val="single" w:sz="12" w:space="0" w:color="auto"/>
              <w:bottom w:val="single" w:sz="6" w:space="0" w:color="auto"/>
            </w:tcBorders>
          </w:tcPr>
          <w:p w14:paraId="7EC5C313" w14:textId="4186E71D" w:rsidR="001C6A77" w:rsidRDefault="00FA79D6" w:rsidP="001C6A77">
            <w:r w:rsidRPr="00A27839">
              <w:t>NEDOSTATEČNÉ VYUŽÍVÁNÍ CIZÍCH ZDROJŮ FINANCOVÁNÍ (úvěry, dotace)</w:t>
            </w:r>
          </w:p>
        </w:tc>
      </w:tr>
      <w:tr w:rsidR="001C6A77" w:rsidRPr="00963E81" w14:paraId="02D605D2" w14:textId="77777777" w:rsidTr="005E315C">
        <w:trPr>
          <w:jc w:val="center"/>
        </w:trPr>
        <w:tc>
          <w:tcPr>
            <w:tcW w:w="8624" w:type="dxa"/>
            <w:tcBorders>
              <w:top w:val="single" w:sz="6" w:space="0" w:color="auto"/>
              <w:bottom w:val="single" w:sz="6" w:space="0" w:color="auto"/>
            </w:tcBorders>
          </w:tcPr>
          <w:p w14:paraId="76785EB4" w14:textId="664E9D54" w:rsidR="001C6A77" w:rsidRDefault="001C6A77" w:rsidP="001C6A77">
            <w:r w:rsidRPr="00A27839">
              <w:t>VNĚJŠÍ EKONOMICKÉ VLIVY (daně, absence dotací, reformy)</w:t>
            </w:r>
          </w:p>
        </w:tc>
      </w:tr>
      <w:tr w:rsidR="001C6A77" w:rsidRPr="00963E81" w14:paraId="13D05681" w14:textId="77777777" w:rsidTr="005E315C">
        <w:trPr>
          <w:jc w:val="center"/>
        </w:trPr>
        <w:tc>
          <w:tcPr>
            <w:tcW w:w="8624" w:type="dxa"/>
            <w:tcBorders>
              <w:top w:val="single" w:sz="6" w:space="0" w:color="auto"/>
              <w:bottom w:val="single" w:sz="6" w:space="0" w:color="auto"/>
            </w:tcBorders>
          </w:tcPr>
          <w:p w14:paraId="4FE15D97" w14:textId="7CF0AC2D" w:rsidR="001C6A77" w:rsidRDefault="00FA79D6" w:rsidP="001C6A77">
            <w:r w:rsidRPr="00A27839">
              <w:t>SNIŽOVÁNÍ ČLENSKÉ ZÁKLADNY AKTIVNÍCH ZÁJMOVÝCH SPOLKŮ</w:t>
            </w:r>
          </w:p>
        </w:tc>
      </w:tr>
      <w:tr w:rsidR="001C6A77" w:rsidRPr="00963E81" w14:paraId="3B640E10" w14:textId="77777777" w:rsidTr="00B321F0">
        <w:trPr>
          <w:jc w:val="center"/>
        </w:trPr>
        <w:tc>
          <w:tcPr>
            <w:tcW w:w="8624" w:type="dxa"/>
            <w:tcBorders>
              <w:top w:val="single" w:sz="6" w:space="0" w:color="auto"/>
              <w:bottom w:val="single" w:sz="6" w:space="0" w:color="auto"/>
            </w:tcBorders>
          </w:tcPr>
          <w:p w14:paraId="5E88A663" w14:textId="09D8193B" w:rsidR="001C6A77" w:rsidRPr="00963E81" w:rsidRDefault="00FA79D6" w:rsidP="001C6A77">
            <w:r w:rsidRPr="00A27839">
              <w:t>ODLIV TRVALE BYDLÍCÍCH OBYVATEL</w:t>
            </w:r>
          </w:p>
        </w:tc>
      </w:tr>
      <w:tr w:rsidR="001C6A77" w:rsidRPr="00963E81" w14:paraId="2619ABE4" w14:textId="77777777" w:rsidTr="00B321F0">
        <w:trPr>
          <w:jc w:val="center"/>
        </w:trPr>
        <w:tc>
          <w:tcPr>
            <w:tcW w:w="8624" w:type="dxa"/>
            <w:tcBorders>
              <w:top w:val="single" w:sz="6" w:space="0" w:color="auto"/>
              <w:bottom w:val="single" w:sz="6" w:space="0" w:color="auto"/>
            </w:tcBorders>
          </w:tcPr>
          <w:p w14:paraId="087C5D73" w14:textId="213FD13B" w:rsidR="001C6A77" w:rsidRPr="00963E81" w:rsidRDefault="001C6A77" w:rsidP="001C6A77">
            <w:r w:rsidRPr="00A27839">
              <w:t>NIČENÍ A ZNEČIŠŤOVÁNÍ OBECNÍCH CEST ZEMĚDĚLSKOU TECHNIKOU</w:t>
            </w:r>
          </w:p>
        </w:tc>
      </w:tr>
      <w:tr w:rsidR="001C6A77" w:rsidRPr="00963E81" w14:paraId="672AF4F3" w14:textId="77777777" w:rsidTr="00B321F0">
        <w:trPr>
          <w:jc w:val="center"/>
        </w:trPr>
        <w:tc>
          <w:tcPr>
            <w:tcW w:w="8624" w:type="dxa"/>
            <w:tcBorders>
              <w:top w:val="single" w:sz="6" w:space="0" w:color="auto"/>
              <w:bottom w:val="single" w:sz="6" w:space="0" w:color="auto"/>
            </w:tcBorders>
          </w:tcPr>
          <w:p w14:paraId="41E41CA0" w14:textId="284A95CF" w:rsidR="001C6A77" w:rsidRPr="00963E81" w:rsidRDefault="001C6A77" w:rsidP="001C6A77">
            <w:r w:rsidRPr="00A27839">
              <w:t>POVODNĚ, PŘÍVALOVÉ DEŠTĚ</w:t>
            </w:r>
          </w:p>
        </w:tc>
      </w:tr>
      <w:tr w:rsidR="001C6A77" w:rsidRPr="00963E81" w14:paraId="0F6B12E2" w14:textId="77777777" w:rsidTr="00B321F0">
        <w:trPr>
          <w:jc w:val="center"/>
        </w:trPr>
        <w:tc>
          <w:tcPr>
            <w:tcW w:w="8624" w:type="dxa"/>
            <w:tcBorders>
              <w:top w:val="single" w:sz="6" w:space="0" w:color="auto"/>
              <w:bottom w:val="single" w:sz="6" w:space="0" w:color="auto"/>
            </w:tcBorders>
          </w:tcPr>
          <w:p w14:paraId="7603EB69" w14:textId="6F5D0BD7" w:rsidR="001C6A77" w:rsidRPr="00963E81" w:rsidRDefault="00FA79D6" w:rsidP="001C6A77">
            <w:r w:rsidRPr="00A27839">
              <w:t>ABSENCE POŽÁRNÍ VODY</w:t>
            </w:r>
          </w:p>
        </w:tc>
      </w:tr>
      <w:tr w:rsidR="001C6A77" w:rsidRPr="00963E81" w14:paraId="7B75BCD9" w14:textId="77777777" w:rsidTr="00B321F0">
        <w:trPr>
          <w:jc w:val="center"/>
        </w:trPr>
        <w:tc>
          <w:tcPr>
            <w:tcW w:w="8624" w:type="dxa"/>
            <w:tcBorders>
              <w:top w:val="single" w:sz="6" w:space="0" w:color="auto"/>
              <w:bottom w:val="single" w:sz="18" w:space="0" w:color="auto"/>
            </w:tcBorders>
          </w:tcPr>
          <w:p w14:paraId="19C025C5" w14:textId="5669C230" w:rsidR="001C6A77" w:rsidRPr="00963E81" w:rsidRDefault="001C6A77" w:rsidP="001C6A77">
            <w:r w:rsidRPr="00A27839">
              <w:t>NEKONTROLOVANÝ RŮST POČTU OBYVATEL</w:t>
            </w:r>
          </w:p>
        </w:tc>
      </w:tr>
    </w:tbl>
    <w:p w14:paraId="5E7AC8CC" w14:textId="77777777" w:rsidR="00631DE5" w:rsidRPr="003B2178" w:rsidRDefault="00631DE5" w:rsidP="00631DE5"/>
    <w:p w14:paraId="244E4F99" w14:textId="77777777" w:rsidR="00B86EC0" w:rsidRDefault="00B86EC0" w:rsidP="007467D7">
      <w:pPr>
        <w:sectPr w:rsidR="00B86EC0" w:rsidSect="004160B4">
          <w:footerReference w:type="default" r:id="rId125"/>
          <w:pgSz w:w="11906" w:h="16838"/>
          <w:pgMar w:top="1417" w:right="1417" w:bottom="1417" w:left="1417" w:header="709" w:footer="709" w:gutter="0"/>
          <w:cols w:space="708"/>
          <w:docGrid w:linePitch="360"/>
        </w:sectPr>
      </w:pPr>
    </w:p>
    <w:p w14:paraId="2F112C07" w14:textId="77777777" w:rsidR="00B86EC0" w:rsidRPr="00B86EC0" w:rsidRDefault="00B86EC0" w:rsidP="00B86EC0">
      <w:pPr>
        <w:pStyle w:val="Nadpis1"/>
        <w:rPr>
          <w:rFonts w:eastAsia="Calibri"/>
        </w:rPr>
      </w:pPr>
      <w:bookmarkStart w:id="547" w:name="_Toc120652169"/>
      <w:r w:rsidRPr="00B86EC0">
        <w:rPr>
          <w:rFonts w:eastAsia="Calibri"/>
        </w:rPr>
        <w:lastRenderedPageBreak/>
        <w:t>3 Strategická část</w:t>
      </w:r>
      <w:bookmarkEnd w:id="547"/>
    </w:p>
    <w:p w14:paraId="40D2E4EE"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Další částí PRO Staré Buky na období let 2022-2031 je strategická část. Nejprve je formulována vize. Ta byla zformulována na základě získaných informací ze setkání realizačního týmu, informací z dotazníkového šetření, schůzek pracovní skupiny, informací z veřejného projednávání a dalších informací zjištěných v analytické části dokumentu. Následně byly definovány klíčové oblasti rozvoje a v rámci těchto klíčových oblastí zformulovány jednotlivé strategické cíle. Strategické cíle obsahují konkrétní opatření a aktivity, jejichž postupnou realizací dojde k naplnění jednotlivých cílů a tím zároveň i k naplnění definované vize.</w:t>
      </w:r>
    </w:p>
    <w:p w14:paraId="75A556E0"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 úvodu každé klíčové oblasti rozvoje je přehledové schéma, které graficky znázorňuje strategické cíle, opatření a aktivity dané oblasti rozvoje. Vyznačeny jsou i vazby mezi jednotlivými úrovněmi. Každá aktivita obsahuje základní popis. Podrobná specifikace aktivit bude provedena v rámci Akčního plánu (kapitola 4) a Zásobníku projektových záměrů (příloha 1), kde budou u každé aktivity uvedeny informace typu – žadatel, zdůvodnění a přínos pro rozvoj obce, předpokládané náklady, možné zdroje financování atd.</w:t>
      </w:r>
    </w:p>
    <w:p w14:paraId="6302B61A" w14:textId="77777777" w:rsidR="00B86EC0" w:rsidRPr="00B86EC0" w:rsidRDefault="00B86EC0" w:rsidP="00B86EC0">
      <w:pPr>
        <w:spacing w:after="160" w:line="259" w:lineRule="auto"/>
        <w:jc w:val="both"/>
        <w:rPr>
          <w:rFonts w:ascii="Calibri" w:eastAsia="Calibri" w:hAnsi="Calibri" w:cs="Times New Roman"/>
        </w:rPr>
      </w:pPr>
    </w:p>
    <w:p w14:paraId="7A10DE7B"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Na úvod této části je potřeba zmínit číslování kapitol. Hlavní kapitoly jsou číslovány 3.1 (Vize), </w:t>
      </w:r>
      <w:r w:rsidRPr="00B86EC0">
        <w:rPr>
          <w:rFonts w:ascii="Calibri" w:eastAsia="Calibri" w:hAnsi="Calibri" w:cs="Times New Roman"/>
        </w:rPr>
        <w:br/>
        <w:t xml:space="preserve">3.2 (Klíčové oblasti rozvoje) a 3.3 (Podpora realizace Programu rozvoje). </w:t>
      </w:r>
    </w:p>
    <w:p w14:paraId="7434091F" w14:textId="77777777" w:rsidR="00B86EC0" w:rsidRPr="00B86EC0" w:rsidRDefault="00B86EC0" w:rsidP="00B86EC0">
      <w:pPr>
        <w:spacing w:after="120" w:line="259" w:lineRule="auto"/>
        <w:jc w:val="both"/>
        <w:rPr>
          <w:rFonts w:ascii="Calibri" w:eastAsia="Calibri" w:hAnsi="Calibri" w:cs="Times New Roman"/>
        </w:rPr>
      </w:pPr>
      <w:r w:rsidRPr="00B86EC0">
        <w:rPr>
          <w:rFonts w:ascii="Calibri" w:eastAsia="Calibri" w:hAnsi="Calibri" w:cs="Times New Roman"/>
        </w:rPr>
        <w:t xml:space="preserve">Kapitola 3.2 je číslována následujícím způsobem: </w:t>
      </w:r>
    </w:p>
    <w:p w14:paraId="0B4ECE98" w14:textId="77777777" w:rsidR="00B86EC0" w:rsidRPr="00B86EC0" w:rsidRDefault="00B86EC0">
      <w:pPr>
        <w:numPr>
          <w:ilvl w:val="0"/>
          <w:numId w:val="23"/>
        </w:numPr>
        <w:spacing w:after="120" w:line="259" w:lineRule="auto"/>
        <w:ind w:left="426" w:hanging="357"/>
        <w:jc w:val="both"/>
        <w:rPr>
          <w:rFonts w:ascii="Calibri" w:eastAsia="Calibri" w:hAnsi="Calibri" w:cs="Times New Roman"/>
        </w:rPr>
      </w:pPr>
      <w:r w:rsidRPr="00B86EC0">
        <w:rPr>
          <w:rFonts w:ascii="Calibri" w:eastAsia="Calibri" w:hAnsi="Calibri" w:cs="Times New Roman"/>
        </w:rPr>
        <w:t xml:space="preserve">Číslování klíčových oblastí rozvoje je postupné (3.2.1, 3.2.2, 3.2.3). </w:t>
      </w:r>
    </w:p>
    <w:p w14:paraId="69585916" w14:textId="77777777" w:rsidR="00B86EC0" w:rsidRPr="00B86EC0" w:rsidRDefault="00B86EC0">
      <w:pPr>
        <w:numPr>
          <w:ilvl w:val="0"/>
          <w:numId w:val="23"/>
        </w:numPr>
        <w:spacing w:after="120" w:line="259" w:lineRule="auto"/>
        <w:ind w:left="426" w:hanging="357"/>
        <w:jc w:val="both"/>
        <w:rPr>
          <w:rFonts w:ascii="Calibri" w:eastAsia="Calibri" w:hAnsi="Calibri" w:cs="Times New Roman"/>
        </w:rPr>
      </w:pPr>
      <w:r w:rsidRPr="00B86EC0">
        <w:rPr>
          <w:rFonts w:ascii="Calibri" w:eastAsia="Calibri" w:hAnsi="Calibri" w:cs="Times New Roman"/>
        </w:rPr>
        <w:t xml:space="preserve">Číslování strategických cílů v rámci jednotlivých klíčových oblastí je takové, že první číslo označuje příslušnost ke klíčové oblasti, druhé číslo pořadí cíle v rámci dané klíčové oblasti rozvoje. </w:t>
      </w:r>
    </w:p>
    <w:p w14:paraId="7D5E7FD9" w14:textId="77777777" w:rsidR="00B86EC0" w:rsidRPr="00B86EC0" w:rsidRDefault="00B86EC0">
      <w:pPr>
        <w:numPr>
          <w:ilvl w:val="0"/>
          <w:numId w:val="23"/>
        </w:numPr>
        <w:spacing w:after="160" w:line="259" w:lineRule="auto"/>
        <w:ind w:left="426" w:hanging="357"/>
        <w:contextualSpacing/>
        <w:jc w:val="both"/>
        <w:rPr>
          <w:rFonts w:ascii="Calibri" w:eastAsia="Calibri" w:hAnsi="Calibri" w:cs="Times New Roman"/>
        </w:rPr>
      </w:pPr>
      <w:r w:rsidRPr="00B86EC0">
        <w:rPr>
          <w:rFonts w:ascii="Calibri" w:eastAsia="Calibri" w:hAnsi="Calibri" w:cs="Times New Roman"/>
        </w:rPr>
        <w:t>Opatření jsou číslována v podobném duchu jako strategické cíle. První dvě čísla vyjadřují příslušnost ke klíčové oblasti a strategickému cíli, třetí číslo vyjadřuje pořadí opatření v rámci daného strategického cíle.</w:t>
      </w:r>
    </w:p>
    <w:p w14:paraId="2D5BA663" w14:textId="77777777" w:rsidR="00B86EC0" w:rsidRPr="00B86EC0" w:rsidRDefault="00B86EC0" w:rsidP="00B86EC0">
      <w:pPr>
        <w:spacing w:after="160" w:line="259" w:lineRule="auto"/>
        <w:jc w:val="both"/>
        <w:rPr>
          <w:rFonts w:ascii="Calibri" w:eastAsia="Calibri" w:hAnsi="Calibri" w:cs="Times New Roman"/>
        </w:rPr>
      </w:pPr>
    </w:p>
    <w:p w14:paraId="300AF5DD"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Obecnou strukturu strategické části včetně výše popsaného jejího číslování graficky zobrazuje </w:t>
      </w:r>
      <w:r w:rsidRPr="00B86EC0">
        <w:rPr>
          <w:rFonts w:ascii="Calibri" w:eastAsia="Calibri" w:hAnsi="Calibri" w:cs="Times New Roman"/>
        </w:rPr>
        <w:br/>
        <w:t>schéma 2.</w:t>
      </w:r>
    </w:p>
    <w:p w14:paraId="2F86E738" w14:textId="77777777" w:rsidR="00B86EC0" w:rsidRPr="00B86EC0" w:rsidRDefault="00B86EC0" w:rsidP="00B86EC0">
      <w:pPr>
        <w:spacing w:after="160" w:line="259" w:lineRule="auto"/>
        <w:rPr>
          <w:rFonts w:ascii="Calibri" w:eastAsia="Calibri" w:hAnsi="Calibri" w:cs="Times New Roman"/>
        </w:rPr>
      </w:pPr>
    </w:p>
    <w:p w14:paraId="65611134" w14:textId="77777777" w:rsidR="00B86EC0" w:rsidRPr="00B86EC0" w:rsidRDefault="00B86EC0" w:rsidP="00B86EC0">
      <w:pPr>
        <w:spacing w:after="160" w:line="259" w:lineRule="auto"/>
        <w:rPr>
          <w:rFonts w:ascii="Calibri" w:eastAsia="Calibri" w:hAnsi="Calibri" w:cs="Times New Roman"/>
        </w:rPr>
        <w:sectPr w:rsidR="00B86EC0" w:rsidRPr="00B86EC0">
          <w:headerReference w:type="default" r:id="rId126"/>
          <w:footerReference w:type="default" r:id="rId127"/>
          <w:pgSz w:w="11906" w:h="16838"/>
          <w:pgMar w:top="1417" w:right="1417" w:bottom="1417" w:left="1417" w:header="708" w:footer="708" w:gutter="0"/>
          <w:cols w:space="708"/>
          <w:docGrid w:linePitch="360"/>
        </w:sectPr>
      </w:pPr>
    </w:p>
    <w:p w14:paraId="57DDEB21" w14:textId="77777777" w:rsidR="00B86EC0" w:rsidRPr="00B86EC0" w:rsidRDefault="00B86EC0" w:rsidP="00B86EC0">
      <w:pPr>
        <w:pStyle w:val="SCHMA"/>
      </w:pPr>
      <w:bookmarkStart w:id="548" w:name="_Toc420334200"/>
      <w:bookmarkStart w:id="549" w:name="_Toc447231486"/>
      <w:bookmarkStart w:id="550" w:name="_Toc507022300"/>
      <w:bookmarkStart w:id="551" w:name="_Toc70434419"/>
      <w:bookmarkStart w:id="552" w:name="_Toc100690904"/>
      <w:bookmarkStart w:id="553" w:name="_Toc120652066"/>
      <w:r w:rsidRPr="00B86EC0">
        <w:lastRenderedPageBreak/>
        <w:t>Schéma 2: Obecná struktura strategické části PRO Staré Buky na období let 2022-20</w:t>
      </w:r>
      <w:bookmarkEnd w:id="548"/>
      <w:bookmarkEnd w:id="549"/>
      <w:bookmarkEnd w:id="550"/>
      <w:bookmarkEnd w:id="551"/>
      <w:r w:rsidRPr="00B86EC0">
        <w:t>3</w:t>
      </w:r>
      <w:bookmarkEnd w:id="552"/>
      <w:r w:rsidRPr="00B86EC0">
        <w:t>1</w:t>
      </w:r>
      <w:bookmarkEnd w:id="553"/>
    </w:p>
    <w:p w14:paraId="779238C3"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noProof/>
          <w:lang w:eastAsia="cs-CZ"/>
        </w:rPr>
        <w:drawing>
          <wp:inline distT="0" distB="0" distL="0" distR="0" wp14:anchorId="3D8552B6" wp14:editId="3EC2F80B">
            <wp:extent cx="8587740" cy="4617720"/>
            <wp:effectExtent l="0" t="0" r="3810" b="0"/>
            <wp:docPr id="49"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3F9880A2"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b/>
          <w:sz w:val="20"/>
          <w:szCs w:val="20"/>
        </w:rPr>
        <w:t>Poznámky:</w:t>
      </w:r>
      <w:r w:rsidRPr="00B86EC0">
        <w:rPr>
          <w:rFonts w:ascii="Calibri" w:eastAsia="Calibri" w:hAnsi="Calibri" w:cs="Times New Roman"/>
          <w:sz w:val="20"/>
          <w:szCs w:val="20"/>
        </w:rPr>
        <w:t xml:space="preserve"> Za písmeno „n“ se dosazuje číslo klíčové oblasti rozvoje.</w:t>
      </w:r>
    </w:p>
    <w:p w14:paraId="588BA0FD" w14:textId="77777777" w:rsidR="00B86EC0" w:rsidRPr="00B86EC0" w:rsidRDefault="00B86EC0" w:rsidP="00B86EC0">
      <w:pPr>
        <w:spacing w:after="160" w:line="259" w:lineRule="auto"/>
        <w:rPr>
          <w:rFonts w:ascii="Calibri" w:eastAsia="Calibri" w:hAnsi="Calibri" w:cs="Times New Roman"/>
        </w:rPr>
        <w:sectPr w:rsidR="00B86EC0" w:rsidRPr="00B86EC0" w:rsidSect="00E22AB1">
          <w:footerReference w:type="default" r:id="rId133"/>
          <w:pgSz w:w="16838" w:h="11906" w:orient="landscape"/>
          <w:pgMar w:top="1417" w:right="1417" w:bottom="1417" w:left="1417" w:header="708" w:footer="708" w:gutter="0"/>
          <w:cols w:space="708"/>
          <w:docGrid w:linePitch="360"/>
        </w:sectPr>
      </w:pPr>
    </w:p>
    <w:p w14:paraId="7FABF774" w14:textId="77777777" w:rsidR="00B86EC0" w:rsidRPr="00B86EC0" w:rsidRDefault="00B86EC0" w:rsidP="00B86EC0">
      <w:pPr>
        <w:pStyle w:val="Nadpis2"/>
      </w:pPr>
      <w:bookmarkStart w:id="554" w:name="_Toc32580145"/>
      <w:bookmarkStart w:id="555" w:name="_Toc70434848"/>
      <w:bookmarkStart w:id="556" w:name="_Toc100693376"/>
      <w:bookmarkStart w:id="557" w:name="_Toc120652170"/>
      <w:r w:rsidRPr="00B86EC0">
        <w:lastRenderedPageBreak/>
        <w:t>3.1 Vize</w:t>
      </w:r>
      <w:bookmarkEnd w:id="554"/>
      <w:bookmarkEnd w:id="555"/>
      <w:bookmarkEnd w:id="556"/>
      <w:bookmarkEnd w:id="557"/>
    </w:p>
    <w:p w14:paraId="03410C6A" w14:textId="77777777" w:rsidR="00B86EC0" w:rsidRPr="00B86EC0" w:rsidRDefault="00B86EC0" w:rsidP="00B86EC0">
      <w:pPr>
        <w:spacing w:after="160" w:line="259" w:lineRule="auto"/>
        <w:jc w:val="both"/>
        <w:rPr>
          <w:rFonts w:ascii="Calibri" w:eastAsia="Calibri" w:hAnsi="Calibri" w:cs="Times New Roman"/>
          <w:bCs/>
        </w:rPr>
      </w:pPr>
      <w:r w:rsidRPr="00B86EC0">
        <w:rPr>
          <w:rFonts w:ascii="Calibri" w:eastAsia="Calibri" w:hAnsi="Calibri" w:cs="Times New Roman"/>
          <w:bCs/>
        </w:rPr>
        <w:t>Vize představuje dlouhodobý obraz žádoucího budoucího stavu obce, tedy jak by obec měla vypadat v budoucnosti. Vize je tzv. „směrovkou“ rozvoje</w:t>
      </w:r>
      <w:r w:rsidRPr="00B86EC0">
        <w:rPr>
          <w:rFonts w:ascii="Calibri" w:eastAsia="Calibri" w:hAnsi="Calibri" w:cs="Times New Roman"/>
          <w:bCs/>
          <w:vertAlign w:val="superscript"/>
        </w:rPr>
        <w:footnoteReference w:id="80"/>
      </w:r>
      <w:r w:rsidRPr="00B86EC0">
        <w:rPr>
          <w:rFonts w:ascii="Calibri" w:eastAsia="Calibri" w:hAnsi="Calibri" w:cs="Times New Roman"/>
          <w:bCs/>
        </w:rPr>
        <w:t>.</w:t>
      </w:r>
    </w:p>
    <w:p w14:paraId="7185E7F1" w14:textId="50B16FF4" w:rsidR="00B86EC0" w:rsidRPr="00B86EC0" w:rsidRDefault="00B86EC0" w:rsidP="00B86EC0">
      <w:pPr>
        <w:spacing w:after="160" w:line="259" w:lineRule="auto"/>
        <w:jc w:val="both"/>
        <w:rPr>
          <w:rFonts w:ascii="Calibri" w:eastAsia="Calibri" w:hAnsi="Calibri" w:cs="Times New Roman"/>
        </w:rPr>
      </w:pPr>
      <w:r>
        <w:rPr>
          <w:noProof/>
        </w:rPr>
        <w:pict w14:anchorId="53507550">
          <v:roundrect id="Obdélník: se zakulacenými rohy 45" o:spid="_x0000_s2052" style="position:absolute;left:0;text-align:left;margin-left:0;margin-top:6.25pt;width:454.5pt;height:84.3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" fillcolor="#ffc000" strokeweight="2.25pt">
            <v:textbox>
              <w:txbxContent>
                <w:p w14:paraId="53B3AD6E" w14:textId="77777777" w:rsidR="00B86EC0" w:rsidRPr="00506EFF" w:rsidRDefault="00B86EC0" w:rsidP="00B86EC0">
                  <w:pPr>
                    <w:jc w:val="both"/>
                    <w:rPr>
                      <w:b/>
                      <w:iCs/>
                    </w:rPr>
                  </w:pPr>
                  <w:r w:rsidRPr="006310E0">
                    <w:rPr>
                      <w:b/>
                      <w:iCs/>
                    </w:rPr>
                    <w:t xml:space="preserve">Obec </w:t>
                  </w:r>
                  <w:r>
                    <w:rPr>
                      <w:b/>
                      <w:iCs/>
                    </w:rPr>
                    <w:t>Staré Buky je klidným a bezpečným místem pro život, která nabízí základní občanskou vybavenost, variabilní možnosti trávení volného času a v optimálním rozsahu dostupnou různorodou infrastrukturu. Ke všeobecné spokojenosti přispívá i revitalizované centrum obce, které nabízí obyvatelům možnost se vzájemně scházet a utužovat tak vzájemnou soudržnost a pospolitost s obcí.</w:t>
                  </w:r>
                </w:p>
              </w:txbxContent>
            </v:textbox>
            <w10:wrap anchorx="margin"/>
          </v:roundrect>
        </w:pict>
      </w:r>
    </w:p>
    <w:p w14:paraId="391FF38D" w14:textId="77777777" w:rsidR="00B86EC0" w:rsidRPr="00B86EC0" w:rsidRDefault="00B86EC0" w:rsidP="00B86EC0">
      <w:pPr>
        <w:spacing w:after="160" w:line="259" w:lineRule="auto"/>
        <w:jc w:val="both"/>
        <w:rPr>
          <w:rFonts w:ascii="Calibri" w:eastAsia="Calibri" w:hAnsi="Calibri" w:cs="Times New Roman"/>
        </w:rPr>
      </w:pPr>
    </w:p>
    <w:p w14:paraId="19CF4177" w14:textId="77777777" w:rsidR="00B86EC0" w:rsidRPr="00B86EC0" w:rsidRDefault="00B86EC0" w:rsidP="00B86EC0">
      <w:pPr>
        <w:spacing w:after="160" w:line="259" w:lineRule="auto"/>
        <w:jc w:val="both"/>
        <w:rPr>
          <w:rFonts w:ascii="Calibri" w:eastAsia="Calibri" w:hAnsi="Calibri" w:cs="Times New Roman"/>
        </w:rPr>
      </w:pPr>
    </w:p>
    <w:p w14:paraId="3F0F3285" w14:textId="77777777" w:rsidR="00B86EC0" w:rsidRPr="00B86EC0" w:rsidRDefault="00B86EC0" w:rsidP="00B86EC0">
      <w:pPr>
        <w:spacing w:after="160" w:line="259" w:lineRule="auto"/>
        <w:jc w:val="both"/>
        <w:rPr>
          <w:rFonts w:ascii="Calibri" w:eastAsia="Calibri" w:hAnsi="Calibri" w:cs="Times New Roman"/>
        </w:rPr>
      </w:pPr>
    </w:p>
    <w:p w14:paraId="4511EC50" w14:textId="77777777" w:rsidR="00B86EC0" w:rsidRPr="00B86EC0" w:rsidRDefault="00B86EC0" w:rsidP="00B86EC0">
      <w:pPr>
        <w:spacing w:after="160" w:line="259" w:lineRule="auto"/>
        <w:jc w:val="both"/>
        <w:rPr>
          <w:rFonts w:ascii="Calibri" w:eastAsia="Calibri" w:hAnsi="Calibri" w:cs="Times New Roman"/>
        </w:rPr>
      </w:pPr>
    </w:p>
    <w:p w14:paraId="5BA3844A" w14:textId="77777777" w:rsidR="00B86EC0" w:rsidRPr="00B86EC0" w:rsidRDefault="00B86EC0" w:rsidP="00B86EC0">
      <w:pPr>
        <w:spacing w:after="160" w:line="259" w:lineRule="auto"/>
        <w:jc w:val="both"/>
        <w:rPr>
          <w:rFonts w:ascii="Calibri" w:eastAsia="Calibri" w:hAnsi="Calibri" w:cs="Times New Roman"/>
        </w:rPr>
      </w:pPr>
    </w:p>
    <w:p w14:paraId="2B16F2CF" w14:textId="77777777" w:rsidR="00B86EC0" w:rsidRPr="00B86EC0" w:rsidRDefault="00B86EC0" w:rsidP="00B86EC0">
      <w:pPr>
        <w:pStyle w:val="Nadpis2"/>
      </w:pPr>
      <w:bookmarkStart w:id="558" w:name="_Toc32580146"/>
      <w:bookmarkStart w:id="559" w:name="_Toc70434849"/>
      <w:bookmarkStart w:id="560" w:name="_Toc100693377"/>
      <w:bookmarkStart w:id="561" w:name="_Toc120652171"/>
      <w:r w:rsidRPr="00B86EC0">
        <w:t>3.2 Klíčové oblasti rozvoje</w:t>
      </w:r>
      <w:bookmarkEnd w:id="558"/>
      <w:bookmarkEnd w:id="559"/>
      <w:bookmarkEnd w:id="560"/>
      <w:bookmarkEnd w:id="561"/>
    </w:p>
    <w:p w14:paraId="2A6DC691"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základě informací ze zpracované analytické části, informací z dotazníkového šetření, informací z pracovní skupiny, informací z veřejného projednávání, informací ze setkání realizačního týmu a na základě VIZE byly definovány celkem tři klíčové oblasti rozvoje:</w:t>
      </w:r>
    </w:p>
    <w:p w14:paraId="50677A92" w14:textId="77777777" w:rsidR="00B86EC0" w:rsidRPr="00B86EC0" w:rsidRDefault="00B86EC0">
      <w:pPr>
        <w:numPr>
          <w:ilvl w:val="0"/>
          <w:numId w:val="6"/>
        </w:numPr>
        <w:spacing w:after="160" w:line="259" w:lineRule="auto"/>
        <w:ind w:left="426" w:hanging="357"/>
        <w:jc w:val="both"/>
        <w:rPr>
          <w:rFonts w:ascii="Calibri" w:eastAsia="Calibri" w:hAnsi="Calibri" w:cs="Times New Roman"/>
          <w:b/>
        </w:rPr>
      </w:pPr>
      <w:r w:rsidRPr="00B86EC0">
        <w:rPr>
          <w:rFonts w:ascii="Calibri" w:eastAsia="Calibri" w:hAnsi="Calibri" w:cs="Times New Roman"/>
          <w:b/>
        </w:rPr>
        <w:t xml:space="preserve">Klíčová oblast rozvoje 1: INFRASTRUKTURA </w:t>
      </w:r>
    </w:p>
    <w:p w14:paraId="2CD62156" w14:textId="77777777" w:rsidR="00B86EC0" w:rsidRPr="00B86EC0" w:rsidRDefault="00B86EC0">
      <w:pPr>
        <w:numPr>
          <w:ilvl w:val="0"/>
          <w:numId w:val="6"/>
        </w:numPr>
        <w:spacing w:after="160" w:line="259" w:lineRule="auto"/>
        <w:ind w:left="426" w:hanging="357"/>
        <w:jc w:val="both"/>
        <w:rPr>
          <w:rFonts w:ascii="Calibri" w:eastAsia="Calibri" w:hAnsi="Calibri" w:cs="Times New Roman"/>
          <w:b/>
        </w:rPr>
      </w:pPr>
      <w:r w:rsidRPr="00B86EC0">
        <w:rPr>
          <w:rFonts w:ascii="Calibri" w:eastAsia="Calibri" w:hAnsi="Calibri" w:cs="Times New Roman"/>
          <w:b/>
        </w:rPr>
        <w:t xml:space="preserve">Klíčová oblast rozvoje 2: VYBAVENOST A PROSTŘEDÍ OBCE </w:t>
      </w:r>
    </w:p>
    <w:p w14:paraId="2DC9A21B" w14:textId="77777777" w:rsidR="00B86EC0" w:rsidRPr="00B86EC0" w:rsidRDefault="00B86EC0">
      <w:pPr>
        <w:numPr>
          <w:ilvl w:val="0"/>
          <w:numId w:val="6"/>
        </w:numPr>
        <w:spacing w:after="160" w:line="259" w:lineRule="auto"/>
        <w:ind w:left="426" w:hanging="357"/>
        <w:jc w:val="both"/>
        <w:rPr>
          <w:rFonts w:ascii="Calibri" w:eastAsia="Calibri" w:hAnsi="Calibri" w:cs="Times New Roman"/>
          <w:b/>
        </w:rPr>
      </w:pPr>
      <w:r w:rsidRPr="00B86EC0">
        <w:rPr>
          <w:rFonts w:ascii="Calibri" w:eastAsia="Calibri" w:hAnsi="Calibri" w:cs="Times New Roman"/>
          <w:b/>
        </w:rPr>
        <w:t>Klíčová oblast rozvoje 3: VOLNÝ ČAS</w:t>
      </w:r>
    </w:p>
    <w:p w14:paraId="2B5CB2B0" w14:textId="77777777" w:rsidR="00B86EC0" w:rsidRPr="00B86EC0" w:rsidRDefault="00B86EC0" w:rsidP="00B86EC0">
      <w:pPr>
        <w:spacing w:after="160" w:line="259" w:lineRule="auto"/>
        <w:jc w:val="both"/>
        <w:rPr>
          <w:rFonts w:ascii="Calibri" w:eastAsia="Calibri" w:hAnsi="Calibri" w:cs="Times New Roman"/>
        </w:rPr>
      </w:pPr>
    </w:p>
    <w:p w14:paraId="1E3FCB5A"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Definované klíčové oblasti rozvoje nejsou izolovanými celky, nýbrž se vzájemně prolínají, doplňují </w:t>
      </w:r>
      <w:r w:rsidRPr="00B86EC0">
        <w:rPr>
          <w:rFonts w:ascii="Calibri" w:eastAsia="Calibri" w:hAnsi="Calibri" w:cs="Times New Roman"/>
        </w:rPr>
        <w:br/>
        <w:t xml:space="preserve">a ovlivňují. Mezi cíli, které jsou definovány v rámci těchto klíčových oblastí rozvoje, a mezi opatřeními definovanými v rámci jednotlivých cílů, existuje v mnoha případech určitá provázanost. Naplnění některých konkrétních aktivit jednoho opatření napomůže i k naplnění opatření dalšího a následně </w:t>
      </w:r>
      <w:r w:rsidRPr="00B86EC0">
        <w:rPr>
          <w:rFonts w:ascii="Calibri" w:eastAsia="Calibri" w:hAnsi="Calibri" w:cs="Times New Roman"/>
        </w:rPr>
        <w:br/>
        <w:t>i k naplnění jednotlivých cílů, klíčových oblastí rozvoje i naplňování vize, tj. v mnoha případech bude využito synergických efektů jednotlivých opatření a aktivit.</w:t>
      </w:r>
    </w:p>
    <w:p w14:paraId="10690521"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Aktivity, které dostanou největší prioritu a bude reálná jejich realizace v horizontu jednoho až dvou let, budou zařazeny do tzv. akčního plánu. Další aktivity mohou mít dlouhodobý charakter, který může v mnoha případech přesahovat dobu, na kterou je tento PRO zpracováván. Všechny tyto aktivity jsou následně obsaženy v tzv. zásobníku projektů, který bude sloužit představitelům obce jako cenný zdroj informací při rozhodování o dalším rozvoji obce.</w:t>
      </w:r>
    </w:p>
    <w:p w14:paraId="27F676C4"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Aby nedocházelo k duplicitě dat, je každá aktivita uvedena pouze jednou, pod jedním daným opatřením a cílem, ačkoliv by mohla být uvedena i v rámci jiného opatření či cíle (viz výše zmiňovaná provázanost).</w:t>
      </w:r>
    </w:p>
    <w:p w14:paraId="35370463" w14:textId="41DDC915"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rPr>
        <w:t>Přehled klíčových oblastí rozvoje, strategických cílů a opatření znázorňuje tabulka 3</w:t>
      </w:r>
      <w:r w:rsidR="00041A31">
        <w:rPr>
          <w:rFonts w:ascii="Calibri" w:eastAsia="Calibri" w:hAnsi="Calibri" w:cs="Times New Roman"/>
        </w:rPr>
        <w:t>4</w:t>
      </w:r>
      <w:r w:rsidRPr="00B86EC0">
        <w:rPr>
          <w:rFonts w:ascii="Calibri" w:eastAsia="Calibri" w:hAnsi="Calibri" w:cs="Times New Roman"/>
        </w:rPr>
        <w:t>.</w:t>
      </w:r>
    </w:p>
    <w:p w14:paraId="1AB012DF" w14:textId="77777777" w:rsidR="00B86EC0" w:rsidRPr="00B86EC0" w:rsidRDefault="00B86EC0" w:rsidP="00B86EC0">
      <w:pPr>
        <w:spacing w:after="160" w:line="259" w:lineRule="auto"/>
        <w:rPr>
          <w:rFonts w:ascii="Calibri" w:eastAsia="Calibri" w:hAnsi="Calibri" w:cs="Times New Roman"/>
        </w:rPr>
        <w:sectPr w:rsidR="00B86EC0" w:rsidRPr="00B86EC0">
          <w:footerReference w:type="default" r:id="rId134"/>
          <w:pgSz w:w="11906" w:h="16838"/>
          <w:pgMar w:top="1417" w:right="1417" w:bottom="1417" w:left="1417" w:header="708" w:footer="708" w:gutter="0"/>
          <w:cols w:space="708"/>
          <w:docGrid w:linePitch="360"/>
        </w:sectPr>
      </w:pPr>
    </w:p>
    <w:p w14:paraId="6FD0C4BC" w14:textId="3A7E6AB5" w:rsidR="00B86EC0" w:rsidRPr="00B86EC0" w:rsidRDefault="00B86EC0" w:rsidP="00B86EC0">
      <w:pPr>
        <w:pStyle w:val="TABULKA0"/>
      </w:pPr>
      <w:bookmarkStart w:id="562" w:name="_Toc71746421"/>
      <w:bookmarkStart w:id="563" w:name="_Toc100690532"/>
      <w:bookmarkStart w:id="564" w:name="_Toc120651956"/>
      <w:r w:rsidRPr="00B86EC0">
        <w:lastRenderedPageBreak/>
        <w:t>Tabulka 3</w:t>
      </w:r>
      <w:r w:rsidR="00041A31">
        <w:t>4</w:t>
      </w:r>
      <w:r w:rsidRPr="00B86EC0">
        <w:t>: Přehled klíčových oblastí rozvoje, strategických cílů a opatření</w:t>
      </w:r>
      <w:bookmarkEnd w:id="562"/>
      <w:bookmarkEnd w:id="563"/>
      <w:bookmarkEnd w:id="564"/>
    </w:p>
    <w:tbl>
      <w:tblPr>
        <w:tblStyle w:val="Mkatabulky4"/>
        <w:tblW w:w="1288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09"/>
        <w:gridCol w:w="4839"/>
        <w:gridCol w:w="6237"/>
      </w:tblGrid>
      <w:tr w:rsidR="00B86EC0" w:rsidRPr="00B86EC0" w14:paraId="14BBBBC1" w14:textId="77777777" w:rsidTr="009A7AC2">
        <w:trPr>
          <w:trHeight w:val="373"/>
        </w:trPr>
        <w:tc>
          <w:tcPr>
            <w:tcW w:w="1809" w:type="dxa"/>
            <w:tcBorders>
              <w:top w:val="single" w:sz="12" w:space="0" w:color="auto"/>
              <w:bottom w:val="single" w:sz="12" w:space="0" w:color="auto"/>
            </w:tcBorders>
            <w:shd w:val="clear" w:color="auto" w:fill="FFC000"/>
            <w:vAlign w:val="center"/>
          </w:tcPr>
          <w:p w14:paraId="37184454" w14:textId="77777777" w:rsidR="00B86EC0" w:rsidRPr="00B86EC0" w:rsidRDefault="00B86EC0" w:rsidP="00B86EC0">
            <w:pPr>
              <w:jc w:val="center"/>
              <w:rPr>
                <w:rFonts w:ascii="Calibri" w:eastAsia="Calibri" w:hAnsi="Calibri" w:cs="Times New Roman"/>
                <w:b/>
                <w:sz w:val="20"/>
                <w:szCs w:val="20"/>
              </w:rPr>
            </w:pPr>
            <w:r w:rsidRPr="00B86EC0">
              <w:rPr>
                <w:rFonts w:ascii="Calibri" w:eastAsia="Calibri" w:hAnsi="Calibri" w:cs="Times New Roman"/>
                <w:b/>
                <w:sz w:val="20"/>
                <w:szCs w:val="20"/>
              </w:rPr>
              <w:t>Klíčová oblast rozvoje</w:t>
            </w:r>
          </w:p>
        </w:tc>
        <w:tc>
          <w:tcPr>
            <w:tcW w:w="4839" w:type="dxa"/>
            <w:tcBorders>
              <w:top w:val="single" w:sz="12" w:space="0" w:color="auto"/>
              <w:bottom w:val="single" w:sz="12" w:space="0" w:color="auto"/>
            </w:tcBorders>
            <w:shd w:val="clear" w:color="auto" w:fill="FFC000"/>
            <w:vAlign w:val="center"/>
          </w:tcPr>
          <w:p w14:paraId="390210E0" w14:textId="77777777" w:rsidR="00B86EC0" w:rsidRPr="00B86EC0" w:rsidRDefault="00B86EC0" w:rsidP="00B86EC0">
            <w:pPr>
              <w:jc w:val="center"/>
              <w:rPr>
                <w:rFonts w:ascii="Calibri" w:eastAsia="Calibri" w:hAnsi="Calibri" w:cs="Times New Roman"/>
                <w:b/>
                <w:sz w:val="20"/>
                <w:szCs w:val="20"/>
              </w:rPr>
            </w:pPr>
            <w:r w:rsidRPr="00B86EC0">
              <w:rPr>
                <w:rFonts w:ascii="Calibri" w:eastAsia="Calibri" w:hAnsi="Calibri" w:cs="Times New Roman"/>
                <w:b/>
                <w:sz w:val="20"/>
                <w:szCs w:val="20"/>
              </w:rPr>
              <w:t>Strategický cíl</w:t>
            </w:r>
          </w:p>
        </w:tc>
        <w:tc>
          <w:tcPr>
            <w:tcW w:w="6237" w:type="dxa"/>
            <w:tcBorders>
              <w:top w:val="single" w:sz="12" w:space="0" w:color="auto"/>
              <w:bottom w:val="single" w:sz="12" w:space="0" w:color="auto"/>
            </w:tcBorders>
            <w:shd w:val="clear" w:color="auto" w:fill="FFC000"/>
            <w:vAlign w:val="center"/>
          </w:tcPr>
          <w:p w14:paraId="1F4E2A5C" w14:textId="77777777" w:rsidR="00B86EC0" w:rsidRPr="00B86EC0" w:rsidRDefault="00B86EC0" w:rsidP="00B86EC0">
            <w:pPr>
              <w:jc w:val="center"/>
              <w:rPr>
                <w:rFonts w:ascii="Calibri" w:eastAsia="Calibri" w:hAnsi="Calibri" w:cs="Times New Roman"/>
                <w:b/>
                <w:sz w:val="20"/>
                <w:szCs w:val="20"/>
              </w:rPr>
            </w:pPr>
            <w:r w:rsidRPr="00B86EC0">
              <w:rPr>
                <w:rFonts w:ascii="Calibri" w:eastAsia="Calibri" w:hAnsi="Calibri" w:cs="Times New Roman"/>
                <w:b/>
                <w:sz w:val="20"/>
                <w:szCs w:val="20"/>
              </w:rPr>
              <w:t>Opatření</w:t>
            </w:r>
          </w:p>
        </w:tc>
      </w:tr>
      <w:tr w:rsidR="00B86EC0" w:rsidRPr="00B86EC0" w14:paraId="60C66879" w14:textId="77777777" w:rsidTr="00B86EC0">
        <w:tc>
          <w:tcPr>
            <w:tcW w:w="1809" w:type="dxa"/>
            <w:vMerge w:val="restart"/>
            <w:tcBorders>
              <w:top w:val="single" w:sz="12" w:space="0" w:color="auto"/>
            </w:tcBorders>
            <w:shd w:val="clear" w:color="auto" w:fill="BFBFBF"/>
            <w:vAlign w:val="center"/>
          </w:tcPr>
          <w:p w14:paraId="011E94AA" w14:textId="77777777" w:rsidR="00B86EC0" w:rsidRPr="00B86EC0" w:rsidRDefault="00B86EC0" w:rsidP="00B86EC0">
            <w:pPr>
              <w:jc w:val="center"/>
              <w:rPr>
                <w:rFonts w:ascii="Calibri" w:eastAsia="Calibri" w:hAnsi="Calibri" w:cs="Times New Roman"/>
                <w:b/>
                <w:sz w:val="20"/>
                <w:szCs w:val="20"/>
              </w:rPr>
            </w:pPr>
            <w:r w:rsidRPr="00B86EC0">
              <w:rPr>
                <w:rFonts w:ascii="Calibri" w:eastAsia="Calibri" w:hAnsi="Calibri" w:cs="Times New Roman"/>
                <w:b/>
                <w:sz w:val="20"/>
                <w:szCs w:val="20"/>
              </w:rPr>
              <w:t>INFRASTRUKTURA</w:t>
            </w:r>
          </w:p>
        </w:tc>
        <w:tc>
          <w:tcPr>
            <w:tcW w:w="4839" w:type="dxa"/>
            <w:vMerge w:val="restart"/>
            <w:tcBorders>
              <w:top w:val="single" w:sz="12" w:space="0" w:color="auto"/>
            </w:tcBorders>
            <w:shd w:val="clear" w:color="auto" w:fill="BFBFBF"/>
            <w:vAlign w:val="center"/>
          </w:tcPr>
          <w:p w14:paraId="0D39DE0E"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Postupně zlepšovat stav dopravní infrastruktury</w:t>
            </w:r>
          </w:p>
        </w:tc>
        <w:tc>
          <w:tcPr>
            <w:tcW w:w="6237" w:type="dxa"/>
            <w:tcBorders>
              <w:top w:val="single" w:sz="12" w:space="0" w:color="auto"/>
              <w:bottom w:val="single" w:sz="8" w:space="0" w:color="auto"/>
            </w:tcBorders>
            <w:shd w:val="clear" w:color="auto" w:fill="BFBFBF"/>
            <w:vAlign w:val="center"/>
          </w:tcPr>
          <w:p w14:paraId="00087D95"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Usilovat o zlepšení stavu místních a účelových komunikací</w:t>
            </w:r>
          </w:p>
        </w:tc>
      </w:tr>
      <w:tr w:rsidR="00B86EC0" w:rsidRPr="00B86EC0" w14:paraId="308BCFC1" w14:textId="77777777" w:rsidTr="00B86EC0">
        <w:trPr>
          <w:trHeight w:val="350"/>
        </w:trPr>
        <w:tc>
          <w:tcPr>
            <w:tcW w:w="1809" w:type="dxa"/>
            <w:vMerge/>
            <w:shd w:val="clear" w:color="auto" w:fill="BFBFBF"/>
            <w:vAlign w:val="center"/>
          </w:tcPr>
          <w:p w14:paraId="36A2DA04" w14:textId="77777777" w:rsidR="00B86EC0" w:rsidRPr="00B86EC0" w:rsidRDefault="00B86EC0" w:rsidP="00B86EC0">
            <w:pPr>
              <w:jc w:val="center"/>
              <w:rPr>
                <w:rFonts w:ascii="Calibri" w:eastAsia="Calibri" w:hAnsi="Calibri" w:cs="Times New Roman"/>
                <w:b/>
                <w:sz w:val="20"/>
                <w:szCs w:val="20"/>
              </w:rPr>
            </w:pPr>
          </w:p>
        </w:tc>
        <w:tc>
          <w:tcPr>
            <w:tcW w:w="4839" w:type="dxa"/>
            <w:vMerge/>
            <w:shd w:val="clear" w:color="auto" w:fill="BFBFBF"/>
            <w:vAlign w:val="center"/>
          </w:tcPr>
          <w:p w14:paraId="2092921D" w14:textId="77777777" w:rsidR="00B86EC0" w:rsidRPr="00B86EC0" w:rsidRDefault="00B86EC0" w:rsidP="00B86EC0">
            <w:pPr>
              <w:spacing w:before="60" w:after="60"/>
              <w:rPr>
                <w:rFonts w:ascii="Calibri" w:eastAsia="Calibri" w:hAnsi="Calibri" w:cs="Times New Roman"/>
                <w:bCs/>
                <w:sz w:val="20"/>
                <w:szCs w:val="20"/>
              </w:rPr>
            </w:pPr>
          </w:p>
        </w:tc>
        <w:tc>
          <w:tcPr>
            <w:tcW w:w="6237" w:type="dxa"/>
            <w:tcBorders>
              <w:top w:val="single" w:sz="8" w:space="0" w:color="auto"/>
            </w:tcBorders>
            <w:shd w:val="clear" w:color="auto" w:fill="BFBFBF"/>
            <w:vAlign w:val="center"/>
          </w:tcPr>
          <w:p w14:paraId="31FC2107"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Usilovat o realizaci dalších aktivit souvisejících s dopravní infrastrukturou pro motorová vozidla</w:t>
            </w:r>
          </w:p>
        </w:tc>
      </w:tr>
      <w:tr w:rsidR="00B86EC0" w:rsidRPr="00B86EC0" w14:paraId="0FABD4FA" w14:textId="77777777" w:rsidTr="00B86EC0">
        <w:trPr>
          <w:trHeight w:val="125"/>
        </w:trPr>
        <w:tc>
          <w:tcPr>
            <w:tcW w:w="1809" w:type="dxa"/>
            <w:vMerge/>
            <w:shd w:val="clear" w:color="auto" w:fill="BFBFBF"/>
            <w:vAlign w:val="center"/>
          </w:tcPr>
          <w:p w14:paraId="7EADDA27" w14:textId="77777777" w:rsidR="00B86EC0" w:rsidRPr="00B86EC0" w:rsidRDefault="00B86EC0" w:rsidP="00B86EC0">
            <w:pPr>
              <w:jc w:val="center"/>
              <w:rPr>
                <w:rFonts w:ascii="Calibri" w:eastAsia="Calibri" w:hAnsi="Calibri" w:cs="Times New Roman"/>
                <w:b/>
                <w:sz w:val="20"/>
                <w:szCs w:val="20"/>
              </w:rPr>
            </w:pPr>
          </w:p>
        </w:tc>
        <w:tc>
          <w:tcPr>
            <w:tcW w:w="4839" w:type="dxa"/>
            <w:vMerge w:val="restart"/>
            <w:shd w:val="clear" w:color="auto" w:fill="BFBFBF"/>
            <w:vAlign w:val="center"/>
          </w:tcPr>
          <w:p w14:paraId="6E970F76"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 xml:space="preserve">Podporovat rozvoj technické </w:t>
            </w:r>
            <w:r w:rsidRPr="00B86EC0">
              <w:rPr>
                <w:rFonts w:ascii="Calibri" w:eastAsia="Calibri" w:hAnsi="Calibri" w:cs="Times New Roman"/>
                <w:bCs/>
                <w:sz w:val="20"/>
                <w:szCs w:val="20"/>
              </w:rPr>
              <w:br/>
              <w:t>a bezpečnostní infrastruktury</w:t>
            </w:r>
          </w:p>
        </w:tc>
        <w:tc>
          <w:tcPr>
            <w:tcW w:w="6237" w:type="dxa"/>
            <w:tcBorders>
              <w:top w:val="single" w:sz="4" w:space="0" w:color="auto"/>
            </w:tcBorders>
            <w:shd w:val="clear" w:color="auto" w:fill="BFBFBF"/>
            <w:vAlign w:val="center"/>
          </w:tcPr>
          <w:p w14:paraId="34392777"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Posílit bezpečnost související s dopravou</w:t>
            </w:r>
          </w:p>
        </w:tc>
      </w:tr>
      <w:tr w:rsidR="00B86EC0" w:rsidRPr="00B86EC0" w14:paraId="48E5604D" w14:textId="77777777" w:rsidTr="00B86EC0">
        <w:trPr>
          <w:trHeight w:val="160"/>
        </w:trPr>
        <w:tc>
          <w:tcPr>
            <w:tcW w:w="1809" w:type="dxa"/>
            <w:vMerge/>
            <w:shd w:val="clear" w:color="auto" w:fill="BFBFBF"/>
            <w:vAlign w:val="center"/>
          </w:tcPr>
          <w:p w14:paraId="4E163F01" w14:textId="77777777" w:rsidR="00B86EC0" w:rsidRPr="00B86EC0" w:rsidRDefault="00B86EC0" w:rsidP="00B86EC0">
            <w:pPr>
              <w:jc w:val="center"/>
              <w:rPr>
                <w:rFonts w:ascii="Calibri" w:eastAsia="Calibri" w:hAnsi="Calibri" w:cs="Times New Roman"/>
                <w:b/>
                <w:sz w:val="20"/>
                <w:szCs w:val="20"/>
              </w:rPr>
            </w:pPr>
          </w:p>
        </w:tc>
        <w:tc>
          <w:tcPr>
            <w:tcW w:w="4839" w:type="dxa"/>
            <w:vMerge/>
            <w:shd w:val="clear" w:color="auto" w:fill="BFBFBF"/>
            <w:vAlign w:val="center"/>
          </w:tcPr>
          <w:p w14:paraId="467BEE71" w14:textId="77777777" w:rsidR="00B86EC0" w:rsidRPr="00B86EC0" w:rsidRDefault="00B86EC0" w:rsidP="00B86EC0">
            <w:pPr>
              <w:spacing w:before="60" w:after="60"/>
              <w:rPr>
                <w:rFonts w:ascii="Calibri" w:eastAsia="Calibri" w:hAnsi="Calibri" w:cs="Times New Roman"/>
                <w:bCs/>
                <w:sz w:val="20"/>
                <w:szCs w:val="20"/>
              </w:rPr>
            </w:pPr>
          </w:p>
        </w:tc>
        <w:tc>
          <w:tcPr>
            <w:tcW w:w="6237" w:type="dxa"/>
            <w:tcBorders>
              <w:top w:val="single" w:sz="4" w:space="0" w:color="auto"/>
            </w:tcBorders>
            <w:shd w:val="clear" w:color="auto" w:fill="BFBFBF"/>
            <w:vAlign w:val="center"/>
          </w:tcPr>
          <w:p w14:paraId="1B77402B"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Rozšířit a posilovat sítě technické infrastruktury</w:t>
            </w:r>
          </w:p>
        </w:tc>
      </w:tr>
      <w:tr w:rsidR="00B86EC0" w:rsidRPr="00B86EC0" w14:paraId="4EB30F7E" w14:textId="77777777" w:rsidTr="00B86EC0">
        <w:trPr>
          <w:trHeight w:val="125"/>
        </w:trPr>
        <w:tc>
          <w:tcPr>
            <w:tcW w:w="1809" w:type="dxa"/>
            <w:vMerge/>
            <w:shd w:val="clear" w:color="auto" w:fill="BFBFBF"/>
            <w:vAlign w:val="center"/>
          </w:tcPr>
          <w:p w14:paraId="22AC4A08" w14:textId="77777777" w:rsidR="00B86EC0" w:rsidRPr="00B86EC0" w:rsidRDefault="00B86EC0" w:rsidP="00B86EC0">
            <w:pPr>
              <w:jc w:val="center"/>
              <w:rPr>
                <w:rFonts w:ascii="Calibri" w:eastAsia="Calibri" w:hAnsi="Calibri" w:cs="Times New Roman"/>
                <w:b/>
                <w:sz w:val="20"/>
                <w:szCs w:val="20"/>
              </w:rPr>
            </w:pPr>
          </w:p>
        </w:tc>
        <w:tc>
          <w:tcPr>
            <w:tcW w:w="4839" w:type="dxa"/>
            <w:vMerge w:val="restart"/>
            <w:shd w:val="clear" w:color="auto" w:fill="BFBFBF"/>
            <w:vAlign w:val="center"/>
          </w:tcPr>
          <w:p w14:paraId="46A0E980"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Zlepšit stav budov a vytipovaných ploch ve vlastnictví obce či majících charakter veřejné infrastruktury</w:t>
            </w:r>
          </w:p>
        </w:tc>
        <w:tc>
          <w:tcPr>
            <w:tcW w:w="6237" w:type="dxa"/>
            <w:tcBorders>
              <w:top w:val="single" w:sz="4" w:space="0" w:color="auto"/>
            </w:tcBorders>
            <w:shd w:val="clear" w:color="auto" w:fill="BFBFBF"/>
            <w:vAlign w:val="center"/>
          </w:tcPr>
          <w:p w14:paraId="262AB01D"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Zkvalitnit stav budov ve vlastnictví obce</w:t>
            </w:r>
          </w:p>
        </w:tc>
      </w:tr>
      <w:tr w:rsidR="00B86EC0" w:rsidRPr="00B86EC0" w14:paraId="6913FE15" w14:textId="77777777" w:rsidTr="00B86EC0">
        <w:trPr>
          <w:trHeight w:val="206"/>
        </w:trPr>
        <w:tc>
          <w:tcPr>
            <w:tcW w:w="1809" w:type="dxa"/>
            <w:vMerge/>
            <w:tcBorders>
              <w:bottom w:val="single" w:sz="12" w:space="0" w:color="auto"/>
            </w:tcBorders>
            <w:shd w:val="clear" w:color="auto" w:fill="BFBFBF"/>
            <w:vAlign w:val="center"/>
          </w:tcPr>
          <w:p w14:paraId="46662F23" w14:textId="77777777" w:rsidR="00B86EC0" w:rsidRPr="00B86EC0" w:rsidRDefault="00B86EC0" w:rsidP="00B86EC0">
            <w:pPr>
              <w:jc w:val="center"/>
              <w:rPr>
                <w:rFonts w:ascii="Calibri" w:eastAsia="Calibri" w:hAnsi="Calibri" w:cs="Times New Roman"/>
                <w:b/>
                <w:sz w:val="20"/>
                <w:szCs w:val="20"/>
              </w:rPr>
            </w:pPr>
          </w:p>
        </w:tc>
        <w:tc>
          <w:tcPr>
            <w:tcW w:w="4839" w:type="dxa"/>
            <w:vMerge/>
            <w:tcBorders>
              <w:bottom w:val="single" w:sz="12" w:space="0" w:color="auto"/>
            </w:tcBorders>
            <w:shd w:val="clear" w:color="auto" w:fill="BFBFBF"/>
            <w:vAlign w:val="center"/>
          </w:tcPr>
          <w:p w14:paraId="592B2DCD" w14:textId="77777777" w:rsidR="00B86EC0" w:rsidRPr="00B86EC0" w:rsidRDefault="00B86EC0" w:rsidP="00B86EC0">
            <w:pPr>
              <w:spacing w:before="60" w:after="60"/>
              <w:rPr>
                <w:rFonts w:ascii="Calibri" w:eastAsia="Calibri" w:hAnsi="Calibri" w:cs="Times New Roman"/>
                <w:bCs/>
                <w:sz w:val="20"/>
                <w:szCs w:val="20"/>
              </w:rPr>
            </w:pPr>
          </w:p>
        </w:tc>
        <w:tc>
          <w:tcPr>
            <w:tcW w:w="6237" w:type="dxa"/>
            <w:tcBorders>
              <w:top w:val="single" w:sz="4" w:space="0" w:color="auto"/>
              <w:bottom w:val="single" w:sz="12" w:space="0" w:color="auto"/>
            </w:tcBorders>
            <w:shd w:val="clear" w:color="auto" w:fill="BFBFBF"/>
            <w:vAlign w:val="center"/>
          </w:tcPr>
          <w:p w14:paraId="6888F460"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 xml:space="preserve">Usilovat o zlepšení stavu staveb a ploch majících charakter </w:t>
            </w:r>
            <w:r w:rsidRPr="00B86EC0">
              <w:rPr>
                <w:rFonts w:ascii="Calibri" w:eastAsia="Calibri" w:hAnsi="Calibri" w:cs="Times New Roman"/>
                <w:bCs/>
                <w:sz w:val="20"/>
                <w:szCs w:val="20"/>
              </w:rPr>
              <w:br/>
              <w:t>veřejné infrastruktury</w:t>
            </w:r>
          </w:p>
        </w:tc>
      </w:tr>
      <w:tr w:rsidR="00B86EC0" w:rsidRPr="00B86EC0" w14:paraId="29A22DC0" w14:textId="77777777" w:rsidTr="00B86EC0">
        <w:trPr>
          <w:trHeight w:val="94"/>
        </w:trPr>
        <w:tc>
          <w:tcPr>
            <w:tcW w:w="1809" w:type="dxa"/>
            <w:vMerge w:val="restart"/>
            <w:tcBorders>
              <w:top w:val="single" w:sz="12" w:space="0" w:color="auto"/>
              <w:bottom w:val="single" w:sz="4" w:space="0" w:color="auto"/>
            </w:tcBorders>
            <w:shd w:val="clear" w:color="auto" w:fill="BDD6EE"/>
            <w:vAlign w:val="center"/>
          </w:tcPr>
          <w:p w14:paraId="3F076B75" w14:textId="77777777" w:rsidR="00B86EC0" w:rsidRPr="00B86EC0" w:rsidRDefault="00B86EC0" w:rsidP="00B86EC0">
            <w:pPr>
              <w:jc w:val="center"/>
              <w:rPr>
                <w:rFonts w:ascii="Calibri" w:eastAsia="Calibri" w:hAnsi="Calibri" w:cs="Times New Roman"/>
                <w:b/>
                <w:sz w:val="20"/>
                <w:szCs w:val="20"/>
              </w:rPr>
            </w:pPr>
            <w:r w:rsidRPr="00B86EC0">
              <w:rPr>
                <w:rFonts w:ascii="Calibri" w:eastAsia="Calibri" w:hAnsi="Calibri" w:cs="Times New Roman"/>
                <w:b/>
                <w:sz w:val="20"/>
                <w:szCs w:val="20"/>
              </w:rPr>
              <w:t>VYBAVENOST A PROSTŘEDÍ OBCE</w:t>
            </w:r>
          </w:p>
        </w:tc>
        <w:tc>
          <w:tcPr>
            <w:tcW w:w="4839" w:type="dxa"/>
            <w:vMerge w:val="restart"/>
            <w:tcBorders>
              <w:top w:val="single" w:sz="12" w:space="0" w:color="auto"/>
              <w:bottom w:val="single" w:sz="4" w:space="0" w:color="auto"/>
            </w:tcBorders>
            <w:shd w:val="clear" w:color="auto" w:fill="BDD6EE"/>
            <w:vAlign w:val="center"/>
          </w:tcPr>
          <w:p w14:paraId="1AB23CB3"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Vytvořit a rozvíjet přirozené centrum obce</w:t>
            </w:r>
          </w:p>
        </w:tc>
        <w:tc>
          <w:tcPr>
            <w:tcW w:w="6237" w:type="dxa"/>
            <w:tcBorders>
              <w:top w:val="single" w:sz="12" w:space="0" w:color="auto"/>
              <w:bottom w:val="single" w:sz="4" w:space="0" w:color="auto"/>
            </w:tcBorders>
            <w:shd w:val="clear" w:color="auto" w:fill="BDD6EE"/>
            <w:vAlign w:val="center"/>
          </w:tcPr>
          <w:p w14:paraId="42CF66A9"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Využít potenciálu budovy zámečku</w:t>
            </w:r>
          </w:p>
        </w:tc>
      </w:tr>
      <w:tr w:rsidR="00B86EC0" w:rsidRPr="00B86EC0" w14:paraId="60046043" w14:textId="77777777" w:rsidTr="00B86EC0">
        <w:trPr>
          <w:trHeight w:val="68"/>
        </w:trPr>
        <w:tc>
          <w:tcPr>
            <w:tcW w:w="1809" w:type="dxa"/>
            <w:vMerge/>
            <w:tcBorders>
              <w:top w:val="single" w:sz="4" w:space="0" w:color="auto"/>
              <w:bottom w:val="single" w:sz="4" w:space="0" w:color="auto"/>
            </w:tcBorders>
            <w:shd w:val="clear" w:color="auto" w:fill="BDD6EE"/>
            <w:vAlign w:val="center"/>
          </w:tcPr>
          <w:p w14:paraId="4DC1D5BF" w14:textId="77777777" w:rsidR="00B86EC0" w:rsidRPr="00B86EC0" w:rsidRDefault="00B86EC0" w:rsidP="00B86EC0">
            <w:pPr>
              <w:jc w:val="center"/>
              <w:rPr>
                <w:rFonts w:ascii="Calibri" w:eastAsia="Calibri" w:hAnsi="Calibri" w:cs="Times New Roman"/>
                <w:b/>
                <w:sz w:val="20"/>
                <w:szCs w:val="20"/>
              </w:rPr>
            </w:pPr>
          </w:p>
        </w:tc>
        <w:tc>
          <w:tcPr>
            <w:tcW w:w="4839" w:type="dxa"/>
            <w:vMerge/>
            <w:tcBorders>
              <w:top w:val="single" w:sz="4" w:space="0" w:color="auto"/>
              <w:bottom w:val="single" w:sz="4" w:space="0" w:color="auto"/>
            </w:tcBorders>
            <w:shd w:val="clear" w:color="auto" w:fill="BDD6EE"/>
            <w:vAlign w:val="center"/>
          </w:tcPr>
          <w:p w14:paraId="2031E6AB" w14:textId="77777777" w:rsidR="00B86EC0" w:rsidRPr="00B86EC0" w:rsidRDefault="00B86EC0" w:rsidP="00B86EC0">
            <w:pPr>
              <w:spacing w:before="60" w:after="60"/>
              <w:rPr>
                <w:rFonts w:ascii="Calibri" w:eastAsia="Calibri" w:hAnsi="Calibri" w:cs="Times New Roman"/>
                <w:bCs/>
                <w:sz w:val="20"/>
                <w:szCs w:val="20"/>
              </w:rPr>
            </w:pPr>
          </w:p>
        </w:tc>
        <w:tc>
          <w:tcPr>
            <w:tcW w:w="6237" w:type="dxa"/>
            <w:tcBorders>
              <w:top w:val="single" w:sz="4" w:space="0" w:color="auto"/>
              <w:bottom w:val="single" w:sz="4" w:space="0" w:color="auto"/>
            </w:tcBorders>
            <w:shd w:val="clear" w:color="auto" w:fill="BDD6EE"/>
            <w:vAlign w:val="center"/>
          </w:tcPr>
          <w:p w14:paraId="356ADF46"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Revitalizovat okolí budovy zámečku</w:t>
            </w:r>
          </w:p>
        </w:tc>
      </w:tr>
      <w:tr w:rsidR="00B86EC0" w:rsidRPr="00B86EC0" w14:paraId="3997118D" w14:textId="77777777" w:rsidTr="00B86EC0">
        <w:trPr>
          <w:trHeight w:val="260"/>
        </w:trPr>
        <w:tc>
          <w:tcPr>
            <w:tcW w:w="1809" w:type="dxa"/>
            <w:vMerge/>
            <w:tcBorders>
              <w:top w:val="single" w:sz="4" w:space="0" w:color="auto"/>
              <w:bottom w:val="single" w:sz="4" w:space="0" w:color="auto"/>
            </w:tcBorders>
            <w:shd w:val="clear" w:color="auto" w:fill="BDD6EE"/>
            <w:vAlign w:val="center"/>
          </w:tcPr>
          <w:p w14:paraId="22EDD065" w14:textId="77777777" w:rsidR="00B86EC0" w:rsidRPr="00B86EC0" w:rsidRDefault="00B86EC0" w:rsidP="00B86EC0">
            <w:pPr>
              <w:jc w:val="center"/>
              <w:rPr>
                <w:rFonts w:ascii="Calibri" w:eastAsia="Calibri" w:hAnsi="Calibri" w:cs="Times New Roman"/>
                <w:b/>
                <w:sz w:val="20"/>
                <w:szCs w:val="20"/>
              </w:rPr>
            </w:pPr>
          </w:p>
        </w:tc>
        <w:tc>
          <w:tcPr>
            <w:tcW w:w="4839" w:type="dxa"/>
            <w:vMerge w:val="restart"/>
            <w:tcBorders>
              <w:top w:val="single" w:sz="4" w:space="0" w:color="auto"/>
              <w:bottom w:val="single" w:sz="4" w:space="0" w:color="auto"/>
            </w:tcBorders>
            <w:shd w:val="clear" w:color="auto" w:fill="BDD6EE"/>
            <w:vAlign w:val="center"/>
          </w:tcPr>
          <w:p w14:paraId="1860754E"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 xml:space="preserve">Zlepšovat prostředí obce prostřednictvím </w:t>
            </w:r>
            <w:r w:rsidRPr="00B86EC0">
              <w:rPr>
                <w:rFonts w:ascii="Calibri" w:eastAsia="Calibri" w:hAnsi="Calibri" w:cs="Times New Roman"/>
                <w:bCs/>
                <w:sz w:val="20"/>
                <w:szCs w:val="20"/>
              </w:rPr>
              <w:br/>
              <w:t>činností majících pozitivní vliv na něj</w:t>
            </w:r>
          </w:p>
        </w:tc>
        <w:tc>
          <w:tcPr>
            <w:tcW w:w="6237" w:type="dxa"/>
            <w:tcBorders>
              <w:top w:val="single" w:sz="4" w:space="0" w:color="auto"/>
              <w:bottom w:val="single" w:sz="4" w:space="0" w:color="auto"/>
            </w:tcBorders>
            <w:shd w:val="clear" w:color="auto" w:fill="BDD6EE"/>
            <w:vAlign w:val="center"/>
          </w:tcPr>
          <w:p w14:paraId="4780F72B"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Zdokonalovat systém odpadového hospodářství</w:t>
            </w:r>
          </w:p>
        </w:tc>
      </w:tr>
      <w:tr w:rsidR="00B86EC0" w:rsidRPr="00B86EC0" w14:paraId="56F97197" w14:textId="77777777" w:rsidTr="00B86EC0">
        <w:trPr>
          <w:trHeight w:val="260"/>
        </w:trPr>
        <w:tc>
          <w:tcPr>
            <w:tcW w:w="1809" w:type="dxa"/>
            <w:vMerge/>
            <w:tcBorders>
              <w:top w:val="single" w:sz="4" w:space="0" w:color="auto"/>
              <w:bottom w:val="single" w:sz="4" w:space="0" w:color="auto"/>
            </w:tcBorders>
            <w:shd w:val="clear" w:color="auto" w:fill="BDD6EE"/>
            <w:vAlign w:val="center"/>
          </w:tcPr>
          <w:p w14:paraId="73891B65" w14:textId="77777777" w:rsidR="00B86EC0" w:rsidRPr="00B86EC0" w:rsidRDefault="00B86EC0" w:rsidP="00B86EC0">
            <w:pPr>
              <w:jc w:val="center"/>
              <w:rPr>
                <w:rFonts w:ascii="Calibri" w:eastAsia="Calibri" w:hAnsi="Calibri" w:cs="Times New Roman"/>
                <w:b/>
                <w:sz w:val="20"/>
                <w:szCs w:val="20"/>
              </w:rPr>
            </w:pPr>
          </w:p>
        </w:tc>
        <w:tc>
          <w:tcPr>
            <w:tcW w:w="4839" w:type="dxa"/>
            <w:vMerge/>
            <w:tcBorders>
              <w:top w:val="single" w:sz="4" w:space="0" w:color="auto"/>
              <w:bottom w:val="single" w:sz="4" w:space="0" w:color="auto"/>
            </w:tcBorders>
            <w:shd w:val="clear" w:color="auto" w:fill="BDD6EE"/>
            <w:vAlign w:val="center"/>
          </w:tcPr>
          <w:p w14:paraId="6DECF557" w14:textId="77777777" w:rsidR="00B86EC0" w:rsidRPr="00B86EC0" w:rsidRDefault="00B86EC0" w:rsidP="00B86EC0">
            <w:pPr>
              <w:spacing w:before="60" w:after="60"/>
              <w:rPr>
                <w:rFonts w:ascii="Calibri" w:eastAsia="Calibri" w:hAnsi="Calibri" w:cs="Times New Roman"/>
                <w:bCs/>
                <w:sz w:val="20"/>
                <w:szCs w:val="20"/>
              </w:rPr>
            </w:pPr>
          </w:p>
        </w:tc>
        <w:tc>
          <w:tcPr>
            <w:tcW w:w="6237" w:type="dxa"/>
            <w:tcBorders>
              <w:top w:val="single" w:sz="4" w:space="0" w:color="auto"/>
              <w:bottom w:val="single" w:sz="4" w:space="0" w:color="auto"/>
            </w:tcBorders>
            <w:shd w:val="clear" w:color="auto" w:fill="BDD6EE"/>
            <w:vAlign w:val="center"/>
          </w:tcPr>
          <w:p w14:paraId="368CE9FD"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Usilovat o realizaci dalších aktivit vedoucích ke zlepšení prostředí obce</w:t>
            </w:r>
          </w:p>
        </w:tc>
      </w:tr>
      <w:tr w:rsidR="00B86EC0" w:rsidRPr="00B86EC0" w14:paraId="013B5925" w14:textId="77777777" w:rsidTr="00B86EC0">
        <w:trPr>
          <w:trHeight w:val="260"/>
        </w:trPr>
        <w:tc>
          <w:tcPr>
            <w:tcW w:w="1809" w:type="dxa"/>
            <w:vMerge/>
            <w:tcBorders>
              <w:top w:val="single" w:sz="4" w:space="0" w:color="auto"/>
              <w:bottom w:val="single" w:sz="4" w:space="0" w:color="auto"/>
            </w:tcBorders>
            <w:shd w:val="clear" w:color="auto" w:fill="BDD6EE"/>
            <w:vAlign w:val="center"/>
          </w:tcPr>
          <w:p w14:paraId="3A879029" w14:textId="77777777" w:rsidR="00B86EC0" w:rsidRPr="00B86EC0" w:rsidRDefault="00B86EC0" w:rsidP="00B86EC0">
            <w:pPr>
              <w:jc w:val="center"/>
              <w:rPr>
                <w:rFonts w:ascii="Calibri" w:eastAsia="Calibri" w:hAnsi="Calibri" w:cs="Times New Roman"/>
                <w:b/>
                <w:sz w:val="20"/>
                <w:szCs w:val="20"/>
              </w:rPr>
            </w:pPr>
          </w:p>
        </w:tc>
        <w:tc>
          <w:tcPr>
            <w:tcW w:w="4839" w:type="dxa"/>
            <w:vMerge w:val="restart"/>
            <w:tcBorders>
              <w:top w:val="single" w:sz="4" w:space="0" w:color="auto"/>
              <w:bottom w:val="single" w:sz="4" w:space="0" w:color="auto"/>
            </w:tcBorders>
            <w:shd w:val="clear" w:color="auto" w:fill="BDD6EE"/>
            <w:vAlign w:val="center"/>
          </w:tcPr>
          <w:p w14:paraId="7DB25AB8"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 xml:space="preserve">Usilovat o zlepšení vybavenosti obce </w:t>
            </w:r>
            <w:r w:rsidRPr="00B86EC0">
              <w:rPr>
                <w:rFonts w:ascii="Calibri" w:eastAsia="Calibri" w:hAnsi="Calibri" w:cs="Times New Roman"/>
                <w:bCs/>
                <w:sz w:val="20"/>
                <w:szCs w:val="20"/>
              </w:rPr>
              <w:br/>
              <w:t>a dostupných služeb v obci</w:t>
            </w:r>
          </w:p>
        </w:tc>
        <w:tc>
          <w:tcPr>
            <w:tcW w:w="6237" w:type="dxa"/>
            <w:tcBorders>
              <w:top w:val="single" w:sz="4" w:space="0" w:color="auto"/>
              <w:bottom w:val="single" w:sz="4" w:space="0" w:color="auto"/>
            </w:tcBorders>
            <w:shd w:val="clear" w:color="auto" w:fill="BDD6EE"/>
            <w:vAlign w:val="center"/>
          </w:tcPr>
          <w:p w14:paraId="3E4F3F47"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Snažit se o zvýšení počtu dostupných služeb v obci</w:t>
            </w:r>
          </w:p>
        </w:tc>
      </w:tr>
      <w:tr w:rsidR="00B86EC0" w:rsidRPr="00B86EC0" w14:paraId="05D30C46" w14:textId="77777777" w:rsidTr="00B86EC0">
        <w:trPr>
          <w:trHeight w:val="260"/>
        </w:trPr>
        <w:tc>
          <w:tcPr>
            <w:tcW w:w="1809" w:type="dxa"/>
            <w:vMerge/>
            <w:tcBorders>
              <w:top w:val="single" w:sz="4" w:space="0" w:color="auto"/>
              <w:bottom w:val="single" w:sz="12" w:space="0" w:color="auto"/>
            </w:tcBorders>
            <w:shd w:val="clear" w:color="auto" w:fill="BDD6EE"/>
            <w:vAlign w:val="center"/>
          </w:tcPr>
          <w:p w14:paraId="5CD78574" w14:textId="77777777" w:rsidR="00B86EC0" w:rsidRPr="00B86EC0" w:rsidRDefault="00B86EC0" w:rsidP="00B86EC0">
            <w:pPr>
              <w:jc w:val="center"/>
              <w:rPr>
                <w:rFonts w:ascii="Calibri" w:eastAsia="Calibri" w:hAnsi="Calibri" w:cs="Times New Roman"/>
                <w:b/>
                <w:sz w:val="20"/>
                <w:szCs w:val="20"/>
              </w:rPr>
            </w:pPr>
          </w:p>
        </w:tc>
        <w:tc>
          <w:tcPr>
            <w:tcW w:w="4839" w:type="dxa"/>
            <w:vMerge/>
            <w:tcBorders>
              <w:top w:val="single" w:sz="4" w:space="0" w:color="auto"/>
              <w:bottom w:val="single" w:sz="12" w:space="0" w:color="auto"/>
            </w:tcBorders>
            <w:shd w:val="clear" w:color="auto" w:fill="BDD6EE"/>
            <w:vAlign w:val="center"/>
          </w:tcPr>
          <w:p w14:paraId="5327A901" w14:textId="77777777" w:rsidR="00B86EC0" w:rsidRPr="00B86EC0" w:rsidRDefault="00B86EC0" w:rsidP="00B86EC0">
            <w:pPr>
              <w:spacing w:before="60" w:after="60"/>
              <w:rPr>
                <w:rFonts w:ascii="Calibri" w:eastAsia="Calibri" w:hAnsi="Calibri" w:cs="Times New Roman"/>
                <w:bCs/>
                <w:sz w:val="20"/>
                <w:szCs w:val="20"/>
              </w:rPr>
            </w:pPr>
          </w:p>
        </w:tc>
        <w:tc>
          <w:tcPr>
            <w:tcW w:w="6237" w:type="dxa"/>
            <w:tcBorders>
              <w:top w:val="single" w:sz="4" w:space="0" w:color="auto"/>
              <w:bottom w:val="single" w:sz="12" w:space="0" w:color="auto"/>
            </w:tcBorders>
            <w:shd w:val="clear" w:color="auto" w:fill="BDD6EE"/>
            <w:vAlign w:val="center"/>
          </w:tcPr>
          <w:p w14:paraId="338B65F4"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Realizovat další aktivity související se službami a vybaveností obce</w:t>
            </w:r>
          </w:p>
        </w:tc>
      </w:tr>
      <w:tr w:rsidR="00B86EC0" w:rsidRPr="00B86EC0" w14:paraId="45117336" w14:textId="77777777" w:rsidTr="00B86EC0">
        <w:trPr>
          <w:trHeight w:val="38"/>
        </w:trPr>
        <w:tc>
          <w:tcPr>
            <w:tcW w:w="1809" w:type="dxa"/>
            <w:vMerge w:val="restart"/>
            <w:tcBorders>
              <w:top w:val="single" w:sz="12" w:space="0" w:color="auto"/>
            </w:tcBorders>
            <w:shd w:val="clear" w:color="auto" w:fill="FFD966"/>
            <w:vAlign w:val="center"/>
          </w:tcPr>
          <w:p w14:paraId="0C8A899D" w14:textId="77777777" w:rsidR="00B86EC0" w:rsidRPr="00B86EC0" w:rsidRDefault="00B86EC0" w:rsidP="00B86EC0">
            <w:pPr>
              <w:jc w:val="center"/>
              <w:rPr>
                <w:rFonts w:ascii="Calibri" w:eastAsia="Calibri" w:hAnsi="Calibri" w:cs="Times New Roman"/>
                <w:b/>
                <w:sz w:val="20"/>
                <w:szCs w:val="20"/>
              </w:rPr>
            </w:pPr>
            <w:r w:rsidRPr="00B86EC0">
              <w:rPr>
                <w:rFonts w:ascii="Calibri" w:eastAsia="Calibri" w:hAnsi="Calibri" w:cs="Times New Roman"/>
                <w:b/>
                <w:sz w:val="20"/>
                <w:szCs w:val="20"/>
              </w:rPr>
              <w:t>VOLNÝ ČAS</w:t>
            </w:r>
          </w:p>
        </w:tc>
        <w:tc>
          <w:tcPr>
            <w:tcW w:w="4839" w:type="dxa"/>
            <w:vMerge w:val="restart"/>
            <w:tcBorders>
              <w:top w:val="single" w:sz="12" w:space="0" w:color="auto"/>
            </w:tcBorders>
            <w:shd w:val="clear" w:color="auto" w:fill="FFD966"/>
            <w:vAlign w:val="center"/>
          </w:tcPr>
          <w:p w14:paraId="39CDF7A5"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 xml:space="preserve">Zvýšit nabídku možností souvisejících </w:t>
            </w:r>
            <w:r w:rsidRPr="00B86EC0">
              <w:rPr>
                <w:rFonts w:ascii="Calibri" w:eastAsia="Calibri" w:hAnsi="Calibri" w:cs="Times New Roman"/>
                <w:bCs/>
                <w:sz w:val="20"/>
                <w:szCs w:val="20"/>
              </w:rPr>
              <w:br/>
              <w:t>s trávením volného času</w:t>
            </w:r>
          </w:p>
        </w:tc>
        <w:tc>
          <w:tcPr>
            <w:tcW w:w="6237" w:type="dxa"/>
            <w:tcBorders>
              <w:top w:val="single" w:sz="12" w:space="0" w:color="auto"/>
            </w:tcBorders>
            <w:shd w:val="clear" w:color="auto" w:fill="FFD966"/>
            <w:vAlign w:val="center"/>
          </w:tcPr>
          <w:p w14:paraId="2DA243D8"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Zvýšit variabilitu kulturně-společenského vyžití v obci</w:t>
            </w:r>
          </w:p>
        </w:tc>
      </w:tr>
      <w:tr w:rsidR="00B86EC0" w:rsidRPr="00B86EC0" w14:paraId="58179BE5" w14:textId="77777777" w:rsidTr="00B86EC0">
        <w:tc>
          <w:tcPr>
            <w:tcW w:w="1809" w:type="dxa"/>
            <w:vMerge/>
            <w:shd w:val="clear" w:color="auto" w:fill="FFD966"/>
            <w:vAlign w:val="center"/>
          </w:tcPr>
          <w:p w14:paraId="497DABDE" w14:textId="77777777" w:rsidR="00B86EC0" w:rsidRPr="00B86EC0" w:rsidRDefault="00B86EC0" w:rsidP="00B86EC0">
            <w:pPr>
              <w:jc w:val="center"/>
              <w:rPr>
                <w:rFonts w:ascii="Calibri" w:eastAsia="Calibri" w:hAnsi="Calibri" w:cs="Times New Roman"/>
                <w:b/>
                <w:sz w:val="20"/>
                <w:szCs w:val="20"/>
              </w:rPr>
            </w:pPr>
          </w:p>
        </w:tc>
        <w:tc>
          <w:tcPr>
            <w:tcW w:w="4839" w:type="dxa"/>
            <w:vMerge/>
            <w:shd w:val="clear" w:color="auto" w:fill="FFD966"/>
            <w:vAlign w:val="center"/>
          </w:tcPr>
          <w:p w14:paraId="753747E6" w14:textId="77777777" w:rsidR="00B86EC0" w:rsidRPr="00B86EC0" w:rsidRDefault="00B86EC0" w:rsidP="00B86EC0">
            <w:pPr>
              <w:spacing w:before="60" w:after="60"/>
              <w:rPr>
                <w:rFonts w:ascii="Calibri" w:eastAsia="Calibri" w:hAnsi="Calibri" w:cs="Times New Roman"/>
                <w:bCs/>
                <w:sz w:val="20"/>
                <w:szCs w:val="20"/>
              </w:rPr>
            </w:pPr>
          </w:p>
        </w:tc>
        <w:tc>
          <w:tcPr>
            <w:tcW w:w="6237" w:type="dxa"/>
            <w:tcBorders>
              <w:top w:val="single" w:sz="4" w:space="0" w:color="auto"/>
            </w:tcBorders>
            <w:shd w:val="clear" w:color="auto" w:fill="FFD966"/>
            <w:vAlign w:val="center"/>
          </w:tcPr>
          <w:p w14:paraId="64CE441B"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Zvyšovat variabilitu dostupné volnočasové infrastruktury</w:t>
            </w:r>
          </w:p>
        </w:tc>
      </w:tr>
      <w:tr w:rsidR="00B86EC0" w:rsidRPr="00B86EC0" w14:paraId="6903C64A" w14:textId="77777777" w:rsidTr="00B86EC0">
        <w:trPr>
          <w:trHeight w:val="354"/>
        </w:trPr>
        <w:tc>
          <w:tcPr>
            <w:tcW w:w="1809" w:type="dxa"/>
            <w:vMerge/>
            <w:shd w:val="clear" w:color="auto" w:fill="FFD966"/>
            <w:vAlign w:val="center"/>
          </w:tcPr>
          <w:p w14:paraId="1CC48319" w14:textId="77777777" w:rsidR="00B86EC0" w:rsidRPr="00B86EC0" w:rsidRDefault="00B86EC0" w:rsidP="00B86EC0">
            <w:pPr>
              <w:jc w:val="center"/>
              <w:rPr>
                <w:rFonts w:ascii="Calibri" w:eastAsia="Calibri" w:hAnsi="Calibri" w:cs="Times New Roman"/>
                <w:b/>
                <w:sz w:val="20"/>
                <w:szCs w:val="20"/>
              </w:rPr>
            </w:pPr>
          </w:p>
        </w:tc>
        <w:tc>
          <w:tcPr>
            <w:tcW w:w="4839" w:type="dxa"/>
            <w:vMerge w:val="restart"/>
            <w:shd w:val="clear" w:color="auto" w:fill="FFD966"/>
            <w:vAlign w:val="center"/>
          </w:tcPr>
          <w:p w14:paraId="39E626EE"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Rozvíjet komunitní život v obci formou podpory aktivního trávení volného času a zapojení do dění v obci</w:t>
            </w:r>
          </w:p>
        </w:tc>
        <w:tc>
          <w:tcPr>
            <w:tcW w:w="6237" w:type="dxa"/>
            <w:shd w:val="clear" w:color="auto" w:fill="FFD966"/>
            <w:vAlign w:val="center"/>
          </w:tcPr>
          <w:p w14:paraId="4D7051ED"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Usilovat o posílení sepjetí a soudržnosti místních obyvatel</w:t>
            </w:r>
          </w:p>
        </w:tc>
      </w:tr>
      <w:tr w:rsidR="00B86EC0" w:rsidRPr="00B86EC0" w14:paraId="1E1F63E9" w14:textId="77777777" w:rsidTr="00B86EC0">
        <w:tc>
          <w:tcPr>
            <w:tcW w:w="1809" w:type="dxa"/>
            <w:vMerge/>
            <w:tcBorders>
              <w:bottom w:val="single" w:sz="12" w:space="0" w:color="auto"/>
            </w:tcBorders>
            <w:shd w:val="clear" w:color="auto" w:fill="FFD966"/>
            <w:vAlign w:val="center"/>
          </w:tcPr>
          <w:p w14:paraId="50DAF2E0" w14:textId="77777777" w:rsidR="00B86EC0" w:rsidRPr="00B86EC0" w:rsidRDefault="00B86EC0" w:rsidP="00B86EC0">
            <w:pPr>
              <w:jc w:val="center"/>
              <w:rPr>
                <w:rFonts w:ascii="Calibri" w:eastAsia="Calibri" w:hAnsi="Calibri" w:cs="Times New Roman"/>
                <w:b/>
                <w:sz w:val="20"/>
                <w:szCs w:val="20"/>
              </w:rPr>
            </w:pPr>
          </w:p>
        </w:tc>
        <w:tc>
          <w:tcPr>
            <w:tcW w:w="4839" w:type="dxa"/>
            <w:vMerge/>
            <w:tcBorders>
              <w:bottom w:val="single" w:sz="12" w:space="0" w:color="auto"/>
            </w:tcBorders>
            <w:shd w:val="clear" w:color="auto" w:fill="FFD966"/>
            <w:vAlign w:val="center"/>
          </w:tcPr>
          <w:p w14:paraId="7AA46E16" w14:textId="77777777" w:rsidR="00B86EC0" w:rsidRPr="00B86EC0" w:rsidRDefault="00B86EC0" w:rsidP="00B86EC0">
            <w:pPr>
              <w:spacing w:before="60" w:after="60"/>
              <w:rPr>
                <w:rFonts w:ascii="Calibri" w:eastAsia="Calibri" w:hAnsi="Calibri" w:cs="Times New Roman"/>
                <w:bCs/>
                <w:sz w:val="20"/>
                <w:szCs w:val="20"/>
              </w:rPr>
            </w:pPr>
          </w:p>
        </w:tc>
        <w:tc>
          <w:tcPr>
            <w:tcW w:w="6237" w:type="dxa"/>
            <w:tcBorders>
              <w:bottom w:val="single" w:sz="12" w:space="0" w:color="auto"/>
            </w:tcBorders>
            <w:shd w:val="clear" w:color="auto" w:fill="FFD966"/>
            <w:vAlign w:val="center"/>
          </w:tcPr>
          <w:p w14:paraId="112045B8" w14:textId="77777777" w:rsidR="00B86EC0" w:rsidRPr="00B86EC0" w:rsidRDefault="00B86EC0" w:rsidP="00B86EC0">
            <w:pPr>
              <w:spacing w:before="60" w:after="60"/>
              <w:rPr>
                <w:rFonts w:ascii="Calibri" w:eastAsia="Calibri" w:hAnsi="Calibri" w:cs="Times New Roman"/>
                <w:bCs/>
                <w:sz w:val="20"/>
                <w:szCs w:val="20"/>
              </w:rPr>
            </w:pPr>
            <w:r w:rsidRPr="00B86EC0">
              <w:rPr>
                <w:rFonts w:ascii="Calibri" w:eastAsia="Calibri" w:hAnsi="Calibri" w:cs="Times New Roman"/>
                <w:bCs/>
                <w:sz w:val="20"/>
                <w:szCs w:val="20"/>
              </w:rPr>
              <w:t>Podporovat a usilovat o zvýšení zapojení obyvatel do dění v obci</w:t>
            </w:r>
          </w:p>
        </w:tc>
      </w:tr>
    </w:tbl>
    <w:p w14:paraId="3548A0BC" w14:textId="77777777" w:rsidR="00B86EC0" w:rsidRPr="00B86EC0" w:rsidRDefault="00B86EC0" w:rsidP="00B86EC0">
      <w:pPr>
        <w:spacing w:after="160" w:line="259" w:lineRule="auto"/>
        <w:rPr>
          <w:rFonts w:ascii="Calibri" w:eastAsia="Calibri" w:hAnsi="Calibri" w:cs="Times New Roman"/>
        </w:rPr>
      </w:pPr>
    </w:p>
    <w:p w14:paraId="3E4B23E3" w14:textId="77777777" w:rsidR="00B86EC0" w:rsidRPr="00B86EC0" w:rsidRDefault="00B86EC0" w:rsidP="00B86EC0">
      <w:pPr>
        <w:spacing w:after="160" w:line="259" w:lineRule="auto"/>
        <w:rPr>
          <w:rFonts w:ascii="Calibri" w:eastAsia="Calibri" w:hAnsi="Calibri" w:cs="Times New Roman"/>
        </w:rPr>
      </w:pPr>
    </w:p>
    <w:p w14:paraId="63ACA244" w14:textId="77777777" w:rsidR="00B86EC0" w:rsidRPr="00B86EC0" w:rsidRDefault="00B86EC0" w:rsidP="00B86EC0">
      <w:pPr>
        <w:spacing w:after="160" w:line="259" w:lineRule="auto"/>
        <w:rPr>
          <w:rFonts w:ascii="Calibri" w:eastAsia="Calibri" w:hAnsi="Calibri" w:cs="Times New Roman"/>
        </w:rPr>
        <w:sectPr w:rsidR="00B86EC0" w:rsidRPr="00B86EC0" w:rsidSect="00E73739">
          <w:footerReference w:type="default" r:id="rId135"/>
          <w:pgSz w:w="16838" w:h="11906" w:orient="landscape"/>
          <w:pgMar w:top="1417" w:right="1417" w:bottom="1417" w:left="1417" w:header="708" w:footer="708" w:gutter="0"/>
          <w:cols w:space="708"/>
          <w:docGrid w:linePitch="360"/>
        </w:sectPr>
      </w:pPr>
    </w:p>
    <w:p w14:paraId="70D9ECA2" w14:textId="77777777" w:rsidR="00B86EC0" w:rsidRPr="00B86EC0" w:rsidRDefault="00B86EC0" w:rsidP="00B86EC0">
      <w:pPr>
        <w:spacing w:after="160" w:line="259" w:lineRule="auto"/>
        <w:outlineLvl w:val="2"/>
        <w:rPr>
          <w:rFonts w:ascii="Calibri" w:eastAsia="Calibri" w:hAnsi="Calibri" w:cs="Times New Roman"/>
          <w:b/>
          <w:bCs/>
          <w:sz w:val="28"/>
          <w:szCs w:val="28"/>
        </w:rPr>
      </w:pPr>
      <w:bookmarkStart w:id="565" w:name="_Toc70434850"/>
      <w:bookmarkStart w:id="566" w:name="_Toc100693378"/>
      <w:bookmarkStart w:id="567" w:name="_Toc120652172"/>
      <w:r w:rsidRPr="00B86EC0">
        <w:rPr>
          <w:rStyle w:val="Nadpis3Char"/>
        </w:rPr>
        <w:lastRenderedPageBreak/>
        <w:t xml:space="preserve">3.2.1 Klíčová oblast rozvoje </w:t>
      </w:r>
      <w:bookmarkEnd w:id="565"/>
      <w:r w:rsidRPr="00B86EC0">
        <w:rPr>
          <w:rStyle w:val="Nadpis3Char"/>
        </w:rPr>
        <w:t>INFRASTRUKTURA</w:t>
      </w:r>
      <w:bookmarkEnd w:id="566"/>
      <w:bookmarkEnd w:id="567"/>
      <w:r w:rsidRPr="00B86EC0">
        <w:rPr>
          <w:rFonts w:ascii="Calibri" w:eastAsia="Calibri" w:hAnsi="Calibri" w:cs="Times New Roman"/>
          <w:b/>
          <w:bCs/>
          <w:noProof/>
          <w:sz w:val="28"/>
          <w:szCs w:val="28"/>
          <w:lang w:eastAsia="cs-CZ"/>
        </w:rPr>
        <w:drawing>
          <wp:inline distT="0" distB="0" distL="0" distR="0" wp14:anchorId="13BD1B82" wp14:editId="58D50C16">
            <wp:extent cx="8938260" cy="5280660"/>
            <wp:effectExtent l="0" t="0" r="0" b="34290"/>
            <wp:docPr id="4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14:paraId="7357EC33" w14:textId="77777777" w:rsidR="00B86EC0" w:rsidRPr="00B86EC0" w:rsidRDefault="00B86EC0" w:rsidP="00B86EC0">
      <w:pPr>
        <w:spacing w:after="160" w:line="259" w:lineRule="auto"/>
        <w:rPr>
          <w:rFonts w:ascii="Calibri" w:eastAsia="Calibri" w:hAnsi="Calibri" w:cs="Times New Roman"/>
        </w:rPr>
        <w:sectPr w:rsidR="00B86EC0" w:rsidRPr="00B86EC0" w:rsidSect="002329F5">
          <w:footerReference w:type="default" r:id="rId141"/>
          <w:pgSz w:w="16838" w:h="11906" w:orient="landscape"/>
          <w:pgMar w:top="1417" w:right="1417" w:bottom="1417" w:left="1417" w:header="708" w:footer="708" w:gutter="0"/>
          <w:cols w:space="708"/>
          <w:docGrid w:linePitch="360"/>
        </w:sectPr>
      </w:pPr>
    </w:p>
    <w:p w14:paraId="0F0D495B" w14:textId="77777777" w:rsidR="00B86EC0" w:rsidRPr="00B86EC0" w:rsidRDefault="00B86EC0" w:rsidP="00B86EC0">
      <w:pPr>
        <w:spacing w:after="160" w:line="259" w:lineRule="auto"/>
        <w:rPr>
          <w:rFonts w:ascii="Calibri" w:eastAsia="Calibri" w:hAnsi="Calibri" w:cs="Times New Roman"/>
          <w:b/>
          <w:bCs/>
          <w:sz w:val="24"/>
          <w:szCs w:val="24"/>
        </w:rPr>
      </w:pPr>
      <w:r w:rsidRPr="00B86EC0">
        <w:rPr>
          <w:rFonts w:ascii="Calibri" w:eastAsia="Calibri" w:hAnsi="Calibri" w:cs="Times New Roman"/>
          <w:b/>
          <w:bCs/>
          <w:sz w:val="24"/>
          <w:szCs w:val="24"/>
          <w:shd w:val="clear" w:color="auto" w:fill="BFBFBF"/>
        </w:rPr>
        <w:lastRenderedPageBreak/>
        <w:t>Cíl 1.1: Postupně zlepšovat stav dopravní infrastruktury</w:t>
      </w:r>
    </w:p>
    <w:p w14:paraId="0BC3E009"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Strategický cíl je zaměřen na celkové postupné zkvalitňování stavu dopravní infrastruktury, prvků a součástí s ní souvisejících. Jedná se o dopravní infrastrukturu sloužící především pro potřeby motorových vozidel.</w:t>
      </w:r>
    </w:p>
    <w:p w14:paraId="747660AE" w14:textId="77777777" w:rsidR="00B86EC0" w:rsidRPr="00B86EC0" w:rsidRDefault="00B86EC0" w:rsidP="00B86EC0">
      <w:pPr>
        <w:spacing w:after="160" w:line="259" w:lineRule="auto"/>
        <w:rPr>
          <w:rFonts w:ascii="Calibri" w:eastAsia="Calibri" w:hAnsi="Calibri" w:cs="Times New Roman"/>
        </w:rPr>
      </w:pPr>
    </w:p>
    <w:p w14:paraId="7C67E1E0"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t>Opatření 1.1.1: Usilovat o zlepšení stavu místních a účelových komunikací</w:t>
      </w:r>
    </w:p>
    <w:p w14:paraId="38515985"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Smyslem tohoto opatření je celkové zlepšení kvality různorodých místních a účelových komunikací, které jsou v nevyhovujícím stavu.</w:t>
      </w:r>
    </w:p>
    <w:p w14:paraId="23E402A2" w14:textId="77777777" w:rsidR="00B86EC0" w:rsidRPr="00B86EC0" w:rsidRDefault="00B86EC0" w:rsidP="00B86EC0">
      <w:pPr>
        <w:spacing w:after="160" w:line="259" w:lineRule="auto"/>
        <w:rPr>
          <w:rFonts w:ascii="Calibri" w:eastAsia="Calibri" w:hAnsi="Calibri" w:cs="Times New Roman"/>
        </w:rPr>
      </w:pPr>
    </w:p>
    <w:p w14:paraId="7D45C6FB"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Rekonstruovat komunikaci propojující Staré Buky a Nový Rokytník</w:t>
      </w:r>
    </w:p>
    <w:p w14:paraId="78EF8BFB"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 dotazníkovém šetření bylo řadou respondentů zmíněno, že stav komunikace zajišťující propojení Starých Buků s Novým Rokytníkem (obrázek 15) je nevyhovující a bylo by dobré provést její rekonstrukci. Realizace aktivity tak spočívá v zajištění rekonstrukce této komunikace. V nedávné době byla komunikace zpevněna asfaltovou emulzí a štěrkovou drtí, čímž se její stav zlepšil. V budoucnu však bude zapotřebí provést větší opravy.</w:t>
      </w:r>
    </w:p>
    <w:p w14:paraId="18DA25AE" w14:textId="77777777" w:rsidR="00B86EC0" w:rsidRPr="00B86EC0" w:rsidRDefault="00B86EC0" w:rsidP="00B86EC0">
      <w:pPr>
        <w:spacing w:after="160" w:line="259" w:lineRule="auto"/>
        <w:jc w:val="both"/>
        <w:rPr>
          <w:rFonts w:ascii="Calibri" w:eastAsia="Calibri" w:hAnsi="Calibri" w:cs="Times New Roman"/>
        </w:rPr>
      </w:pPr>
    </w:p>
    <w:p w14:paraId="03E443AE" w14:textId="77777777" w:rsidR="00B86EC0" w:rsidRPr="00B86EC0" w:rsidRDefault="00B86EC0" w:rsidP="00B86EC0">
      <w:pPr>
        <w:pStyle w:val="OBRZEK0"/>
      </w:pPr>
      <w:bookmarkStart w:id="568" w:name="_Toc120652034"/>
      <w:r w:rsidRPr="00B86EC0">
        <w:t>Obrázek 15: Komunikace propojující Staré Buky a Nový Rokytník – stav k červenci 2022</w:t>
      </w:r>
      <w:bookmarkEnd w:id="568"/>
    </w:p>
    <w:p w14:paraId="670517EA" w14:textId="77777777" w:rsidR="00B86EC0" w:rsidRPr="00B86EC0" w:rsidRDefault="00B86EC0" w:rsidP="00B86EC0">
      <w:pPr>
        <w:spacing w:line="259" w:lineRule="auto"/>
        <w:jc w:val="center"/>
        <w:rPr>
          <w:rFonts w:ascii="Calibri" w:eastAsia="Calibri" w:hAnsi="Calibri" w:cs="Times New Roman"/>
        </w:rPr>
      </w:pPr>
      <w:r w:rsidRPr="00B86EC0">
        <w:rPr>
          <w:rFonts w:ascii="Calibri" w:eastAsia="Calibri" w:hAnsi="Calibri" w:cs="Times New Roman"/>
          <w:noProof/>
        </w:rPr>
        <w:drawing>
          <wp:inline distT="0" distB="0" distL="0" distR="0" wp14:anchorId="003D9B3C" wp14:editId="56790E35">
            <wp:extent cx="2987040" cy="3374908"/>
            <wp:effectExtent l="0" t="0" r="381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003655" cy="3393681"/>
                    </a:xfrm>
                    <a:prstGeom prst="rect">
                      <a:avLst/>
                    </a:prstGeom>
                  </pic:spPr>
                </pic:pic>
              </a:graphicData>
            </a:graphic>
          </wp:inline>
        </w:drawing>
      </w:r>
    </w:p>
    <w:p w14:paraId="49736491"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b/>
          <w:bCs/>
          <w:sz w:val="20"/>
          <w:szCs w:val="20"/>
        </w:rPr>
        <w:t>Zdroj:</w:t>
      </w:r>
      <w:r w:rsidRPr="00B86EC0">
        <w:rPr>
          <w:rFonts w:ascii="Calibri" w:eastAsia="Calibri" w:hAnsi="Calibri" w:cs="Times New Roman"/>
          <w:sz w:val="20"/>
          <w:szCs w:val="20"/>
        </w:rPr>
        <w:t xml:space="preserve"> vlastní průzkum</w:t>
      </w:r>
    </w:p>
    <w:p w14:paraId="6AE5F27A" w14:textId="77777777" w:rsidR="00B86EC0" w:rsidRPr="00B86EC0" w:rsidRDefault="00B86EC0" w:rsidP="00B86EC0">
      <w:pPr>
        <w:spacing w:after="160" w:line="259" w:lineRule="auto"/>
        <w:jc w:val="both"/>
        <w:rPr>
          <w:rFonts w:ascii="Calibri" w:eastAsia="Calibri" w:hAnsi="Calibri" w:cs="Times New Roman"/>
        </w:rPr>
      </w:pPr>
    </w:p>
    <w:p w14:paraId="1294306D"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Vzhledem k faktu, že parcely, na kterých se komunikace rozprostírá, jsou ve vlastnictví množství různorodých fyzických i právnických osob, bude nejprve nezbytná dohoda s těmito vlastníky nad způsobem a rozsahem rekonstrukce této komunikace.</w:t>
      </w:r>
    </w:p>
    <w:p w14:paraId="5A12940C"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lastRenderedPageBreak/>
        <w:t>Řešit stav příjezdové komunikace do lokality Dolníky</w:t>
      </w:r>
    </w:p>
    <w:p w14:paraId="15C67105"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Na veřejném projednávání bylo konstatováno, že stav příjezdové komunikace do lokality Dolníky není optimální a bylo dobré jej řešit. V tomto ohledu bude důležitá spolupráce s městem Trutnov, neboť město převážnou část této komunikace vlastní. </w:t>
      </w:r>
    </w:p>
    <w:p w14:paraId="78EA8C6D" w14:textId="77777777" w:rsidR="00B86EC0" w:rsidRPr="00B86EC0" w:rsidRDefault="00B86EC0" w:rsidP="00B86EC0">
      <w:pPr>
        <w:spacing w:after="160" w:line="259" w:lineRule="auto"/>
        <w:rPr>
          <w:rFonts w:ascii="Calibri" w:eastAsia="Calibri" w:hAnsi="Calibri" w:cs="Times New Roman"/>
        </w:rPr>
      </w:pPr>
    </w:p>
    <w:p w14:paraId="591A39F7"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Usilovat o úpravu komunikace v okolí autobusové zastávky „Staré Buky, Horní Staré Buky, točna“</w:t>
      </w:r>
    </w:p>
    <w:p w14:paraId="5E2EA90C"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 dotazníkovém šetření bylo uvedeno, že by si zasloužila úpravu komunikace v okolí autobusové zastávky „Staré Buky, Horní Staré Buky, točna“ (obrázek 16). V těchto místech se nachází tzv. točna autobusů a uvnitř této točny je autobusová zastávka a travnatá plocha. Realizace aktivity spočívá v úpravě této komunikace včetně prostranství uvnitř ní.</w:t>
      </w:r>
    </w:p>
    <w:p w14:paraId="3F1815EA"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Vzhledem k faktu, že ani tato komunikace není celá ve vlastnictví obce, bude důležitá dohoda s dalšími vlastníky, především se Státním pozemkovým úřadem.</w:t>
      </w:r>
    </w:p>
    <w:p w14:paraId="1A0D82B5" w14:textId="77777777" w:rsidR="00B86EC0" w:rsidRPr="00B86EC0" w:rsidRDefault="00B86EC0" w:rsidP="00B86EC0">
      <w:pPr>
        <w:spacing w:after="160" w:line="259" w:lineRule="auto"/>
        <w:jc w:val="both"/>
        <w:rPr>
          <w:rFonts w:ascii="Calibri" w:eastAsia="Calibri" w:hAnsi="Calibri" w:cs="Times New Roman"/>
        </w:rPr>
      </w:pPr>
    </w:p>
    <w:p w14:paraId="135C2549" w14:textId="77777777" w:rsidR="00B86EC0" w:rsidRPr="00B86EC0" w:rsidRDefault="00B86EC0" w:rsidP="00B86EC0">
      <w:pPr>
        <w:pStyle w:val="OBRZEK0"/>
      </w:pPr>
      <w:bookmarkStart w:id="569" w:name="_Toc100690828"/>
      <w:bookmarkStart w:id="570" w:name="_Toc120652035"/>
      <w:r w:rsidRPr="00B86EC0">
        <w:t xml:space="preserve">Obrázek 16: Komunikace v okolí autobusové zastávky „Staré Buky, Horní Staré Buky, točna“ – stav </w:t>
      </w:r>
      <w:bookmarkEnd w:id="569"/>
      <w:r w:rsidRPr="00B86EC0">
        <w:t>k červenci 2022</w:t>
      </w:r>
      <w:bookmarkEnd w:id="570"/>
    </w:p>
    <w:p w14:paraId="510F1897" w14:textId="77777777" w:rsidR="00B86EC0" w:rsidRPr="00B86EC0" w:rsidRDefault="00B86EC0" w:rsidP="00B86EC0">
      <w:pPr>
        <w:spacing w:line="259" w:lineRule="auto"/>
        <w:jc w:val="center"/>
        <w:rPr>
          <w:rFonts w:ascii="Calibri" w:eastAsia="Calibri" w:hAnsi="Calibri" w:cs="Times New Roman"/>
        </w:rPr>
      </w:pPr>
      <w:r w:rsidRPr="00B86EC0">
        <w:rPr>
          <w:rFonts w:ascii="Calibri" w:eastAsia="Calibri" w:hAnsi="Calibri" w:cs="Times New Roman"/>
          <w:noProof/>
        </w:rPr>
        <w:drawing>
          <wp:inline distT="0" distB="0" distL="0" distR="0" wp14:anchorId="7D22F70C" wp14:editId="416C6FE2">
            <wp:extent cx="5760720" cy="295783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760720" cy="2957830"/>
                    </a:xfrm>
                    <a:prstGeom prst="rect">
                      <a:avLst/>
                    </a:prstGeom>
                  </pic:spPr>
                </pic:pic>
              </a:graphicData>
            </a:graphic>
          </wp:inline>
        </w:drawing>
      </w:r>
    </w:p>
    <w:p w14:paraId="4B2F461A"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b/>
          <w:bCs/>
          <w:sz w:val="20"/>
          <w:szCs w:val="20"/>
        </w:rPr>
        <w:t>Zdroj:</w:t>
      </w:r>
      <w:r w:rsidRPr="00B86EC0">
        <w:rPr>
          <w:rFonts w:ascii="Calibri" w:eastAsia="Calibri" w:hAnsi="Calibri" w:cs="Times New Roman"/>
          <w:sz w:val="20"/>
          <w:szCs w:val="20"/>
        </w:rPr>
        <w:t xml:space="preserve"> vlastní průzkum</w:t>
      </w:r>
    </w:p>
    <w:p w14:paraId="6FA126D7" w14:textId="77777777" w:rsidR="00B86EC0" w:rsidRPr="00B86EC0" w:rsidRDefault="00B86EC0" w:rsidP="00B86EC0">
      <w:pPr>
        <w:spacing w:after="160" w:line="259" w:lineRule="auto"/>
        <w:jc w:val="both"/>
        <w:rPr>
          <w:rFonts w:ascii="Calibri" w:eastAsia="Calibri" w:hAnsi="Calibri" w:cs="Times New Roman"/>
        </w:rPr>
      </w:pPr>
    </w:p>
    <w:p w14:paraId="145BE651"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t>Podle potřeby řešit opravu dalších místních a účelových komunikací</w:t>
      </w:r>
    </w:p>
    <w:p w14:paraId="249F6D98"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Aktivita je zaměřena na rekonstrukci dalších místních a účelových komunikací, jejichž stav je nevyhovující či komunikací, u kterých se v průběhu času platnosti tohoto dokumentu jejich stav zhorší a bude nutné je rekonstruovat. Jako příklad lze uvést např. příjezdovou komunikaci k bytovce s č. p. 85, lokálně opravy komunikace v Horních Starých Bukách, komunikace vedoucí ke kravínu v Dolních Starých Bukách aj.</w:t>
      </w:r>
    </w:p>
    <w:p w14:paraId="133C3497" w14:textId="77777777" w:rsidR="00B86EC0" w:rsidRPr="00B86EC0" w:rsidRDefault="00B86EC0" w:rsidP="00B86EC0">
      <w:pPr>
        <w:spacing w:after="160" w:line="259" w:lineRule="auto"/>
        <w:jc w:val="both"/>
        <w:rPr>
          <w:rFonts w:ascii="Calibri" w:eastAsia="Calibri" w:hAnsi="Calibri" w:cs="Times New Roman"/>
        </w:rPr>
      </w:pPr>
    </w:p>
    <w:p w14:paraId="07BA4C91" w14:textId="77777777" w:rsidR="00B86EC0" w:rsidRPr="00B86EC0" w:rsidRDefault="00B86EC0" w:rsidP="00B86EC0">
      <w:pPr>
        <w:spacing w:after="160"/>
        <w:ind w:left="1531" w:hanging="1531"/>
        <w:jc w:val="both"/>
        <w:rPr>
          <w:rFonts w:ascii="Calibri" w:eastAsia="Calibri" w:hAnsi="Calibri" w:cs="Times New Roman"/>
          <w:b/>
          <w:bCs/>
        </w:rPr>
      </w:pPr>
      <w:r w:rsidRPr="00B86EC0">
        <w:rPr>
          <w:rFonts w:ascii="Calibri" w:eastAsia="Calibri" w:hAnsi="Calibri" w:cs="Times New Roman"/>
          <w:b/>
          <w:bCs/>
        </w:rPr>
        <w:lastRenderedPageBreak/>
        <w:t>Opatření 1.1.2: Usilovat o realizaci dalších aktivit souvisejících s dopravní infrastrukturou pro motorová vozidla</w:t>
      </w:r>
    </w:p>
    <w:p w14:paraId="111803A3"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 rámci tohoto opatření jsou obsaženy aktivity, které souvisí s dopravní infrastrukturou pro motorová vozidla a které respondenti v dotazníkovém šetření, přítomní na veřejném projednávání, členové pracovní skupiny či realizační tým zmínil jako potřebné řešit.</w:t>
      </w:r>
    </w:p>
    <w:p w14:paraId="61503717" w14:textId="77777777" w:rsidR="00B86EC0" w:rsidRPr="00B86EC0" w:rsidRDefault="00B86EC0" w:rsidP="00B86EC0">
      <w:pPr>
        <w:spacing w:after="160" w:line="259" w:lineRule="auto"/>
        <w:rPr>
          <w:rFonts w:ascii="Calibri" w:eastAsia="Calibri" w:hAnsi="Calibri" w:cs="Times New Roman"/>
        </w:rPr>
      </w:pPr>
    </w:p>
    <w:p w14:paraId="5D5E5401"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Usilovat o opravu mostu v Dolních Starých Bukách</w:t>
      </w:r>
    </w:p>
    <w:p w14:paraId="06C9A4BA"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 dotazníkovém šetření bylo zmíněno, že by bylo dobré provést opravu mostu v Dolních Starých Bukách (obrázek 17). Jedná se o most na hlavní příjezdové silnici do obce III/30018, která je ve vlastnictví Královéhradeckého kraje a právo hospodařit s tímto majetkem má Správa silnic Královéhradeckého kraje (dále jen SS KHK). To znamená, že realizace této aktivity se bude odvíjet od dohody obce s touto organizací, tj. v podstatě obec může pouze apelovat na opravu mostu a doufat v co nejbližší uskutečnění.</w:t>
      </w:r>
    </w:p>
    <w:p w14:paraId="00C11870"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Samotný most se nachází již na území města Pilníkov. Vzhledem k faktu, že pro dostupnost obce Staré Buky je nepostradatelný, z toho důvodu je uveden i v tomto dokumentu.</w:t>
      </w:r>
    </w:p>
    <w:p w14:paraId="0AD34241" w14:textId="77777777" w:rsidR="00B86EC0" w:rsidRPr="00B86EC0" w:rsidRDefault="00B86EC0" w:rsidP="00B86EC0">
      <w:pPr>
        <w:spacing w:after="160" w:line="259" w:lineRule="auto"/>
        <w:jc w:val="both"/>
        <w:rPr>
          <w:rFonts w:ascii="Calibri" w:eastAsia="Calibri" w:hAnsi="Calibri" w:cs="Times New Roman"/>
        </w:rPr>
      </w:pPr>
    </w:p>
    <w:p w14:paraId="65A1689E" w14:textId="77777777" w:rsidR="00B86EC0" w:rsidRPr="00B86EC0" w:rsidRDefault="00B86EC0" w:rsidP="00B86EC0">
      <w:pPr>
        <w:pStyle w:val="OBRZEK0"/>
      </w:pPr>
      <w:bookmarkStart w:id="571" w:name="_Toc120652036"/>
      <w:r w:rsidRPr="00B86EC0">
        <w:t>Obrázek 17: Most na hlavní příjezdové silnici do obce III/30018 – stav k červenci 2022</w:t>
      </w:r>
      <w:bookmarkEnd w:id="571"/>
    </w:p>
    <w:p w14:paraId="7C3752CB" w14:textId="77777777" w:rsidR="00B86EC0" w:rsidRPr="00B86EC0" w:rsidRDefault="00B86EC0" w:rsidP="00B86EC0">
      <w:pPr>
        <w:spacing w:line="259" w:lineRule="auto"/>
        <w:jc w:val="center"/>
        <w:rPr>
          <w:rFonts w:ascii="Calibri" w:eastAsia="Calibri" w:hAnsi="Calibri" w:cs="Times New Roman"/>
        </w:rPr>
      </w:pPr>
      <w:r w:rsidRPr="00B86EC0">
        <w:rPr>
          <w:rFonts w:ascii="Calibri" w:eastAsia="Calibri" w:hAnsi="Calibri" w:cs="Times New Roman"/>
          <w:noProof/>
        </w:rPr>
        <w:drawing>
          <wp:inline distT="0" distB="0" distL="0" distR="0" wp14:anchorId="780D19EC" wp14:editId="29A8775C">
            <wp:extent cx="5760720" cy="279019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760720" cy="2790190"/>
                    </a:xfrm>
                    <a:prstGeom prst="rect">
                      <a:avLst/>
                    </a:prstGeom>
                  </pic:spPr>
                </pic:pic>
              </a:graphicData>
            </a:graphic>
          </wp:inline>
        </w:drawing>
      </w:r>
    </w:p>
    <w:p w14:paraId="717032B9"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b/>
          <w:bCs/>
          <w:sz w:val="20"/>
          <w:szCs w:val="20"/>
        </w:rPr>
        <w:t>Zdroj:</w:t>
      </w:r>
      <w:r w:rsidRPr="00B86EC0">
        <w:rPr>
          <w:rFonts w:ascii="Calibri" w:eastAsia="Calibri" w:hAnsi="Calibri" w:cs="Times New Roman"/>
          <w:sz w:val="20"/>
          <w:szCs w:val="20"/>
        </w:rPr>
        <w:t xml:space="preserve"> vlastní průzkum</w:t>
      </w:r>
    </w:p>
    <w:p w14:paraId="7856E282" w14:textId="77777777" w:rsidR="00B86EC0" w:rsidRPr="00B86EC0" w:rsidRDefault="00B86EC0" w:rsidP="00B86EC0">
      <w:pPr>
        <w:spacing w:after="160" w:line="259" w:lineRule="auto"/>
        <w:jc w:val="both"/>
        <w:rPr>
          <w:rFonts w:ascii="Calibri" w:eastAsia="Calibri" w:hAnsi="Calibri" w:cs="Times New Roman"/>
        </w:rPr>
      </w:pPr>
    </w:p>
    <w:p w14:paraId="383C8672"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Usilovat o omezení rychlosti jedoucích vozidel a o zklidnění provozu v lokalitě Dolníky</w:t>
      </w:r>
    </w:p>
    <w:p w14:paraId="04FE8894"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Smyslem této aktivity je docílit omezení rychlosti jedoucích vozidel a obecně docílit zklidnění provozu v lokalitě Dolníky. Konkrétně by toho mělo být docíleno prostřednictvím umístění nového dopravního značení – umístění značky maximální povolená rychlost 30 km/h a umístění značky, že do lokality mohou vjíždět pouze vozidla s hmotností do 3,5 t.</w:t>
      </w:r>
    </w:p>
    <w:p w14:paraId="33CA3BFB" w14:textId="4E505DDB" w:rsid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lastRenderedPageBreak/>
        <w:t>Realizace aktivity spočívá v oslovení a dání podnětu na příslušný odbor městského úřadu ORP Trutnov, zároveň je nutné se záměrem seznámit i dopravní inspektorát a mít vyjádření Policie České republiky.</w:t>
      </w:r>
    </w:p>
    <w:p w14:paraId="7C2D7D76" w14:textId="77777777" w:rsidR="00B86EC0" w:rsidRPr="00B86EC0" w:rsidRDefault="00B86EC0" w:rsidP="00B86EC0">
      <w:pPr>
        <w:spacing w:after="160" w:line="259" w:lineRule="auto"/>
        <w:jc w:val="both"/>
        <w:rPr>
          <w:rFonts w:ascii="Calibri" w:eastAsia="Calibri" w:hAnsi="Calibri" w:cs="Times New Roman"/>
        </w:rPr>
      </w:pPr>
    </w:p>
    <w:p w14:paraId="706BD815"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Zahájit jednání s vlastníky komunikací u tzv. „Holandských domků“</w:t>
      </w:r>
    </w:p>
    <w:p w14:paraId="744D9DE7"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veřejném projednávání bylo konstatováno a některými přítomnými i prioritizováno, aby bylo zahájeno jednání s vlastníky komunikací u tzv. „Holandských domků“ v Dolníkách. Účelem těchto jednání má být diskuze nad možným převodem vlastnictví komunikací do vlastnictví obce a nad vyřešením problému, že dochází k ničení obecní komunikace náplavami štěrku.</w:t>
      </w:r>
    </w:p>
    <w:p w14:paraId="60AFA5EB" w14:textId="77777777" w:rsidR="00B86EC0" w:rsidRPr="00B86EC0" w:rsidRDefault="00B86EC0" w:rsidP="00B86EC0">
      <w:pPr>
        <w:spacing w:after="160" w:line="259" w:lineRule="auto"/>
        <w:jc w:val="both"/>
        <w:rPr>
          <w:rFonts w:ascii="Calibri" w:eastAsia="Calibri" w:hAnsi="Calibri" w:cs="Times New Roman"/>
        </w:rPr>
      </w:pPr>
    </w:p>
    <w:p w14:paraId="4D7D2414" w14:textId="77777777" w:rsidR="00B86EC0" w:rsidRPr="00B86EC0" w:rsidRDefault="00B86EC0" w:rsidP="00B86EC0">
      <w:pPr>
        <w:spacing w:after="160" w:line="259" w:lineRule="auto"/>
        <w:jc w:val="both"/>
        <w:rPr>
          <w:rFonts w:ascii="Calibri" w:eastAsia="Calibri" w:hAnsi="Calibri" w:cs="Times New Roman"/>
          <w:u w:val="single"/>
        </w:rPr>
      </w:pPr>
      <w:r w:rsidRPr="00B86EC0">
        <w:rPr>
          <w:rFonts w:ascii="Calibri" w:eastAsia="Calibri" w:hAnsi="Calibri" w:cs="Times New Roman"/>
          <w:u w:val="single"/>
        </w:rPr>
        <w:t>Řešit přístupovou komunikaci ke Kostelu sv. Anny</w:t>
      </w:r>
    </w:p>
    <w:p w14:paraId="54DDE8D5"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jednání realizačního týmu bylo zmíněno, že v současné době neexistuje žádná optimální přístupová komunikace pro motorová vozidla vedoucí ke Kostelu sv. Anny. Z toho důvodu by bylo dobré její existenci řešit. Konkrétně by se mohla využít komunikace vedoucí v Prostředních Starých Bukách podél budovy s č. p. 42 a následně komunikaci vést přes parcely KN 1184 (k. ú. Dolní Staré Buky), KN 2389 a KN 2390 (oboje v k. ú. Prostřední Staré Buky). Zmíněné parcely jsou ve vlastnictví obce.</w:t>
      </w:r>
    </w:p>
    <w:p w14:paraId="603A1DDA" w14:textId="77777777" w:rsidR="00B86EC0" w:rsidRPr="00B86EC0" w:rsidRDefault="00B86EC0" w:rsidP="00B86EC0">
      <w:pPr>
        <w:spacing w:after="160" w:line="259" w:lineRule="auto"/>
        <w:jc w:val="both"/>
        <w:rPr>
          <w:rFonts w:ascii="Calibri" w:eastAsia="Calibri" w:hAnsi="Calibri" w:cs="Times New Roman"/>
        </w:rPr>
      </w:pPr>
    </w:p>
    <w:p w14:paraId="3098124E"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Usilovat o propojení Dolníků a Prostředních Starých Buků komunikací</w:t>
      </w:r>
    </w:p>
    <w:p w14:paraId="55031992"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Lokalita Dolníky není v současné době propojena s centrem obce Staré Buky žádnou komunikací, která by byla vhodná z pohledu dostupnosti pro motorová vozidla. Na jednání pracovní skupiny bylo zmíněno, že by bylo dobré, kdyby propojení Dolníků a Prostředních Starých Buků komunikací vhodnou i pro motorová vozidla existovalo. Konkrétně byla zmíněna tato varianta: částečně by byla využita komunikace propojující Prostřední Staré Buky a Nový Rokytník a před Ovčárenským vrchem by komunikace vedla přes lokalitu s místně zažitým názvem bývalá Ovčárna do Dolníků. V současné době zde již polní cesta od odbočky před Ovčárenským vrchem přes bývalou Ovčárnu do Dolníků existuje a je ve vlastnictví obce Staré Buky. Je tedy na zvážení, zdali by nestálo za to kvalitu komunikace vylepšit i pro potřeby motorových vozidel, čímž by došlo k lepšímu propojení centra obce s Dolníky.</w:t>
      </w:r>
    </w:p>
    <w:p w14:paraId="72F8CAB5" w14:textId="77777777" w:rsidR="00B86EC0" w:rsidRPr="00B86EC0" w:rsidRDefault="00B86EC0" w:rsidP="00B86EC0">
      <w:pPr>
        <w:spacing w:after="160" w:line="259" w:lineRule="auto"/>
        <w:rPr>
          <w:rFonts w:ascii="Calibri" w:eastAsia="Calibri" w:hAnsi="Calibri" w:cs="Times New Roman"/>
        </w:rPr>
      </w:pPr>
    </w:p>
    <w:p w14:paraId="4D856555" w14:textId="77777777" w:rsidR="00B86EC0" w:rsidRPr="00B86EC0" w:rsidRDefault="00B86EC0" w:rsidP="00B86EC0">
      <w:pPr>
        <w:spacing w:after="160" w:line="259" w:lineRule="auto"/>
        <w:rPr>
          <w:rFonts w:ascii="Calibri" w:eastAsia="Calibri" w:hAnsi="Calibri" w:cs="Times New Roman"/>
          <w:b/>
          <w:bCs/>
          <w:sz w:val="24"/>
          <w:szCs w:val="24"/>
        </w:rPr>
      </w:pPr>
      <w:r w:rsidRPr="00B86EC0">
        <w:rPr>
          <w:rFonts w:ascii="Calibri" w:eastAsia="Calibri" w:hAnsi="Calibri" w:cs="Times New Roman"/>
          <w:b/>
          <w:bCs/>
          <w:sz w:val="24"/>
          <w:szCs w:val="24"/>
          <w:shd w:val="clear" w:color="auto" w:fill="BFBFBF"/>
        </w:rPr>
        <w:t>Cíl 1.2: Podporovat rozvoj technické a bezpečnostní infrastruktury</w:t>
      </w:r>
      <w:r w:rsidRPr="00B86EC0">
        <w:rPr>
          <w:rFonts w:ascii="Calibri" w:eastAsia="Calibri" w:hAnsi="Calibri" w:cs="Times New Roman"/>
          <w:b/>
          <w:bCs/>
          <w:sz w:val="24"/>
          <w:szCs w:val="24"/>
        </w:rPr>
        <w:t xml:space="preserve"> </w:t>
      </w:r>
    </w:p>
    <w:p w14:paraId="118D5728"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Strategický cíl je zaměřen na vybudování či rozšíření vytipovaných sítí technické infrastruktury, které jsou v obci v nedostatečném rozsahu či chybí úplně. Dále je cíl zaměřen i na oblast bezpečnosti, především tu, která úzce souvisí s dopravou.</w:t>
      </w:r>
    </w:p>
    <w:p w14:paraId="765554DF" w14:textId="77777777" w:rsidR="00B86EC0" w:rsidRPr="00B86EC0" w:rsidRDefault="00B86EC0" w:rsidP="00B86EC0">
      <w:pPr>
        <w:spacing w:after="160" w:line="259" w:lineRule="auto"/>
        <w:jc w:val="both"/>
        <w:rPr>
          <w:rFonts w:ascii="Calibri" w:eastAsia="Calibri" w:hAnsi="Calibri" w:cs="Times New Roman"/>
        </w:rPr>
      </w:pPr>
    </w:p>
    <w:p w14:paraId="42A5E9D2"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t>Opatření 1.2.1: Posílit bezpečnost související s dopravou</w:t>
      </w:r>
    </w:p>
    <w:p w14:paraId="7207EC09"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Opatření obsahuje aktivity, jejichž realizací dojde k posílení bezpečnosti pěších osob, cyklistů i motorových vozidel po území obce i v jejím nejbližším okolí. </w:t>
      </w:r>
    </w:p>
    <w:p w14:paraId="34F711CD" w14:textId="77777777" w:rsidR="00B86EC0" w:rsidRPr="00B86EC0" w:rsidRDefault="00B86EC0" w:rsidP="00B86EC0">
      <w:pPr>
        <w:spacing w:after="160" w:line="259" w:lineRule="auto"/>
        <w:rPr>
          <w:rFonts w:ascii="Calibri" w:eastAsia="Calibri" w:hAnsi="Calibri" w:cs="Times New Roman"/>
        </w:rPr>
      </w:pPr>
    </w:p>
    <w:p w14:paraId="0572BB1F"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lastRenderedPageBreak/>
        <w:t>Usilovat o zvýšení množství bezpečnostních prvků v obci</w:t>
      </w:r>
    </w:p>
    <w:p w14:paraId="1D8138FB"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Bezpečnostní prvky napomáhají ke zpomalení dopravy, přispívají k její lepší přehlednosti a v konečném důsledku zvyšují bezpečnost na silnicích a podél nich. Z toho důvodu je doporučeno tyto prvky na území obce posílit.</w:t>
      </w:r>
    </w:p>
    <w:p w14:paraId="0173A8D0"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Z bezpečnostních prvků lze jmenovat např. zpomalovací retardéry. Ty je doporučeno instalovat do frekventovanějších místních komunikací, kde je poměrně značný provoz a zároveň i zvýšený pohyb chodců či cyklistů. </w:t>
      </w:r>
    </w:p>
    <w:p w14:paraId="4D1FECCF"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Dále lze zmínit umístění dopravního značení do lokalit, kde je jejich existence žádoucí a kde ještě v současné době není. Zmínit lze např. značku pozor děti v oblasti nové zástavby či v lokalitách s vyšší frekvencí pohybu osob či umístění dopravních zrcadel do nepřehledných míst.</w:t>
      </w:r>
    </w:p>
    <w:p w14:paraId="5CCC9259"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Umístění bezpečnostních prvků, které se týkají silnice III. třídy, se bude odvíjet od dohody obce s organizací SS KHK. </w:t>
      </w:r>
    </w:p>
    <w:p w14:paraId="2F173AC6"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Všeobecně se umístění nových bezpečnostních prvků bude odvíjet od komunikace s příslušným silničním správním úřadem (v tomto případě Městský úřad Trutnov, odbor správní) a orgánem Policie České republiky.</w:t>
      </w:r>
    </w:p>
    <w:p w14:paraId="29367AA0" w14:textId="77777777" w:rsidR="00B86EC0" w:rsidRPr="00B86EC0" w:rsidRDefault="00B86EC0" w:rsidP="00B86EC0">
      <w:pPr>
        <w:spacing w:after="160" w:line="259" w:lineRule="auto"/>
        <w:jc w:val="both"/>
        <w:rPr>
          <w:rFonts w:ascii="Calibri" w:eastAsia="Calibri" w:hAnsi="Calibri" w:cs="Times New Roman"/>
        </w:rPr>
      </w:pPr>
    </w:p>
    <w:p w14:paraId="2A0B048C"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Vybudovat chodník v žádoucích místech v centru obce</w:t>
      </w:r>
    </w:p>
    <w:p w14:paraId="03BA4016"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Jak je již zmíněno v analytické části, v kap. 2.1.4.1 Dopravní infrastruktura, chodníky se v současné době na území obce prakticky nenacházejí. Absenci chodníků řada respondentů uvedla v dotazníkovém šetření, co se jim na jejich obci nelíbí a zároveň absence chodníku byla zmíněna i jako zápor na veřejném projednávání.</w:t>
      </w:r>
    </w:p>
    <w:p w14:paraId="1B393B93"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Vzhledem k charakteru zástavby obce, která je převážně liniová podél hlavní silnice, není z ekonomického i funkčního hlediska potřeba vybudovat chodník podél celé délky silnice. Žádoucí lokalitou, kde by chodník měl vzniknout, je centrální a nejfrekventovanější část obce. Konkrétně se jedná o úsek od budovy s č. p. 85 po areál nacházející se v okolí zámečku. Na vybudování chodníku v tomto úseku má obec zpracovánu studii proveditelnosti a je žádoucí nechat zpracovat projektovou dokumentaci. Z hlediska rozsahu se jedná o přibližně jeden kilometr délky. Podle potřeby je možné úsek s vybudovaným chodníkem i rozšířit.</w:t>
      </w:r>
    </w:p>
    <w:p w14:paraId="7DAF36FD" w14:textId="77777777" w:rsidR="00B86EC0" w:rsidRPr="00B86EC0" w:rsidRDefault="00B86EC0" w:rsidP="00B86EC0">
      <w:pPr>
        <w:spacing w:after="160" w:line="259" w:lineRule="auto"/>
        <w:jc w:val="both"/>
        <w:rPr>
          <w:rFonts w:ascii="Calibri" w:eastAsia="Calibri" w:hAnsi="Calibri" w:cs="Times New Roman"/>
        </w:rPr>
      </w:pPr>
    </w:p>
    <w:p w14:paraId="45DD77C7"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t>Zpevnit cestu vedoucí ze Starých Buků přes rekreační areál Dolce do Trutnova</w:t>
      </w:r>
      <w:r w:rsidRPr="00B86EC0">
        <w:rPr>
          <w:rFonts w:ascii="Calibri" w:eastAsia="Calibri" w:hAnsi="Calibri" w:cs="Times New Roman"/>
        </w:rPr>
        <w:t xml:space="preserve">  </w:t>
      </w:r>
    </w:p>
    <w:p w14:paraId="5C48EE79"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Staré Buky jsou s Trutnovem spojeny přes rekreační areál Dolce cestou, která je hojně využívána především cyklisty, ale i pěšími turisty. Cesta má ve své celé délce asfaltový povrch vyjma přibližně 500 metrů dlouhého úseku podél vodní nádrže Dolce III, kde je povrch nezpevněný (obrázek 18). Pokud více zaprší, je tento úsek obtížně průjezdný. </w:t>
      </w:r>
    </w:p>
    <w:p w14:paraId="74F18859"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br w:type="page"/>
      </w:r>
    </w:p>
    <w:p w14:paraId="7108A9DA" w14:textId="77777777" w:rsidR="00B86EC0" w:rsidRPr="00B86EC0" w:rsidRDefault="00B86EC0" w:rsidP="00B86EC0">
      <w:pPr>
        <w:pStyle w:val="OBRZEK0"/>
      </w:pPr>
      <w:bookmarkStart w:id="572" w:name="_Toc120652037"/>
      <w:r w:rsidRPr="00B86EC0">
        <w:lastRenderedPageBreak/>
        <w:t>Obrázek 18: Nezpevněný úsek cesty vedoucí ze Starých Buků přes rekreační areál Dolce do Trutnova – stav k červenci 2022</w:t>
      </w:r>
      <w:bookmarkEnd w:id="572"/>
    </w:p>
    <w:p w14:paraId="74690335" w14:textId="77777777" w:rsidR="00B86EC0" w:rsidRPr="00B86EC0" w:rsidRDefault="00B86EC0" w:rsidP="00B86EC0">
      <w:pPr>
        <w:spacing w:line="259" w:lineRule="auto"/>
        <w:jc w:val="center"/>
        <w:rPr>
          <w:rFonts w:ascii="Calibri" w:eastAsia="Calibri" w:hAnsi="Calibri" w:cs="Times New Roman"/>
        </w:rPr>
      </w:pPr>
      <w:r w:rsidRPr="00B86EC0">
        <w:rPr>
          <w:rFonts w:ascii="Calibri" w:eastAsia="Calibri" w:hAnsi="Calibri" w:cs="Times New Roman"/>
          <w:noProof/>
        </w:rPr>
        <w:drawing>
          <wp:inline distT="0" distB="0" distL="0" distR="0" wp14:anchorId="3EF7CB61" wp14:editId="4342229A">
            <wp:extent cx="5760720" cy="3552825"/>
            <wp:effectExtent l="0" t="0" r="0" b="952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760720" cy="3552825"/>
                    </a:xfrm>
                    <a:prstGeom prst="rect">
                      <a:avLst/>
                    </a:prstGeom>
                  </pic:spPr>
                </pic:pic>
              </a:graphicData>
            </a:graphic>
          </wp:inline>
        </w:drawing>
      </w:r>
    </w:p>
    <w:p w14:paraId="7BAD018F"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b/>
          <w:bCs/>
          <w:sz w:val="20"/>
          <w:szCs w:val="20"/>
        </w:rPr>
        <w:t>Zdroj:</w:t>
      </w:r>
      <w:r w:rsidRPr="00B86EC0">
        <w:rPr>
          <w:rFonts w:ascii="Calibri" w:eastAsia="Calibri" w:hAnsi="Calibri" w:cs="Times New Roman"/>
          <w:sz w:val="20"/>
          <w:szCs w:val="20"/>
        </w:rPr>
        <w:t xml:space="preserve"> vlastní průzkum</w:t>
      </w:r>
    </w:p>
    <w:p w14:paraId="3721CE26" w14:textId="77777777" w:rsidR="00B86EC0" w:rsidRPr="00B86EC0" w:rsidRDefault="00B86EC0" w:rsidP="00B86EC0">
      <w:pPr>
        <w:spacing w:after="160" w:line="259" w:lineRule="auto"/>
        <w:jc w:val="both"/>
        <w:rPr>
          <w:rFonts w:ascii="Calibri" w:eastAsia="Calibri" w:hAnsi="Calibri" w:cs="Times New Roman"/>
        </w:rPr>
      </w:pPr>
    </w:p>
    <w:p w14:paraId="26EE63BE"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veřejném projednávání bylo uvedeno a řadou přítomných i prioritizováno, aby byla cesta ve zmíněném úseku zpevněna a mohla by tak v podstatě fungovat jako cyklostezka. Existence cyklostezky ze Starých Buků do Trutnova byla zmiňována i v dotazníkovém šetření.</w:t>
      </w:r>
    </w:p>
    <w:p w14:paraId="227544FF"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Problémem realizace zmíněné aktivity je fakt, že pozemky, přes které cesta s nezpevněným povrchem prochází, jsou v soukromém vlastnictví. Z toho důvodu je nezbytné buď mít souhlas daných vlastníků s realizací akce či pozemky odkoupit do vlastnictví obce.</w:t>
      </w:r>
    </w:p>
    <w:p w14:paraId="07E49D5E" w14:textId="77777777" w:rsidR="00B86EC0" w:rsidRPr="00B86EC0" w:rsidRDefault="00B86EC0" w:rsidP="00B86EC0">
      <w:pPr>
        <w:spacing w:after="160" w:line="259" w:lineRule="auto"/>
        <w:jc w:val="both"/>
        <w:rPr>
          <w:rFonts w:ascii="Calibri" w:eastAsia="Calibri" w:hAnsi="Calibri" w:cs="Times New Roman"/>
        </w:rPr>
      </w:pPr>
    </w:p>
    <w:p w14:paraId="6875D180" w14:textId="77777777" w:rsidR="00B86EC0" w:rsidRPr="00B86EC0" w:rsidRDefault="00B86EC0" w:rsidP="00B86EC0">
      <w:pPr>
        <w:spacing w:after="160" w:line="259" w:lineRule="auto"/>
        <w:jc w:val="both"/>
        <w:rPr>
          <w:rFonts w:ascii="Calibri" w:eastAsia="Calibri" w:hAnsi="Calibri" w:cs="Times New Roman"/>
          <w:u w:val="single"/>
        </w:rPr>
      </w:pPr>
      <w:r w:rsidRPr="00B86EC0">
        <w:rPr>
          <w:rFonts w:ascii="Calibri" w:eastAsia="Calibri" w:hAnsi="Calibri" w:cs="Times New Roman"/>
          <w:u w:val="single"/>
        </w:rPr>
        <w:t>Řešit lepší zpřístupnění pro cyklisty a pěší ve směru na Pilníkov</w:t>
      </w:r>
    </w:p>
    <w:p w14:paraId="0AF2F7BE"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setkání realizačního týmu bylo zmíněno, že by bylo dobré řešit lepší zpřístupnění pro cyklisty a pěší ve směru na Pilníkov. V dřívějších dobách existovalo přímé pěší propojení obou obcí přes současné pozemky polí a lesů. Aktivita spočívá v úvaze toto propojení obnovit, přičemž by bylo využitelné jak pro pěší, tak pro cyklisty a mohlo by tak navázat na propojení Starých Buků s areálem Dolce.</w:t>
      </w:r>
    </w:p>
    <w:p w14:paraId="2616D824"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br w:type="page"/>
      </w:r>
    </w:p>
    <w:p w14:paraId="556EA5AF"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lastRenderedPageBreak/>
        <w:t>Opatření 1.2.2: Rozšířit a posilovat sítě technické infrastruktury</w:t>
      </w:r>
    </w:p>
    <w:p w14:paraId="10D704CB"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Opatření je zaměřeno na sítě technické infrastruktury, které by bylo dobré v obci rozšířit, případně je nově vybudovat.</w:t>
      </w:r>
    </w:p>
    <w:p w14:paraId="23DF8789" w14:textId="77777777" w:rsidR="00B86EC0" w:rsidRPr="00B86EC0" w:rsidRDefault="00B86EC0" w:rsidP="00B86EC0">
      <w:pPr>
        <w:spacing w:after="160" w:line="259" w:lineRule="auto"/>
        <w:jc w:val="both"/>
        <w:rPr>
          <w:rFonts w:ascii="Calibri" w:eastAsia="Calibri" w:hAnsi="Calibri" w:cs="Times New Roman"/>
        </w:rPr>
      </w:pPr>
    </w:p>
    <w:p w14:paraId="515F578E"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t>Řešit tématiku vodovodu a vodovodní sítě</w:t>
      </w:r>
    </w:p>
    <w:p w14:paraId="51AEB2AF" w14:textId="77777777" w:rsidR="00B86EC0" w:rsidRPr="00B86EC0" w:rsidRDefault="00B86EC0" w:rsidP="00B86EC0">
      <w:pPr>
        <w:spacing w:after="160" w:line="259" w:lineRule="auto"/>
        <w:jc w:val="both"/>
        <w:rPr>
          <w:rFonts w:ascii="Calibri" w:eastAsia="RWXLTG+TimesNewRoman" w:hAnsi="Calibri" w:cs="RWXLTG+TimesNewRoman"/>
          <w:bCs/>
        </w:rPr>
      </w:pPr>
      <w:r w:rsidRPr="00B86EC0">
        <w:rPr>
          <w:rFonts w:ascii="Calibri" w:eastAsia="Calibri" w:hAnsi="Calibri" w:cs="Times New Roman"/>
        </w:rPr>
        <w:t xml:space="preserve">Na otázku v dotazníkovém šetření, na co by respondenti přednostně využili obecní finanční prostředky, bylo řadou z nich zmíněno vybudování vodovodu. Jak je již konstatováno v analytické části, v kap. </w:t>
      </w:r>
      <w:bookmarkStart w:id="573" w:name="_Toc104473182"/>
      <w:r w:rsidRPr="00B86EC0">
        <w:rPr>
          <w:rFonts w:ascii="Calibri" w:eastAsia="Calibri" w:hAnsi="Calibri" w:cs="Times New Roman"/>
        </w:rPr>
        <w:t>2.1.4.3 Technická infrastruktura</w:t>
      </w:r>
      <w:bookmarkEnd w:id="573"/>
      <w:r w:rsidRPr="00B86EC0">
        <w:rPr>
          <w:rFonts w:ascii="Calibri" w:eastAsia="Calibri" w:hAnsi="Calibri" w:cs="Times New Roman"/>
        </w:rPr>
        <w:t>, veřejný vodovod je v současné době k dispozici pouze v některých lokalitách (Dolníky, lokalita Bungalov, lokalita u obecního úřadu a areál společnosti Zemědělská a.s. Výšina a část blízké zástavby obce).</w:t>
      </w:r>
      <w:r w:rsidRPr="00B86EC0">
        <w:rPr>
          <w:rFonts w:ascii="Calibri" w:eastAsia="RWXLTG+TimesNewRoman" w:hAnsi="Calibri" w:cs="RWXLTG+TimesNewRoman"/>
          <w:bCs/>
        </w:rPr>
        <w:t xml:space="preserve"> </w:t>
      </w:r>
    </w:p>
    <w:p w14:paraId="3609C415"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RWXLTG+TimesNewRoman" w:hAnsi="Calibri" w:cs="RWXLTG+TimesNewRoman"/>
          <w:bCs/>
        </w:rPr>
        <w:t>V rámci plánu rozvoje vodovodů a kanalizací je navrženo napojení všech místních částí obce (vyjma lokality Dolníky) na vodovod v Pilníkově. Je tedy doporučeno o tomto návrhu do budoucna uvažovat.</w:t>
      </w:r>
    </w:p>
    <w:p w14:paraId="2FB431AC" w14:textId="77777777" w:rsidR="00B86EC0" w:rsidRPr="00B86EC0" w:rsidRDefault="00B86EC0" w:rsidP="00B86EC0">
      <w:pPr>
        <w:spacing w:after="160" w:line="259" w:lineRule="auto"/>
        <w:rPr>
          <w:rFonts w:ascii="Calibri" w:eastAsia="Calibri" w:hAnsi="Calibri" w:cs="Times New Roman"/>
        </w:rPr>
      </w:pPr>
    </w:p>
    <w:p w14:paraId="2EE2575F"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Řešit problematiku kanalizace a kanalizační sítě</w:t>
      </w:r>
    </w:p>
    <w:p w14:paraId="3C3EA0B8"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Obdobně jako vodovod a vodovodní síť byla v dotazníkovém šetření a na veřejném projednávání zmíněna i problematika kanalizace a kanalizační sítě. Tato síť není v obci vybudována vyjma lokality 25 rodinných domů v Prostředních Starých Bukách, kde je k dispozici oddílná splašková kanalizace.</w:t>
      </w:r>
    </w:p>
    <w:p w14:paraId="49A87814" w14:textId="77777777" w:rsidR="00B86EC0" w:rsidRPr="00B86EC0" w:rsidRDefault="00B86EC0" w:rsidP="00B86EC0">
      <w:pPr>
        <w:spacing w:after="160" w:line="259" w:lineRule="auto"/>
        <w:jc w:val="both"/>
        <w:rPr>
          <w:rFonts w:ascii="Calibri" w:eastAsia="RWXLTG+TimesNewRoman" w:hAnsi="Calibri" w:cs="RWXLTG+TimesNewRoman"/>
          <w:bCs/>
        </w:rPr>
      </w:pPr>
      <w:r w:rsidRPr="00B86EC0">
        <w:rPr>
          <w:rFonts w:ascii="Calibri" w:eastAsia="RWXLTG+TimesNewRoman" w:hAnsi="Calibri" w:cs="RWXLTG+TimesNewRoman"/>
          <w:bCs/>
        </w:rPr>
        <w:t>V rámci plánu rozvoje vodovodů a kanalizací je navrženo vybudování oddílné splaškové kanalizace s ČOV pro 600 až 750 ekvivalentních obyvatel v Dolních Starých Bukách s délkou kanalizační sítě cca 1 300 metrů. Obdobně je navrženo vybudování oddílné splaškové kanalizace s délkou kanalizační sítě okolo 2 km i v Prostředních Starých Bukách, přičemž síť by byla napojena na plánovanou ČOV Dolní Staré Buky. V případě Horních Starých Buků je navrženo zachování stávajícího stavu, tj. individuální nakládání se splaškovými odpadními vodami s čištěním na domácích ČOV nebo septicích se zemním filtrem. V lokalitě Dolníky není také kanalizační síť vybudována.</w:t>
      </w:r>
    </w:p>
    <w:p w14:paraId="5F136ACF" w14:textId="77777777" w:rsidR="00B86EC0" w:rsidRPr="00B86EC0" w:rsidRDefault="00B86EC0" w:rsidP="00B86EC0">
      <w:pPr>
        <w:spacing w:after="160" w:line="259" w:lineRule="auto"/>
        <w:jc w:val="both"/>
        <w:rPr>
          <w:rFonts w:ascii="Calibri" w:eastAsia="RWXLTG+TimesNewRoman" w:hAnsi="Calibri" w:cs="RWXLTG+TimesNewRoman"/>
          <w:bCs/>
        </w:rPr>
      </w:pPr>
      <w:r w:rsidRPr="00B86EC0">
        <w:rPr>
          <w:rFonts w:ascii="Calibri" w:eastAsia="RWXLTG+TimesNewRoman" w:hAnsi="Calibri" w:cs="RWXLTG+TimesNewRoman"/>
          <w:bCs/>
        </w:rPr>
        <w:t>Jelikož by vybudování oddílné splaškové kanalizace bylo velmi finančně nákladné, je otázkou, zdali by se kanalizační síť podařila v obci v uvedeném rozsahu vybudovat. V tomto ohledu by bylo nezbytné využít dotační prostředky.</w:t>
      </w:r>
    </w:p>
    <w:p w14:paraId="06F57559"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RWXLTG+TimesNewRoman" w:hAnsi="Calibri" w:cs="RWXLTG+TimesNewRoman"/>
          <w:bCs/>
        </w:rPr>
        <w:t>Pokud by se oddílná splašková kanalizace nedařila v obci ve výše zmíněném rozsahu vybudovat, je doporučeno, aby co nejvíce rodinných domů mělo</w:t>
      </w:r>
      <w:r w:rsidRPr="00B86EC0">
        <w:rPr>
          <w:rFonts w:ascii="Calibri" w:eastAsia="Calibri" w:hAnsi="Calibri" w:cs="Times New Roman"/>
        </w:rPr>
        <w:t xml:space="preserve"> domácí ČOV, případně septik s biofiltrem.</w:t>
      </w:r>
    </w:p>
    <w:p w14:paraId="11A38B43" w14:textId="77777777" w:rsidR="00B86EC0" w:rsidRPr="00B86EC0" w:rsidRDefault="00B86EC0" w:rsidP="00B86EC0">
      <w:pPr>
        <w:spacing w:after="160" w:line="259" w:lineRule="auto"/>
        <w:rPr>
          <w:rFonts w:ascii="Calibri" w:eastAsia="Calibri" w:hAnsi="Calibri" w:cs="Times New Roman"/>
        </w:rPr>
      </w:pPr>
    </w:p>
    <w:p w14:paraId="4A223818"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Vybudovat varovný a vyrozumívací systém</w:t>
      </w:r>
    </w:p>
    <w:p w14:paraId="1DCED7BF"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Varovný a vyrozumívací systém představuje vyjma funkce varovací i významný zdroj informací. Jelikož v obci Staré Buky tento systém vybudován není, je doporučeno jeho vybudování zrealizovat. Obec již na vybudování varovného a vyrozumívacího systému měla zažádáno o dotaci, bohužel však záměr nebyl podpořen. V novém programovém období jsou tyto aktivity opět podporovány, obec zažádala znova a byla úspěšná.</w:t>
      </w:r>
    </w:p>
    <w:p w14:paraId="23378ADD"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Pro některé občany, kteří nebydlí poblíž vývěsních ploch (případně je nečtou) či nemají nebo nepoužívají internet (z dotazníkového šetření vyplynulo, že počet takových osob není zanedbatelný), </w:t>
      </w:r>
      <w:r w:rsidRPr="00B86EC0">
        <w:rPr>
          <w:rFonts w:ascii="Calibri" w:eastAsia="Calibri" w:hAnsi="Calibri" w:cs="Times New Roman"/>
        </w:rPr>
        <w:lastRenderedPageBreak/>
        <w:t>bude tento systém důležitým zdrojem informací. Dále navíc v případě sdělení informací, které jsou akutní a občané by o nich měli vědět co nejdříve, je varovný a vyrozumívací systém ideální volbou.</w:t>
      </w:r>
    </w:p>
    <w:p w14:paraId="24D6F6E9" w14:textId="77777777" w:rsidR="00B86EC0" w:rsidRPr="00B86EC0" w:rsidRDefault="00B86EC0" w:rsidP="00B86EC0">
      <w:pPr>
        <w:spacing w:after="160" w:line="259" w:lineRule="auto"/>
        <w:rPr>
          <w:rFonts w:ascii="Calibri" w:eastAsia="Calibri" w:hAnsi="Calibri" w:cs="Times New Roman"/>
        </w:rPr>
      </w:pPr>
    </w:p>
    <w:p w14:paraId="65CB0C14" w14:textId="77777777" w:rsidR="00B86EC0" w:rsidRPr="00B86EC0" w:rsidRDefault="00B86EC0" w:rsidP="00B86EC0">
      <w:pPr>
        <w:spacing w:after="160"/>
        <w:ind w:left="794" w:hanging="794"/>
        <w:jc w:val="both"/>
        <w:rPr>
          <w:rFonts w:ascii="Calibri" w:eastAsia="Calibri" w:hAnsi="Calibri" w:cs="Times New Roman"/>
          <w:b/>
          <w:bCs/>
          <w:sz w:val="24"/>
          <w:szCs w:val="24"/>
        </w:rPr>
      </w:pPr>
      <w:r w:rsidRPr="00B86EC0">
        <w:rPr>
          <w:rFonts w:ascii="Calibri" w:eastAsia="Calibri" w:hAnsi="Calibri" w:cs="Times New Roman"/>
          <w:b/>
          <w:bCs/>
          <w:sz w:val="24"/>
          <w:szCs w:val="24"/>
          <w:shd w:val="clear" w:color="auto" w:fill="BFBFBF"/>
        </w:rPr>
        <w:t>Cíl 1.3: Zlepšit stav budov a vytipovaných ploch ve vlastnictví obce či majících charakter veřejné infrastruktury</w:t>
      </w:r>
    </w:p>
    <w:p w14:paraId="399B4763"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jednání pracovní skupiny i v dotazníkovém šetření bylo konstatováno, že v obci je řada nemovitostí ve špatném technickém stavu. Strategický cíl je zaměřen na postupné zlepšování stavu těchto nemovitostí. Jedná se o nemovitosti, které jsou převážně ve vlastnictví obce. Některé nemovitosti jsou v soukromém vlastnictví, přičemž vzhledem k faktu, že mají charakter veřejné infrastruktury, je v zájmu obce zlepšení jejich stavu.</w:t>
      </w:r>
    </w:p>
    <w:p w14:paraId="150E7EEE" w14:textId="77777777" w:rsidR="00B86EC0" w:rsidRPr="00B86EC0" w:rsidRDefault="00B86EC0" w:rsidP="00B86EC0">
      <w:pPr>
        <w:spacing w:after="160" w:line="259" w:lineRule="auto"/>
        <w:jc w:val="both"/>
        <w:rPr>
          <w:rFonts w:ascii="Calibri" w:eastAsia="Calibri" w:hAnsi="Calibri" w:cs="Times New Roman"/>
        </w:rPr>
      </w:pPr>
    </w:p>
    <w:p w14:paraId="68281B65"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t>Opatření 1.3.1: Zkvalitnit stav budov ve vlastnictví obce</w:t>
      </w:r>
    </w:p>
    <w:p w14:paraId="65AFCE9A"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 rámci tohoto opatření jsou uvedeny ty budovy, které jsou ve vlastnictví obce a kterým by prospěla určitá forma modernizace.</w:t>
      </w:r>
    </w:p>
    <w:p w14:paraId="2495CCC7" w14:textId="77777777" w:rsidR="00B86EC0" w:rsidRPr="00B86EC0" w:rsidRDefault="00B86EC0" w:rsidP="00B86EC0">
      <w:pPr>
        <w:spacing w:after="160" w:line="259" w:lineRule="auto"/>
        <w:jc w:val="both"/>
        <w:rPr>
          <w:rFonts w:ascii="Calibri" w:eastAsia="Calibri" w:hAnsi="Calibri" w:cs="Times New Roman"/>
        </w:rPr>
      </w:pPr>
    </w:p>
    <w:p w14:paraId="21DDB82D"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Zajistit komplexní rekonstrukci budovy s č. p. 50</w:t>
      </w:r>
    </w:p>
    <w:p w14:paraId="51EF4D92"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Budova s č. p. 50 (obrázek 19) se nachází v centrální části obce. V této budově se nachází</w:t>
      </w:r>
      <w:r w:rsidRPr="00B86EC0">
        <w:rPr>
          <w:rFonts w:ascii="Calibri" w:eastAsia="RWXLTG+TimesNewRoman" w:hAnsi="Calibri" w:cs="RWXLTG+TimesNewRoman"/>
          <w:color w:val="000000"/>
        </w:rPr>
        <w:t xml:space="preserve"> obecní úřad, pošta partner a celkem 8 bytových jednotek. Stav této budovy není dobrý, což bylo zmíněno i v dotazníkovém šetření a na jednání pracovní skupiny.</w:t>
      </w:r>
      <w:r w:rsidRPr="00B86EC0">
        <w:rPr>
          <w:rFonts w:ascii="Calibri" w:eastAsia="Calibri" w:hAnsi="Calibri" w:cs="Times New Roman"/>
        </w:rPr>
        <w:t xml:space="preserve"> Z toho důvodu je doporučeno provést komplexní rekonstrukci této budovy, která spočívá v zateplení budovy, v modernizaci interiéru budovy apod.</w:t>
      </w:r>
    </w:p>
    <w:p w14:paraId="647FAEDB" w14:textId="77777777" w:rsidR="00B86EC0" w:rsidRPr="00B86EC0" w:rsidRDefault="00B86EC0" w:rsidP="00B86EC0">
      <w:pPr>
        <w:spacing w:after="160" w:line="259" w:lineRule="auto"/>
        <w:jc w:val="both"/>
        <w:rPr>
          <w:rFonts w:ascii="Calibri" w:eastAsia="Calibri" w:hAnsi="Calibri" w:cs="Times New Roman"/>
        </w:rPr>
      </w:pPr>
    </w:p>
    <w:p w14:paraId="1163F914" w14:textId="77777777" w:rsidR="00B86EC0" w:rsidRPr="00B86EC0" w:rsidRDefault="00B86EC0" w:rsidP="00B86EC0">
      <w:pPr>
        <w:pStyle w:val="OBRZEK0"/>
      </w:pPr>
      <w:bookmarkStart w:id="574" w:name="_Toc120652038"/>
      <w:r w:rsidRPr="00B86EC0">
        <w:t>Obrázek 19: Budova s č. p. 50 – stav k červenci 2022</w:t>
      </w:r>
      <w:bookmarkEnd w:id="574"/>
    </w:p>
    <w:p w14:paraId="43572EDC" w14:textId="77777777" w:rsidR="00B86EC0" w:rsidRPr="00B86EC0" w:rsidRDefault="00B86EC0" w:rsidP="00B86EC0">
      <w:pPr>
        <w:spacing w:line="259" w:lineRule="auto"/>
        <w:jc w:val="center"/>
        <w:rPr>
          <w:rFonts w:ascii="Calibri" w:eastAsia="Calibri" w:hAnsi="Calibri" w:cs="Times New Roman"/>
        </w:rPr>
      </w:pPr>
      <w:r w:rsidRPr="00B86EC0">
        <w:rPr>
          <w:rFonts w:ascii="Calibri" w:eastAsia="Calibri" w:hAnsi="Calibri" w:cs="Times New Roman"/>
          <w:noProof/>
        </w:rPr>
        <w:drawing>
          <wp:inline distT="0" distB="0" distL="0" distR="0" wp14:anchorId="5B364A08" wp14:editId="4CC2F7D0">
            <wp:extent cx="4556760" cy="2192489"/>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565950" cy="2196911"/>
                    </a:xfrm>
                    <a:prstGeom prst="rect">
                      <a:avLst/>
                    </a:prstGeom>
                  </pic:spPr>
                </pic:pic>
              </a:graphicData>
            </a:graphic>
          </wp:inline>
        </w:drawing>
      </w:r>
    </w:p>
    <w:p w14:paraId="02AD896A"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b/>
          <w:bCs/>
          <w:sz w:val="20"/>
          <w:szCs w:val="20"/>
        </w:rPr>
        <w:t>Zdroj:</w:t>
      </w:r>
      <w:r w:rsidRPr="00B86EC0">
        <w:rPr>
          <w:rFonts w:ascii="Calibri" w:eastAsia="Calibri" w:hAnsi="Calibri" w:cs="Times New Roman"/>
          <w:sz w:val="20"/>
          <w:szCs w:val="20"/>
        </w:rPr>
        <w:t xml:space="preserve"> vlastní průzkum</w:t>
      </w:r>
    </w:p>
    <w:p w14:paraId="567D52AA"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rPr>
        <w:br w:type="page"/>
      </w:r>
    </w:p>
    <w:p w14:paraId="20D93594"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lastRenderedPageBreak/>
        <w:t>Rekonstruovat domek hrobníka</w:t>
      </w:r>
    </w:p>
    <w:p w14:paraId="47E935DF"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Domek hrobníka (obrázek 20) se nachází v areálu místního hřbitova. V dotazníkovém šetření i na jednání pracovní skupiny bylo zmíněno, že budova není v optimálním stavu a z toho důvodu by bylo dobré provést její rekonstrukci. Budova by mohla částečně sloužit jako sklad materiálu a horní patro budovy by mohlo být využité podle potřeby. Ve výše uvedeném spočívá i realizace této aktivity.</w:t>
      </w:r>
    </w:p>
    <w:p w14:paraId="58C49450" w14:textId="77777777" w:rsidR="00B86EC0" w:rsidRPr="00B86EC0" w:rsidRDefault="00B86EC0" w:rsidP="00B86EC0">
      <w:pPr>
        <w:spacing w:after="160" w:line="259" w:lineRule="auto"/>
        <w:jc w:val="both"/>
        <w:rPr>
          <w:rFonts w:ascii="Calibri" w:eastAsia="Calibri" w:hAnsi="Calibri" w:cs="Times New Roman"/>
        </w:rPr>
      </w:pPr>
    </w:p>
    <w:p w14:paraId="087A94E9" w14:textId="77777777" w:rsidR="00B86EC0" w:rsidRPr="00B86EC0" w:rsidRDefault="00B86EC0" w:rsidP="00B86EC0">
      <w:pPr>
        <w:pStyle w:val="OBRZEK0"/>
      </w:pPr>
      <w:bookmarkStart w:id="575" w:name="_Toc120652039"/>
      <w:r w:rsidRPr="00B86EC0">
        <w:t>Obrázek 20: Domek hrobníka – stav k červenci 2022</w:t>
      </w:r>
      <w:bookmarkEnd w:id="575"/>
    </w:p>
    <w:p w14:paraId="61AF6BEF" w14:textId="77777777" w:rsidR="00B86EC0" w:rsidRPr="00B86EC0" w:rsidRDefault="00B86EC0" w:rsidP="00B86EC0">
      <w:pPr>
        <w:spacing w:line="259" w:lineRule="auto"/>
        <w:jc w:val="center"/>
        <w:rPr>
          <w:rFonts w:ascii="Calibri" w:eastAsia="Calibri" w:hAnsi="Calibri" w:cs="Times New Roman"/>
        </w:rPr>
      </w:pPr>
      <w:r w:rsidRPr="00B86EC0">
        <w:rPr>
          <w:rFonts w:ascii="Calibri" w:eastAsia="Calibri" w:hAnsi="Calibri" w:cs="Times New Roman"/>
          <w:noProof/>
        </w:rPr>
        <w:drawing>
          <wp:inline distT="0" distB="0" distL="0" distR="0" wp14:anchorId="6EA9B768" wp14:editId="7FEE109B">
            <wp:extent cx="2979420" cy="2320939"/>
            <wp:effectExtent l="0" t="0" r="0" b="317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989275" cy="2328616"/>
                    </a:xfrm>
                    <a:prstGeom prst="rect">
                      <a:avLst/>
                    </a:prstGeom>
                  </pic:spPr>
                </pic:pic>
              </a:graphicData>
            </a:graphic>
          </wp:inline>
        </w:drawing>
      </w:r>
    </w:p>
    <w:p w14:paraId="21CC9FFE"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b/>
          <w:bCs/>
          <w:sz w:val="20"/>
          <w:szCs w:val="20"/>
        </w:rPr>
        <w:t>Zdroj:</w:t>
      </w:r>
      <w:r w:rsidRPr="00B86EC0">
        <w:rPr>
          <w:rFonts w:ascii="Calibri" w:eastAsia="Calibri" w:hAnsi="Calibri" w:cs="Times New Roman"/>
          <w:sz w:val="20"/>
          <w:szCs w:val="20"/>
        </w:rPr>
        <w:t xml:space="preserve"> vlastní průzkum</w:t>
      </w:r>
    </w:p>
    <w:p w14:paraId="4222A9E4" w14:textId="77777777" w:rsidR="00B86EC0" w:rsidRPr="00B86EC0" w:rsidRDefault="00B86EC0" w:rsidP="00B86EC0">
      <w:pPr>
        <w:spacing w:after="160" w:line="259" w:lineRule="auto"/>
        <w:rPr>
          <w:rFonts w:ascii="Calibri" w:eastAsia="Calibri" w:hAnsi="Calibri" w:cs="Times New Roman"/>
        </w:rPr>
      </w:pPr>
    </w:p>
    <w:p w14:paraId="46DC68C5"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Zlepšit stav interiéru Kostela sv. Anny</w:t>
      </w:r>
    </w:p>
    <w:p w14:paraId="10AC1859"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Kostel sv. Anny je dominantou obce. V minulosti se podařilo opravit venkovní prvky kostela (fasáda, střecha, svody, okapy apod.). V dotazníkovém šetření i v rámci jednání pracovní skupiny bylo konstatováno, že zlepšení stavu by si zasloužil i interiér kostela. Konkrétně by v rámci interiéru mohlo vzniknout mini muzeum podávající informace o historii obce. Je doporučeno stav interiéru kostela zlepšit.</w:t>
      </w:r>
    </w:p>
    <w:p w14:paraId="352ECC73" w14:textId="77777777" w:rsidR="00B86EC0" w:rsidRPr="00B86EC0" w:rsidRDefault="00B86EC0" w:rsidP="00B86EC0">
      <w:pPr>
        <w:spacing w:after="160" w:line="259" w:lineRule="auto"/>
        <w:jc w:val="both"/>
        <w:rPr>
          <w:rFonts w:ascii="Calibri" w:eastAsia="Calibri" w:hAnsi="Calibri" w:cs="Times New Roman"/>
        </w:rPr>
      </w:pPr>
    </w:p>
    <w:p w14:paraId="5F662181"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t>Opatření 1.3.2: Usilovat o zlepšení stavu staveb a ploch majících charakter veřejné infrastruktury</w:t>
      </w:r>
    </w:p>
    <w:p w14:paraId="6C2047DF"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Smyslem tohoto opatření je zlepšit stav staveb a ploch, které mají charakter veřejné infrastruktury a jejichž stav by bylo dobré určitým způsobem zlepšit.</w:t>
      </w:r>
    </w:p>
    <w:p w14:paraId="2D723970" w14:textId="77777777" w:rsidR="00B86EC0" w:rsidRPr="00B86EC0" w:rsidRDefault="00B86EC0" w:rsidP="00B86EC0">
      <w:pPr>
        <w:spacing w:after="160" w:line="259" w:lineRule="auto"/>
        <w:rPr>
          <w:rFonts w:ascii="Calibri" w:eastAsia="Calibri" w:hAnsi="Calibri" w:cs="Times New Roman"/>
        </w:rPr>
      </w:pPr>
    </w:p>
    <w:p w14:paraId="1212483F"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t>Zlepšit stav autobusových zastávek</w:t>
      </w:r>
    </w:p>
    <w:p w14:paraId="626A4218"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území obce Staré Buky se nachází celkem šest autobusových zastávek. Řada těchto autobusových zastávek je ve špatném stavu a je žádoucí jejich stav zlepšit. Řadou přítomných na veřejném projednávání bylo i zlepšení jejich stavu prioritizováno.</w:t>
      </w:r>
    </w:p>
    <w:p w14:paraId="21768F2D"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Realizace aktivity tak spočívá obecně v kultivaci autobusových zastávek a jejich nejbližšího okolí. V tomto ohledu se nabízí i využití dobrovolnických brigád v případě některých činností, přičemž příkladem může být jejich natření.</w:t>
      </w:r>
    </w:p>
    <w:p w14:paraId="5C5F7FDF"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lastRenderedPageBreak/>
        <w:t>Opravit schody nacházející se poblíž sochy sv. Jana Nepomuckého</w:t>
      </w:r>
    </w:p>
    <w:p w14:paraId="56B975A3"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 dotazníkovém šetření bylo zmíněno, že by bylo dobré opravit schody nacházející se poblíž sochy sv. Jana Nepomuckého (obrázek 21). Některé z těchto schodů jsou již poměrně nerovné. Pro osoby ve starším věku tak jejich využití nemusí být úplně bezpečné. V souvislosti s tím je doporučeno umístit i zábradlí v tomto místě.</w:t>
      </w:r>
    </w:p>
    <w:p w14:paraId="23E2D013" w14:textId="77777777" w:rsidR="00B86EC0" w:rsidRPr="00B86EC0" w:rsidRDefault="00B86EC0" w:rsidP="00B86EC0">
      <w:pPr>
        <w:spacing w:after="160" w:line="259" w:lineRule="auto"/>
        <w:jc w:val="both"/>
        <w:rPr>
          <w:rFonts w:ascii="Calibri" w:eastAsia="Calibri" w:hAnsi="Calibri" w:cs="Times New Roman"/>
        </w:rPr>
      </w:pPr>
    </w:p>
    <w:p w14:paraId="4F5524EB" w14:textId="77777777" w:rsidR="00B86EC0" w:rsidRPr="00B86EC0" w:rsidRDefault="00B86EC0" w:rsidP="00B86EC0">
      <w:pPr>
        <w:pStyle w:val="OBRZEK0"/>
      </w:pPr>
      <w:bookmarkStart w:id="576" w:name="_Toc120652040"/>
      <w:r w:rsidRPr="00B86EC0">
        <w:t>Obrázek 21: Schody nacházející se poblíž sochy sv. Jana Nepomuckého – stav k červenci 2022</w:t>
      </w:r>
      <w:bookmarkEnd w:id="576"/>
    </w:p>
    <w:p w14:paraId="1076382C" w14:textId="77777777" w:rsidR="00B86EC0" w:rsidRPr="00B86EC0" w:rsidRDefault="00B86EC0" w:rsidP="00B86EC0">
      <w:pPr>
        <w:spacing w:line="259" w:lineRule="auto"/>
        <w:jc w:val="center"/>
        <w:rPr>
          <w:rFonts w:ascii="Calibri" w:eastAsia="Calibri" w:hAnsi="Calibri" w:cs="Times New Roman"/>
        </w:rPr>
      </w:pPr>
      <w:r w:rsidRPr="00B86EC0">
        <w:rPr>
          <w:rFonts w:ascii="Calibri" w:eastAsia="Calibri" w:hAnsi="Calibri" w:cs="Times New Roman"/>
          <w:noProof/>
        </w:rPr>
        <w:drawing>
          <wp:inline distT="0" distB="0" distL="0" distR="0" wp14:anchorId="6B000603" wp14:editId="7AF39D18">
            <wp:extent cx="2425277" cy="336042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433265" cy="3371488"/>
                    </a:xfrm>
                    <a:prstGeom prst="rect">
                      <a:avLst/>
                    </a:prstGeom>
                  </pic:spPr>
                </pic:pic>
              </a:graphicData>
            </a:graphic>
          </wp:inline>
        </w:drawing>
      </w:r>
    </w:p>
    <w:p w14:paraId="22559992" w14:textId="77777777" w:rsidR="00B86EC0" w:rsidRPr="00B86EC0" w:rsidRDefault="00B86EC0" w:rsidP="00B86EC0">
      <w:pPr>
        <w:spacing w:after="160" w:line="259" w:lineRule="auto"/>
        <w:rPr>
          <w:rFonts w:ascii="Calibri" w:eastAsia="Calibri" w:hAnsi="Calibri" w:cs="Times New Roman"/>
        </w:rPr>
        <w:sectPr w:rsidR="00B86EC0" w:rsidRPr="00B86EC0">
          <w:footerReference w:type="default" r:id="rId149"/>
          <w:pgSz w:w="11906" w:h="16838"/>
          <w:pgMar w:top="1417" w:right="1417" w:bottom="1417" w:left="1417" w:header="708" w:footer="708" w:gutter="0"/>
          <w:cols w:space="708"/>
          <w:docGrid w:linePitch="360"/>
        </w:sectPr>
      </w:pPr>
      <w:r w:rsidRPr="00B86EC0">
        <w:rPr>
          <w:rFonts w:ascii="Calibri" w:eastAsia="Calibri" w:hAnsi="Calibri" w:cs="Times New Roman"/>
          <w:b/>
          <w:bCs/>
          <w:sz w:val="20"/>
          <w:szCs w:val="20"/>
        </w:rPr>
        <w:t>Zdroj:</w:t>
      </w:r>
      <w:r w:rsidRPr="00B86EC0">
        <w:rPr>
          <w:rFonts w:ascii="Calibri" w:eastAsia="Calibri" w:hAnsi="Calibri" w:cs="Times New Roman"/>
          <w:sz w:val="20"/>
          <w:szCs w:val="20"/>
        </w:rPr>
        <w:t xml:space="preserve"> vlastní průzkum</w:t>
      </w:r>
    </w:p>
    <w:p w14:paraId="48F1489C" w14:textId="77777777" w:rsidR="00B86EC0" w:rsidRPr="00B86EC0" w:rsidRDefault="00B86EC0" w:rsidP="00B86EC0">
      <w:pPr>
        <w:spacing w:after="160" w:line="259" w:lineRule="auto"/>
        <w:outlineLvl w:val="2"/>
        <w:rPr>
          <w:rFonts w:ascii="Calibri" w:eastAsia="Calibri" w:hAnsi="Calibri" w:cs="Times New Roman"/>
          <w:b/>
          <w:bCs/>
          <w:sz w:val="28"/>
          <w:szCs w:val="28"/>
        </w:rPr>
        <w:sectPr w:rsidR="00B86EC0" w:rsidRPr="00B86EC0" w:rsidSect="00074EB5">
          <w:footerReference w:type="default" r:id="rId150"/>
          <w:pgSz w:w="16838" w:h="11906" w:orient="landscape"/>
          <w:pgMar w:top="1417" w:right="1417" w:bottom="1417" w:left="1417" w:header="708" w:footer="708" w:gutter="0"/>
          <w:cols w:space="708"/>
          <w:docGrid w:linePitch="360"/>
        </w:sectPr>
      </w:pPr>
      <w:bookmarkStart w:id="577" w:name="_Toc120652173"/>
      <w:r w:rsidRPr="00B86EC0">
        <w:rPr>
          <w:rStyle w:val="Nadpis3Char"/>
        </w:rPr>
        <w:lastRenderedPageBreak/>
        <w:t>3.2.2 Klíčová oblast rozvoje VYBAVENOST A PROSTŘEDÍ OBCE</w:t>
      </w:r>
      <w:bookmarkEnd w:id="577"/>
      <w:r w:rsidRPr="00B86EC0">
        <w:rPr>
          <w:rFonts w:ascii="Calibri" w:eastAsia="Calibri" w:hAnsi="Calibri" w:cs="Times New Roman"/>
          <w:b/>
          <w:bCs/>
          <w:noProof/>
          <w:sz w:val="28"/>
          <w:szCs w:val="28"/>
          <w:lang w:eastAsia="cs-CZ"/>
        </w:rPr>
        <w:drawing>
          <wp:inline distT="0" distB="0" distL="0" distR="0" wp14:anchorId="6EDE933C" wp14:editId="6BC345D4">
            <wp:extent cx="8850630" cy="5250180"/>
            <wp:effectExtent l="0" t="0" r="45720" b="7620"/>
            <wp:docPr id="54"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14:paraId="6B7B68F4" w14:textId="77777777" w:rsidR="00B86EC0" w:rsidRPr="00B86EC0" w:rsidRDefault="00B86EC0" w:rsidP="00B86EC0">
      <w:pPr>
        <w:spacing w:after="160" w:line="259" w:lineRule="auto"/>
        <w:rPr>
          <w:rFonts w:ascii="Calibri" w:eastAsia="Calibri" w:hAnsi="Calibri" w:cs="Times New Roman"/>
        </w:rPr>
      </w:pPr>
      <w:bookmarkStart w:id="578" w:name="_Hlk109833161"/>
      <w:r w:rsidRPr="00B86EC0">
        <w:rPr>
          <w:rFonts w:ascii="Calibri" w:eastAsia="Calibri" w:hAnsi="Calibri" w:cs="Times New Roman"/>
          <w:b/>
          <w:bCs/>
          <w:sz w:val="24"/>
          <w:szCs w:val="24"/>
          <w:shd w:val="clear" w:color="auto" w:fill="BDD6EE"/>
        </w:rPr>
        <w:lastRenderedPageBreak/>
        <w:t>Cíl 2.1: Vytvořit a rozvíjet přirozené centrum obce</w:t>
      </w:r>
      <w:r w:rsidRPr="00B86EC0">
        <w:rPr>
          <w:rFonts w:ascii="Calibri" w:eastAsia="Calibri" w:hAnsi="Calibri" w:cs="Times New Roman"/>
        </w:rPr>
        <w:t xml:space="preserve"> </w:t>
      </w:r>
    </w:p>
    <w:p w14:paraId="78764223"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Strategický cíl je zaměřen na prostranství v centru obce, které má obrovský potenciál z pohledu rozvoje obce. Jedná se o objekt zámečku a jeho okolí. Problematika řešení centra obce byla přítomnými občany na veřejném projednávání četností nejvíce prioritizována.</w:t>
      </w:r>
    </w:p>
    <w:p w14:paraId="6BD42F53" w14:textId="77777777" w:rsidR="00B86EC0" w:rsidRPr="00B86EC0" w:rsidRDefault="00B86EC0" w:rsidP="00B86EC0">
      <w:pPr>
        <w:spacing w:after="160" w:line="259" w:lineRule="auto"/>
        <w:rPr>
          <w:rFonts w:ascii="Calibri" w:eastAsia="Calibri" w:hAnsi="Calibri" w:cs="Times New Roman"/>
        </w:rPr>
      </w:pPr>
    </w:p>
    <w:p w14:paraId="462871AC"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t>Opatření 2.1.1: Využít potenciálu budovy zámečku</w:t>
      </w:r>
    </w:p>
    <w:p w14:paraId="189DAA54"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Opatření se věnuje budově zámečku, která má velký potenciál, jak by mohla být v budoucnu využita. V současné době jsou v budově evidované </w:t>
      </w:r>
      <w:r w:rsidRPr="00B86EC0">
        <w:rPr>
          <w:rFonts w:ascii="Calibri" w:eastAsia="RWXLTG+TimesNewRoman" w:hAnsi="Calibri" w:cs="RWXLTG+TimesNewRoman"/>
          <w:color w:val="000000"/>
        </w:rPr>
        <w:t>4 bytové jednotky, nicméně ty nejsou vyjma jedné využity. Aktivity v rámci tohoto opatření naznačují, jak by mohla být budova využita.</w:t>
      </w:r>
    </w:p>
    <w:p w14:paraId="739C1FFF" w14:textId="77777777" w:rsidR="00B86EC0" w:rsidRPr="00B86EC0" w:rsidRDefault="00B86EC0" w:rsidP="00B86EC0">
      <w:pPr>
        <w:spacing w:after="160" w:line="259" w:lineRule="auto"/>
        <w:rPr>
          <w:rFonts w:ascii="Calibri" w:eastAsia="Calibri" w:hAnsi="Calibri" w:cs="Times New Roman"/>
        </w:rPr>
      </w:pPr>
    </w:p>
    <w:p w14:paraId="47845E6A"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 xml:space="preserve">Zajistit možnost existence sociálního a startovacího bydlení v obci </w:t>
      </w:r>
    </w:p>
    <w:p w14:paraId="3C26EE30"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Na jednání pracovní skupiny bylo zmíněno, že by v obci mohlo být k dispozici sociální a startovací bydlení. </w:t>
      </w:r>
    </w:p>
    <w:p w14:paraId="3C8C6D92"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Sociální bydlení je bydlení poskytované osobám v bytové nouzi nebo bytovou nouzí bezprostředně ohroženým, včetně lidí, kteří vynakládají na bydlení nepřiměřenou výši svých příjmů. Je poskytováno za specifických smluvních podmínek nájmu a v souladu s určitými principy. Sociální bydlení je určeno především pro osoby bez střechy, bez domova (např. bydlící v ubytovnách, azylových domech apod.), žijící v nejistém bydlení (např. přechodně u známých, bez právního nároku apod.) či v nevyhovujícím bydlení (osoby žijící v provizorních nebo neobvyklých obydlích, v neobyvatelném bydlení nebo přelidněných bytech)</w:t>
      </w:r>
      <w:r w:rsidRPr="00B86EC0">
        <w:rPr>
          <w:rFonts w:ascii="Calibri" w:eastAsia="Calibri" w:hAnsi="Calibri" w:cs="Times New Roman"/>
          <w:vertAlign w:val="superscript"/>
        </w:rPr>
        <w:footnoteReference w:id="81"/>
      </w:r>
      <w:r w:rsidRPr="00B86EC0">
        <w:rPr>
          <w:rFonts w:ascii="Calibri" w:eastAsia="Calibri" w:hAnsi="Calibri" w:cs="Times New Roman"/>
        </w:rPr>
        <w:t>.</w:t>
      </w:r>
    </w:p>
    <w:p w14:paraId="7254547A"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Startovací bydlení je druh nájemního ubytování, které je poskytováno mladým občanům zahajujícím samostatný život. Startovací byty nejsou určeny pro nízkopříjmové skupiny obyvatel a sociálně slabé rodiny, ale pro mladé lidi, kteří mají zaměstnání a snahu nastartovat vývoj bydlení své rodiny směrem k budoucímu vlastnickému bydlení. Byty slouží mladým lidem pouze na dobu určitou, zpravidla na 1 až 5 let, jsou určené pouze pro začáteční bydlení mladým lidem, kteří nepřesáhnou věk 35 let</w:t>
      </w:r>
      <w:r w:rsidRPr="00B86EC0">
        <w:rPr>
          <w:rFonts w:ascii="Calibri" w:eastAsia="Calibri" w:hAnsi="Calibri" w:cs="Times New Roman"/>
          <w:vertAlign w:val="superscript"/>
        </w:rPr>
        <w:footnoteReference w:id="82"/>
      </w:r>
      <w:r w:rsidRPr="00B86EC0">
        <w:rPr>
          <w:rFonts w:ascii="Calibri" w:eastAsia="Calibri" w:hAnsi="Calibri" w:cs="Times New Roman"/>
        </w:rPr>
        <w:t>.</w:t>
      </w:r>
    </w:p>
    <w:p w14:paraId="2839AF61"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 tomto směru se nabízí využít část prostoru budovy zámečku pro potřeby vzniku těchto druhů bydlení, přičemž by se mohlo o jeden či dva byty daného druhu. Je doporučeno nad zmíněným návrhem uvažovat.</w:t>
      </w:r>
    </w:p>
    <w:p w14:paraId="4809D4CF" w14:textId="77777777" w:rsidR="00B86EC0" w:rsidRPr="00B86EC0" w:rsidRDefault="00B86EC0" w:rsidP="00B86EC0">
      <w:pPr>
        <w:spacing w:after="160" w:line="259" w:lineRule="auto"/>
        <w:rPr>
          <w:rFonts w:ascii="Calibri" w:eastAsia="Calibri" w:hAnsi="Calibri" w:cs="Times New Roman"/>
        </w:rPr>
      </w:pPr>
    </w:p>
    <w:p w14:paraId="3C35E85C"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t>Vybudovat společenské centrum v prostorách zámečku</w:t>
      </w:r>
    </w:p>
    <w:p w14:paraId="7B1FDF1F"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Na veřejném projednávání řada přítomných občanů prioritizovala, že by přivítala, kdyby v budově zámečku vznikl společenský multifunkční prostor. Absence obdobného prostoru v obci byla pracovní skupinou zmíněna jako slabá stránka. Nemuselo by se jednat o nic složitého. V podstatě by mohlo být v budově vytvořeno komunitní centrum, které by se skládalo ze sálu s pódiem a s doprovodným zázemím (sociální zařízení, kuchyňka apod.). </w:t>
      </w:r>
    </w:p>
    <w:p w14:paraId="10BF8FF7"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lastRenderedPageBreak/>
        <w:t>Sál by mohl být využíván pro scházení místních spolků, pro konání různorodých kulturně-společenských aktivit, pro vytipované sportovní aktivity (např. cvičení, hraní stolního tenisu apod.).</w:t>
      </w:r>
    </w:p>
    <w:p w14:paraId="2002B932" w14:textId="77777777" w:rsidR="00B86EC0" w:rsidRPr="00B86EC0" w:rsidRDefault="00B86EC0" w:rsidP="00B86EC0">
      <w:pPr>
        <w:spacing w:after="160" w:line="259" w:lineRule="auto"/>
        <w:rPr>
          <w:rFonts w:ascii="Calibri" w:eastAsia="Calibri" w:hAnsi="Calibri" w:cs="Times New Roman"/>
        </w:rPr>
      </w:pPr>
    </w:p>
    <w:p w14:paraId="23876B10"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Podle potřeby využít budovu zámečku i jiným způsobem</w:t>
      </w:r>
    </w:p>
    <w:p w14:paraId="1D230B9F"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Prostory v budově zámečku jsou velké a vyjma v předcházejících aktivitách zmíněného potenciálního využití lze interiér využít i dalšími způsoby. Samotné využití se bude odvíjet od rozhodnutí zastupitelstva obce. Příkladem využití může být např. určitá komerční služba (kavárna, cukrárna, obchod s potravinami), část budovy by mohla plnit funkci domu s pečovatelskou službou apod. </w:t>
      </w:r>
    </w:p>
    <w:p w14:paraId="64819F30" w14:textId="77777777" w:rsidR="00B86EC0" w:rsidRPr="00B86EC0" w:rsidRDefault="00B86EC0" w:rsidP="00B86EC0">
      <w:pPr>
        <w:spacing w:after="160" w:line="259" w:lineRule="auto"/>
        <w:rPr>
          <w:rFonts w:ascii="Calibri" w:eastAsia="Calibri" w:hAnsi="Calibri" w:cs="Times New Roman"/>
        </w:rPr>
      </w:pPr>
    </w:p>
    <w:p w14:paraId="5BC4D8C4"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t>Opatření 2.1.2: Revitalizovat okolí budovy zámečku</w:t>
      </w:r>
    </w:p>
    <w:p w14:paraId="29BCB95C"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Opatření je zaměřeno na prostor, který se nachází v okolí budovy zámečku. Ten v současné době není v odpovídajícím stavu a prospěla by mu komplexní revitalizace.</w:t>
      </w:r>
    </w:p>
    <w:p w14:paraId="481FD650"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 </w:t>
      </w:r>
    </w:p>
    <w:p w14:paraId="086D9761"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Zpracovat architektonickou studii areálu „Zámeček“</w:t>
      </w:r>
    </w:p>
    <w:p w14:paraId="6F550F52"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Tato aktivita je již v částečné realizaci, neboť v současné době dochází k diskuzi nad možnými návrhy, jak by centrum obce a okolí zámečku mohlo v budoucnu vypadat. Tj. jakým způsobem bude prostor funkčně využit. Realizace aktivity tak spočívá v dokončení této architektonické studie.</w:t>
      </w:r>
    </w:p>
    <w:p w14:paraId="2D39A7A3" w14:textId="77777777" w:rsidR="00B86EC0" w:rsidRPr="00B86EC0" w:rsidRDefault="00B86EC0" w:rsidP="00B86EC0">
      <w:pPr>
        <w:spacing w:after="160" w:line="259" w:lineRule="auto"/>
        <w:rPr>
          <w:rFonts w:ascii="Calibri" w:eastAsia="Calibri" w:hAnsi="Calibri" w:cs="Times New Roman"/>
        </w:rPr>
      </w:pPr>
    </w:p>
    <w:p w14:paraId="17E0F2F5"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t>Revitalizovat park v okolí budovy zámečku</w:t>
      </w:r>
    </w:p>
    <w:p w14:paraId="2BD55335"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V dotazníkovém šetření, na jednání pracovní skupiny i na veřejném projednávání bylo zmiňováno, že stav parku nacházejícího se v okolí zámečku není dobrý a bylo by dobré jeho stav zlepšit. Místo má velký potenciál k setkávání všech generací občanů, čímž by došlo k posilování vzájemných sociálních kontaktů obyvatel a rozvíjení společenského života v obci. </w:t>
      </w:r>
    </w:p>
    <w:p w14:paraId="31E5E68E"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Součástí parku by mohlo být i přírodní hřiště, které by bylo tvořeno herními prvky a dalšími doplňky v přírodním stylu. </w:t>
      </w:r>
    </w:p>
    <w:p w14:paraId="5BCAA84E"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Realizace aktivity tak spočívá v komplexní revitalizaci okolí budovy zámečku (zeleň, zpevněné plochy, další plochy).</w:t>
      </w:r>
    </w:p>
    <w:p w14:paraId="08A7A68F"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rPr>
        <w:br w:type="page"/>
      </w:r>
    </w:p>
    <w:p w14:paraId="22AD76D8" w14:textId="77777777" w:rsidR="00B86EC0" w:rsidRPr="00B86EC0" w:rsidRDefault="00B86EC0" w:rsidP="00B86EC0">
      <w:pPr>
        <w:spacing w:after="160" w:line="259" w:lineRule="auto"/>
        <w:rPr>
          <w:rFonts w:ascii="Calibri" w:eastAsia="Calibri" w:hAnsi="Calibri" w:cs="Times New Roman"/>
          <w:b/>
          <w:bCs/>
          <w:sz w:val="24"/>
          <w:szCs w:val="24"/>
        </w:rPr>
      </w:pPr>
      <w:r w:rsidRPr="00B86EC0">
        <w:rPr>
          <w:rFonts w:ascii="Calibri" w:eastAsia="Calibri" w:hAnsi="Calibri" w:cs="Times New Roman"/>
          <w:b/>
          <w:bCs/>
          <w:sz w:val="24"/>
          <w:szCs w:val="24"/>
          <w:shd w:val="clear" w:color="auto" w:fill="BDD6EE"/>
        </w:rPr>
        <w:lastRenderedPageBreak/>
        <w:t>Cíl 2.2: Zlepšovat prostředí obce prostřednictvím činností majících pozitivní vliv na něj</w:t>
      </w:r>
    </w:p>
    <w:p w14:paraId="73B50D77"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Strategický cíl je zaměřen na postupné zlepšování prostředí obce v širokém slova smyslu – ve vztahu k plochám zeleně, nakládání s vodou, rozvíjením odpadového hospodářství atd.</w:t>
      </w:r>
    </w:p>
    <w:p w14:paraId="03D275A3" w14:textId="77777777" w:rsidR="00B86EC0" w:rsidRPr="00B86EC0" w:rsidRDefault="00B86EC0" w:rsidP="00B86EC0">
      <w:pPr>
        <w:spacing w:after="160" w:line="259" w:lineRule="auto"/>
        <w:jc w:val="both"/>
        <w:rPr>
          <w:rFonts w:ascii="Calibri" w:eastAsia="Calibri" w:hAnsi="Calibri" w:cs="Times New Roman"/>
        </w:rPr>
      </w:pPr>
    </w:p>
    <w:p w14:paraId="3BF794CE"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b/>
          <w:bCs/>
        </w:rPr>
        <w:t>Opatření 2.2.1: Zdokonalovat systém odpadového hospodářství</w:t>
      </w:r>
    </w:p>
    <w:p w14:paraId="24146B38"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Opatření je svým charakterem zaměřeno na oblast odpadového hospodářství, a to za účelem jeho postupného rozvoje a zlepšování. Jedná se jak o podporu optimálního sběru a likvidace odpadů, tak o prevenci ve vztahu k vzniku odpadů. Problematika řešení nakládání s odpady byla několika přítomnými občany prioritizována i na veřejném projednávání.</w:t>
      </w:r>
    </w:p>
    <w:p w14:paraId="3E6208A7" w14:textId="77777777" w:rsidR="00B86EC0" w:rsidRPr="00B86EC0" w:rsidRDefault="00B86EC0" w:rsidP="00B86EC0">
      <w:pPr>
        <w:spacing w:after="160" w:line="259" w:lineRule="auto"/>
        <w:rPr>
          <w:rFonts w:ascii="Calibri" w:eastAsia="Calibri" w:hAnsi="Calibri" w:cs="Times New Roman"/>
        </w:rPr>
      </w:pPr>
    </w:p>
    <w:p w14:paraId="51F2C92E"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Optimalizovat síť sběrných nádob na tříděný odpad</w:t>
      </w:r>
    </w:p>
    <w:p w14:paraId="6A1CD3BB" w14:textId="77777777" w:rsidR="00B86EC0" w:rsidRPr="00B86EC0" w:rsidRDefault="00B86EC0" w:rsidP="00B86EC0">
      <w:pPr>
        <w:spacing w:after="60" w:line="259" w:lineRule="auto"/>
        <w:jc w:val="both"/>
        <w:rPr>
          <w:rFonts w:ascii="Calibri" w:eastAsia="Calibri" w:hAnsi="Calibri" w:cs="Times New Roman"/>
        </w:rPr>
      </w:pPr>
      <w:r w:rsidRPr="00B86EC0">
        <w:rPr>
          <w:rFonts w:ascii="Calibri" w:eastAsia="Calibri" w:hAnsi="Calibri" w:cs="Times New Roman"/>
        </w:rPr>
        <w:t>V dotazníkovém šetření i na veřejném projednávání zaznívaly typy, jakým způsobem by mohl být sběr a likvidace odpadů optimalizován. Bylo např. zmiňováno:</w:t>
      </w:r>
    </w:p>
    <w:p w14:paraId="6EF3ADF5" w14:textId="77777777" w:rsidR="00B86EC0" w:rsidRPr="00B86EC0" w:rsidRDefault="00B86EC0">
      <w:pPr>
        <w:numPr>
          <w:ilvl w:val="0"/>
          <w:numId w:val="24"/>
        </w:numPr>
        <w:spacing w:after="160" w:line="259" w:lineRule="auto"/>
        <w:ind w:left="426"/>
        <w:contextualSpacing/>
        <w:jc w:val="both"/>
        <w:rPr>
          <w:rFonts w:ascii="Calibri" w:eastAsia="Calibri" w:hAnsi="Calibri" w:cs="Times New Roman"/>
        </w:rPr>
      </w:pPr>
      <w:r w:rsidRPr="00B86EC0">
        <w:rPr>
          <w:rFonts w:ascii="Calibri" w:eastAsia="Calibri" w:hAnsi="Calibri" w:cs="Times New Roman"/>
        </w:rPr>
        <w:t>více kontejnerů na tříděný odpad obecně</w:t>
      </w:r>
    </w:p>
    <w:p w14:paraId="156587F8" w14:textId="77777777" w:rsidR="00B86EC0" w:rsidRPr="00B86EC0" w:rsidRDefault="00B86EC0">
      <w:pPr>
        <w:numPr>
          <w:ilvl w:val="0"/>
          <w:numId w:val="24"/>
        </w:numPr>
        <w:spacing w:after="160" w:line="259" w:lineRule="auto"/>
        <w:ind w:left="426"/>
        <w:contextualSpacing/>
        <w:jc w:val="both"/>
        <w:rPr>
          <w:rFonts w:ascii="Calibri" w:eastAsia="Calibri" w:hAnsi="Calibri" w:cs="Times New Roman"/>
        </w:rPr>
      </w:pPr>
      <w:r w:rsidRPr="00B86EC0">
        <w:rPr>
          <w:rFonts w:ascii="Calibri" w:eastAsia="Calibri" w:hAnsi="Calibri" w:cs="Times New Roman"/>
        </w:rPr>
        <w:t>rozšíření sítě sběrných míst</w:t>
      </w:r>
    </w:p>
    <w:p w14:paraId="731DE139" w14:textId="77777777" w:rsidR="00B86EC0" w:rsidRPr="00B86EC0" w:rsidRDefault="00B86EC0">
      <w:pPr>
        <w:numPr>
          <w:ilvl w:val="0"/>
          <w:numId w:val="24"/>
        </w:numPr>
        <w:spacing w:after="160" w:line="259" w:lineRule="auto"/>
        <w:ind w:left="426"/>
        <w:contextualSpacing/>
        <w:jc w:val="both"/>
        <w:rPr>
          <w:rFonts w:ascii="Calibri" w:eastAsia="Calibri" w:hAnsi="Calibri" w:cs="Times New Roman"/>
        </w:rPr>
      </w:pPr>
      <w:r w:rsidRPr="00B86EC0">
        <w:rPr>
          <w:rFonts w:ascii="Calibri" w:eastAsia="Calibri" w:hAnsi="Calibri" w:cs="Times New Roman"/>
        </w:rPr>
        <w:t>více kontejnerů na plast</w:t>
      </w:r>
    </w:p>
    <w:p w14:paraId="5C564762" w14:textId="77777777" w:rsidR="00B86EC0" w:rsidRPr="00B86EC0" w:rsidRDefault="00B86EC0">
      <w:pPr>
        <w:numPr>
          <w:ilvl w:val="0"/>
          <w:numId w:val="24"/>
        </w:numPr>
        <w:spacing w:after="160" w:line="259" w:lineRule="auto"/>
        <w:ind w:left="426"/>
        <w:contextualSpacing/>
        <w:jc w:val="both"/>
        <w:rPr>
          <w:rFonts w:ascii="Calibri" w:eastAsia="Calibri" w:hAnsi="Calibri" w:cs="Times New Roman"/>
        </w:rPr>
      </w:pPr>
      <w:r w:rsidRPr="00B86EC0">
        <w:rPr>
          <w:rFonts w:ascii="Calibri" w:eastAsia="Calibri" w:hAnsi="Calibri" w:cs="Times New Roman"/>
        </w:rPr>
        <w:t>častější svoz tříděného odpadu</w:t>
      </w:r>
    </w:p>
    <w:p w14:paraId="74FD6838" w14:textId="77777777" w:rsidR="00B86EC0" w:rsidRPr="00B86EC0" w:rsidRDefault="00B86EC0">
      <w:pPr>
        <w:numPr>
          <w:ilvl w:val="0"/>
          <w:numId w:val="24"/>
        </w:numPr>
        <w:spacing w:after="160" w:line="259" w:lineRule="auto"/>
        <w:ind w:left="426"/>
        <w:contextualSpacing/>
        <w:jc w:val="both"/>
        <w:rPr>
          <w:rFonts w:ascii="Calibri" w:eastAsia="Calibri" w:hAnsi="Calibri" w:cs="Times New Roman"/>
        </w:rPr>
      </w:pPr>
      <w:r w:rsidRPr="00B86EC0">
        <w:rPr>
          <w:rFonts w:ascii="Calibri" w:eastAsia="Calibri" w:hAnsi="Calibri" w:cs="Times New Roman"/>
        </w:rPr>
        <w:t>kontejnery či popelnice na drobné kovové obaly</w:t>
      </w:r>
    </w:p>
    <w:p w14:paraId="38942295" w14:textId="77777777" w:rsidR="00B86EC0" w:rsidRPr="00B86EC0" w:rsidRDefault="00B86EC0" w:rsidP="00B86EC0">
      <w:pPr>
        <w:spacing w:line="259" w:lineRule="auto"/>
        <w:jc w:val="both"/>
        <w:rPr>
          <w:rFonts w:ascii="Calibri" w:eastAsia="Calibri" w:hAnsi="Calibri" w:cs="Times New Roman"/>
        </w:rPr>
      </w:pPr>
    </w:p>
    <w:p w14:paraId="25FF79E2"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Realizace aktivity tak spočívá v průzkumu dostupnosti a naplněnosti jednotlivých typů kontejnerů na tříděný odpad a podle zjištěných výsledků síť sběrných nádob na tříděný odpad optimalizovat. Díky tomu bude zajištěna dostupnost daných kontejnerů na tříděný odpad v optimální vzdálenosti pro lokality, kde tomu v současné době není.</w:t>
      </w:r>
    </w:p>
    <w:p w14:paraId="54F39F14" w14:textId="77777777" w:rsidR="00B86EC0" w:rsidRPr="00B86EC0" w:rsidRDefault="00B86EC0" w:rsidP="00B86EC0">
      <w:pPr>
        <w:spacing w:after="160" w:line="259" w:lineRule="auto"/>
        <w:jc w:val="both"/>
        <w:rPr>
          <w:rFonts w:ascii="Calibri" w:eastAsia="Calibri" w:hAnsi="Calibri" w:cs="Times New Roman"/>
        </w:rPr>
      </w:pPr>
    </w:p>
    <w:p w14:paraId="212AA326"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Uvažovat o zavedení tzv. systému „door to door“</w:t>
      </w:r>
    </w:p>
    <w:p w14:paraId="7BC1BD52"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Systém door-to-door spočívá v tom, že občané obce mají nádoby na tříděný odpad přímo u svých domů a třídění odpadů tak probíhá přímo v domácnostech. Pozitivním efektem tohoto systému je, že díky jeho existenci se obvykle daří významně snížit množství směsných komunálních odpadů produkovaných na území obce. Další výhodou tohoto systému je, že díky němu je možné vést evidenci pro jednotlivé domácnosti, čímž může obec získat přehled o jednotlivých tocích odpadů.</w:t>
      </w:r>
    </w:p>
    <w:p w14:paraId="5288EECB"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Co se týče jednotlivých druhů tříděných odpadů, u kterých by mohl být tento systém využit, lze na prvním místě zmínit nádoby na tříděný plast. Dále bývá tento systém aplikován i u tříděného papíru či bioodpadu.</w:t>
      </w:r>
    </w:p>
    <w:p w14:paraId="6A3DD343"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Je tedy doporučeno o zavedení tohoto systému uvažovat.</w:t>
      </w:r>
    </w:p>
    <w:p w14:paraId="60DE924C" w14:textId="77777777" w:rsidR="00B86EC0" w:rsidRPr="00B86EC0" w:rsidRDefault="00B86EC0" w:rsidP="00B86EC0">
      <w:pPr>
        <w:spacing w:after="160" w:line="259" w:lineRule="auto"/>
        <w:rPr>
          <w:rFonts w:ascii="Calibri" w:eastAsia="Calibri" w:hAnsi="Calibri" w:cs="Times New Roman"/>
        </w:rPr>
      </w:pPr>
    </w:p>
    <w:p w14:paraId="559F4919"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br w:type="page"/>
      </w:r>
    </w:p>
    <w:p w14:paraId="5AC4159A"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lastRenderedPageBreak/>
        <w:t>Podporovat aktivity prevence vzniku odpadů</w:t>
      </w:r>
    </w:p>
    <w:p w14:paraId="2F7DA6C3"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Předcházet vzniku odpadů znamená, že odpadu vzniká méně, že je méně nebezpečný pro životní prostředí a tím pádem i pro lidské zdraví. Je důležité si uvědomit, že každý člověk může svým chováním ovlivnit množství vzniklého odpadu. Produkty lze používat déle, lze využívat domácí či komunitní kompostování (odpad v podstatě nevzniká, není potřeba ani jeho doprava), větší používání výrobků z přírodních materiálů apod. </w:t>
      </w:r>
    </w:p>
    <w:p w14:paraId="02735D50"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Aktivita úzce souvisí s edukativní činností. Začíná v rodině a pokračuje ve škole. Podobnou roli může zastávat i obec. Jako vhodnou formu lze zmínit přednášky, případně tvorbu dokumentů jak v elektronické, tak papírové podobě, které budou přinášet informace, jakým způsobem lze množství odpadu minimalizovat a přispět tak k jeho menšímu rozsahu.</w:t>
      </w:r>
    </w:p>
    <w:p w14:paraId="1ECF6AB4" w14:textId="77777777" w:rsidR="00B86EC0" w:rsidRPr="00B86EC0" w:rsidRDefault="00B86EC0" w:rsidP="00B86EC0">
      <w:pPr>
        <w:spacing w:after="160" w:line="259" w:lineRule="auto"/>
        <w:jc w:val="both"/>
        <w:rPr>
          <w:rFonts w:ascii="Calibri" w:eastAsia="Calibri" w:hAnsi="Calibri" w:cs="Times New Roman"/>
        </w:rPr>
      </w:pPr>
    </w:p>
    <w:p w14:paraId="163D4E6B"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 xml:space="preserve">Uvažovat o vzniku sběrného místa v obci </w:t>
      </w:r>
    </w:p>
    <w:p w14:paraId="48F60CE0"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Sběrné místo v současné době není na území obce k dispozici. Je doporučeno o vzniku sběrného místa uvažovat, neboť díky jeho existenci bude podpořeno ještě více třídění odpadu, a naopak snížena pravděpodobnost, že by jinak odpad skončil v popelnicích na směsný komunální odpad. Výhodou sběrného místa oproti sběrnému dvoru je jednodušší administrativní režim a pro účely velikosti obce Staré Buky by bylo sběrné místo dostačující.</w:t>
      </w:r>
    </w:p>
    <w:p w14:paraId="2258DB72" w14:textId="77777777" w:rsidR="00B86EC0" w:rsidRPr="00B86EC0" w:rsidRDefault="00B86EC0" w:rsidP="00B86EC0">
      <w:pPr>
        <w:spacing w:after="160" w:line="259" w:lineRule="auto"/>
        <w:jc w:val="both"/>
        <w:rPr>
          <w:rFonts w:ascii="Calibri" w:eastAsia="Calibri" w:hAnsi="Calibri" w:cs="Times New Roman"/>
          <w:u w:val="single"/>
        </w:rPr>
      </w:pPr>
    </w:p>
    <w:p w14:paraId="45E777BC" w14:textId="77777777" w:rsidR="00B86EC0" w:rsidRPr="00B86EC0" w:rsidRDefault="00B86EC0" w:rsidP="00B86EC0">
      <w:pPr>
        <w:spacing w:after="160" w:line="259" w:lineRule="auto"/>
        <w:jc w:val="both"/>
        <w:rPr>
          <w:rFonts w:ascii="Calibri" w:eastAsia="Calibri" w:hAnsi="Calibri" w:cs="Times New Roman"/>
          <w:u w:val="single"/>
        </w:rPr>
      </w:pPr>
      <w:r w:rsidRPr="00B86EC0">
        <w:rPr>
          <w:rFonts w:ascii="Calibri" w:eastAsia="Calibri" w:hAnsi="Calibri" w:cs="Times New Roman"/>
          <w:u w:val="single"/>
        </w:rPr>
        <w:t>Uvažovat o vzniku kompostárny</w:t>
      </w:r>
    </w:p>
    <w:p w14:paraId="5BE94089"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Možnost existence vzniku kompostárny byla zmíněna na jednání realizačního týmu. Bylo konstatováno, že stávající stav likvidace bioodpadu není optimální a z toho důvodu by bylo dobré jej určitým způsobem řešit jinak. Navržena byla právě možnost existence kompostárny, díky čemuž by se bioodpad nemusel odvážet až do Mladých Buků a zároveň by dlouho neležel ve velkoobjemových kontejnerech na bioodpad, v důsledku čehož pak zapáchá a lidem se to nelíbí.</w:t>
      </w:r>
    </w:p>
    <w:p w14:paraId="1E5DAE6C"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Z toho důvodu je doporučeno o vzniku kompostárny v obci uvažovat, přičemž nabízí se i možnost jejího využití pro okolní obce.</w:t>
      </w:r>
    </w:p>
    <w:p w14:paraId="0AF9393C" w14:textId="77777777" w:rsidR="00B86EC0" w:rsidRPr="00B86EC0" w:rsidRDefault="00B86EC0" w:rsidP="00B86EC0">
      <w:pPr>
        <w:spacing w:after="160" w:line="259" w:lineRule="auto"/>
        <w:jc w:val="both"/>
        <w:rPr>
          <w:rFonts w:ascii="Calibri" w:eastAsia="Calibri" w:hAnsi="Calibri" w:cs="Times New Roman"/>
        </w:rPr>
      </w:pPr>
    </w:p>
    <w:p w14:paraId="161557AA"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t>Opatření 2.2.2: Usilovat o realizaci dalších aktivit vedoucích ke zlepšení prostředí obce</w:t>
      </w:r>
    </w:p>
    <w:p w14:paraId="4BD0D652"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Opatření obsahuje aktivity, jejichž realizace napomůže ke zlepšení vytipovaných ploch na území obce, případně k obnově dříve existujících prvků v krajině, dále přispěje pozitivně ve formě předejití potenciálních negativních vlivů na životní prostředí.</w:t>
      </w:r>
    </w:p>
    <w:p w14:paraId="25BADF28" w14:textId="77777777" w:rsidR="00B86EC0" w:rsidRPr="00B86EC0" w:rsidRDefault="00B86EC0" w:rsidP="00B86EC0">
      <w:pPr>
        <w:spacing w:after="160" w:line="259" w:lineRule="auto"/>
        <w:jc w:val="both"/>
        <w:rPr>
          <w:rFonts w:ascii="Calibri" w:eastAsia="Calibri" w:hAnsi="Calibri" w:cs="Times New Roman"/>
        </w:rPr>
      </w:pPr>
    </w:p>
    <w:p w14:paraId="0D0FD36E"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Usilovat o realizaci komplexních pozemkových úprav</w:t>
      </w:r>
    </w:p>
    <w:p w14:paraId="332EEAE5"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Jak je již zmíněno v analytické části, v kap. 2.1.6.1 Současný stav životního prostředí – Zemědělský půdní fond a jeho ochrana, v ani jednom ze třech k. ú. obce nebyly realizovány KoPÚ.</w:t>
      </w:r>
    </w:p>
    <w:p w14:paraId="29F6150E"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Vzhledem k velkému přínosu KoPÚ jak z pohledu dostupnosti k pozemkům, tak z pohledu významu pro krajinu a životní prostředí, je doporučeno o jejich zahájení a postupnou realizaci ve všech třech k. ú. usilovat.</w:t>
      </w:r>
    </w:p>
    <w:p w14:paraId="609286F6"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lastRenderedPageBreak/>
        <w:t>Regulovat novou výstavbu v lokalitě Dolníky</w:t>
      </w:r>
    </w:p>
    <w:p w14:paraId="70507324"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veřejném projednávání bylo zmíněno a několika přítomnými i prioritizováno, aby byla nová výstavba v lokalitě Dolníky určitým způsobem regulována. Dle dotyčných je stávající stav výstavby v této lokalitě nadměrný a další intenzivní výstavba by mohla mít negativní vliv jak na prostředí lokality jako takové, tak by lokalita tím mohla ztratit svoje genius loci a nebyla by např. tak atraktivní pro život (méně klidu, větší hluk apod.). Realizace aktivity tak spočívá v určité regulaci výstavby v lokalitě Dolníky (např. vymezením podmínek v územním plánu), čímž bude zabezpečeno, že zde bude probíhat výstavba v přijatelném rozsahu.</w:t>
      </w:r>
    </w:p>
    <w:p w14:paraId="595E1BDF" w14:textId="77777777" w:rsidR="00B86EC0" w:rsidRPr="00B86EC0" w:rsidRDefault="00B86EC0" w:rsidP="00B86EC0">
      <w:pPr>
        <w:spacing w:after="160" w:line="259" w:lineRule="auto"/>
        <w:rPr>
          <w:rFonts w:ascii="Calibri" w:eastAsia="Calibri" w:hAnsi="Calibri" w:cs="Times New Roman"/>
        </w:rPr>
      </w:pPr>
    </w:p>
    <w:p w14:paraId="0A601427"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Usilovat o obnovu historických cest</w:t>
      </w:r>
    </w:p>
    <w:p w14:paraId="22F1E35A"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jednání realizačního týmu bylo konstatováno, že by bylo dobré obnovit síť historických cest vedoucích přes území obce. Díky existenci této historické sítě by byla jednak zlepšena přístupnost samotných pozemků a lokalit na území obce, zároveň by jejich existence měla i pozitivní vliv na životní prostředí (zmírnění vodní eroze apod.). Z toho důvodu je doporučeno o obnovu historických cest usilovat. Realizaci této aktivity by významně napomohlo uskutečnění komplexních pozemkových úprav (viz jiná aktivita v rámci tohoto opatření).</w:t>
      </w:r>
    </w:p>
    <w:p w14:paraId="34ABBC9A" w14:textId="77777777" w:rsidR="00B86EC0" w:rsidRPr="00B86EC0" w:rsidRDefault="00B86EC0" w:rsidP="00B86EC0">
      <w:pPr>
        <w:spacing w:after="160" w:line="259" w:lineRule="auto"/>
        <w:rPr>
          <w:rFonts w:ascii="Calibri" w:eastAsia="Calibri" w:hAnsi="Calibri" w:cs="Times New Roman"/>
        </w:rPr>
      </w:pPr>
    </w:p>
    <w:p w14:paraId="3B6F2FAB"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t>Podporovat aktivity vedoucí k zadržování vody v krajině</w:t>
      </w:r>
    </w:p>
    <w:p w14:paraId="33849727"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veřejném projednávání bylo konstatováno a některými přítomnými i prioritizováno, že by bylo dobré podpořit činnosti vedoucí k zadržování vody v krajině. Z toho důvodu je doporučeno podpořit různorodé aktivity, jejichž realizace napomůže lepšímu zadržování vody v krajině. Z konkrétních prvků lze zmínit např. mokřady, příkopy, aleje stromů, obnova menších rybníčků či pořízení nádrží za účelem zachycení dešťové vody a následně ji využít v krajině. V tomto ohledu bude důležitá i spolupráce soukromých vlastníků s obecním úřadem, neboť řada pozemků v soukromém vlastnictví je bezpochyby vhodných pro realizaci některých prvků.</w:t>
      </w:r>
    </w:p>
    <w:p w14:paraId="00A77974" w14:textId="77777777" w:rsidR="00B86EC0" w:rsidRPr="00B86EC0" w:rsidRDefault="00B86EC0" w:rsidP="00B86EC0">
      <w:pPr>
        <w:spacing w:after="160" w:line="259" w:lineRule="auto"/>
        <w:jc w:val="both"/>
        <w:rPr>
          <w:rFonts w:ascii="Calibri" w:eastAsia="Calibri" w:hAnsi="Calibri" w:cs="Times New Roman"/>
        </w:rPr>
      </w:pPr>
    </w:p>
    <w:p w14:paraId="33EB1927"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Zlepšit údržbu Starobuckého potoka</w:t>
      </w:r>
    </w:p>
    <w:p w14:paraId="5D30C7FB" w14:textId="77777777" w:rsidR="00B86EC0" w:rsidRPr="00B86EC0" w:rsidRDefault="00B86EC0" w:rsidP="00B86EC0">
      <w:pPr>
        <w:spacing w:after="160" w:line="259" w:lineRule="auto"/>
        <w:jc w:val="both"/>
        <w:rPr>
          <w:rFonts w:ascii="Calibri" w:eastAsia="RWXLTG+TimesNewRoman" w:hAnsi="Calibri" w:cs="RWXLTG+TimesNewRoman"/>
        </w:rPr>
      </w:pPr>
      <w:r w:rsidRPr="00B86EC0">
        <w:rPr>
          <w:rFonts w:ascii="Calibri" w:eastAsia="Calibri" w:hAnsi="Calibri" w:cs="Times New Roman"/>
        </w:rPr>
        <w:t xml:space="preserve">V dotazníkovém šetření bylo zmíněno, že stav Starobuckého potoka (obrázek 22) </w:t>
      </w:r>
      <w:r w:rsidRPr="00B86EC0">
        <w:rPr>
          <w:rFonts w:ascii="Calibri" w:eastAsia="RWXLTG+TimesNewRoman" w:hAnsi="Calibri" w:cs="RWXLTG+TimesNewRoman"/>
        </w:rPr>
        <w:t xml:space="preserve">není odpovídající. Převážná část </w:t>
      </w:r>
      <w:r w:rsidRPr="00B86EC0">
        <w:rPr>
          <w:rFonts w:ascii="Calibri" w:eastAsia="Calibri" w:hAnsi="Calibri" w:cs="Times New Roman"/>
        </w:rPr>
        <w:t xml:space="preserve">Starobuckého potoka je </w:t>
      </w:r>
      <w:r w:rsidRPr="00B86EC0">
        <w:rPr>
          <w:rFonts w:ascii="Calibri" w:eastAsia="RWXLTG+TimesNewRoman" w:hAnsi="Calibri" w:cs="RWXLTG+TimesNewRoman"/>
        </w:rPr>
        <w:t>na území obce ve vlastnictví České republiky a právo hospodařit s tímto majetkem mají buď Lesy České republiky, s.p. nebo Povodí Labe, státní podnik. Pouze drobný úsek v Horních Starých Bukách je ve vlastnictví obce.</w:t>
      </w:r>
    </w:p>
    <w:p w14:paraId="3374D338" w14:textId="77777777" w:rsidR="00B86EC0" w:rsidRPr="00B86EC0" w:rsidRDefault="00B86EC0" w:rsidP="00B86EC0">
      <w:pPr>
        <w:spacing w:after="160" w:line="259" w:lineRule="auto"/>
        <w:jc w:val="both"/>
        <w:rPr>
          <w:rFonts w:ascii="Calibri" w:eastAsia="RWXLTG+TimesNewRoman" w:hAnsi="Calibri" w:cs="RWXLTG+TimesNewRoman"/>
        </w:rPr>
      </w:pPr>
      <w:r w:rsidRPr="00B86EC0">
        <w:rPr>
          <w:rFonts w:ascii="Calibri" w:eastAsia="RWXLTG+TimesNewRoman" w:hAnsi="Calibri" w:cs="RWXLTG+TimesNewRoman"/>
        </w:rPr>
        <w:t>Vzhledem k výše uvedeným faktům je role obce velmi omezená a spočívá v podstatě pouze v intenzivní komunikaci s vlastníky dotčených parcel, aby stav potoka na území obce zlepšili.</w:t>
      </w:r>
    </w:p>
    <w:p w14:paraId="23D7E436" w14:textId="77777777" w:rsidR="00B86EC0" w:rsidRPr="00B86EC0" w:rsidRDefault="00B86EC0" w:rsidP="00B86EC0">
      <w:pPr>
        <w:spacing w:after="160" w:line="259" w:lineRule="auto"/>
        <w:jc w:val="both"/>
        <w:rPr>
          <w:rFonts w:ascii="Calibri" w:eastAsia="RWXLTG+TimesNewRoman" w:hAnsi="Calibri" w:cs="RWXLTG+TimesNewRoman"/>
        </w:rPr>
      </w:pPr>
      <w:r w:rsidRPr="00B86EC0">
        <w:rPr>
          <w:rFonts w:ascii="Calibri" w:eastAsia="RWXLTG+TimesNewRoman" w:hAnsi="Calibri" w:cs="RWXLTG+TimesNewRoman"/>
        </w:rPr>
        <w:br w:type="page"/>
      </w:r>
    </w:p>
    <w:p w14:paraId="2C5AAF6E" w14:textId="77777777" w:rsidR="00B86EC0" w:rsidRPr="00B86EC0" w:rsidRDefault="00B86EC0" w:rsidP="00B86EC0">
      <w:pPr>
        <w:pStyle w:val="OBRZEK0"/>
      </w:pPr>
      <w:bookmarkStart w:id="579" w:name="_Toc120652041"/>
      <w:r w:rsidRPr="00B86EC0">
        <w:lastRenderedPageBreak/>
        <w:t>Obrázek 22: Starobucký potok – stav k červenci 2022</w:t>
      </w:r>
      <w:bookmarkEnd w:id="579"/>
    </w:p>
    <w:p w14:paraId="2E08D133" w14:textId="77777777" w:rsidR="00B86EC0" w:rsidRPr="00B86EC0" w:rsidRDefault="00B86EC0" w:rsidP="00B86EC0">
      <w:pPr>
        <w:spacing w:line="259" w:lineRule="auto"/>
        <w:jc w:val="center"/>
        <w:rPr>
          <w:rFonts w:ascii="Calibri" w:eastAsia="Calibri" w:hAnsi="Calibri" w:cs="Times New Roman"/>
        </w:rPr>
      </w:pPr>
      <w:r w:rsidRPr="00B86EC0">
        <w:rPr>
          <w:rFonts w:ascii="Calibri" w:eastAsia="Calibri" w:hAnsi="Calibri" w:cs="Times New Roman"/>
          <w:noProof/>
        </w:rPr>
        <w:drawing>
          <wp:inline distT="0" distB="0" distL="0" distR="0" wp14:anchorId="3D5AB88C" wp14:editId="5C66A74D">
            <wp:extent cx="3390900" cy="4349636"/>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393571" cy="4353062"/>
                    </a:xfrm>
                    <a:prstGeom prst="rect">
                      <a:avLst/>
                    </a:prstGeom>
                  </pic:spPr>
                </pic:pic>
              </a:graphicData>
            </a:graphic>
          </wp:inline>
        </w:drawing>
      </w:r>
    </w:p>
    <w:p w14:paraId="234E5AE2" w14:textId="77777777" w:rsidR="00B86EC0" w:rsidRPr="00B86EC0" w:rsidRDefault="00B86EC0" w:rsidP="00B86EC0">
      <w:pPr>
        <w:spacing w:after="160" w:line="259" w:lineRule="auto"/>
        <w:jc w:val="both"/>
        <w:rPr>
          <w:rFonts w:ascii="Calibri" w:eastAsia="Calibri" w:hAnsi="Calibri" w:cs="Times New Roman"/>
          <w:sz w:val="20"/>
          <w:szCs w:val="20"/>
        </w:rPr>
      </w:pPr>
      <w:r w:rsidRPr="00B86EC0">
        <w:rPr>
          <w:rFonts w:ascii="Calibri" w:eastAsia="Calibri" w:hAnsi="Calibri" w:cs="Times New Roman"/>
          <w:b/>
          <w:bCs/>
          <w:sz w:val="20"/>
          <w:szCs w:val="20"/>
        </w:rPr>
        <w:t>Zdroj:</w:t>
      </w:r>
      <w:r w:rsidRPr="00B86EC0">
        <w:rPr>
          <w:rFonts w:ascii="Calibri" w:eastAsia="Calibri" w:hAnsi="Calibri" w:cs="Times New Roman"/>
          <w:sz w:val="20"/>
          <w:szCs w:val="20"/>
        </w:rPr>
        <w:t xml:space="preserve"> vlastní průzkum</w:t>
      </w:r>
    </w:p>
    <w:p w14:paraId="10016346" w14:textId="77777777" w:rsidR="00B86EC0" w:rsidRPr="00B86EC0" w:rsidRDefault="00B86EC0" w:rsidP="00B86EC0">
      <w:pPr>
        <w:spacing w:after="160" w:line="259" w:lineRule="auto"/>
        <w:jc w:val="both"/>
        <w:rPr>
          <w:rFonts w:ascii="Calibri" w:eastAsia="RWXLTG+TimesNewRoman" w:hAnsi="Calibri" w:cs="RWXLTG+TimesNewRoman"/>
        </w:rPr>
      </w:pPr>
    </w:p>
    <w:p w14:paraId="204A3FBC" w14:textId="77777777" w:rsidR="00B86EC0" w:rsidRPr="00B86EC0" w:rsidRDefault="00B86EC0" w:rsidP="00B86EC0">
      <w:pPr>
        <w:spacing w:after="160" w:line="259" w:lineRule="auto"/>
        <w:rPr>
          <w:rFonts w:ascii="Calibri" w:eastAsia="Calibri" w:hAnsi="Calibri" w:cs="Times New Roman"/>
          <w:b/>
          <w:bCs/>
          <w:sz w:val="24"/>
          <w:szCs w:val="24"/>
        </w:rPr>
      </w:pPr>
      <w:r w:rsidRPr="00B86EC0">
        <w:rPr>
          <w:rFonts w:ascii="Calibri" w:eastAsia="Calibri" w:hAnsi="Calibri" w:cs="Times New Roman"/>
          <w:b/>
          <w:bCs/>
          <w:sz w:val="24"/>
          <w:szCs w:val="24"/>
          <w:shd w:val="clear" w:color="auto" w:fill="BDD6EE"/>
        </w:rPr>
        <w:t>Cíl 2.3: Usilovat o zlepšení vybavenosti obce a dostupných služeb v obci</w:t>
      </w:r>
    </w:p>
    <w:p w14:paraId="5B7BD7D3"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Smyslem tohoto strategického cíle je podpořit existenci vzniku nových vybaveností a služeb na území obce, a to jak prostřednictvím samotné realizace, tak formou určité podpory.</w:t>
      </w:r>
    </w:p>
    <w:p w14:paraId="3913B343" w14:textId="77777777" w:rsidR="00B86EC0" w:rsidRPr="00B86EC0" w:rsidRDefault="00B86EC0" w:rsidP="00B86EC0">
      <w:pPr>
        <w:spacing w:after="160" w:line="259" w:lineRule="auto"/>
        <w:jc w:val="both"/>
        <w:rPr>
          <w:rFonts w:ascii="Calibri" w:eastAsia="Calibri" w:hAnsi="Calibri" w:cs="Times New Roman"/>
        </w:rPr>
      </w:pPr>
    </w:p>
    <w:p w14:paraId="43D0E39C"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t>Opatření 2.3.1: Snažit se o zvýšení počtu dostupných služeb v obci</w:t>
      </w:r>
    </w:p>
    <w:p w14:paraId="3FB8C272"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Opatření obsahuje aktivity, jejichž realizací dojde ke zvýšení dostupných služeb a vybaveností, které jsou v obci k dispozici.</w:t>
      </w:r>
    </w:p>
    <w:p w14:paraId="2E086309" w14:textId="77777777" w:rsidR="00B86EC0" w:rsidRPr="00B86EC0" w:rsidRDefault="00B86EC0" w:rsidP="00B86EC0">
      <w:pPr>
        <w:spacing w:after="160" w:line="259" w:lineRule="auto"/>
        <w:jc w:val="both"/>
        <w:rPr>
          <w:rFonts w:ascii="Calibri" w:eastAsia="Calibri" w:hAnsi="Calibri" w:cs="Times New Roman"/>
        </w:rPr>
      </w:pPr>
    </w:p>
    <w:p w14:paraId="12CC1F06"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Podpořit vznik existence obchodu s potravinami v obci</w:t>
      </w:r>
    </w:p>
    <w:p w14:paraId="3BCED8FC"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Z dotazníkového šetření vyplynulo, že obyvatelé by uvítali, kdyby v obci byl k dispozici obchod s potravinami. Postačil by obchod se základním zbožím typu pečivo apod. Na setkání realizačního týmu i setkání pracovní skupiny bylo téma také intenzivně diskutováno. Na jedné straně je nutné brát v potaz potřeby obyvatel, na druhé straně je však potřeba zvážit ekonomické aspekty celé akce. Otázkou totiž je, zdali by byl obchod opravdu adekvátně využíván a měl tak šanci se uživit nebo by se jednalo o ztrátovou aktivitu, která by musela být dofinancována z obecního rozpočtu.</w:t>
      </w:r>
    </w:p>
    <w:p w14:paraId="0967110B"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lastRenderedPageBreak/>
        <w:t>V současné době zajíždí dvakrát týdně do obce pojízdné prodejny. Lidé tak mají v současné době možnost si základní potraviny v těchto prodejnách nakoupit. Proto je v tuto chvíli doporučeno nějaký čas počkat, jak se pojízdné prodejny osvědčí a podle toho se rozhodovat dále a podle potřeby v rámci možností obce existenci obchodu s potravinami podpořit.</w:t>
      </w:r>
    </w:p>
    <w:p w14:paraId="52059023" w14:textId="77777777" w:rsidR="00B86EC0" w:rsidRPr="00B86EC0" w:rsidRDefault="00B86EC0" w:rsidP="00B86EC0">
      <w:pPr>
        <w:spacing w:after="160" w:line="259" w:lineRule="auto"/>
        <w:rPr>
          <w:rFonts w:ascii="Calibri" w:eastAsia="Calibri" w:hAnsi="Calibri" w:cs="Times New Roman"/>
        </w:rPr>
      </w:pPr>
    </w:p>
    <w:p w14:paraId="3A7770F2"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Podpořit založení dětské skupiny v obci</w:t>
      </w:r>
    </w:p>
    <w:p w14:paraId="1334D2C7"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Jak je již konstatováno v analytické části, v kap. 2.1.5.2 Školství a vzdělávání, v obci Staré Buky není v současné době zřízeno žádné vzdělávací zařízení. Na otázku v dotazníkovém šetření, jaké služby obyvatelům v obci chybí, řada respondentů zmínila právě mateřskou školu. V úvahu ovšem připadá i založení dětské skupiny, která nemá na provoz dané tak striktní požadavky jako mateřská škola. Počet obyvatel v posledních dvaceti letech v obci výrazně vzrostl (o 64 %), na čemž se bezpochyby podepsala výstavba nových rodinných domů a přistěhování mladých rodin s dětmi. Vzhledem k výše uvedenému lze předpokládat, že by nebyl problém dětskou skupinu kapacitně naplnit. Obec je tomuto záměru nakloněna a v rámci svých možností jej bude podporovat.</w:t>
      </w:r>
    </w:p>
    <w:p w14:paraId="6C86CE1E" w14:textId="77777777" w:rsidR="00B86EC0" w:rsidRPr="00B86EC0" w:rsidRDefault="00B86EC0" w:rsidP="00B86EC0">
      <w:pPr>
        <w:spacing w:after="160" w:line="259" w:lineRule="auto"/>
        <w:jc w:val="both"/>
        <w:rPr>
          <w:rFonts w:ascii="Calibri" w:eastAsia="Calibri" w:hAnsi="Calibri" w:cs="Times New Roman"/>
        </w:rPr>
      </w:pPr>
    </w:p>
    <w:p w14:paraId="0A9E4D16"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t>Instalovat nabíjecí stanici pro elektrokola</w:t>
      </w:r>
    </w:p>
    <w:p w14:paraId="760005F4"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Jedná se o veřejnou službu, která bude mít v čase stále větší význam, neboť osob, které jezdí na elektrokolech, neustále přibývá. V budoucnu bude přibývat i množství osob jezdících v elektromobilech.</w:t>
      </w:r>
    </w:p>
    <w:p w14:paraId="79F14DFC"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Stanice by byla volně přístupná a mohli by ji využít jak obyvatelé obce, tak návštěvníci. Vhodným místem, kde by stanice mohla být umístěna, je prostor u dětského hřiště či budoucí revitalizované centrum obce.</w:t>
      </w:r>
    </w:p>
    <w:p w14:paraId="3949AF90" w14:textId="77777777" w:rsidR="00B86EC0" w:rsidRPr="00B86EC0" w:rsidRDefault="00B86EC0" w:rsidP="00B86EC0">
      <w:pPr>
        <w:spacing w:after="160" w:line="259" w:lineRule="auto"/>
        <w:rPr>
          <w:rFonts w:ascii="Calibri" w:eastAsia="Calibri" w:hAnsi="Calibri" w:cs="Times New Roman"/>
        </w:rPr>
      </w:pPr>
    </w:p>
    <w:p w14:paraId="5AE0FA42"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t>Opatření 2.3.2: Realizovat další aktivity související se službami a vybaveností obce</w:t>
      </w:r>
    </w:p>
    <w:p w14:paraId="03ED92BE"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 rámci tohoto opatření jsou obsaženy další aktivity, které souvisí se službami a vybaveností v obci, ale i s oblastí správy a spolupráce obce jako takové.</w:t>
      </w:r>
    </w:p>
    <w:p w14:paraId="4C23318E" w14:textId="77777777" w:rsidR="00B86EC0" w:rsidRPr="00B86EC0" w:rsidRDefault="00B86EC0" w:rsidP="00B86EC0">
      <w:pPr>
        <w:spacing w:after="160" w:line="259" w:lineRule="auto"/>
        <w:rPr>
          <w:rFonts w:ascii="Calibri" w:eastAsia="Calibri" w:hAnsi="Calibri" w:cs="Times New Roman"/>
        </w:rPr>
      </w:pPr>
    </w:p>
    <w:p w14:paraId="7D30E6B4"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Řešit obecní hřiště</w:t>
      </w:r>
    </w:p>
    <w:p w14:paraId="580F8A97" w14:textId="77777777" w:rsidR="00B86EC0" w:rsidRPr="00B86EC0" w:rsidRDefault="00B86EC0" w:rsidP="00B86EC0">
      <w:pPr>
        <w:spacing w:after="160" w:line="259" w:lineRule="auto"/>
        <w:jc w:val="both"/>
        <w:rPr>
          <w:rFonts w:ascii="Calibri" w:eastAsia="RWXLTG+TimesNewRoman" w:hAnsi="Calibri" w:cs="RWXLTG+TimesNewRoman"/>
        </w:rPr>
      </w:pPr>
      <w:r w:rsidRPr="00B86EC0">
        <w:rPr>
          <w:rFonts w:ascii="Calibri" w:eastAsia="Calibri" w:hAnsi="Calibri" w:cs="Times New Roman"/>
        </w:rPr>
        <w:t xml:space="preserve">Obecní hřiště se nachází </w:t>
      </w:r>
      <w:r w:rsidRPr="00B86EC0">
        <w:rPr>
          <w:rFonts w:ascii="Calibri" w:eastAsia="RWXLTG+TimesNewRoman" w:hAnsi="Calibri" w:cs="RWXLTG+TimesNewRoman"/>
        </w:rPr>
        <w:t xml:space="preserve">na parcele KN 2144 (k. ú. Prostřední Staré Buky). </w:t>
      </w:r>
      <w:r w:rsidRPr="00B86EC0">
        <w:rPr>
          <w:rFonts w:ascii="Calibri" w:eastAsia="Calibri" w:hAnsi="Calibri" w:cs="Times New Roman"/>
          <w:bCs/>
        </w:rPr>
        <w:t>V současné době je na řadě míst zarostlé trávou</w:t>
      </w:r>
      <w:r w:rsidRPr="00B86EC0">
        <w:rPr>
          <w:rFonts w:ascii="Calibri" w:eastAsia="RWXLTG+TimesNewRoman" w:hAnsi="Calibri" w:cs="RWXLTG+TimesNewRoman"/>
        </w:rPr>
        <w:t>. Hřiště by si bezpochyby zasloužilo větší údržbu.</w:t>
      </w:r>
    </w:p>
    <w:p w14:paraId="67449ECA"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RWXLTG+TimesNewRoman" w:hAnsi="Calibri" w:cs="RWXLTG+TimesNewRoman"/>
        </w:rPr>
        <w:t xml:space="preserve">Obecní hřiště a jeho budoucnost byla již řešena v minulosti, přičemž mezi zastupiteli nebylo dosaženo shody, jak s hřištěm naložit. Někteří zastupitelé by vzhledem k jeho umístění a stavu pozemek hřiště prodali, jiní by naopak uvítali jeho revitalizaci. Tak či tak, je nutné jej řešit. Jestli se obec přikloní spíše k prodeji pozemku či k revitalizaci a modernizaci obce, rozhodnou nejspíše noví zastupitelé zvolení v komunálních volbách konaných na podzim roku 2022. </w:t>
      </w:r>
    </w:p>
    <w:p w14:paraId="4E8CA6B7"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rPr>
        <w:br w:type="page"/>
      </w:r>
    </w:p>
    <w:p w14:paraId="04E49393"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lastRenderedPageBreak/>
        <w:t>Usilovat o častější kontrolu rychlosti motorových vozidel</w:t>
      </w:r>
    </w:p>
    <w:p w14:paraId="4FFE20C1"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Měření rychlosti vozidel v obci bylo zmíněno několika respondenty v rámci dotazníkového šetření a některými přítomnými občany i prioritizováno na veřejném projednávání. V tomto směru je však nutné podotknout, že měřit rychlost může pouze státní či městská/obecní policie. Obecní policie v obci Staré Buky není. Úspěšnost aktivity navíc souvisí i na řadě dalších faktorů – např. povolení dopravního inspektorátu, souhlas ORP Trutnov, která by musela řešit na svém úřadě vypořádání přestupků apod.</w:t>
      </w:r>
    </w:p>
    <w:p w14:paraId="633B6859"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Z výše uvedeného výčtu vyplývá, že role obce je v tomto směru velmi omezená a spočívá v podstatě pouze v komunikaci s dotčenými orgány. Nabízí se i varianta uzavření veřejnoprávní smlouvy s městskou policií Trutnov, která by za domluvených podmínek mohla měření rychlosti v obci zajišťovat.</w:t>
      </w:r>
    </w:p>
    <w:p w14:paraId="791F0F2C" w14:textId="77777777" w:rsidR="00B86EC0" w:rsidRPr="00B86EC0" w:rsidRDefault="00B86EC0" w:rsidP="00B86EC0">
      <w:pPr>
        <w:spacing w:after="160" w:line="259" w:lineRule="auto"/>
        <w:rPr>
          <w:rFonts w:ascii="Calibri" w:eastAsia="Calibri" w:hAnsi="Calibri" w:cs="Times New Roman"/>
        </w:rPr>
      </w:pPr>
    </w:p>
    <w:p w14:paraId="3795F9F4"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Intenzivněji spolupracovat s okolními obcemi</w:t>
      </w:r>
    </w:p>
    <w:p w14:paraId="0FA2DFEF"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Jak je již zmíněno v analytické části, v kap. 2.1.7.4 Partnerství obce – Spolupráce se subjekty mimo obec, spolupráce s okolními obcemi je </w:t>
      </w:r>
      <w:r w:rsidRPr="00B86EC0">
        <w:rPr>
          <w:rFonts w:ascii="Calibri" w:eastAsia="RWXLTG+TimesNewRoman" w:hAnsi="Calibri" w:cs="RWXLTG+TimesNewRoman"/>
          <w:bCs/>
        </w:rPr>
        <w:t>z pohledu obecního úřadu vnímána jako velmi dobrá. Potenciál však obec má v ještě intenzivnější spolupráci s okolními obcemi, a to jak z pohledu tematické spolupráce, tak z pohledu četnosti aktivit.</w:t>
      </w:r>
    </w:p>
    <w:p w14:paraId="76758294" w14:textId="77777777" w:rsidR="00B86EC0" w:rsidRPr="00B86EC0" w:rsidRDefault="00B86EC0" w:rsidP="00B86EC0">
      <w:pPr>
        <w:spacing w:after="160" w:line="259" w:lineRule="auto"/>
        <w:jc w:val="both"/>
        <w:rPr>
          <w:rFonts w:ascii="Calibri" w:eastAsia="Calibri" w:hAnsi="Calibri" w:cs="Times New Roman"/>
        </w:rPr>
      </w:pPr>
    </w:p>
    <w:p w14:paraId="151F4ECC"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Využít znalostí a dovedností živnostníků působících v obci za účelem rozvoje obce</w:t>
      </w:r>
    </w:p>
    <w:p w14:paraId="6D1E924B"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jednání pracovní skupiny bylo zmíněno, že příležitostí pro rozvoj obce by mohlo být využití znalostí a dovedností živnostníků působících v obci. Jejich aktivity jsou různorodé a využití jejich služeb by mohlo vést jednak k lepší vzájemné komunikaci a spolupráci, tak obecně k podpoře lepšího vzhledu některých míst v obci apod.</w:t>
      </w:r>
    </w:p>
    <w:p w14:paraId="48DF2B33" w14:textId="77777777" w:rsidR="00B86EC0" w:rsidRPr="00B86EC0" w:rsidRDefault="00B86EC0" w:rsidP="00B86EC0">
      <w:pPr>
        <w:spacing w:after="160" w:line="259" w:lineRule="auto"/>
        <w:jc w:val="both"/>
        <w:rPr>
          <w:rFonts w:ascii="Calibri" w:eastAsia="Calibri" w:hAnsi="Calibri" w:cs="Times New Roman"/>
        </w:rPr>
      </w:pPr>
    </w:p>
    <w:p w14:paraId="3489295B"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Podporovat další rozvoj moderních technologií</w:t>
      </w:r>
    </w:p>
    <w:p w14:paraId="0D045C22"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Jak je již zmíněno v analytické části, v kap. 2.1.7.1 Obecní úřad a kompetence obce, obec Staré Buky již určité služby, které by šly zařadit pod moderní technologie, poskytuje, např. službu Czech POINT.</w:t>
      </w:r>
    </w:p>
    <w:p w14:paraId="7B4F302E"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Vzhledem k rychlému technologickému vývoji je důležité jít tzv. „s dobou“ a na tento vývoj v čase reagovat a podle potřeby a poptávky další prvky eGovernmentu poskytovat, což v konečném důsledku povede ke zvýšení efektivnosti poskytování služeb občanům a ke zlepšení komunikace mezi orgány veřejné správy a občany. Jako příklady lze zmínit např. elektronické úřední formuláře, zavedení informačního systému (viz aktivita v rámci opatření 1.2.2), portál eObec at</w:t>
      </w:r>
      <w:bookmarkEnd w:id="578"/>
      <w:r w:rsidRPr="00B86EC0">
        <w:rPr>
          <w:rFonts w:ascii="Calibri" w:eastAsia="Calibri" w:hAnsi="Calibri" w:cs="Times New Roman"/>
        </w:rPr>
        <w:t>d.</w:t>
      </w:r>
    </w:p>
    <w:p w14:paraId="27F85EE1" w14:textId="77777777" w:rsidR="00B86EC0" w:rsidRPr="00B86EC0" w:rsidRDefault="00B86EC0" w:rsidP="00B86EC0">
      <w:pPr>
        <w:spacing w:after="160" w:line="259" w:lineRule="auto"/>
        <w:rPr>
          <w:rFonts w:ascii="Calibri" w:eastAsia="Calibri" w:hAnsi="Calibri" w:cs="Times New Roman"/>
        </w:rPr>
        <w:sectPr w:rsidR="00B86EC0" w:rsidRPr="00B86EC0">
          <w:footerReference w:type="default" r:id="rId157"/>
          <w:pgSz w:w="11906" w:h="16838"/>
          <w:pgMar w:top="1417" w:right="1417" w:bottom="1417" w:left="1417" w:header="708" w:footer="708" w:gutter="0"/>
          <w:cols w:space="708"/>
          <w:docGrid w:linePitch="360"/>
        </w:sectPr>
      </w:pPr>
    </w:p>
    <w:p w14:paraId="7E5CB57A" w14:textId="77777777" w:rsidR="00B86EC0" w:rsidRPr="00B86EC0" w:rsidRDefault="00B86EC0" w:rsidP="00B86EC0">
      <w:pPr>
        <w:spacing w:after="160" w:line="259" w:lineRule="auto"/>
        <w:outlineLvl w:val="2"/>
        <w:rPr>
          <w:rFonts w:ascii="Calibri" w:eastAsia="Calibri" w:hAnsi="Calibri" w:cs="Times New Roman"/>
          <w:b/>
          <w:bCs/>
          <w:sz w:val="28"/>
          <w:szCs w:val="28"/>
        </w:rPr>
      </w:pPr>
      <w:bookmarkStart w:id="580" w:name="_Toc120652174"/>
      <w:r w:rsidRPr="00B86EC0">
        <w:rPr>
          <w:rStyle w:val="Nadpis3Char"/>
        </w:rPr>
        <w:lastRenderedPageBreak/>
        <w:t>3.2.3 Klíčová oblast rozvoje VOLNÝ ČAS</w:t>
      </w:r>
      <w:bookmarkEnd w:id="580"/>
      <w:r w:rsidRPr="00B86EC0">
        <w:rPr>
          <w:rFonts w:ascii="Calibri" w:eastAsia="Calibri" w:hAnsi="Calibri" w:cs="Times New Roman"/>
          <w:b/>
          <w:bCs/>
          <w:noProof/>
          <w:sz w:val="28"/>
          <w:szCs w:val="28"/>
          <w:lang w:eastAsia="cs-CZ"/>
        </w:rPr>
        <w:drawing>
          <wp:inline distT="0" distB="0" distL="0" distR="0" wp14:anchorId="692D2A02" wp14:editId="04B1844B">
            <wp:extent cx="8858885" cy="5311140"/>
            <wp:effectExtent l="0" t="0" r="0" b="0"/>
            <wp:docPr id="55"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14:paraId="45AAFE0F" w14:textId="77777777" w:rsidR="00B86EC0" w:rsidRPr="00B86EC0" w:rsidRDefault="00B86EC0" w:rsidP="00B86EC0">
      <w:pPr>
        <w:spacing w:after="160" w:line="259" w:lineRule="auto"/>
        <w:rPr>
          <w:rFonts w:ascii="Calibri" w:eastAsia="Calibri" w:hAnsi="Calibri" w:cs="Times New Roman"/>
        </w:rPr>
        <w:sectPr w:rsidR="00B86EC0" w:rsidRPr="00B86EC0" w:rsidSect="008752A5">
          <w:footerReference w:type="default" r:id="rId163"/>
          <w:pgSz w:w="16838" w:h="11906" w:orient="landscape"/>
          <w:pgMar w:top="1417" w:right="1417" w:bottom="1417" w:left="1417" w:header="708" w:footer="708" w:gutter="0"/>
          <w:cols w:space="708"/>
          <w:docGrid w:linePitch="360"/>
        </w:sectPr>
      </w:pPr>
    </w:p>
    <w:p w14:paraId="4BE15F4A" w14:textId="77777777" w:rsidR="00B86EC0" w:rsidRPr="00B86EC0" w:rsidRDefault="00B86EC0" w:rsidP="00B86EC0">
      <w:pPr>
        <w:spacing w:after="160" w:line="259" w:lineRule="auto"/>
        <w:rPr>
          <w:rFonts w:ascii="Calibri" w:eastAsia="Calibri" w:hAnsi="Calibri" w:cs="Times New Roman"/>
          <w:b/>
          <w:bCs/>
          <w:sz w:val="24"/>
          <w:szCs w:val="24"/>
        </w:rPr>
      </w:pPr>
      <w:bookmarkStart w:id="581" w:name="_Hlk109834806"/>
      <w:r w:rsidRPr="00B86EC0">
        <w:rPr>
          <w:rFonts w:ascii="Calibri" w:eastAsia="Calibri" w:hAnsi="Calibri" w:cs="Times New Roman"/>
          <w:b/>
          <w:bCs/>
          <w:sz w:val="24"/>
          <w:szCs w:val="24"/>
          <w:shd w:val="clear" w:color="auto" w:fill="FFD966"/>
        </w:rPr>
        <w:lastRenderedPageBreak/>
        <w:t>Cíl 3.1: Zvýšit nabídku možností souvisejících s trávením volného času</w:t>
      </w:r>
    </w:p>
    <w:p w14:paraId="20116B8F"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Smyslem strategického cíle je zvýšení počtu volnočasových možností, které mají místní obyvatelé, ale i návštěvníci v obci k dispozici. Díky tomuto navýšení budou mít především obyvatelé obce i turisté větší výběr, jak a zároveň kde trávit volný čas.</w:t>
      </w:r>
    </w:p>
    <w:p w14:paraId="5757FFF9" w14:textId="77777777" w:rsidR="00B86EC0" w:rsidRPr="00B86EC0" w:rsidRDefault="00B86EC0" w:rsidP="00B86EC0">
      <w:pPr>
        <w:spacing w:after="160" w:line="259" w:lineRule="auto"/>
        <w:jc w:val="both"/>
        <w:rPr>
          <w:rFonts w:ascii="Calibri" w:eastAsia="Calibri" w:hAnsi="Calibri" w:cs="Times New Roman"/>
          <w:b/>
          <w:bCs/>
        </w:rPr>
      </w:pPr>
    </w:p>
    <w:p w14:paraId="6603E80B"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t>Opatření 3.1.1: Zvýšit variabilitu kulturně-společenského vyžití</w:t>
      </w:r>
      <w:r w:rsidRPr="00B86EC0">
        <w:rPr>
          <w:rFonts w:ascii="Calibri" w:eastAsia="Calibri" w:hAnsi="Calibri" w:cs="Times New Roman"/>
        </w:rPr>
        <w:t xml:space="preserve"> </w:t>
      </w:r>
      <w:r w:rsidRPr="00B86EC0">
        <w:rPr>
          <w:rFonts w:ascii="Calibri" w:eastAsia="Calibri" w:hAnsi="Calibri" w:cs="Times New Roman"/>
          <w:b/>
          <w:bCs/>
        </w:rPr>
        <w:t>v obci</w:t>
      </w:r>
    </w:p>
    <w:p w14:paraId="3EE9E01D"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Opatření je zaměřeno na rozšíření možností kulturně-společenského vyžití v obci prostřednictvím založené tradice a pořádání většího spektra společenských aktivit.</w:t>
      </w:r>
    </w:p>
    <w:p w14:paraId="2D478484" w14:textId="77777777" w:rsidR="00B86EC0" w:rsidRPr="00B86EC0" w:rsidRDefault="00B86EC0" w:rsidP="00B86EC0">
      <w:pPr>
        <w:spacing w:after="160" w:line="259" w:lineRule="auto"/>
        <w:jc w:val="both"/>
        <w:rPr>
          <w:rFonts w:ascii="Calibri" w:eastAsia="Calibri" w:hAnsi="Calibri" w:cs="Times New Roman"/>
        </w:rPr>
      </w:pPr>
    </w:p>
    <w:p w14:paraId="2BB37679"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t>Pořádat každoročně Den obce</w:t>
      </w:r>
    </w:p>
    <w:p w14:paraId="1ED4D47A"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Z diskuze na jednání pracovní skupiny vyplynulo, že by v obci mohla být založena kulturně-společenská tradice, což by mělo přispět k větší soudržnosti a sounáležitosti obyvatel s obcí. Na veřejném projednávání bylo toto téma také diskutováno a řada přítomných občanů tento návrh i prioritizovala. V obci se jednou za čas k určitému výročí od vzniku obce pořádal Den obce. Členové realizačního týmu se shodli, že by tato akce mohla být pořádána každý rok, v čemž spočívá i realizace této aktivity.</w:t>
      </w:r>
    </w:p>
    <w:p w14:paraId="65E821F6" w14:textId="77777777" w:rsidR="00B86EC0" w:rsidRPr="00B86EC0" w:rsidRDefault="00B86EC0" w:rsidP="00B86EC0">
      <w:pPr>
        <w:spacing w:after="160" w:line="259" w:lineRule="auto"/>
        <w:rPr>
          <w:rFonts w:ascii="Calibri" w:eastAsia="Calibri" w:hAnsi="Calibri" w:cs="Times New Roman"/>
        </w:rPr>
      </w:pPr>
    </w:p>
    <w:p w14:paraId="156BCBD0"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t>Pořádat více kulturně-společenských aktivit v obci</w:t>
      </w:r>
    </w:p>
    <w:p w14:paraId="63769E30"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 dotazníkovém šetření bylo uvedeno a na veřejném projednávání také zmíněno, že by v obci mohlo být pořádáno více kulturně-společenských aktivit. Mohlo by se jednat o akce s novým tematickým zaměřením či zaměřené na určitou věkovou kategorii (např. pro dospělé, pro děti, pro seniory apod.). Je doporučeno počet kulturně-společenských aktivit v obci navýšit, k čemuž vybízí i to, že by v budoucnu mělo v obci fungovat multifunkční společenské centrum (viz aktivita v rámci opatření 2.1.1).</w:t>
      </w:r>
    </w:p>
    <w:p w14:paraId="589F770B" w14:textId="77777777" w:rsidR="00B86EC0" w:rsidRPr="00B86EC0" w:rsidRDefault="00B86EC0" w:rsidP="00B86EC0">
      <w:pPr>
        <w:spacing w:after="160" w:line="259" w:lineRule="auto"/>
        <w:rPr>
          <w:rFonts w:ascii="Calibri" w:eastAsia="Calibri" w:hAnsi="Calibri" w:cs="Times New Roman"/>
        </w:rPr>
      </w:pPr>
    </w:p>
    <w:p w14:paraId="78A6D881" w14:textId="77777777" w:rsidR="00B86EC0" w:rsidRPr="00B86EC0" w:rsidRDefault="00B86EC0" w:rsidP="00B86EC0">
      <w:pPr>
        <w:spacing w:after="160"/>
        <w:rPr>
          <w:rFonts w:ascii="Calibri" w:eastAsia="Calibri" w:hAnsi="Calibri" w:cs="Times New Roman"/>
          <w:u w:val="single"/>
        </w:rPr>
      </w:pPr>
      <w:r w:rsidRPr="00B86EC0">
        <w:rPr>
          <w:rFonts w:ascii="Calibri" w:eastAsia="Calibri" w:hAnsi="Calibri" w:cs="Times New Roman"/>
          <w:u w:val="single"/>
        </w:rPr>
        <w:t xml:space="preserve">Podporovat činnosti ze strany zájmových spolků formou snahy existence více aktivit a akcí pro mládež </w:t>
      </w:r>
    </w:p>
    <w:p w14:paraId="33CCC234"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 dotazníkovém šetření i na veřejném projednávání bylo zmíněno, a i některými přítomnými prioritizováno, že by bylo dobré, kdyby bylo více aktivit a akcí pro děti a mládež. Může se jednat o pravidelné aktivity typu kroužků či o nárazové aktivity typu konkrétní akce. V tomto směru se nabízí využít zkušeností místních zájmových aktivních spolků. Jako příklad lze zmínit fotbalový či myslivecký kroužek či sportovní odpoledne pro děti na fotbalovém hřišti. Role obce by v tomto případě byla podpůrná, přičemž by mohla finančně na dané aktivity přispět či např. prostřednictvím zapůjčení určitého vybavení.</w:t>
      </w:r>
    </w:p>
    <w:p w14:paraId="514309C0" w14:textId="77777777" w:rsidR="00B86EC0" w:rsidRPr="00B86EC0" w:rsidRDefault="00B86EC0" w:rsidP="00B86EC0">
      <w:pPr>
        <w:spacing w:after="160" w:line="259" w:lineRule="auto"/>
        <w:rPr>
          <w:rFonts w:ascii="Calibri" w:eastAsia="Calibri" w:hAnsi="Calibri" w:cs="Times New Roman"/>
        </w:rPr>
      </w:pPr>
    </w:p>
    <w:p w14:paraId="13D9E1D2"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t>Opatření 3.1.2: Zvyšovat variabilitu dostupné volnočasové infrastruktury</w:t>
      </w:r>
    </w:p>
    <w:p w14:paraId="28B8EB50"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Opatření je zaměřeno na zvýšení počtu dostupné volnočasové infrastruktury, kterou mají místní obyvatelé, ale i návštěvníci v obci k dispozici. Díky tomuto navýšení budou mít obyvatelé obce i turisté větší výběr, jak trávit volný čas sportovní či jinou pohybovou činností.</w:t>
      </w:r>
    </w:p>
    <w:p w14:paraId="7672130B" w14:textId="77777777" w:rsidR="00B86EC0" w:rsidRPr="00B86EC0" w:rsidRDefault="00B86EC0" w:rsidP="00B86EC0">
      <w:pPr>
        <w:spacing w:after="160" w:line="259" w:lineRule="auto"/>
        <w:rPr>
          <w:rFonts w:ascii="Calibri" w:eastAsia="Calibri" w:hAnsi="Calibri" w:cs="Times New Roman"/>
        </w:rPr>
      </w:pPr>
      <w:r w:rsidRPr="00B86EC0">
        <w:rPr>
          <w:rFonts w:ascii="Calibri" w:eastAsia="Calibri" w:hAnsi="Calibri" w:cs="Times New Roman"/>
          <w:u w:val="single"/>
        </w:rPr>
        <w:lastRenderedPageBreak/>
        <w:t>Vybudovat trailové či pumptrackové hřiště</w:t>
      </w:r>
    </w:p>
    <w:p w14:paraId="11518E53"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veřejném projednávání bylo uvedeno, že by bylo dobré rozšířit spektrum možnosti trávení volného času pro děti a mládež. Konkrétně byla zmíněna např. existence trailového či pumptrackového hřiště. Nemělo by se jednat o nic velkého a drahého. Vhodným prostorem, kde by toto hřiště mohlo vzniknout, je centrum obce v okolí zámečku.</w:t>
      </w:r>
    </w:p>
    <w:p w14:paraId="00CDCD6A" w14:textId="77777777" w:rsidR="00B86EC0" w:rsidRPr="00B86EC0" w:rsidRDefault="00B86EC0" w:rsidP="00B86EC0">
      <w:pPr>
        <w:spacing w:after="160" w:line="259" w:lineRule="auto"/>
        <w:jc w:val="both"/>
        <w:rPr>
          <w:rFonts w:ascii="Calibri" w:eastAsia="Calibri" w:hAnsi="Calibri" w:cs="Times New Roman"/>
        </w:rPr>
      </w:pPr>
    </w:p>
    <w:p w14:paraId="724E0504"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Uvažovat o vytvoření workoutového hřiště</w:t>
      </w:r>
    </w:p>
    <w:p w14:paraId="36235C6C"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Workoutové hřiště je venkovní hřiště, které je tvořeno různorodými prvky, které slouží k procvičování a posilování základních svalových skupin. Součástí hřiště by mohly být i některé doprovodné prvky (např. lavičky pro posezení a odpočinek). Využití workoutového hřiště je vhodné pro všechny věkové kategorie obyvatel, tj. jak pro děti a mládež, dospělé i seniory.</w:t>
      </w:r>
    </w:p>
    <w:p w14:paraId="059D64E5"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Z výše uvedeného popisu se nabízí uvažovat o vybudování zmíněného hřiště. I toto hřiště by mohlo být součástí prostranství v centru obce v okolí budovy zámečku.</w:t>
      </w:r>
    </w:p>
    <w:p w14:paraId="02344783" w14:textId="77777777" w:rsidR="00B86EC0" w:rsidRPr="00B86EC0" w:rsidRDefault="00B86EC0" w:rsidP="00B86EC0">
      <w:pPr>
        <w:spacing w:after="160" w:line="259" w:lineRule="auto"/>
        <w:rPr>
          <w:rFonts w:ascii="Calibri" w:eastAsia="Calibri" w:hAnsi="Calibri" w:cs="Times New Roman"/>
        </w:rPr>
      </w:pPr>
    </w:p>
    <w:p w14:paraId="2AA82769" w14:textId="77777777" w:rsidR="00B86EC0" w:rsidRPr="00B86EC0" w:rsidRDefault="00B86EC0" w:rsidP="00B86EC0">
      <w:pPr>
        <w:spacing w:after="160"/>
        <w:ind w:left="794" w:hanging="794"/>
        <w:jc w:val="both"/>
        <w:rPr>
          <w:rFonts w:ascii="Calibri" w:eastAsia="Calibri" w:hAnsi="Calibri" w:cs="Times New Roman"/>
          <w:b/>
          <w:bCs/>
          <w:sz w:val="24"/>
          <w:szCs w:val="24"/>
        </w:rPr>
      </w:pPr>
      <w:r w:rsidRPr="00B86EC0">
        <w:rPr>
          <w:rFonts w:ascii="Calibri" w:eastAsia="Calibri" w:hAnsi="Calibri" w:cs="Times New Roman"/>
          <w:b/>
          <w:bCs/>
          <w:sz w:val="24"/>
          <w:szCs w:val="24"/>
          <w:shd w:val="clear" w:color="auto" w:fill="FFD966"/>
        </w:rPr>
        <w:t>Cíl 3.2: Rozvíjet komunitní život v obci formou podpory aktivního trávení volného času a zapojení do dění v obci</w:t>
      </w:r>
    </w:p>
    <w:p w14:paraId="0FFCB12E"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Strategický cíl je zaměřen na utužení společenského života v obci, kterého by mělo být docíleno prostřednictvím rozvoje a podpory aktivního trávení volného času místních obyvatel. Dále je cíl zaměřen i na snahu více zapojovat místní obyvatele do dění v obci.</w:t>
      </w:r>
    </w:p>
    <w:p w14:paraId="6C25E782" w14:textId="77777777" w:rsidR="00B86EC0" w:rsidRPr="00B86EC0" w:rsidRDefault="00B86EC0" w:rsidP="00B86EC0">
      <w:pPr>
        <w:spacing w:after="160" w:line="259" w:lineRule="auto"/>
        <w:rPr>
          <w:rFonts w:ascii="Calibri" w:eastAsia="Calibri" w:hAnsi="Calibri" w:cs="Times New Roman"/>
        </w:rPr>
      </w:pPr>
    </w:p>
    <w:p w14:paraId="052F501B"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t>Opatření 3.2.1: Usilovat o posílení sepjetí a soudržnosti místních obyvatel</w:t>
      </w:r>
    </w:p>
    <w:p w14:paraId="0320C240"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Smyslem tohoto opatření je snaha posílit vztahy místních obyvatel mezi sebou navzájem a rozvoj </w:t>
      </w:r>
      <w:r w:rsidRPr="00B86EC0">
        <w:rPr>
          <w:rFonts w:ascii="Calibri" w:eastAsia="Calibri" w:hAnsi="Calibri" w:cs="Times New Roman"/>
        </w:rPr>
        <w:br/>
        <w:t>a posilování vzájemné soudržnosti a pospolitosti s obcí jako takovou.</w:t>
      </w:r>
    </w:p>
    <w:p w14:paraId="1AC8CBB2" w14:textId="77777777" w:rsidR="00B86EC0" w:rsidRPr="00B86EC0" w:rsidRDefault="00B86EC0" w:rsidP="00B86EC0">
      <w:pPr>
        <w:spacing w:after="160" w:line="259" w:lineRule="auto"/>
        <w:jc w:val="both"/>
        <w:rPr>
          <w:rFonts w:ascii="Calibri" w:eastAsia="Calibri" w:hAnsi="Calibri" w:cs="Times New Roman"/>
        </w:rPr>
      </w:pPr>
    </w:p>
    <w:p w14:paraId="243B3938"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 xml:space="preserve">Podporovat aktivní spolky/osoby pořádající různorodé společenské aktivity </w:t>
      </w:r>
    </w:p>
    <w:p w14:paraId="0F0EE3C0"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Na setkání pracovní skupiny bylo zmíněno, že je důležitá podpora aktivních spolků a osob, které v obci pořádají různorodé společenské aktivity. Obec již v současné době aktivní spolky podporuje a je důležité v tom pokračovat i nadále. Představitelé obce si tak uvědomují význam spolkové činnosti, a proto bude i nadále ze strany obce podporována. </w:t>
      </w:r>
    </w:p>
    <w:p w14:paraId="4943FE63" w14:textId="77777777" w:rsidR="00B86EC0" w:rsidRPr="00B86EC0" w:rsidRDefault="00B86EC0" w:rsidP="00B86EC0">
      <w:pPr>
        <w:spacing w:after="160" w:line="259" w:lineRule="auto"/>
        <w:rPr>
          <w:rFonts w:ascii="Calibri" w:eastAsia="Calibri" w:hAnsi="Calibri" w:cs="Times New Roman"/>
        </w:rPr>
      </w:pPr>
    </w:p>
    <w:p w14:paraId="5082FA4D"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Vyhlašovat dobrovolnické brigády</w:t>
      </w:r>
    </w:p>
    <w:p w14:paraId="4BC929BF"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Na otázku v dotazníku, jak se daná osoba může zapojit do rozvoje obce, bylo několika respondenty zmíněno, že by pomohli např. s úklidem obce či podle potřeby. V některých velikostně podobných obcích se osvědčily tzv. dobrovolnické brigády, v jejichž rámci občané společně uklidili určité veřejné prostranství, sesbírali odpadky apod. Společně následně opekli u toho špekáčky, dali si pivo a v konečném důsledku to vedlo mj. i k podpoře sounáležitosti místní komunity. Vzhledem k dobrým zkušenostem s těmito akcemi by mohlo být pořádání dobrovolnické brigády inspirací. </w:t>
      </w:r>
    </w:p>
    <w:p w14:paraId="7F53730D"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lastRenderedPageBreak/>
        <w:t>Z toho důvodu je doporučeno to alespoň vyzkoušet, přičemž následně by se uvidělo, jestli se akce setká s pozitivním ohlasem či nikoliv. Pokud ano, četnost brigád by nemusela být nikterak velká, mohlo by se jednat např. o jednu či dvě brigády ročně.</w:t>
      </w:r>
    </w:p>
    <w:p w14:paraId="3F71C4CA" w14:textId="77777777" w:rsidR="00B86EC0" w:rsidRPr="00B86EC0" w:rsidRDefault="00B86EC0" w:rsidP="00B86EC0">
      <w:pPr>
        <w:spacing w:after="160" w:line="259" w:lineRule="auto"/>
        <w:jc w:val="both"/>
        <w:rPr>
          <w:rFonts w:ascii="Calibri" w:eastAsia="Calibri" w:hAnsi="Calibri" w:cs="Times New Roman"/>
        </w:rPr>
      </w:pPr>
    </w:p>
    <w:p w14:paraId="0A975805"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Uvažovat o pořízení obecního mikrobusu či tranzitu</w:t>
      </w:r>
    </w:p>
    <w:p w14:paraId="6B187B1A" w14:textId="77777777" w:rsidR="00B86EC0" w:rsidRPr="00B86EC0" w:rsidRDefault="00B86EC0" w:rsidP="00B86EC0">
      <w:pPr>
        <w:spacing w:after="160" w:line="259" w:lineRule="auto"/>
        <w:jc w:val="both"/>
        <w:rPr>
          <w:rFonts w:ascii="Calibri" w:eastAsia="Calibri" w:hAnsi="Calibri" w:cs="Times New Roman"/>
          <w:u w:val="single"/>
        </w:rPr>
      </w:pPr>
      <w:r w:rsidRPr="00B86EC0">
        <w:rPr>
          <w:rFonts w:ascii="Calibri" w:eastAsia="Calibri" w:hAnsi="Calibri" w:cs="Times New Roman"/>
        </w:rPr>
        <w:t>Na setkání pracovní skupiny byl zmíněn námět, že by obec mohla disponovat obecním mikrobusem či alespoň tranzitem. Dopravní prostředek by mohl být využit různorodými způsoby, přičemž jedním ze způsobů by bylo využití jako dopravy za volnočasovými aktivitami, což by se mohlo týkat všech věkových kategorií obyvatel. Mohlo by se jednat o společný výlet na zvolené místo apod. Dále by dopravní prostředek mohl být využit i pro svoz osob v důchodovém věku k doktorům, na nákup apod.</w:t>
      </w:r>
    </w:p>
    <w:p w14:paraId="253772A2"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Vzhledem k faktu, že obec podobným dopravním prostředkem nedisponuje, je doporučeno o koupi obecního mikrobusu či tranzitu alespoň uvažovat. V úvahu připadá i otázka sdílení prostředku s okolními obcemi, pokud by se podařilo vymyslet optimální systém zapůjčování a správy dopravního prostředku.</w:t>
      </w:r>
    </w:p>
    <w:p w14:paraId="5B3570C4" w14:textId="77777777" w:rsidR="00B86EC0" w:rsidRPr="00B86EC0" w:rsidRDefault="00B86EC0" w:rsidP="00B86EC0">
      <w:pPr>
        <w:spacing w:after="160" w:line="259" w:lineRule="auto"/>
        <w:jc w:val="both"/>
        <w:rPr>
          <w:rFonts w:ascii="Calibri" w:eastAsia="Calibri" w:hAnsi="Calibri" w:cs="Times New Roman"/>
        </w:rPr>
      </w:pPr>
    </w:p>
    <w:p w14:paraId="2C33E6B9" w14:textId="77777777" w:rsidR="00B86EC0" w:rsidRPr="00B86EC0" w:rsidRDefault="00B86EC0" w:rsidP="00B86EC0">
      <w:pPr>
        <w:spacing w:after="160" w:line="259" w:lineRule="auto"/>
        <w:rPr>
          <w:rFonts w:ascii="Calibri" w:eastAsia="Calibri" w:hAnsi="Calibri" w:cs="Times New Roman"/>
          <w:b/>
          <w:bCs/>
        </w:rPr>
      </w:pPr>
      <w:r w:rsidRPr="00B86EC0">
        <w:rPr>
          <w:rFonts w:ascii="Calibri" w:eastAsia="Calibri" w:hAnsi="Calibri" w:cs="Times New Roman"/>
          <w:b/>
          <w:bCs/>
        </w:rPr>
        <w:t>Opatření 3.2.2: Podporovat a usilovat o zvýšení zapojení obyvatel do dění v obci</w:t>
      </w:r>
    </w:p>
    <w:p w14:paraId="5E2700AD"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Opatření obsahuje aktivity, jejichž realizací by měli být obyvatelé obce více vtaženi do dění v obci a měl by být aktivován jejich větší zájem o to, co se v obci děje, probíhá či pořádá.</w:t>
      </w:r>
    </w:p>
    <w:p w14:paraId="1951D2E7" w14:textId="77777777" w:rsidR="00B86EC0" w:rsidRPr="00B86EC0" w:rsidRDefault="00B86EC0" w:rsidP="00B86EC0">
      <w:pPr>
        <w:spacing w:after="160" w:line="259" w:lineRule="auto"/>
        <w:rPr>
          <w:rFonts w:ascii="Calibri" w:eastAsia="Calibri" w:hAnsi="Calibri" w:cs="Times New Roman"/>
        </w:rPr>
      </w:pPr>
    </w:p>
    <w:p w14:paraId="7314AA87"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 xml:space="preserve">Zavést průběžné vyhodnocování plnění dlouhodobých plánů týkajících se rozvoje a správy obce </w:t>
      </w:r>
    </w:p>
    <w:p w14:paraId="7ADEE93C"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veřejném projednávání byl zmíněn námět, že by bylo dobré jednou či dvakrát do roka zorganizovat veřejné zasedání občanů. Nejednalo by se o zasedání zastupitelstva jako takového, ale o tzv. bilanční setkávání. Na těchto setkáních by bylo průběžně vyhodnocováno plnění dlouhodobých plánů a záměrů, které se týkají především rozvoje, ale i správy obce. Vyhodnocování by mohlo být provedeno dvakrát ročně prostřednictvím schůzky v sále hospody U Smrku (v budoucnu v sále multifunkčního centra), kde by vedení obce zhodnotilo, co se v daném roce podařilo splnit, co naopak ne, jaké byly důvody nesplnění některých věcí apod.</w:t>
      </w:r>
    </w:p>
    <w:p w14:paraId="54A6AE16" w14:textId="77777777" w:rsidR="00B86EC0" w:rsidRPr="00B86EC0" w:rsidRDefault="00B86EC0" w:rsidP="00B86EC0">
      <w:pPr>
        <w:spacing w:after="160" w:line="259" w:lineRule="auto"/>
        <w:rPr>
          <w:rFonts w:ascii="Calibri" w:eastAsia="Calibri" w:hAnsi="Calibri" w:cs="Times New Roman"/>
        </w:rPr>
      </w:pPr>
    </w:p>
    <w:p w14:paraId="1971759C" w14:textId="77777777" w:rsidR="00B86EC0" w:rsidRPr="00B86EC0" w:rsidRDefault="00B86EC0" w:rsidP="00B86EC0">
      <w:pPr>
        <w:spacing w:after="160" w:line="259" w:lineRule="auto"/>
        <w:rPr>
          <w:rFonts w:ascii="Calibri" w:eastAsia="Calibri" w:hAnsi="Calibri" w:cs="Times New Roman"/>
          <w:u w:val="single"/>
        </w:rPr>
      </w:pPr>
      <w:r w:rsidRPr="00B86EC0">
        <w:rPr>
          <w:rFonts w:ascii="Calibri" w:eastAsia="Calibri" w:hAnsi="Calibri" w:cs="Times New Roman"/>
          <w:u w:val="single"/>
        </w:rPr>
        <w:t>Usilovat o větší zapojení mladších skupin obyvatel do rozhodovacích mechanismů obce</w:t>
      </w:r>
    </w:p>
    <w:p w14:paraId="30B99F90"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Na jednání pracovní skupiny byl nadnesen návrh, že by bylo dobré, kdyby se podařilo více zapojit mladší skupiny obyvatel do rozhodovacích mechanismů obce. Tím by byl iniciován jejich větší zájem o dění v obci. V důsledku jejich většího zapojení by došlo k provázání různých generací, čímž by mohlo dojít k intenzivnějšímu předávání zkušeností mezi staršími a mladšími a zároveň k budování zodpovědnosti za budoucí rozvoj obce jako takové.</w:t>
      </w:r>
    </w:p>
    <w:bookmarkEnd w:id="581"/>
    <w:p w14:paraId="5C2B3280"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br w:type="page"/>
      </w:r>
    </w:p>
    <w:p w14:paraId="003D3484" w14:textId="77777777" w:rsidR="00B86EC0" w:rsidRPr="00B86EC0" w:rsidRDefault="00B86EC0" w:rsidP="00962D34">
      <w:pPr>
        <w:pStyle w:val="Nadpis2"/>
      </w:pPr>
      <w:bookmarkStart w:id="582" w:name="_Toc120652175"/>
      <w:r w:rsidRPr="00B86EC0">
        <w:lastRenderedPageBreak/>
        <w:t>3.3 Podpora realizace Programu rozvoje</w:t>
      </w:r>
      <w:bookmarkEnd w:id="582"/>
    </w:p>
    <w:p w14:paraId="47146187"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 xml:space="preserve">Nezbytnou součástí PRO je zajištění jeho realizace. Bude stanovena osoba tzv. garant PRO, který bude zároveň jeho iniciátorem. Iniciátor bude koordinovat všechny činnosti spojené s realizací a aktualizacemi PRO. </w:t>
      </w:r>
    </w:p>
    <w:p w14:paraId="73EE4D03"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Dále bude stanoven časový harmonogram realizace jednotlivých aktivit a zároveň bude definováno, kde bude možné do PRO nahlédnout.</w:t>
      </w:r>
    </w:p>
    <w:p w14:paraId="180D5392" w14:textId="77777777" w:rsidR="00B86EC0" w:rsidRP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Postupné sledování a vyhodnocování realizace PRO bude zajištěno prostřednictvím navržených monitorovacích indikátorů. Díky monitoringu, který by měl být prováděn pravidelně (nejlépe jednou za rok), bude patrné, zda se daří PRO naplňovat.</w:t>
      </w:r>
    </w:p>
    <w:p w14:paraId="1951361D" w14:textId="4BCB6D82" w:rsidR="00B86EC0" w:rsidRDefault="00B86EC0" w:rsidP="00B86EC0">
      <w:pPr>
        <w:spacing w:after="160" w:line="259" w:lineRule="auto"/>
        <w:jc w:val="both"/>
        <w:rPr>
          <w:rFonts w:ascii="Calibri" w:eastAsia="Calibri" w:hAnsi="Calibri" w:cs="Times New Roman"/>
        </w:rPr>
      </w:pPr>
      <w:r w:rsidRPr="00B86EC0">
        <w:rPr>
          <w:rFonts w:ascii="Calibri" w:eastAsia="Calibri" w:hAnsi="Calibri" w:cs="Times New Roman"/>
        </w:rPr>
        <w:t>Stanoven bude i způsob, forma a četnost aktualizace PRO. Výše uvedené skutečnosti budou detailně řešeny v následujících kapitolách PRO Staré Buky na období let 2022-2031 (akční plán a implementační část).</w:t>
      </w:r>
    </w:p>
    <w:p w14:paraId="5634EAB1" w14:textId="471C79AB" w:rsidR="00B86EC0" w:rsidRDefault="00B86EC0" w:rsidP="00B86EC0">
      <w:pPr>
        <w:spacing w:after="160" w:line="259" w:lineRule="auto"/>
        <w:jc w:val="both"/>
        <w:rPr>
          <w:rFonts w:ascii="Calibri" w:eastAsia="Calibri" w:hAnsi="Calibri" w:cs="Times New Roman"/>
        </w:rPr>
      </w:pPr>
    </w:p>
    <w:p w14:paraId="704DDAAA" w14:textId="77777777" w:rsidR="00962D34" w:rsidRDefault="00962D34" w:rsidP="00B86EC0">
      <w:pPr>
        <w:spacing w:after="160" w:line="259" w:lineRule="auto"/>
        <w:jc w:val="both"/>
        <w:rPr>
          <w:rFonts w:ascii="Calibri" w:eastAsia="Calibri" w:hAnsi="Calibri" w:cs="Times New Roman"/>
        </w:rPr>
        <w:sectPr w:rsidR="00962D34" w:rsidSect="004160B4">
          <w:footerReference w:type="default" r:id="rId164"/>
          <w:pgSz w:w="11906" w:h="16838"/>
          <w:pgMar w:top="1417" w:right="1417" w:bottom="1417" w:left="1417" w:header="709" w:footer="709" w:gutter="0"/>
          <w:cols w:space="708"/>
          <w:docGrid w:linePitch="360"/>
        </w:sectPr>
      </w:pPr>
    </w:p>
    <w:p w14:paraId="5FBE7840" w14:textId="77777777" w:rsidR="00962D34" w:rsidRPr="00962D34" w:rsidRDefault="00962D34" w:rsidP="00962D34">
      <w:pPr>
        <w:pStyle w:val="Nadpis1"/>
        <w:rPr>
          <w:rFonts w:eastAsia="Calibri"/>
        </w:rPr>
      </w:pPr>
      <w:bookmarkStart w:id="583" w:name="_Toc120652176"/>
      <w:r w:rsidRPr="00962D34">
        <w:rPr>
          <w:rFonts w:eastAsia="Calibri"/>
        </w:rPr>
        <w:lastRenderedPageBreak/>
        <w:t>4 Akční plán</w:t>
      </w:r>
      <w:bookmarkEnd w:id="583"/>
    </w:p>
    <w:p w14:paraId="291809E1" w14:textId="77777777" w:rsidR="00962D34" w:rsidRPr="00962D34" w:rsidRDefault="00962D34" w:rsidP="00962D34">
      <w:pPr>
        <w:spacing w:after="200" w:line="276" w:lineRule="auto"/>
        <w:jc w:val="both"/>
        <w:rPr>
          <w:rFonts w:ascii="Calibri" w:eastAsia="Calibri" w:hAnsi="Calibri" w:cs="Calibri"/>
        </w:rPr>
      </w:pPr>
      <w:r w:rsidRPr="00962D34">
        <w:rPr>
          <w:rFonts w:ascii="Calibri" w:eastAsia="Calibri" w:hAnsi="Calibri" w:cs="Calibri"/>
        </w:rPr>
        <w:t>Akční plán vychází ze strategické části a určuje, jakými konkrétními kroky či projekty budou naplňovány příslušné cíle uvedené ve PRO. Zpracovává se na období nejbližších 1–2 let. Akční plán v podstatě představuje soubor konkrétních projektových záměrů a de facto konkretizuje jednotlivé rozvojové aktivity na nejbližší časové období</w:t>
      </w:r>
      <w:r w:rsidRPr="00962D34">
        <w:rPr>
          <w:rFonts w:ascii="Calibri" w:eastAsia="Calibri" w:hAnsi="Calibri" w:cs="Calibri"/>
          <w:vertAlign w:val="superscript"/>
        </w:rPr>
        <w:footnoteReference w:id="83"/>
      </w:r>
      <w:r w:rsidRPr="00962D34">
        <w:rPr>
          <w:rFonts w:ascii="Calibri" w:eastAsia="Calibri" w:hAnsi="Calibri" w:cs="Calibri"/>
        </w:rPr>
        <w:t xml:space="preserve">. Aktivity, které jsou naplánovány na pozdější období, jsou zařazeny do tzv. </w:t>
      </w:r>
      <w:r w:rsidRPr="00962D34">
        <w:rPr>
          <w:rFonts w:ascii="Calibri" w:eastAsia="Calibri" w:hAnsi="Calibri" w:cs="Calibri"/>
          <w:b/>
          <w:bCs/>
        </w:rPr>
        <w:t xml:space="preserve">zásobníku projektových záměrů </w:t>
      </w:r>
      <w:r w:rsidRPr="00962D34">
        <w:rPr>
          <w:rFonts w:ascii="Calibri" w:eastAsia="Calibri" w:hAnsi="Calibri" w:cs="Calibri"/>
          <w:bCs/>
        </w:rPr>
        <w:t>(příloha 1).</w:t>
      </w:r>
    </w:p>
    <w:p w14:paraId="1A3FB7A2" w14:textId="77777777" w:rsidR="00962D34" w:rsidRPr="00962D34" w:rsidRDefault="00962D34" w:rsidP="00962D34">
      <w:pPr>
        <w:spacing w:after="200" w:line="276" w:lineRule="auto"/>
        <w:jc w:val="both"/>
        <w:rPr>
          <w:rFonts w:ascii="Calibri" w:eastAsia="Calibri" w:hAnsi="Calibri" w:cs="Calibri"/>
        </w:rPr>
      </w:pPr>
      <w:r w:rsidRPr="00962D34">
        <w:rPr>
          <w:rFonts w:ascii="Calibri" w:eastAsia="Calibri" w:hAnsi="Calibri" w:cs="Calibri"/>
        </w:rPr>
        <w:t xml:space="preserve">U každé aktivity musí být zřejmé, k naplnění jakého cíle přispívá. Sestavování akčního plánu musí být v souladu jak se strategickou částí, tak s připravovaným rozpočtem obce na následující rok. Projekty zařazené do akčního plánu musí být kryty rozpočtem nebo musí mít zajištěn jiný, externí, zdroj financování. Pokud nebudou mít jednotlivé projekty zařazené do akčního plánu jednoznačně určen zdroj financování, budou z akčního plánu vyřazeny. </w:t>
      </w:r>
    </w:p>
    <w:p w14:paraId="197492DA" w14:textId="77777777" w:rsidR="00962D34" w:rsidRPr="00962D34" w:rsidRDefault="00962D34" w:rsidP="00962D34">
      <w:pPr>
        <w:spacing w:after="200" w:line="276" w:lineRule="auto"/>
        <w:jc w:val="both"/>
        <w:rPr>
          <w:rFonts w:ascii="Calibri" w:eastAsia="Calibri" w:hAnsi="Calibri" w:cs="Calibri"/>
        </w:rPr>
      </w:pPr>
      <w:r w:rsidRPr="00962D34">
        <w:rPr>
          <w:rFonts w:ascii="Calibri" w:eastAsia="Calibri" w:hAnsi="Calibri" w:cs="Calibri"/>
        </w:rPr>
        <w:t xml:space="preserve">Proces přípravy akčního plánu je proces dlouhodobý a opakovaný, který prostupuje celým programovým obdobím. Zpracování akčního plánu na následující kalendářní rok by mělo probíhat souběžně s přípravou rozpočtu obce. Vybrány jsou ty aktivity, které je možné z věcného, časového </w:t>
      </w:r>
      <w:r w:rsidRPr="00962D34">
        <w:rPr>
          <w:rFonts w:ascii="Calibri" w:eastAsia="Calibri" w:hAnsi="Calibri" w:cs="Calibri"/>
        </w:rPr>
        <w:br/>
        <w:t>a finančního hlediska realizovat v následujícím roce či dvou. Přehled konkrétních aktivit, které byly výběrem zařazeny do akčního plánu pro následující rok, musí být schválen vedením obce.</w:t>
      </w:r>
    </w:p>
    <w:p w14:paraId="2832763C" w14:textId="77777777" w:rsidR="00962D34" w:rsidRPr="00962D34" w:rsidRDefault="00962D34" w:rsidP="00962D34">
      <w:pPr>
        <w:spacing w:after="200" w:line="276" w:lineRule="auto"/>
        <w:jc w:val="both"/>
        <w:rPr>
          <w:rFonts w:ascii="Calibri" w:eastAsia="Calibri" w:hAnsi="Calibri" w:cs="Calibri"/>
        </w:rPr>
      </w:pPr>
      <w:r w:rsidRPr="00962D34">
        <w:rPr>
          <w:rFonts w:ascii="Calibri" w:eastAsia="Calibri" w:hAnsi="Calibri" w:cs="Calibri"/>
        </w:rPr>
        <w:t>Důležité je zmínit i vyhodnocení daného akčního plánu, které by mělo být provedeno v prvním pololetí roku, který následuje po realizaci akčního plánu. V rámci vyhodnocení budou posouzeny jednotlivé projekty, zda se podařilo uskutečnit jejich realizaci, či nikoliv. Aktivity, které se nepodařilo realizovat, jsou zařazeny do akčního plánu na další rok, případně přesunuty do zásobníku projektů.</w:t>
      </w:r>
    </w:p>
    <w:p w14:paraId="32EEA8C0" w14:textId="77777777" w:rsidR="00962D34" w:rsidRPr="00962D34" w:rsidRDefault="00962D34" w:rsidP="00962D34">
      <w:pPr>
        <w:spacing w:after="200" w:line="276" w:lineRule="auto"/>
        <w:jc w:val="both"/>
        <w:rPr>
          <w:rFonts w:ascii="Calibri" w:eastAsia="Calibri" w:hAnsi="Calibri" w:cs="Calibri"/>
        </w:rPr>
      </w:pPr>
    </w:p>
    <w:p w14:paraId="08CC9622" w14:textId="33737422" w:rsidR="00962D34" w:rsidRPr="00962D34" w:rsidRDefault="00962D34" w:rsidP="00962D34">
      <w:pPr>
        <w:spacing w:after="200" w:line="276" w:lineRule="auto"/>
        <w:jc w:val="both"/>
        <w:rPr>
          <w:rFonts w:ascii="Calibri" w:eastAsia="Calibri" w:hAnsi="Calibri" w:cs="Calibri"/>
        </w:rPr>
      </w:pPr>
      <w:r w:rsidRPr="00962D34">
        <w:rPr>
          <w:rFonts w:ascii="Calibri" w:eastAsia="Calibri" w:hAnsi="Calibri" w:cs="Calibri"/>
        </w:rPr>
        <w:t>Následující přehledová tabulka 3</w:t>
      </w:r>
      <w:r w:rsidR="00041A31">
        <w:rPr>
          <w:rFonts w:ascii="Calibri" w:eastAsia="Calibri" w:hAnsi="Calibri" w:cs="Calibri"/>
        </w:rPr>
        <w:t>5</w:t>
      </w:r>
      <w:r w:rsidRPr="00962D34">
        <w:rPr>
          <w:rFonts w:ascii="Calibri" w:eastAsia="Calibri" w:hAnsi="Calibri" w:cs="Calibri"/>
        </w:rPr>
        <w:t xml:space="preserve"> znázorňuje, jak jsou jednotlivé aktivity v akčním plánu a zásobníku projektových záměrů podrobně specifikovány a které konkrétní informace obsahují. </w:t>
      </w:r>
    </w:p>
    <w:p w14:paraId="2BA85BA9" w14:textId="77777777" w:rsidR="00962D34" w:rsidRPr="00962D34" w:rsidRDefault="00962D34" w:rsidP="00962D34">
      <w:pPr>
        <w:spacing w:after="200" w:line="276" w:lineRule="auto"/>
        <w:jc w:val="both"/>
        <w:rPr>
          <w:rFonts w:ascii="Calibri" w:eastAsia="Calibri" w:hAnsi="Calibri" w:cs="Calibri"/>
        </w:rPr>
      </w:pPr>
      <w:r w:rsidRPr="00962D34">
        <w:rPr>
          <w:rFonts w:ascii="Calibri" w:eastAsia="Calibri" w:hAnsi="Calibri" w:cs="Calibri"/>
        </w:rPr>
        <w:br w:type="page"/>
      </w:r>
    </w:p>
    <w:p w14:paraId="74D13CE8" w14:textId="3E2B1303" w:rsidR="00962D34" w:rsidRPr="00962D34" w:rsidRDefault="00962D34" w:rsidP="00962D34">
      <w:pPr>
        <w:pStyle w:val="TABULKA0"/>
      </w:pPr>
      <w:bookmarkStart w:id="584" w:name="_Toc32577818"/>
      <w:bookmarkStart w:id="585" w:name="_Toc120651957"/>
      <w:r w:rsidRPr="00962D34">
        <w:lastRenderedPageBreak/>
        <w:t>Tabulka 3</w:t>
      </w:r>
      <w:r w:rsidR="00041A31">
        <w:t>5</w:t>
      </w:r>
      <w:r w:rsidRPr="00962D34">
        <w:t>: Specifikace jednotlivých aktivit v rámci akčního plánu</w:t>
      </w:r>
      <w:bookmarkEnd w:id="584"/>
      <w:r w:rsidRPr="00962D34">
        <w:t xml:space="preserve"> a zásobníku projektových záměrů</w:t>
      </w:r>
      <w:bookmarkEnd w:id="585"/>
    </w:p>
    <w:tbl>
      <w:tblPr>
        <w:tblW w:w="9087"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3191"/>
        <w:gridCol w:w="5896"/>
      </w:tblGrid>
      <w:tr w:rsidR="00962D34" w:rsidRPr="00962D34" w14:paraId="04D2DD14" w14:textId="77777777" w:rsidTr="009A7AC2">
        <w:trPr>
          <w:trHeight w:val="106"/>
        </w:trPr>
        <w:tc>
          <w:tcPr>
            <w:tcW w:w="9087" w:type="dxa"/>
            <w:gridSpan w:val="2"/>
            <w:tcBorders>
              <w:top w:val="single" w:sz="12" w:space="0" w:color="auto"/>
              <w:bottom w:val="single" w:sz="12" w:space="0" w:color="auto"/>
            </w:tcBorders>
            <w:shd w:val="clear" w:color="auto" w:fill="FFC000"/>
            <w:vAlign w:val="center"/>
            <w:hideMark/>
          </w:tcPr>
          <w:p w14:paraId="1A1A7A4F" w14:textId="77777777" w:rsidR="00962D34" w:rsidRPr="00962D34" w:rsidRDefault="00962D34" w:rsidP="00962D34">
            <w:pPr>
              <w:spacing w:before="60" w:after="60"/>
              <w:jc w:val="center"/>
              <w:rPr>
                <w:rFonts w:ascii="Calibri" w:eastAsia="Times New Roman" w:hAnsi="Calibri" w:cs="Calibri"/>
                <w:b/>
                <w:color w:val="000000"/>
                <w:sz w:val="24"/>
                <w:szCs w:val="24"/>
                <w:lang w:eastAsia="cs-CZ"/>
              </w:rPr>
            </w:pPr>
            <w:r w:rsidRPr="00962D34">
              <w:rPr>
                <w:rFonts w:ascii="Calibri" w:eastAsia="Times New Roman" w:hAnsi="Calibri" w:cs="Calibri"/>
                <w:b/>
                <w:color w:val="000000"/>
                <w:sz w:val="24"/>
                <w:szCs w:val="24"/>
                <w:lang w:eastAsia="cs-CZ"/>
              </w:rPr>
              <w:t>Název aktivity</w:t>
            </w:r>
          </w:p>
        </w:tc>
      </w:tr>
      <w:tr w:rsidR="00962D34" w:rsidRPr="00962D34" w14:paraId="66F972E9" w14:textId="77777777" w:rsidTr="009A7AC2">
        <w:trPr>
          <w:trHeight w:val="340"/>
        </w:trPr>
        <w:tc>
          <w:tcPr>
            <w:tcW w:w="3191" w:type="dxa"/>
            <w:shd w:val="clear" w:color="auto" w:fill="auto"/>
            <w:vAlign w:val="center"/>
            <w:hideMark/>
          </w:tcPr>
          <w:p w14:paraId="2877FA7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žadatel</w:t>
            </w:r>
          </w:p>
        </w:tc>
        <w:tc>
          <w:tcPr>
            <w:tcW w:w="5896" w:type="dxa"/>
            <w:shd w:val="clear" w:color="auto" w:fill="auto"/>
            <w:vAlign w:val="center"/>
            <w:hideMark/>
          </w:tcPr>
          <w:p w14:paraId="1DD09BE5"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uvedení konkrétního žadatele</w:t>
            </w:r>
          </w:p>
        </w:tc>
      </w:tr>
      <w:tr w:rsidR="00962D34" w:rsidRPr="00962D34" w14:paraId="7BA91A7E" w14:textId="77777777" w:rsidTr="009A7AC2">
        <w:trPr>
          <w:trHeight w:val="340"/>
        </w:trPr>
        <w:tc>
          <w:tcPr>
            <w:tcW w:w="3191" w:type="dxa"/>
            <w:shd w:val="clear" w:color="auto" w:fill="auto"/>
            <w:vAlign w:val="center"/>
          </w:tcPr>
          <w:p w14:paraId="0ABA42D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role obce</w:t>
            </w:r>
          </w:p>
        </w:tc>
        <w:tc>
          <w:tcPr>
            <w:tcW w:w="5896" w:type="dxa"/>
            <w:shd w:val="clear" w:color="auto" w:fill="auto"/>
            <w:vAlign w:val="center"/>
          </w:tcPr>
          <w:p w14:paraId="26A3F98B"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realizační/iniciační/motivační/participační</w:t>
            </w:r>
          </w:p>
        </w:tc>
      </w:tr>
      <w:tr w:rsidR="00962D34" w:rsidRPr="00962D34" w14:paraId="06CB245B" w14:textId="77777777" w:rsidTr="009A7AC2">
        <w:trPr>
          <w:trHeight w:val="340"/>
        </w:trPr>
        <w:tc>
          <w:tcPr>
            <w:tcW w:w="3191" w:type="dxa"/>
            <w:shd w:val="clear" w:color="auto" w:fill="auto"/>
            <w:vAlign w:val="center"/>
            <w:hideMark/>
          </w:tcPr>
          <w:p w14:paraId="216A3B2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partneři/dotčený orgán</w:t>
            </w:r>
          </w:p>
        </w:tc>
        <w:tc>
          <w:tcPr>
            <w:tcW w:w="5896" w:type="dxa"/>
            <w:shd w:val="clear" w:color="auto" w:fill="auto"/>
            <w:vAlign w:val="center"/>
            <w:hideMark/>
          </w:tcPr>
          <w:p w14:paraId="036CFA4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spolupracující a podílející se organizace/subjekty</w:t>
            </w:r>
          </w:p>
        </w:tc>
      </w:tr>
      <w:tr w:rsidR="00962D34" w:rsidRPr="00962D34" w14:paraId="542AC96B" w14:textId="77777777" w:rsidTr="009A7AC2">
        <w:trPr>
          <w:trHeight w:val="340"/>
        </w:trPr>
        <w:tc>
          <w:tcPr>
            <w:tcW w:w="3191" w:type="dxa"/>
            <w:shd w:val="clear" w:color="auto" w:fill="auto"/>
            <w:vAlign w:val="center"/>
            <w:hideMark/>
          </w:tcPr>
          <w:p w14:paraId="3A3E7C5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zdůvodnění a přínos pro rozvoj obce</w:t>
            </w:r>
          </w:p>
        </w:tc>
        <w:tc>
          <w:tcPr>
            <w:tcW w:w="5896" w:type="dxa"/>
            <w:shd w:val="clear" w:color="auto" w:fill="auto"/>
            <w:vAlign w:val="center"/>
            <w:hideMark/>
          </w:tcPr>
          <w:p w14:paraId="0A35FCAA"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popis, jak daná aktivita přispěje k rozvoji obce</w:t>
            </w:r>
          </w:p>
        </w:tc>
      </w:tr>
      <w:tr w:rsidR="00962D34" w:rsidRPr="00962D34" w14:paraId="20916592" w14:textId="77777777" w:rsidTr="009A7AC2">
        <w:trPr>
          <w:trHeight w:val="48"/>
        </w:trPr>
        <w:tc>
          <w:tcPr>
            <w:tcW w:w="3191" w:type="dxa"/>
            <w:shd w:val="clear" w:color="auto" w:fill="auto"/>
            <w:vAlign w:val="center"/>
            <w:hideMark/>
          </w:tcPr>
          <w:p w14:paraId="087DE88A"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typ</w:t>
            </w:r>
          </w:p>
        </w:tc>
        <w:tc>
          <w:tcPr>
            <w:tcW w:w="5896" w:type="dxa"/>
            <w:shd w:val="clear" w:color="auto" w:fill="auto"/>
            <w:vAlign w:val="center"/>
            <w:hideMark/>
          </w:tcPr>
          <w:p w14:paraId="614EA15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investiční/neinvestiční</w:t>
            </w:r>
          </w:p>
        </w:tc>
      </w:tr>
      <w:tr w:rsidR="00962D34" w:rsidRPr="00962D34" w14:paraId="002E0079" w14:textId="77777777" w:rsidTr="009A7AC2">
        <w:trPr>
          <w:trHeight w:val="340"/>
        </w:trPr>
        <w:tc>
          <w:tcPr>
            <w:tcW w:w="3191" w:type="dxa"/>
            <w:shd w:val="clear" w:color="auto" w:fill="auto"/>
            <w:vAlign w:val="center"/>
            <w:hideMark/>
          </w:tcPr>
          <w:p w14:paraId="04F2646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důležitost</w:t>
            </w:r>
          </w:p>
        </w:tc>
        <w:tc>
          <w:tcPr>
            <w:tcW w:w="5896" w:type="dxa"/>
            <w:shd w:val="clear" w:color="auto" w:fill="auto"/>
            <w:vAlign w:val="center"/>
            <w:hideMark/>
          </w:tcPr>
          <w:p w14:paraId="6201F55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nízká/střední/vysoká</w:t>
            </w:r>
          </w:p>
        </w:tc>
      </w:tr>
      <w:tr w:rsidR="00962D34" w:rsidRPr="00962D34" w14:paraId="24FEFC20" w14:textId="77777777" w:rsidTr="009A7AC2">
        <w:trPr>
          <w:trHeight w:val="340"/>
        </w:trPr>
        <w:tc>
          <w:tcPr>
            <w:tcW w:w="3191" w:type="dxa"/>
            <w:shd w:val="clear" w:color="auto" w:fill="auto"/>
            <w:vAlign w:val="center"/>
            <w:hideMark/>
          </w:tcPr>
          <w:p w14:paraId="7FD4CAB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náklady</w:t>
            </w:r>
          </w:p>
        </w:tc>
        <w:tc>
          <w:tcPr>
            <w:tcW w:w="5896" w:type="dxa"/>
            <w:shd w:val="clear" w:color="auto" w:fill="auto"/>
            <w:vAlign w:val="center"/>
            <w:hideMark/>
          </w:tcPr>
          <w:p w14:paraId="2171C77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odhadované potřebné finanční prostředky na realizaci</w:t>
            </w:r>
          </w:p>
        </w:tc>
      </w:tr>
      <w:tr w:rsidR="00962D34" w:rsidRPr="00962D34" w14:paraId="4DFE2847" w14:textId="77777777" w:rsidTr="009A7AC2">
        <w:trPr>
          <w:trHeight w:val="340"/>
        </w:trPr>
        <w:tc>
          <w:tcPr>
            <w:tcW w:w="3191" w:type="dxa"/>
            <w:shd w:val="clear" w:color="auto" w:fill="auto"/>
            <w:vAlign w:val="center"/>
            <w:hideMark/>
          </w:tcPr>
          <w:p w14:paraId="651B18D0"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zdroje financování</w:t>
            </w:r>
          </w:p>
        </w:tc>
        <w:tc>
          <w:tcPr>
            <w:tcW w:w="5896" w:type="dxa"/>
            <w:shd w:val="clear" w:color="auto" w:fill="auto"/>
            <w:vAlign w:val="center"/>
            <w:hideMark/>
          </w:tcPr>
          <w:p w14:paraId="5B93BE73"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vlastní prostředky/krajské dotace/evropské dotace apod.</w:t>
            </w:r>
          </w:p>
        </w:tc>
      </w:tr>
      <w:tr w:rsidR="00962D34" w:rsidRPr="00962D34" w14:paraId="3A5227F4" w14:textId="77777777" w:rsidTr="009A7AC2">
        <w:trPr>
          <w:trHeight w:val="340"/>
        </w:trPr>
        <w:tc>
          <w:tcPr>
            <w:tcW w:w="3191" w:type="dxa"/>
            <w:shd w:val="clear" w:color="auto" w:fill="auto"/>
            <w:vAlign w:val="center"/>
            <w:hideMark/>
          </w:tcPr>
          <w:p w14:paraId="2A5C183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vazba na strategické dokumenty</w:t>
            </w:r>
          </w:p>
        </w:tc>
        <w:tc>
          <w:tcPr>
            <w:tcW w:w="5896" w:type="dxa"/>
            <w:shd w:val="clear" w:color="auto" w:fill="auto"/>
            <w:vAlign w:val="center"/>
            <w:hideMark/>
          </w:tcPr>
          <w:p w14:paraId="2A19C97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výčet těchto dokumentů včetně uvedení prioritních os, specifických cílů apod.</w:t>
            </w:r>
          </w:p>
        </w:tc>
      </w:tr>
      <w:tr w:rsidR="00962D34" w:rsidRPr="00962D34" w14:paraId="41DCF4DB" w14:textId="77777777" w:rsidTr="009A7AC2">
        <w:trPr>
          <w:trHeight w:val="340"/>
        </w:trPr>
        <w:tc>
          <w:tcPr>
            <w:tcW w:w="3191" w:type="dxa"/>
            <w:shd w:val="clear" w:color="auto" w:fill="auto"/>
            <w:vAlign w:val="center"/>
            <w:hideMark/>
          </w:tcPr>
          <w:p w14:paraId="7CD39A0C"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místo realizace</w:t>
            </w:r>
          </w:p>
        </w:tc>
        <w:tc>
          <w:tcPr>
            <w:tcW w:w="5896" w:type="dxa"/>
            <w:shd w:val="clear" w:color="auto" w:fill="auto"/>
            <w:vAlign w:val="center"/>
            <w:hideMark/>
          </w:tcPr>
          <w:p w14:paraId="5CC9B97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konkrétní parcela/parcely/lokalita/lokality</w:t>
            </w:r>
          </w:p>
        </w:tc>
      </w:tr>
      <w:tr w:rsidR="00962D34" w:rsidRPr="00962D34" w14:paraId="6747ED5F" w14:textId="77777777" w:rsidTr="009A7AC2">
        <w:trPr>
          <w:trHeight w:val="340"/>
        </w:trPr>
        <w:tc>
          <w:tcPr>
            <w:tcW w:w="3191" w:type="dxa"/>
            <w:shd w:val="clear" w:color="auto" w:fill="auto"/>
            <w:vAlign w:val="center"/>
            <w:hideMark/>
          </w:tcPr>
          <w:p w14:paraId="54AA3B3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období realizace</w:t>
            </w:r>
          </w:p>
        </w:tc>
        <w:tc>
          <w:tcPr>
            <w:tcW w:w="5896" w:type="dxa"/>
            <w:shd w:val="clear" w:color="auto" w:fill="auto"/>
            <w:vAlign w:val="center"/>
            <w:hideMark/>
          </w:tcPr>
          <w:p w14:paraId="21AF908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předpokládaný rok realizace</w:t>
            </w:r>
          </w:p>
        </w:tc>
      </w:tr>
      <w:tr w:rsidR="00962D34" w:rsidRPr="00962D34" w14:paraId="1B36109B" w14:textId="77777777" w:rsidTr="009A7AC2">
        <w:trPr>
          <w:trHeight w:val="340"/>
        </w:trPr>
        <w:tc>
          <w:tcPr>
            <w:tcW w:w="3191" w:type="dxa"/>
            <w:shd w:val="clear" w:color="auto" w:fill="auto"/>
            <w:vAlign w:val="center"/>
            <w:hideMark/>
          </w:tcPr>
          <w:p w14:paraId="4D6A320C"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odpovědnost za realizaci</w:t>
            </w:r>
          </w:p>
        </w:tc>
        <w:tc>
          <w:tcPr>
            <w:tcW w:w="5896" w:type="dxa"/>
            <w:shd w:val="clear" w:color="auto" w:fill="auto"/>
            <w:vAlign w:val="center"/>
            <w:hideMark/>
          </w:tcPr>
          <w:p w14:paraId="7E0EDCB5"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subjekty, které budou zajišťovat faktické naplňování aktivity</w:t>
            </w:r>
          </w:p>
        </w:tc>
      </w:tr>
      <w:tr w:rsidR="00962D34" w:rsidRPr="00962D34" w14:paraId="2943B5D9" w14:textId="77777777" w:rsidTr="009A7AC2">
        <w:trPr>
          <w:trHeight w:val="340"/>
        </w:trPr>
        <w:tc>
          <w:tcPr>
            <w:tcW w:w="3191" w:type="dxa"/>
            <w:shd w:val="clear" w:color="auto" w:fill="auto"/>
            <w:vAlign w:val="center"/>
            <w:hideMark/>
          </w:tcPr>
          <w:p w14:paraId="0427BFB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stav připravenosti</w:t>
            </w:r>
          </w:p>
        </w:tc>
        <w:tc>
          <w:tcPr>
            <w:tcW w:w="5896" w:type="dxa"/>
            <w:shd w:val="clear" w:color="auto" w:fill="auto"/>
            <w:vAlign w:val="center"/>
            <w:hideMark/>
          </w:tcPr>
          <w:p w14:paraId="03F35655"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záměr/zpracovaná projektová dokumentace/vyhlášení výběrového řízení na zpracovatele apod.</w:t>
            </w:r>
          </w:p>
        </w:tc>
      </w:tr>
      <w:tr w:rsidR="00962D34" w:rsidRPr="00962D34" w14:paraId="47870FA7" w14:textId="77777777" w:rsidTr="009A7AC2">
        <w:trPr>
          <w:trHeight w:val="340"/>
        </w:trPr>
        <w:tc>
          <w:tcPr>
            <w:tcW w:w="3191" w:type="dxa"/>
            <w:shd w:val="clear" w:color="auto" w:fill="auto"/>
            <w:vAlign w:val="center"/>
          </w:tcPr>
          <w:p w14:paraId="25A41DC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w:t>
            </w:r>
          </w:p>
        </w:tc>
        <w:tc>
          <w:tcPr>
            <w:tcW w:w="5896" w:type="dxa"/>
            <w:shd w:val="clear" w:color="auto" w:fill="auto"/>
            <w:vAlign w:val="center"/>
          </w:tcPr>
          <w:p w14:paraId="2417FE6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uvedeno, na jaké klíčové oblasti rozvoje se daná aktivita váže</w:t>
            </w:r>
          </w:p>
        </w:tc>
      </w:tr>
      <w:tr w:rsidR="00962D34" w:rsidRPr="00962D34" w14:paraId="5E7B0E94" w14:textId="77777777" w:rsidTr="009A7AC2">
        <w:trPr>
          <w:trHeight w:val="340"/>
        </w:trPr>
        <w:tc>
          <w:tcPr>
            <w:tcW w:w="3191" w:type="dxa"/>
            <w:shd w:val="clear" w:color="auto" w:fill="auto"/>
            <w:vAlign w:val="center"/>
            <w:hideMark/>
          </w:tcPr>
          <w:p w14:paraId="237064E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doplňující informace</w:t>
            </w:r>
          </w:p>
        </w:tc>
        <w:tc>
          <w:tcPr>
            <w:tcW w:w="5896" w:type="dxa"/>
            <w:shd w:val="clear" w:color="auto" w:fill="auto"/>
            <w:vAlign w:val="center"/>
            <w:hideMark/>
          </w:tcPr>
          <w:p w14:paraId="29DB55E5"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podle potřeby uvedeny další informace</w:t>
            </w:r>
          </w:p>
        </w:tc>
      </w:tr>
    </w:tbl>
    <w:p w14:paraId="31EB1C2F" w14:textId="77777777" w:rsidR="00962D34" w:rsidRPr="00962D34" w:rsidRDefault="00962D34" w:rsidP="00962D34">
      <w:pPr>
        <w:spacing w:after="200" w:line="276" w:lineRule="auto"/>
        <w:rPr>
          <w:rFonts w:ascii="Calibri" w:eastAsia="Calibri" w:hAnsi="Calibri" w:cs="Calibri"/>
        </w:rPr>
      </w:pPr>
    </w:p>
    <w:p w14:paraId="23A4F771" w14:textId="77777777" w:rsidR="00962D34" w:rsidRPr="00962D34" w:rsidRDefault="00962D34" w:rsidP="00962D34">
      <w:pPr>
        <w:spacing w:after="160" w:line="276" w:lineRule="auto"/>
        <w:jc w:val="both"/>
        <w:rPr>
          <w:rFonts w:ascii="Calibri" w:eastAsia="Calibri" w:hAnsi="Calibri" w:cs="Calibri"/>
        </w:rPr>
      </w:pPr>
      <w:r w:rsidRPr="00962D34">
        <w:rPr>
          <w:rFonts w:ascii="Calibri" w:eastAsia="Calibri" w:hAnsi="Calibri" w:cs="Calibri"/>
        </w:rPr>
        <w:br w:type="page"/>
      </w:r>
    </w:p>
    <w:p w14:paraId="0AB55EA7" w14:textId="77777777" w:rsidR="00962D34" w:rsidRPr="00962D34" w:rsidRDefault="00962D34" w:rsidP="00962D34">
      <w:pPr>
        <w:spacing w:after="200" w:line="276" w:lineRule="auto"/>
        <w:jc w:val="both"/>
        <w:rPr>
          <w:rFonts w:ascii="Calibri" w:eastAsia="Calibri" w:hAnsi="Calibri" w:cs="Calibri"/>
        </w:rPr>
      </w:pPr>
      <w:r w:rsidRPr="00962D34">
        <w:rPr>
          <w:rFonts w:ascii="Calibri" w:eastAsia="Calibri" w:hAnsi="Calibri" w:cs="Calibri"/>
        </w:rPr>
        <w:lastRenderedPageBreak/>
        <w:t>V rámci tabulek Akčního plánu jsou používány následující zkratky:</w:t>
      </w:r>
    </w:p>
    <w:p w14:paraId="6AFCF3C6"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č. p. = číslo popisné</w:t>
      </w:r>
    </w:p>
    <w:p w14:paraId="0520DB3C"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ČR = Česká republika</w:t>
      </w:r>
    </w:p>
    <w:p w14:paraId="58873A47"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DP = dotační program</w:t>
      </w:r>
    </w:p>
    <w:p w14:paraId="56D39972"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EU = Evropská unie</w:t>
      </w:r>
    </w:p>
    <w:p w14:paraId="0EB29A96"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KHK kraj = Královéhradecký kraj</w:t>
      </w:r>
    </w:p>
    <w:p w14:paraId="74E11CBE"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KN = katastr nemovitostí</w:t>
      </w:r>
    </w:p>
    <w:p w14:paraId="7B18A453"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k. ú. = katastrální území</w:t>
      </w:r>
    </w:p>
    <w:p w14:paraId="7B64F55E"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MFČR = Ministerstvo financí České republiky</w:t>
      </w:r>
    </w:p>
    <w:p w14:paraId="6B2602AB"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MMR = Ministerstvo pro místní rozvoj</w:t>
      </w:r>
    </w:p>
    <w:p w14:paraId="2C414D23" w14:textId="77777777" w:rsidR="00962D34" w:rsidRPr="00962D34" w:rsidRDefault="00962D34" w:rsidP="00962D34">
      <w:pPr>
        <w:spacing w:after="60" w:line="259" w:lineRule="auto"/>
        <w:rPr>
          <w:rFonts w:ascii="Calibri" w:eastAsia="Calibri" w:hAnsi="Calibri" w:cs="Calibri"/>
        </w:rPr>
      </w:pPr>
      <w:bookmarkStart w:id="586" w:name="_Hlk86871949"/>
      <w:r w:rsidRPr="00962D34">
        <w:rPr>
          <w:rFonts w:ascii="Calibri" w:eastAsia="Calibri" w:hAnsi="Calibri" w:cs="Calibri"/>
        </w:rPr>
        <w:t>MŽP = Ministerstvo životního prostředí</w:t>
      </w:r>
    </w:p>
    <w:bookmarkEnd w:id="586"/>
    <w:p w14:paraId="60390AA9"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OP ŽP = Operační program Životní prostředí</w:t>
      </w:r>
    </w:p>
    <w:p w14:paraId="075AD229"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ORP = obec s rozšířenou působností</w:t>
      </w:r>
    </w:p>
    <w:p w14:paraId="423D1D6D"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 xml:space="preserve">PORV = Program obnovy a rozvoje venkova </w:t>
      </w:r>
    </w:p>
    <w:p w14:paraId="3D9EB0B8"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POV KHK = Program obnovy Královéhradeckého kraje</w:t>
      </w:r>
    </w:p>
    <w:p w14:paraId="0BEE5FAF"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PRO = Program rozvoje obce</w:t>
      </w:r>
    </w:p>
    <w:p w14:paraId="52D97212"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SFPI = Státní fond podpory investic</w:t>
      </w:r>
    </w:p>
    <w:p w14:paraId="7AFA10E6"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SFŽP = Státní fond životního prostředí</w:t>
      </w:r>
    </w:p>
    <w:p w14:paraId="66674B20"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SP = strategická priorita</w:t>
      </w:r>
    </w:p>
    <w:p w14:paraId="23BA0955" w14:textId="77777777" w:rsidR="00962D34" w:rsidRPr="00962D34" w:rsidRDefault="00962D34" w:rsidP="00962D34">
      <w:pPr>
        <w:spacing w:after="60" w:line="259" w:lineRule="auto"/>
        <w:rPr>
          <w:rFonts w:ascii="Calibri" w:eastAsia="Calibri" w:hAnsi="Calibri" w:cs="Calibri"/>
        </w:rPr>
      </w:pPr>
      <w:r w:rsidRPr="00962D34">
        <w:rPr>
          <w:rFonts w:ascii="Calibri" w:eastAsia="Calibri" w:hAnsi="Calibri" w:cs="Calibri"/>
        </w:rPr>
        <w:t>StC = strategický cíl</w:t>
      </w:r>
    </w:p>
    <w:p w14:paraId="3304BB46" w14:textId="77777777" w:rsidR="00962D34" w:rsidRPr="00962D34" w:rsidRDefault="00962D34" w:rsidP="00962D34">
      <w:pPr>
        <w:spacing w:after="60" w:line="259" w:lineRule="auto"/>
        <w:rPr>
          <w:rFonts w:ascii="Calibri" w:eastAsia="Calibri" w:hAnsi="Calibri" w:cs="Times New Roman"/>
        </w:rPr>
      </w:pPr>
      <w:r w:rsidRPr="00962D34">
        <w:rPr>
          <w:rFonts w:ascii="Calibri" w:eastAsia="Calibri" w:hAnsi="Calibri" w:cs="Calibri"/>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962D34" w:rsidRPr="00962D34" w14:paraId="7C0ACDAF"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57914B83" w14:textId="77777777" w:rsidR="00962D34" w:rsidRPr="00962D34" w:rsidRDefault="00962D34" w:rsidP="00962D34">
            <w:pPr>
              <w:spacing w:before="60" w:after="60"/>
              <w:jc w:val="center"/>
              <w:rPr>
                <w:rFonts w:ascii="Calibri" w:eastAsia="Times New Roman" w:hAnsi="Calibri" w:cs="Calibri"/>
                <w:b/>
                <w:color w:val="000000"/>
                <w:sz w:val="24"/>
                <w:szCs w:val="24"/>
                <w:lang w:eastAsia="cs-CZ"/>
              </w:rPr>
            </w:pPr>
            <w:r w:rsidRPr="00962D34">
              <w:rPr>
                <w:rFonts w:ascii="Calibri" w:eastAsia="Times New Roman" w:hAnsi="Calibri" w:cs="Calibri"/>
                <w:b/>
                <w:color w:val="000000"/>
                <w:sz w:val="24"/>
                <w:szCs w:val="24"/>
                <w:lang w:eastAsia="cs-CZ"/>
              </w:rPr>
              <w:lastRenderedPageBreak/>
              <w:t>Řešit stav budovy zámečku</w:t>
            </w:r>
          </w:p>
        </w:tc>
      </w:tr>
      <w:tr w:rsidR="00962D34" w:rsidRPr="00962D34" w14:paraId="445233BB" w14:textId="77777777" w:rsidTr="009A7AC2">
        <w:trPr>
          <w:trHeight w:val="340"/>
          <w:jc w:val="center"/>
        </w:trPr>
        <w:tc>
          <w:tcPr>
            <w:tcW w:w="2057" w:type="dxa"/>
            <w:shd w:val="clear" w:color="auto" w:fill="auto"/>
            <w:vAlign w:val="center"/>
            <w:hideMark/>
          </w:tcPr>
          <w:p w14:paraId="45819E65"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žadatel</w:t>
            </w:r>
          </w:p>
        </w:tc>
        <w:tc>
          <w:tcPr>
            <w:tcW w:w="7030" w:type="dxa"/>
            <w:shd w:val="clear" w:color="auto" w:fill="auto"/>
            <w:vAlign w:val="center"/>
          </w:tcPr>
          <w:p w14:paraId="18A6713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Obec Staré Buky</w:t>
            </w:r>
          </w:p>
        </w:tc>
      </w:tr>
      <w:tr w:rsidR="00962D34" w:rsidRPr="00962D34" w14:paraId="19F45C0E" w14:textId="77777777" w:rsidTr="009A7AC2">
        <w:trPr>
          <w:trHeight w:val="340"/>
          <w:jc w:val="center"/>
        </w:trPr>
        <w:tc>
          <w:tcPr>
            <w:tcW w:w="2057" w:type="dxa"/>
            <w:shd w:val="clear" w:color="auto" w:fill="auto"/>
            <w:vAlign w:val="center"/>
          </w:tcPr>
          <w:p w14:paraId="2097643A"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role obce</w:t>
            </w:r>
          </w:p>
        </w:tc>
        <w:tc>
          <w:tcPr>
            <w:tcW w:w="7030" w:type="dxa"/>
            <w:shd w:val="clear" w:color="auto" w:fill="auto"/>
            <w:vAlign w:val="center"/>
          </w:tcPr>
          <w:p w14:paraId="6AECCFFF"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realizační</w:t>
            </w:r>
          </w:p>
        </w:tc>
      </w:tr>
      <w:tr w:rsidR="00962D34" w:rsidRPr="00962D34" w14:paraId="2A450962" w14:textId="77777777" w:rsidTr="009A7AC2">
        <w:trPr>
          <w:trHeight w:val="340"/>
          <w:jc w:val="center"/>
        </w:trPr>
        <w:tc>
          <w:tcPr>
            <w:tcW w:w="2057" w:type="dxa"/>
            <w:shd w:val="clear" w:color="auto" w:fill="auto"/>
            <w:vAlign w:val="center"/>
            <w:hideMark/>
          </w:tcPr>
          <w:p w14:paraId="4E7C46A6"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10AF25A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MŽP, MMR, MFČR</w:t>
            </w:r>
          </w:p>
        </w:tc>
      </w:tr>
      <w:tr w:rsidR="00962D34" w:rsidRPr="00962D34" w14:paraId="6CDF34BA" w14:textId="77777777" w:rsidTr="009A7AC2">
        <w:trPr>
          <w:trHeight w:val="340"/>
          <w:jc w:val="center"/>
        </w:trPr>
        <w:tc>
          <w:tcPr>
            <w:tcW w:w="2057" w:type="dxa"/>
            <w:shd w:val="clear" w:color="auto" w:fill="auto"/>
            <w:vAlign w:val="center"/>
            <w:hideMark/>
          </w:tcPr>
          <w:p w14:paraId="3585BC89"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669E95A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objekt zámečku a jeho nejbližší okolí má obrovský potenciál z pohledu rozvoje obce → možnost využití pro konání společenských aktivit, možnost umístění veřejných či komerčních služeb, možnost využití k bydlení apod.</w:t>
            </w:r>
          </w:p>
        </w:tc>
      </w:tr>
      <w:tr w:rsidR="00962D34" w:rsidRPr="00962D34" w14:paraId="182F78DA" w14:textId="77777777" w:rsidTr="009A7AC2">
        <w:trPr>
          <w:trHeight w:val="48"/>
          <w:jc w:val="center"/>
        </w:trPr>
        <w:tc>
          <w:tcPr>
            <w:tcW w:w="2057" w:type="dxa"/>
            <w:shd w:val="clear" w:color="auto" w:fill="auto"/>
            <w:vAlign w:val="center"/>
            <w:hideMark/>
          </w:tcPr>
          <w:p w14:paraId="49F6AB59"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typ</w:t>
            </w:r>
          </w:p>
        </w:tc>
        <w:tc>
          <w:tcPr>
            <w:tcW w:w="7030" w:type="dxa"/>
            <w:shd w:val="clear" w:color="auto" w:fill="auto"/>
            <w:vAlign w:val="center"/>
          </w:tcPr>
          <w:p w14:paraId="17183ED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investiční</w:t>
            </w:r>
          </w:p>
        </w:tc>
      </w:tr>
      <w:tr w:rsidR="00962D34" w:rsidRPr="00962D34" w14:paraId="39903F54" w14:textId="77777777" w:rsidTr="009A7AC2">
        <w:trPr>
          <w:trHeight w:val="340"/>
          <w:jc w:val="center"/>
        </w:trPr>
        <w:tc>
          <w:tcPr>
            <w:tcW w:w="2057" w:type="dxa"/>
            <w:shd w:val="clear" w:color="auto" w:fill="auto"/>
            <w:vAlign w:val="center"/>
            <w:hideMark/>
          </w:tcPr>
          <w:p w14:paraId="703C0641"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důležitost</w:t>
            </w:r>
          </w:p>
        </w:tc>
        <w:tc>
          <w:tcPr>
            <w:tcW w:w="7030" w:type="dxa"/>
            <w:shd w:val="clear" w:color="auto" w:fill="auto"/>
            <w:vAlign w:val="center"/>
          </w:tcPr>
          <w:p w14:paraId="49C8DB42"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vysoká</w:t>
            </w:r>
          </w:p>
        </w:tc>
      </w:tr>
      <w:tr w:rsidR="00962D34" w:rsidRPr="00962D34" w14:paraId="7C9C9F41" w14:textId="77777777" w:rsidTr="009A7AC2">
        <w:trPr>
          <w:trHeight w:val="340"/>
          <w:jc w:val="center"/>
        </w:trPr>
        <w:tc>
          <w:tcPr>
            <w:tcW w:w="2057" w:type="dxa"/>
            <w:shd w:val="clear" w:color="auto" w:fill="auto"/>
            <w:vAlign w:val="center"/>
            <w:hideMark/>
          </w:tcPr>
          <w:p w14:paraId="6DDA56E0"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6C43B5A6"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 řádu desítek až stovek mil. Kč</w:t>
            </w:r>
          </w:p>
        </w:tc>
      </w:tr>
      <w:tr w:rsidR="00962D34" w:rsidRPr="00962D34" w14:paraId="73454A6F" w14:textId="77777777" w:rsidTr="009A7AC2">
        <w:trPr>
          <w:trHeight w:val="340"/>
          <w:jc w:val="center"/>
        </w:trPr>
        <w:tc>
          <w:tcPr>
            <w:tcW w:w="2057" w:type="dxa"/>
            <w:shd w:val="clear" w:color="auto" w:fill="auto"/>
            <w:vAlign w:val="center"/>
            <w:hideMark/>
          </w:tcPr>
          <w:p w14:paraId="1F968DDB"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6DCCCD2B"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MŽP – SFŽP – výzva zaměřená na Energetické úspory veřejných budov</w:t>
            </w:r>
          </w:p>
          <w:p w14:paraId="64E7D6D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DP MMR – program Podpora rozvoje regionů – Podpora revitalizace území – podprogram Podpora regenerace brownfieldů pro nepodnikatelské využití (pouze za podmínky, že objekt bude registrován v národní databázi brownfieldů)</w:t>
            </w:r>
          </w:p>
          <w:p w14:paraId="2D28F4DB"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DP MFČR – program 29823 Podpora rozvoje a obnovy obecní infrastruktury a občanské vybavenosti</w:t>
            </w:r>
          </w:p>
          <w:p w14:paraId="174642B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SFPI – program Brownfieldy (pouze za podmínky, že objekt bude registrován v národní databázi brownfieldů)</w:t>
            </w:r>
          </w:p>
          <w:p w14:paraId="7D7B039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vlastní zdroje obce</w:t>
            </w:r>
          </w:p>
        </w:tc>
      </w:tr>
      <w:tr w:rsidR="00962D34" w:rsidRPr="00962D34" w14:paraId="1D97131E" w14:textId="77777777" w:rsidTr="009A7AC2">
        <w:trPr>
          <w:trHeight w:val="340"/>
          <w:jc w:val="center"/>
        </w:trPr>
        <w:tc>
          <w:tcPr>
            <w:tcW w:w="2057" w:type="dxa"/>
            <w:shd w:val="clear" w:color="auto" w:fill="auto"/>
            <w:vAlign w:val="center"/>
            <w:hideMark/>
          </w:tcPr>
          <w:p w14:paraId="44458653"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3A3EFDB0" w14:textId="77777777" w:rsidR="00962D34" w:rsidRPr="00962D34" w:rsidRDefault="00962D34" w:rsidP="00962D34">
            <w:pPr>
              <w:spacing w:before="60" w:after="60" w:line="259" w:lineRule="auto"/>
              <w:jc w:val="both"/>
              <w:rPr>
                <w:rFonts w:ascii="Calibri" w:eastAsia="Calibri" w:hAnsi="Calibri" w:cs="Calibri"/>
                <w:color w:val="000000"/>
                <w:sz w:val="20"/>
                <w:szCs w:val="20"/>
              </w:rPr>
            </w:pPr>
            <w:r w:rsidRPr="00962D34">
              <w:rPr>
                <w:rFonts w:ascii="Calibri" w:eastAsia="Calibri" w:hAnsi="Calibri" w:cs="Calibri"/>
                <w:color w:val="000000"/>
                <w:sz w:val="20"/>
                <w:szCs w:val="20"/>
              </w:rPr>
              <w:t>Strategie rozvoje Královéhradeckého kraje na období 2021–2027 (SP 3: Efektivní infrastruktura a dostupnost, StC 3.3: Efektivně využívané energetické zdroje, Opatření 3.3.2: Zvýšení energetických úspor a SP 5: Vyvážený rozvoj a správa území, StC 5.1: Eliminace územních disparit a řešení regionálních specifik, Opatření 5.1.1: Podpora hospodářsky problémových regionů, venkova, periferií a specifických oblastí)</w:t>
            </w:r>
          </w:p>
        </w:tc>
      </w:tr>
      <w:tr w:rsidR="00962D34" w:rsidRPr="00962D34" w14:paraId="4A03E71C" w14:textId="77777777" w:rsidTr="009A7AC2">
        <w:trPr>
          <w:trHeight w:val="340"/>
          <w:jc w:val="center"/>
        </w:trPr>
        <w:tc>
          <w:tcPr>
            <w:tcW w:w="2057" w:type="dxa"/>
            <w:shd w:val="clear" w:color="auto" w:fill="auto"/>
            <w:vAlign w:val="center"/>
            <w:hideMark/>
          </w:tcPr>
          <w:p w14:paraId="47C538FE"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742852F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budova s č. p. 41, parcela KN st. 1/2 (k. ú. Prostřední Staré Buky)</w:t>
            </w:r>
          </w:p>
        </w:tc>
      </w:tr>
      <w:tr w:rsidR="00962D34" w:rsidRPr="00962D34" w14:paraId="738FA749" w14:textId="77777777" w:rsidTr="009A7AC2">
        <w:trPr>
          <w:trHeight w:val="340"/>
          <w:jc w:val="center"/>
        </w:trPr>
        <w:tc>
          <w:tcPr>
            <w:tcW w:w="2057" w:type="dxa"/>
            <w:shd w:val="clear" w:color="auto" w:fill="auto"/>
            <w:vAlign w:val="center"/>
            <w:hideMark/>
          </w:tcPr>
          <w:p w14:paraId="12C5F01F"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4E998BA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průběžně po celé programové období</w:t>
            </w:r>
          </w:p>
        </w:tc>
      </w:tr>
      <w:tr w:rsidR="00962D34" w:rsidRPr="00962D34" w14:paraId="4251CB64" w14:textId="77777777" w:rsidTr="009A7AC2">
        <w:trPr>
          <w:trHeight w:val="340"/>
          <w:jc w:val="center"/>
        </w:trPr>
        <w:tc>
          <w:tcPr>
            <w:tcW w:w="2057" w:type="dxa"/>
            <w:shd w:val="clear" w:color="auto" w:fill="auto"/>
            <w:vAlign w:val="center"/>
            <w:hideMark/>
          </w:tcPr>
          <w:p w14:paraId="69119401"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6267C733"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Zastupitelstvo obce Staré Buky</w:t>
            </w:r>
          </w:p>
        </w:tc>
      </w:tr>
      <w:tr w:rsidR="00962D34" w:rsidRPr="00962D34" w14:paraId="409E0FE9" w14:textId="77777777" w:rsidTr="009A7AC2">
        <w:trPr>
          <w:trHeight w:val="340"/>
          <w:jc w:val="center"/>
        </w:trPr>
        <w:tc>
          <w:tcPr>
            <w:tcW w:w="2057" w:type="dxa"/>
            <w:shd w:val="clear" w:color="auto" w:fill="auto"/>
            <w:vAlign w:val="center"/>
            <w:hideMark/>
          </w:tcPr>
          <w:p w14:paraId="56F48954"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7E4538B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záměr</w:t>
            </w:r>
          </w:p>
        </w:tc>
      </w:tr>
      <w:tr w:rsidR="00962D34" w:rsidRPr="00962D34" w14:paraId="08B8C07D" w14:textId="77777777" w:rsidTr="009A7AC2">
        <w:trPr>
          <w:trHeight w:val="340"/>
          <w:jc w:val="center"/>
        </w:trPr>
        <w:tc>
          <w:tcPr>
            <w:tcW w:w="2057" w:type="dxa"/>
            <w:shd w:val="clear" w:color="auto" w:fill="auto"/>
            <w:vAlign w:val="center"/>
          </w:tcPr>
          <w:p w14:paraId="0AD53D7B"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31A45760"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 PRO Staré Buky 2022-2031: 1, 2, 3</w:t>
            </w:r>
          </w:p>
        </w:tc>
      </w:tr>
    </w:tbl>
    <w:p w14:paraId="32BD413F" w14:textId="77777777" w:rsidR="00962D34" w:rsidRPr="00962D34" w:rsidRDefault="00962D34" w:rsidP="00962D34">
      <w:pPr>
        <w:spacing w:after="60" w:line="259" w:lineRule="auto"/>
        <w:rPr>
          <w:rFonts w:ascii="Calibri" w:eastAsia="Calibri" w:hAnsi="Calibri" w:cs="Times New Roman"/>
        </w:rPr>
      </w:pPr>
      <w:r w:rsidRPr="00962D34">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962D34" w:rsidRPr="00962D34" w14:paraId="4BBC4B51"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217CCC74" w14:textId="77777777" w:rsidR="00962D34" w:rsidRPr="00962D34" w:rsidRDefault="00962D34" w:rsidP="00962D34">
            <w:pPr>
              <w:spacing w:before="60" w:after="60"/>
              <w:jc w:val="center"/>
              <w:rPr>
                <w:rFonts w:ascii="Calibri" w:eastAsia="Times New Roman" w:hAnsi="Calibri" w:cs="Calibri"/>
                <w:b/>
                <w:color w:val="000000"/>
                <w:sz w:val="24"/>
                <w:szCs w:val="24"/>
                <w:lang w:eastAsia="cs-CZ"/>
              </w:rPr>
            </w:pPr>
            <w:r w:rsidRPr="00962D34">
              <w:rPr>
                <w:rFonts w:ascii="Calibri" w:eastAsia="Times New Roman" w:hAnsi="Calibri" w:cs="Calibri"/>
                <w:b/>
                <w:color w:val="000000"/>
                <w:sz w:val="24"/>
                <w:szCs w:val="24"/>
                <w:lang w:eastAsia="cs-CZ"/>
              </w:rPr>
              <w:lastRenderedPageBreak/>
              <w:t>Rekonstruovat příjezdovou komunikaci k bytovce s č. p. 85</w:t>
            </w:r>
          </w:p>
        </w:tc>
      </w:tr>
      <w:tr w:rsidR="00962D34" w:rsidRPr="00962D34" w14:paraId="1017193D" w14:textId="77777777" w:rsidTr="009A7AC2">
        <w:trPr>
          <w:trHeight w:val="340"/>
          <w:jc w:val="center"/>
        </w:trPr>
        <w:tc>
          <w:tcPr>
            <w:tcW w:w="2057" w:type="dxa"/>
            <w:shd w:val="clear" w:color="auto" w:fill="auto"/>
            <w:vAlign w:val="center"/>
            <w:hideMark/>
          </w:tcPr>
          <w:p w14:paraId="11A23FB7"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žadatel</w:t>
            </w:r>
          </w:p>
        </w:tc>
        <w:tc>
          <w:tcPr>
            <w:tcW w:w="7030" w:type="dxa"/>
            <w:shd w:val="clear" w:color="auto" w:fill="auto"/>
            <w:vAlign w:val="center"/>
          </w:tcPr>
          <w:p w14:paraId="1873086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Obec Staré Buky</w:t>
            </w:r>
          </w:p>
        </w:tc>
      </w:tr>
      <w:tr w:rsidR="00962D34" w:rsidRPr="00962D34" w14:paraId="1167B5A8" w14:textId="77777777" w:rsidTr="009A7AC2">
        <w:trPr>
          <w:trHeight w:val="340"/>
          <w:jc w:val="center"/>
        </w:trPr>
        <w:tc>
          <w:tcPr>
            <w:tcW w:w="2057" w:type="dxa"/>
            <w:shd w:val="clear" w:color="auto" w:fill="auto"/>
            <w:vAlign w:val="center"/>
          </w:tcPr>
          <w:p w14:paraId="612FF241"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role obce</w:t>
            </w:r>
          </w:p>
        </w:tc>
        <w:tc>
          <w:tcPr>
            <w:tcW w:w="7030" w:type="dxa"/>
            <w:shd w:val="clear" w:color="auto" w:fill="auto"/>
            <w:vAlign w:val="center"/>
          </w:tcPr>
          <w:p w14:paraId="076D913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realizační</w:t>
            </w:r>
          </w:p>
        </w:tc>
      </w:tr>
      <w:tr w:rsidR="00962D34" w:rsidRPr="00962D34" w14:paraId="784155E3" w14:textId="77777777" w:rsidTr="009A7AC2">
        <w:trPr>
          <w:trHeight w:val="340"/>
          <w:jc w:val="center"/>
        </w:trPr>
        <w:tc>
          <w:tcPr>
            <w:tcW w:w="2057" w:type="dxa"/>
            <w:shd w:val="clear" w:color="auto" w:fill="auto"/>
            <w:vAlign w:val="center"/>
            <w:hideMark/>
          </w:tcPr>
          <w:p w14:paraId="52B0B1FE"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5FA92D72"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MMR, KHK kraj</w:t>
            </w:r>
          </w:p>
        </w:tc>
      </w:tr>
      <w:tr w:rsidR="00962D34" w:rsidRPr="00962D34" w14:paraId="21BA71DA" w14:textId="77777777" w:rsidTr="009A7AC2">
        <w:trPr>
          <w:trHeight w:val="340"/>
          <w:jc w:val="center"/>
        </w:trPr>
        <w:tc>
          <w:tcPr>
            <w:tcW w:w="2057" w:type="dxa"/>
            <w:shd w:val="clear" w:color="auto" w:fill="auto"/>
            <w:vAlign w:val="center"/>
            <w:hideMark/>
          </w:tcPr>
          <w:p w14:paraId="7D88DFBF"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06FC8D03"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zkvalitnění dopravní infrastruktury na území obce</w:t>
            </w:r>
          </w:p>
        </w:tc>
      </w:tr>
      <w:tr w:rsidR="00962D34" w:rsidRPr="00962D34" w14:paraId="4EB9D2E8" w14:textId="77777777" w:rsidTr="009A7AC2">
        <w:trPr>
          <w:trHeight w:val="48"/>
          <w:jc w:val="center"/>
        </w:trPr>
        <w:tc>
          <w:tcPr>
            <w:tcW w:w="2057" w:type="dxa"/>
            <w:shd w:val="clear" w:color="auto" w:fill="auto"/>
            <w:vAlign w:val="center"/>
            <w:hideMark/>
          </w:tcPr>
          <w:p w14:paraId="08AE6FCC"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typ</w:t>
            </w:r>
          </w:p>
        </w:tc>
        <w:tc>
          <w:tcPr>
            <w:tcW w:w="7030" w:type="dxa"/>
            <w:shd w:val="clear" w:color="auto" w:fill="auto"/>
            <w:vAlign w:val="center"/>
          </w:tcPr>
          <w:p w14:paraId="2703900C"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investiční</w:t>
            </w:r>
          </w:p>
        </w:tc>
      </w:tr>
      <w:tr w:rsidR="00962D34" w:rsidRPr="00962D34" w14:paraId="66C85317" w14:textId="77777777" w:rsidTr="009A7AC2">
        <w:trPr>
          <w:trHeight w:val="340"/>
          <w:jc w:val="center"/>
        </w:trPr>
        <w:tc>
          <w:tcPr>
            <w:tcW w:w="2057" w:type="dxa"/>
            <w:shd w:val="clear" w:color="auto" w:fill="auto"/>
            <w:vAlign w:val="center"/>
            <w:hideMark/>
          </w:tcPr>
          <w:p w14:paraId="49DCF11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důležitost</w:t>
            </w:r>
          </w:p>
        </w:tc>
        <w:tc>
          <w:tcPr>
            <w:tcW w:w="7030" w:type="dxa"/>
            <w:shd w:val="clear" w:color="auto" w:fill="auto"/>
            <w:vAlign w:val="center"/>
          </w:tcPr>
          <w:p w14:paraId="3C1AAF6A"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vysoká</w:t>
            </w:r>
          </w:p>
        </w:tc>
      </w:tr>
      <w:tr w:rsidR="00962D34" w:rsidRPr="00962D34" w14:paraId="0D56FA7B" w14:textId="77777777" w:rsidTr="009A7AC2">
        <w:trPr>
          <w:trHeight w:val="340"/>
          <w:jc w:val="center"/>
        </w:trPr>
        <w:tc>
          <w:tcPr>
            <w:tcW w:w="2057" w:type="dxa"/>
            <w:shd w:val="clear" w:color="auto" w:fill="auto"/>
            <w:vAlign w:val="center"/>
            <w:hideMark/>
          </w:tcPr>
          <w:p w14:paraId="2E28948A"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65D73D4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 řádu stovek tis. Kč</w:t>
            </w:r>
          </w:p>
        </w:tc>
      </w:tr>
      <w:tr w:rsidR="00962D34" w:rsidRPr="00962D34" w14:paraId="340DA54A" w14:textId="77777777" w:rsidTr="009A7AC2">
        <w:trPr>
          <w:trHeight w:val="340"/>
          <w:jc w:val="center"/>
        </w:trPr>
        <w:tc>
          <w:tcPr>
            <w:tcW w:w="2057" w:type="dxa"/>
            <w:shd w:val="clear" w:color="auto" w:fill="auto"/>
            <w:vAlign w:val="center"/>
            <w:hideMark/>
          </w:tcPr>
          <w:p w14:paraId="5CD3F5CE"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4A89D7B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DP MMR – program Podpora rozvoje regionů, podprogram PORV</w:t>
            </w:r>
          </w:p>
          <w:p w14:paraId="25259FA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DP KHK kraje – POV KHK</w:t>
            </w:r>
          </w:p>
          <w:p w14:paraId="2F6AECD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vlastní zdroje obce</w:t>
            </w:r>
          </w:p>
        </w:tc>
      </w:tr>
      <w:tr w:rsidR="00962D34" w:rsidRPr="00962D34" w14:paraId="7884B813" w14:textId="77777777" w:rsidTr="009A7AC2">
        <w:trPr>
          <w:trHeight w:val="340"/>
          <w:jc w:val="center"/>
        </w:trPr>
        <w:tc>
          <w:tcPr>
            <w:tcW w:w="2057" w:type="dxa"/>
            <w:shd w:val="clear" w:color="auto" w:fill="auto"/>
            <w:vAlign w:val="center"/>
            <w:hideMark/>
          </w:tcPr>
          <w:p w14:paraId="0A8ADAE8"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0BFCB3A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Strategie rozvoje Královéhradeckého kraje na období 2021–2027 (SP 3: Efektivní infrastruktura a dostupnost, StC 3.1: Kvalitní dopravní infrastruktura a dostupné regiony, Opatření 3.1.2: Zlepšení dopravní dostupnosti regionů kraje a přeshraniční dostupnosti včetně bezpečnosti dopravy)</w:t>
            </w:r>
          </w:p>
        </w:tc>
      </w:tr>
      <w:tr w:rsidR="00962D34" w:rsidRPr="00962D34" w14:paraId="4619E0A9" w14:textId="77777777" w:rsidTr="009A7AC2">
        <w:trPr>
          <w:trHeight w:val="340"/>
          <w:jc w:val="center"/>
        </w:trPr>
        <w:tc>
          <w:tcPr>
            <w:tcW w:w="2057" w:type="dxa"/>
            <w:shd w:val="clear" w:color="auto" w:fill="auto"/>
            <w:vAlign w:val="center"/>
            <w:hideMark/>
          </w:tcPr>
          <w:p w14:paraId="1696A9C4"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2CFB773B"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parcely KN 152/1 a KN 152/2 (oboje v k. ú. Prostřední Staré Buky)</w:t>
            </w:r>
          </w:p>
        </w:tc>
      </w:tr>
      <w:tr w:rsidR="00962D34" w:rsidRPr="00962D34" w14:paraId="7BC2F989" w14:textId="77777777" w:rsidTr="009A7AC2">
        <w:trPr>
          <w:trHeight w:val="340"/>
          <w:jc w:val="center"/>
        </w:trPr>
        <w:tc>
          <w:tcPr>
            <w:tcW w:w="2057" w:type="dxa"/>
            <w:shd w:val="clear" w:color="auto" w:fill="auto"/>
            <w:vAlign w:val="center"/>
            <w:hideMark/>
          </w:tcPr>
          <w:p w14:paraId="69CC7F25"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6536A0C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2023-2024</w:t>
            </w:r>
          </w:p>
        </w:tc>
      </w:tr>
      <w:tr w:rsidR="00962D34" w:rsidRPr="00962D34" w14:paraId="1721A325" w14:textId="77777777" w:rsidTr="009A7AC2">
        <w:trPr>
          <w:trHeight w:val="340"/>
          <w:jc w:val="center"/>
        </w:trPr>
        <w:tc>
          <w:tcPr>
            <w:tcW w:w="2057" w:type="dxa"/>
            <w:shd w:val="clear" w:color="auto" w:fill="auto"/>
            <w:vAlign w:val="center"/>
            <w:hideMark/>
          </w:tcPr>
          <w:p w14:paraId="01EBF7A8"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5488974F"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Zastupitelstvo obce Staré Buky</w:t>
            </w:r>
          </w:p>
        </w:tc>
      </w:tr>
      <w:tr w:rsidR="00962D34" w:rsidRPr="00962D34" w14:paraId="46EE719A" w14:textId="77777777" w:rsidTr="009A7AC2">
        <w:trPr>
          <w:trHeight w:val="340"/>
          <w:jc w:val="center"/>
        </w:trPr>
        <w:tc>
          <w:tcPr>
            <w:tcW w:w="2057" w:type="dxa"/>
            <w:shd w:val="clear" w:color="auto" w:fill="auto"/>
            <w:vAlign w:val="center"/>
            <w:hideMark/>
          </w:tcPr>
          <w:p w14:paraId="007C8D13"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453CC215"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 realizaci</w:t>
            </w:r>
          </w:p>
        </w:tc>
      </w:tr>
      <w:tr w:rsidR="00962D34" w:rsidRPr="00962D34" w14:paraId="536BBEED" w14:textId="77777777" w:rsidTr="009A7AC2">
        <w:trPr>
          <w:trHeight w:val="340"/>
          <w:jc w:val="center"/>
        </w:trPr>
        <w:tc>
          <w:tcPr>
            <w:tcW w:w="2057" w:type="dxa"/>
            <w:shd w:val="clear" w:color="auto" w:fill="auto"/>
            <w:vAlign w:val="center"/>
          </w:tcPr>
          <w:p w14:paraId="4488FB4F"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561DE1C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 PRO Staré Buky 2022-2031: 1</w:t>
            </w:r>
          </w:p>
        </w:tc>
      </w:tr>
    </w:tbl>
    <w:p w14:paraId="67885AF1" w14:textId="77777777" w:rsidR="00962D34" w:rsidRPr="00962D34" w:rsidRDefault="00962D34" w:rsidP="00962D34">
      <w:pPr>
        <w:spacing w:after="60" w:line="259" w:lineRule="auto"/>
        <w:rPr>
          <w:rFonts w:ascii="Calibri" w:eastAsia="Calibri" w:hAnsi="Calibri" w:cs="Times New Roman"/>
        </w:rPr>
      </w:pPr>
      <w:r w:rsidRPr="00962D34">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962D34" w:rsidRPr="00962D34" w14:paraId="60C1916E"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7515CF60" w14:textId="77777777" w:rsidR="00962D34" w:rsidRPr="00962D34" w:rsidRDefault="00962D34" w:rsidP="00962D34">
            <w:pPr>
              <w:spacing w:before="60" w:after="60"/>
              <w:jc w:val="center"/>
              <w:rPr>
                <w:rFonts w:ascii="Calibri" w:eastAsia="Times New Roman" w:hAnsi="Calibri" w:cs="Calibri"/>
                <w:b/>
                <w:color w:val="000000"/>
                <w:sz w:val="24"/>
                <w:szCs w:val="24"/>
                <w:lang w:eastAsia="cs-CZ"/>
              </w:rPr>
            </w:pPr>
            <w:r w:rsidRPr="00962D34">
              <w:rPr>
                <w:rFonts w:ascii="Calibri" w:eastAsia="Times New Roman" w:hAnsi="Calibri" w:cs="Calibri"/>
                <w:b/>
                <w:color w:val="000000"/>
                <w:sz w:val="24"/>
                <w:szCs w:val="24"/>
                <w:lang w:eastAsia="cs-CZ"/>
              </w:rPr>
              <w:lastRenderedPageBreak/>
              <w:t>Vytvořit projektovou dokumentaci na vybudování chodníku v centru obce</w:t>
            </w:r>
          </w:p>
        </w:tc>
      </w:tr>
      <w:tr w:rsidR="00962D34" w:rsidRPr="00962D34" w14:paraId="3B7BC74F" w14:textId="77777777" w:rsidTr="009A7AC2">
        <w:trPr>
          <w:trHeight w:val="340"/>
          <w:jc w:val="center"/>
        </w:trPr>
        <w:tc>
          <w:tcPr>
            <w:tcW w:w="2057" w:type="dxa"/>
            <w:shd w:val="clear" w:color="auto" w:fill="auto"/>
            <w:vAlign w:val="center"/>
            <w:hideMark/>
          </w:tcPr>
          <w:p w14:paraId="7CF51707"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žadatel</w:t>
            </w:r>
          </w:p>
        </w:tc>
        <w:tc>
          <w:tcPr>
            <w:tcW w:w="7030" w:type="dxa"/>
            <w:shd w:val="clear" w:color="auto" w:fill="auto"/>
            <w:vAlign w:val="center"/>
          </w:tcPr>
          <w:p w14:paraId="6181613A"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Obec Staré Buky</w:t>
            </w:r>
          </w:p>
        </w:tc>
      </w:tr>
      <w:tr w:rsidR="00962D34" w:rsidRPr="00962D34" w14:paraId="4A6EA987" w14:textId="77777777" w:rsidTr="009A7AC2">
        <w:trPr>
          <w:trHeight w:val="340"/>
          <w:jc w:val="center"/>
        </w:trPr>
        <w:tc>
          <w:tcPr>
            <w:tcW w:w="2057" w:type="dxa"/>
            <w:shd w:val="clear" w:color="auto" w:fill="auto"/>
            <w:vAlign w:val="center"/>
          </w:tcPr>
          <w:p w14:paraId="169A085B"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role obce</w:t>
            </w:r>
          </w:p>
        </w:tc>
        <w:tc>
          <w:tcPr>
            <w:tcW w:w="7030" w:type="dxa"/>
            <w:shd w:val="clear" w:color="auto" w:fill="auto"/>
            <w:vAlign w:val="center"/>
          </w:tcPr>
          <w:p w14:paraId="2E3F38B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realizační</w:t>
            </w:r>
          </w:p>
        </w:tc>
      </w:tr>
      <w:tr w:rsidR="00962D34" w:rsidRPr="00962D34" w14:paraId="3CBDDCC4" w14:textId="77777777" w:rsidTr="009A7AC2">
        <w:trPr>
          <w:trHeight w:val="340"/>
          <w:jc w:val="center"/>
        </w:trPr>
        <w:tc>
          <w:tcPr>
            <w:tcW w:w="2057" w:type="dxa"/>
            <w:shd w:val="clear" w:color="auto" w:fill="auto"/>
            <w:vAlign w:val="center"/>
            <w:hideMark/>
          </w:tcPr>
          <w:p w14:paraId="126A87F9"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1BEF0C76"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 xml:space="preserve">společnost zpracovávající projektovou dokumentaci </w:t>
            </w:r>
          </w:p>
        </w:tc>
      </w:tr>
      <w:tr w:rsidR="00962D34" w:rsidRPr="00962D34" w14:paraId="0025E5A5" w14:textId="77777777" w:rsidTr="009A7AC2">
        <w:trPr>
          <w:trHeight w:val="340"/>
          <w:jc w:val="center"/>
        </w:trPr>
        <w:tc>
          <w:tcPr>
            <w:tcW w:w="2057" w:type="dxa"/>
            <w:shd w:val="clear" w:color="auto" w:fill="auto"/>
            <w:vAlign w:val="center"/>
            <w:hideMark/>
          </w:tcPr>
          <w:p w14:paraId="5ACB1322"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3BA9E79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 xml:space="preserve">existence projektové dokumentace → nezbytný předpoklad pro realizaci vybudování chodníku </w:t>
            </w:r>
          </w:p>
        </w:tc>
      </w:tr>
      <w:tr w:rsidR="00962D34" w:rsidRPr="00962D34" w14:paraId="7BA2EBEF" w14:textId="77777777" w:rsidTr="009A7AC2">
        <w:trPr>
          <w:trHeight w:val="48"/>
          <w:jc w:val="center"/>
        </w:trPr>
        <w:tc>
          <w:tcPr>
            <w:tcW w:w="2057" w:type="dxa"/>
            <w:shd w:val="clear" w:color="auto" w:fill="auto"/>
            <w:vAlign w:val="center"/>
            <w:hideMark/>
          </w:tcPr>
          <w:p w14:paraId="48E7AC5B"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typ</w:t>
            </w:r>
          </w:p>
        </w:tc>
        <w:tc>
          <w:tcPr>
            <w:tcW w:w="7030" w:type="dxa"/>
            <w:shd w:val="clear" w:color="auto" w:fill="auto"/>
            <w:vAlign w:val="center"/>
          </w:tcPr>
          <w:p w14:paraId="7ACBE87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neinvestiční</w:t>
            </w:r>
          </w:p>
        </w:tc>
      </w:tr>
      <w:tr w:rsidR="00962D34" w:rsidRPr="00962D34" w14:paraId="4DAC3F5A" w14:textId="77777777" w:rsidTr="009A7AC2">
        <w:trPr>
          <w:trHeight w:val="340"/>
          <w:jc w:val="center"/>
        </w:trPr>
        <w:tc>
          <w:tcPr>
            <w:tcW w:w="2057" w:type="dxa"/>
            <w:shd w:val="clear" w:color="auto" w:fill="auto"/>
            <w:vAlign w:val="center"/>
            <w:hideMark/>
          </w:tcPr>
          <w:p w14:paraId="344218A6"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důležitost</w:t>
            </w:r>
          </w:p>
        </w:tc>
        <w:tc>
          <w:tcPr>
            <w:tcW w:w="7030" w:type="dxa"/>
            <w:shd w:val="clear" w:color="auto" w:fill="auto"/>
            <w:vAlign w:val="center"/>
          </w:tcPr>
          <w:p w14:paraId="66B876A3"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vysoká</w:t>
            </w:r>
          </w:p>
        </w:tc>
      </w:tr>
      <w:tr w:rsidR="00962D34" w:rsidRPr="00962D34" w14:paraId="0FA8DC0C" w14:textId="77777777" w:rsidTr="009A7AC2">
        <w:trPr>
          <w:trHeight w:val="340"/>
          <w:jc w:val="center"/>
        </w:trPr>
        <w:tc>
          <w:tcPr>
            <w:tcW w:w="2057" w:type="dxa"/>
            <w:shd w:val="clear" w:color="auto" w:fill="auto"/>
            <w:vAlign w:val="center"/>
            <w:hideMark/>
          </w:tcPr>
          <w:p w14:paraId="64074E5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07562A7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do 500 tis. Kč</w:t>
            </w:r>
          </w:p>
        </w:tc>
      </w:tr>
      <w:tr w:rsidR="00962D34" w:rsidRPr="00962D34" w14:paraId="49777CD4" w14:textId="77777777" w:rsidTr="009A7AC2">
        <w:trPr>
          <w:trHeight w:val="340"/>
          <w:jc w:val="center"/>
        </w:trPr>
        <w:tc>
          <w:tcPr>
            <w:tcW w:w="2057" w:type="dxa"/>
            <w:shd w:val="clear" w:color="auto" w:fill="auto"/>
            <w:vAlign w:val="center"/>
            <w:hideMark/>
          </w:tcPr>
          <w:p w14:paraId="5C0E7BA5"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32AA472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vlastní zdroje obce</w:t>
            </w:r>
          </w:p>
        </w:tc>
      </w:tr>
      <w:tr w:rsidR="00962D34" w:rsidRPr="00962D34" w14:paraId="7BA41761" w14:textId="77777777" w:rsidTr="009A7AC2">
        <w:trPr>
          <w:trHeight w:val="340"/>
          <w:jc w:val="center"/>
        </w:trPr>
        <w:tc>
          <w:tcPr>
            <w:tcW w:w="2057" w:type="dxa"/>
            <w:shd w:val="clear" w:color="auto" w:fill="auto"/>
            <w:vAlign w:val="center"/>
            <w:hideMark/>
          </w:tcPr>
          <w:p w14:paraId="07FCA191"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01CEF545" w14:textId="77777777" w:rsidR="00962D34" w:rsidRPr="00962D34" w:rsidRDefault="00962D34" w:rsidP="00962D34">
            <w:pPr>
              <w:spacing w:before="60" w:after="60"/>
              <w:jc w:val="both"/>
              <w:rPr>
                <w:rFonts w:ascii="Calibri" w:eastAsia="Calibri" w:hAnsi="Calibri" w:cs="Calibri"/>
                <w:color w:val="000000"/>
                <w:sz w:val="20"/>
                <w:szCs w:val="20"/>
              </w:rPr>
            </w:pPr>
            <w:r w:rsidRPr="00962D34">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3.1.2: Zlepšení dopravní dostupnosti regionů kraje a přeshraniční dostupnosti včetně bezpečnosti dopravy)</w:t>
            </w:r>
          </w:p>
        </w:tc>
      </w:tr>
      <w:tr w:rsidR="00962D34" w:rsidRPr="00962D34" w14:paraId="7D85E584" w14:textId="77777777" w:rsidTr="009A7AC2">
        <w:trPr>
          <w:trHeight w:val="340"/>
          <w:jc w:val="center"/>
        </w:trPr>
        <w:tc>
          <w:tcPr>
            <w:tcW w:w="2057" w:type="dxa"/>
            <w:shd w:val="clear" w:color="auto" w:fill="auto"/>
            <w:vAlign w:val="center"/>
            <w:hideMark/>
          </w:tcPr>
          <w:p w14:paraId="6121D0BC"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6951ADD0"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úsek od budovy s č. p. 85 po areál nacházející se v okolí zámečku</w:t>
            </w:r>
          </w:p>
        </w:tc>
      </w:tr>
      <w:tr w:rsidR="00962D34" w:rsidRPr="00962D34" w14:paraId="3BC4AEBF" w14:textId="77777777" w:rsidTr="009A7AC2">
        <w:trPr>
          <w:trHeight w:val="340"/>
          <w:jc w:val="center"/>
        </w:trPr>
        <w:tc>
          <w:tcPr>
            <w:tcW w:w="2057" w:type="dxa"/>
            <w:shd w:val="clear" w:color="auto" w:fill="auto"/>
            <w:vAlign w:val="center"/>
            <w:hideMark/>
          </w:tcPr>
          <w:p w14:paraId="14C2FACF"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171C8270"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2023-2024</w:t>
            </w:r>
          </w:p>
        </w:tc>
      </w:tr>
      <w:tr w:rsidR="00962D34" w:rsidRPr="00962D34" w14:paraId="0570965A" w14:textId="77777777" w:rsidTr="009A7AC2">
        <w:trPr>
          <w:trHeight w:val="340"/>
          <w:jc w:val="center"/>
        </w:trPr>
        <w:tc>
          <w:tcPr>
            <w:tcW w:w="2057" w:type="dxa"/>
            <w:shd w:val="clear" w:color="auto" w:fill="auto"/>
            <w:vAlign w:val="center"/>
            <w:hideMark/>
          </w:tcPr>
          <w:p w14:paraId="0370A7B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3DFA2A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Zastupitelstvo obce Staré Buky</w:t>
            </w:r>
          </w:p>
        </w:tc>
      </w:tr>
      <w:tr w:rsidR="00962D34" w:rsidRPr="00962D34" w14:paraId="58D6A30E" w14:textId="77777777" w:rsidTr="009A7AC2">
        <w:trPr>
          <w:trHeight w:val="340"/>
          <w:jc w:val="center"/>
        </w:trPr>
        <w:tc>
          <w:tcPr>
            <w:tcW w:w="2057" w:type="dxa"/>
            <w:shd w:val="clear" w:color="auto" w:fill="auto"/>
            <w:vAlign w:val="center"/>
            <w:hideMark/>
          </w:tcPr>
          <w:p w14:paraId="4B44A375"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233F922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zpracována studie proveditelnosti</w:t>
            </w:r>
          </w:p>
        </w:tc>
      </w:tr>
      <w:tr w:rsidR="00962D34" w:rsidRPr="00962D34" w14:paraId="18A2241F" w14:textId="77777777" w:rsidTr="009A7AC2">
        <w:trPr>
          <w:trHeight w:val="340"/>
          <w:jc w:val="center"/>
        </w:trPr>
        <w:tc>
          <w:tcPr>
            <w:tcW w:w="2057" w:type="dxa"/>
            <w:shd w:val="clear" w:color="auto" w:fill="auto"/>
            <w:vAlign w:val="center"/>
          </w:tcPr>
          <w:p w14:paraId="3D3A3577"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7D21E6DA"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 PRO Staré Buky 2022-2031: 1, 2</w:t>
            </w:r>
          </w:p>
        </w:tc>
      </w:tr>
    </w:tbl>
    <w:p w14:paraId="1F507488" w14:textId="77777777" w:rsidR="00962D34" w:rsidRPr="00962D34" w:rsidRDefault="00962D34" w:rsidP="00962D34">
      <w:pPr>
        <w:spacing w:after="60" w:line="259" w:lineRule="auto"/>
        <w:rPr>
          <w:rFonts w:ascii="Calibri" w:eastAsia="Calibri" w:hAnsi="Calibri" w:cs="Times New Roman"/>
        </w:rPr>
      </w:pPr>
      <w:r w:rsidRPr="00962D34">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962D34" w:rsidRPr="00962D34" w14:paraId="6ADF7AE5"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6C9352E1" w14:textId="77777777" w:rsidR="00962D34" w:rsidRPr="00962D34" w:rsidRDefault="00962D34" w:rsidP="00962D34">
            <w:pPr>
              <w:spacing w:before="60" w:after="60"/>
              <w:jc w:val="center"/>
              <w:rPr>
                <w:rFonts w:ascii="Calibri" w:eastAsia="Times New Roman" w:hAnsi="Calibri" w:cs="Calibri"/>
                <w:b/>
                <w:color w:val="000000"/>
                <w:sz w:val="24"/>
                <w:szCs w:val="24"/>
                <w:lang w:eastAsia="cs-CZ"/>
              </w:rPr>
            </w:pPr>
            <w:r w:rsidRPr="00962D34">
              <w:rPr>
                <w:rFonts w:ascii="Calibri" w:eastAsia="Times New Roman" w:hAnsi="Calibri" w:cs="Calibri"/>
                <w:b/>
                <w:color w:val="000000"/>
                <w:sz w:val="24"/>
                <w:szCs w:val="24"/>
                <w:lang w:eastAsia="cs-CZ"/>
              </w:rPr>
              <w:lastRenderedPageBreak/>
              <w:t>Vybudovat varovný a vyrozumívací systém</w:t>
            </w:r>
          </w:p>
        </w:tc>
      </w:tr>
      <w:tr w:rsidR="00962D34" w:rsidRPr="00962D34" w14:paraId="27F5E403" w14:textId="77777777" w:rsidTr="009A7AC2">
        <w:trPr>
          <w:trHeight w:val="340"/>
          <w:jc w:val="center"/>
        </w:trPr>
        <w:tc>
          <w:tcPr>
            <w:tcW w:w="2057" w:type="dxa"/>
            <w:shd w:val="clear" w:color="auto" w:fill="auto"/>
            <w:vAlign w:val="center"/>
            <w:hideMark/>
          </w:tcPr>
          <w:p w14:paraId="1A7A9875"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žadatel</w:t>
            </w:r>
          </w:p>
        </w:tc>
        <w:tc>
          <w:tcPr>
            <w:tcW w:w="7030" w:type="dxa"/>
            <w:shd w:val="clear" w:color="auto" w:fill="auto"/>
            <w:vAlign w:val="center"/>
          </w:tcPr>
          <w:p w14:paraId="6C377E5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Obec Staré Buky</w:t>
            </w:r>
          </w:p>
        </w:tc>
      </w:tr>
      <w:tr w:rsidR="00962D34" w:rsidRPr="00962D34" w14:paraId="60D81489" w14:textId="77777777" w:rsidTr="009A7AC2">
        <w:trPr>
          <w:trHeight w:val="340"/>
          <w:jc w:val="center"/>
        </w:trPr>
        <w:tc>
          <w:tcPr>
            <w:tcW w:w="2057" w:type="dxa"/>
            <w:shd w:val="clear" w:color="auto" w:fill="auto"/>
            <w:vAlign w:val="center"/>
          </w:tcPr>
          <w:p w14:paraId="1F3900D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role obce</w:t>
            </w:r>
          </w:p>
        </w:tc>
        <w:tc>
          <w:tcPr>
            <w:tcW w:w="7030" w:type="dxa"/>
            <w:shd w:val="clear" w:color="auto" w:fill="auto"/>
            <w:vAlign w:val="center"/>
          </w:tcPr>
          <w:p w14:paraId="68E2D37B"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realizační</w:t>
            </w:r>
          </w:p>
        </w:tc>
      </w:tr>
      <w:tr w:rsidR="00962D34" w:rsidRPr="00962D34" w14:paraId="7E3A5D61" w14:textId="77777777" w:rsidTr="009A7AC2">
        <w:trPr>
          <w:trHeight w:val="340"/>
          <w:jc w:val="center"/>
        </w:trPr>
        <w:tc>
          <w:tcPr>
            <w:tcW w:w="2057" w:type="dxa"/>
            <w:shd w:val="clear" w:color="auto" w:fill="auto"/>
            <w:vAlign w:val="center"/>
            <w:hideMark/>
          </w:tcPr>
          <w:p w14:paraId="5C98B977"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6A0FE112"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MŽP</w:t>
            </w:r>
          </w:p>
        </w:tc>
      </w:tr>
      <w:tr w:rsidR="00962D34" w:rsidRPr="00962D34" w14:paraId="6E17474D" w14:textId="77777777" w:rsidTr="009A7AC2">
        <w:trPr>
          <w:trHeight w:val="340"/>
          <w:jc w:val="center"/>
        </w:trPr>
        <w:tc>
          <w:tcPr>
            <w:tcW w:w="2057" w:type="dxa"/>
            <w:shd w:val="clear" w:color="auto" w:fill="auto"/>
            <w:vAlign w:val="center"/>
            <w:hideMark/>
          </w:tcPr>
          <w:p w14:paraId="201D5D62"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219437EB"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existence varovného systému v obci</w:t>
            </w:r>
          </w:p>
          <w:p w14:paraId="4E31F88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existence důležitého zdroje informací pro řadu trvale bydlících osob</w:t>
            </w:r>
          </w:p>
        </w:tc>
      </w:tr>
      <w:tr w:rsidR="00962D34" w:rsidRPr="00962D34" w14:paraId="7CA27E7A" w14:textId="77777777" w:rsidTr="009A7AC2">
        <w:trPr>
          <w:trHeight w:val="48"/>
          <w:jc w:val="center"/>
        </w:trPr>
        <w:tc>
          <w:tcPr>
            <w:tcW w:w="2057" w:type="dxa"/>
            <w:shd w:val="clear" w:color="auto" w:fill="auto"/>
            <w:vAlign w:val="center"/>
            <w:hideMark/>
          </w:tcPr>
          <w:p w14:paraId="0E173808"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typ</w:t>
            </w:r>
          </w:p>
        </w:tc>
        <w:tc>
          <w:tcPr>
            <w:tcW w:w="7030" w:type="dxa"/>
            <w:shd w:val="clear" w:color="auto" w:fill="auto"/>
            <w:vAlign w:val="center"/>
          </w:tcPr>
          <w:p w14:paraId="2BCD437B"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investiční</w:t>
            </w:r>
          </w:p>
        </w:tc>
      </w:tr>
      <w:tr w:rsidR="00962D34" w:rsidRPr="00962D34" w14:paraId="66F9BFAB" w14:textId="77777777" w:rsidTr="009A7AC2">
        <w:trPr>
          <w:trHeight w:val="340"/>
          <w:jc w:val="center"/>
        </w:trPr>
        <w:tc>
          <w:tcPr>
            <w:tcW w:w="2057" w:type="dxa"/>
            <w:shd w:val="clear" w:color="auto" w:fill="auto"/>
            <w:vAlign w:val="center"/>
            <w:hideMark/>
          </w:tcPr>
          <w:p w14:paraId="00DB0263"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důležitost</w:t>
            </w:r>
          </w:p>
        </w:tc>
        <w:tc>
          <w:tcPr>
            <w:tcW w:w="7030" w:type="dxa"/>
            <w:shd w:val="clear" w:color="auto" w:fill="auto"/>
            <w:vAlign w:val="center"/>
          </w:tcPr>
          <w:p w14:paraId="6CF75160"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vysoká</w:t>
            </w:r>
          </w:p>
        </w:tc>
      </w:tr>
      <w:tr w:rsidR="00962D34" w:rsidRPr="00962D34" w14:paraId="782D02BE" w14:textId="77777777" w:rsidTr="009A7AC2">
        <w:trPr>
          <w:trHeight w:val="340"/>
          <w:jc w:val="center"/>
        </w:trPr>
        <w:tc>
          <w:tcPr>
            <w:tcW w:w="2057" w:type="dxa"/>
            <w:shd w:val="clear" w:color="auto" w:fill="auto"/>
            <w:vAlign w:val="center"/>
            <w:hideMark/>
          </w:tcPr>
          <w:p w14:paraId="163AE8C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6D01C69A"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2 400 000,- Kč</w:t>
            </w:r>
          </w:p>
        </w:tc>
      </w:tr>
      <w:tr w:rsidR="00962D34" w:rsidRPr="00962D34" w14:paraId="6EB9C1CC" w14:textId="77777777" w:rsidTr="009A7AC2">
        <w:trPr>
          <w:trHeight w:val="340"/>
          <w:jc w:val="center"/>
        </w:trPr>
        <w:tc>
          <w:tcPr>
            <w:tcW w:w="2057" w:type="dxa"/>
            <w:shd w:val="clear" w:color="auto" w:fill="auto"/>
            <w:vAlign w:val="center"/>
            <w:hideMark/>
          </w:tcPr>
          <w:p w14:paraId="71CF3C84"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365179C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EU – OP ŽP 2021-2027</w:t>
            </w:r>
          </w:p>
        </w:tc>
      </w:tr>
      <w:tr w:rsidR="00962D34" w:rsidRPr="00962D34" w14:paraId="0AB4496A" w14:textId="77777777" w:rsidTr="009A7AC2">
        <w:trPr>
          <w:trHeight w:val="340"/>
          <w:jc w:val="center"/>
        </w:trPr>
        <w:tc>
          <w:tcPr>
            <w:tcW w:w="2057" w:type="dxa"/>
            <w:shd w:val="clear" w:color="auto" w:fill="auto"/>
            <w:vAlign w:val="center"/>
            <w:hideMark/>
          </w:tcPr>
          <w:p w14:paraId="674CAEA3"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03D4830D" w14:textId="77777777" w:rsidR="00962D34" w:rsidRPr="00962D34" w:rsidRDefault="00962D34" w:rsidP="00962D34">
            <w:pPr>
              <w:spacing w:before="60" w:after="60"/>
              <w:jc w:val="both"/>
              <w:rPr>
                <w:rFonts w:ascii="Calibri" w:eastAsia="Calibri" w:hAnsi="Calibri" w:cs="Calibri"/>
                <w:color w:val="000000"/>
                <w:sz w:val="20"/>
                <w:szCs w:val="20"/>
              </w:rPr>
            </w:pPr>
            <w:r w:rsidRPr="00962D34">
              <w:rPr>
                <w:rFonts w:ascii="Calibri" w:eastAsia="Calibri" w:hAnsi="Calibri" w:cs="Calibri"/>
                <w:color w:val="000000"/>
                <w:sz w:val="20"/>
                <w:szCs w:val="20"/>
              </w:rPr>
              <w:t>Strategie rozvoje Královéhradeckého kraje na období 2021–2027 (SP 3: Efektivní infrastruktura a dostupnost, StC 3.2: Rozvinutá ICT infrastruktura pro digitální společnost, Opatření 3.2.3: Zavádění elektronizace a digitalizace služeb veřejných institucí a rozvoj eGovernmentu)</w:t>
            </w:r>
          </w:p>
        </w:tc>
      </w:tr>
      <w:tr w:rsidR="00962D34" w:rsidRPr="00962D34" w14:paraId="4A2256A6" w14:textId="77777777" w:rsidTr="009A7AC2">
        <w:trPr>
          <w:trHeight w:val="340"/>
          <w:jc w:val="center"/>
        </w:trPr>
        <w:tc>
          <w:tcPr>
            <w:tcW w:w="2057" w:type="dxa"/>
            <w:shd w:val="clear" w:color="auto" w:fill="auto"/>
            <w:vAlign w:val="center"/>
            <w:hideMark/>
          </w:tcPr>
          <w:p w14:paraId="41712A1F"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2D69AD1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území obce Staré Buky</w:t>
            </w:r>
          </w:p>
        </w:tc>
      </w:tr>
      <w:tr w:rsidR="00962D34" w:rsidRPr="00962D34" w14:paraId="76DBCB66" w14:textId="77777777" w:rsidTr="009A7AC2">
        <w:trPr>
          <w:trHeight w:val="340"/>
          <w:jc w:val="center"/>
        </w:trPr>
        <w:tc>
          <w:tcPr>
            <w:tcW w:w="2057" w:type="dxa"/>
            <w:shd w:val="clear" w:color="auto" w:fill="auto"/>
            <w:vAlign w:val="center"/>
            <w:hideMark/>
          </w:tcPr>
          <w:p w14:paraId="2262EB7C"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47F0AAF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2023</w:t>
            </w:r>
          </w:p>
        </w:tc>
      </w:tr>
      <w:tr w:rsidR="00962D34" w:rsidRPr="00962D34" w14:paraId="23DD8FF1" w14:textId="77777777" w:rsidTr="009A7AC2">
        <w:trPr>
          <w:trHeight w:val="340"/>
          <w:jc w:val="center"/>
        </w:trPr>
        <w:tc>
          <w:tcPr>
            <w:tcW w:w="2057" w:type="dxa"/>
            <w:shd w:val="clear" w:color="auto" w:fill="auto"/>
            <w:vAlign w:val="center"/>
            <w:hideMark/>
          </w:tcPr>
          <w:p w14:paraId="69170A0E"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33E99A9F"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Zastupitelstvo obce Staré Buky</w:t>
            </w:r>
          </w:p>
        </w:tc>
      </w:tr>
      <w:tr w:rsidR="00962D34" w:rsidRPr="00962D34" w14:paraId="40D22F3B" w14:textId="77777777" w:rsidTr="009A7AC2">
        <w:trPr>
          <w:trHeight w:val="340"/>
          <w:jc w:val="center"/>
        </w:trPr>
        <w:tc>
          <w:tcPr>
            <w:tcW w:w="2057" w:type="dxa"/>
            <w:shd w:val="clear" w:color="auto" w:fill="auto"/>
            <w:vAlign w:val="center"/>
            <w:hideMark/>
          </w:tcPr>
          <w:p w14:paraId="05E7E3A6"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2C151BA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přiznána dotace na vybudování</w:t>
            </w:r>
            <w:r w:rsidRPr="00962D34">
              <w:rPr>
                <w:rFonts w:ascii="Calibri" w:eastAsia="Calibri" w:hAnsi="Calibri" w:cs="Times New Roman"/>
              </w:rPr>
              <w:t xml:space="preserve"> </w:t>
            </w:r>
            <w:r w:rsidRPr="00962D34">
              <w:rPr>
                <w:rFonts w:ascii="Calibri" w:eastAsia="Times New Roman" w:hAnsi="Calibri" w:cs="Calibri"/>
                <w:color w:val="000000"/>
                <w:sz w:val="20"/>
                <w:szCs w:val="20"/>
                <w:lang w:eastAsia="cs-CZ"/>
              </w:rPr>
              <w:t>varovného a vyrozumívacího systému</w:t>
            </w:r>
          </w:p>
        </w:tc>
      </w:tr>
      <w:tr w:rsidR="00962D34" w:rsidRPr="00962D34" w14:paraId="6535DE00" w14:textId="77777777" w:rsidTr="009A7AC2">
        <w:trPr>
          <w:trHeight w:val="340"/>
          <w:jc w:val="center"/>
        </w:trPr>
        <w:tc>
          <w:tcPr>
            <w:tcW w:w="2057" w:type="dxa"/>
            <w:shd w:val="clear" w:color="auto" w:fill="auto"/>
            <w:vAlign w:val="center"/>
          </w:tcPr>
          <w:p w14:paraId="5A6ABD4E"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4BED2F2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 PRO Staré Buky 2022-2031: 1, 2</w:t>
            </w:r>
          </w:p>
        </w:tc>
      </w:tr>
    </w:tbl>
    <w:p w14:paraId="5E929E1C" w14:textId="77777777" w:rsidR="00962D34" w:rsidRPr="00962D34" w:rsidRDefault="00962D34" w:rsidP="00962D34">
      <w:pPr>
        <w:spacing w:after="60" w:line="259" w:lineRule="auto"/>
        <w:rPr>
          <w:rFonts w:ascii="Calibri" w:eastAsia="Calibri" w:hAnsi="Calibri" w:cs="Times New Roman"/>
        </w:rPr>
      </w:pPr>
      <w:r w:rsidRPr="00962D34">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962D34" w:rsidRPr="00962D34" w14:paraId="5AC4C382"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39C87888" w14:textId="77777777" w:rsidR="00962D34" w:rsidRPr="00962D34" w:rsidRDefault="00962D34" w:rsidP="00962D34">
            <w:pPr>
              <w:spacing w:before="60" w:after="60"/>
              <w:jc w:val="center"/>
              <w:rPr>
                <w:rFonts w:ascii="Calibri" w:eastAsia="Times New Roman" w:hAnsi="Calibri" w:cs="Calibri"/>
                <w:b/>
                <w:color w:val="000000"/>
                <w:sz w:val="24"/>
                <w:szCs w:val="24"/>
                <w:lang w:eastAsia="cs-CZ"/>
              </w:rPr>
            </w:pPr>
            <w:r w:rsidRPr="00962D34">
              <w:rPr>
                <w:rFonts w:ascii="Calibri" w:eastAsia="Times New Roman" w:hAnsi="Calibri" w:cs="Calibri"/>
                <w:b/>
                <w:color w:val="000000"/>
                <w:sz w:val="24"/>
                <w:szCs w:val="24"/>
                <w:lang w:eastAsia="cs-CZ"/>
              </w:rPr>
              <w:lastRenderedPageBreak/>
              <w:t>Zlepšit stav autobusových zastávek</w:t>
            </w:r>
          </w:p>
        </w:tc>
      </w:tr>
      <w:tr w:rsidR="00962D34" w:rsidRPr="00962D34" w14:paraId="3D61C940" w14:textId="77777777" w:rsidTr="009A7AC2">
        <w:trPr>
          <w:trHeight w:val="340"/>
          <w:jc w:val="center"/>
        </w:trPr>
        <w:tc>
          <w:tcPr>
            <w:tcW w:w="2057" w:type="dxa"/>
            <w:shd w:val="clear" w:color="auto" w:fill="auto"/>
            <w:vAlign w:val="center"/>
            <w:hideMark/>
          </w:tcPr>
          <w:p w14:paraId="498D44B7"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žadatel</w:t>
            </w:r>
          </w:p>
        </w:tc>
        <w:tc>
          <w:tcPr>
            <w:tcW w:w="7030" w:type="dxa"/>
            <w:shd w:val="clear" w:color="auto" w:fill="auto"/>
            <w:vAlign w:val="center"/>
          </w:tcPr>
          <w:p w14:paraId="4B920F4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Obec Staré Buky</w:t>
            </w:r>
          </w:p>
        </w:tc>
      </w:tr>
      <w:tr w:rsidR="00962D34" w:rsidRPr="00962D34" w14:paraId="716438F6" w14:textId="77777777" w:rsidTr="009A7AC2">
        <w:trPr>
          <w:trHeight w:val="340"/>
          <w:jc w:val="center"/>
        </w:trPr>
        <w:tc>
          <w:tcPr>
            <w:tcW w:w="2057" w:type="dxa"/>
            <w:shd w:val="clear" w:color="auto" w:fill="auto"/>
            <w:vAlign w:val="center"/>
          </w:tcPr>
          <w:p w14:paraId="6B7272A4"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role obce</w:t>
            </w:r>
          </w:p>
        </w:tc>
        <w:tc>
          <w:tcPr>
            <w:tcW w:w="7030" w:type="dxa"/>
            <w:shd w:val="clear" w:color="auto" w:fill="auto"/>
            <w:vAlign w:val="center"/>
          </w:tcPr>
          <w:p w14:paraId="20A4E7FB"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realizační</w:t>
            </w:r>
          </w:p>
        </w:tc>
      </w:tr>
      <w:tr w:rsidR="00962D34" w:rsidRPr="00962D34" w14:paraId="7D53E657" w14:textId="77777777" w:rsidTr="009A7AC2">
        <w:trPr>
          <w:trHeight w:val="340"/>
          <w:jc w:val="center"/>
        </w:trPr>
        <w:tc>
          <w:tcPr>
            <w:tcW w:w="2057" w:type="dxa"/>
            <w:shd w:val="clear" w:color="auto" w:fill="auto"/>
            <w:vAlign w:val="center"/>
            <w:hideMark/>
          </w:tcPr>
          <w:p w14:paraId="2CEA18B9"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2BC345A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zájmové spolky působící v obci</w:t>
            </w:r>
          </w:p>
        </w:tc>
      </w:tr>
      <w:tr w:rsidR="00962D34" w:rsidRPr="00962D34" w14:paraId="183CB4CD" w14:textId="77777777" w:rsidTr="009A7AC2">
        <w:trPr>
          <w:trHeight w:val="340"/>
          <w:jc w:val="center"/>
        </w:trPr>
        <w:tc>
          <w:tcPr>
            <w:tcW w:w="2057" w:type="dxa"/>
            <w:shd w:val="clear" w:color="auto" w:fill="auto"/>
            <w:vAlign w:val="center"/>
            <w:hideMark/>
          </w:tcPr>
          <w:p w14:paraId="16B88D2C"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410C844F"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lepší image autobusových zastávek a jejich nejbližšího okolí</w:t>
            </w:r>
          </w:p>
        </w:tc>
      </w:tr>
      <w:tr w:rsidR="00962D34" w:rsidRPr="00962D34" w14:paraId="11563E73" w14:textId="77777777" w:rsidTr="009A7AC2">
        <w:trPr>
          <w:trHeight w:val="48"/>
          <w:jc w:val="center"/>
        </w:trPr>
        <w:tc>
          <w:tcPr>
            <w:tcW w:w="2057" w:type="dxa"/>
            <w:shd w:val="clear" w:color="auto" w:fill="auto"/>
            <w:vAlign w:val="center"/>
            <w:hideMark/>
          </w:tcPr>
          <w:p w14:paraId="6BF0D7B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typ</w:t>
            </w:r>
          </w:p>
        </w:tc>
        <w:tc>
          <w:tcPr>
            <w:tcW w:w="7030" w:type="dxa"/>
            <w:shd w:val="clear" w:color="auto" w:fill="auto"/>
            <w:vAlign w:val="center"/>
          </w:tcPr>
          <w:p w14:paraId="1191618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investiční i neinvestiční</w:t>
            </w:r>
          </w:p>
        </w:tc>
      </w:tr>
      <w:tr w:rsidR="00962D34" w:rsidRPr="00962D34" w14:paraId="1E50BBA6" w14:textId="77777777" w:rsidTr="009A7AC2">
        <w:trPr>
          <w:trHeight w:val="340"/>
          <w:jc w:val="center"/>
        </w:trPr>
        <w:tc>
          <w:tcPr>
            <w:tcW w:w="2057" w:type="dxa"/>
            <w:shd w:val="clear" w:color="auto" w:fill="auto"/>
            <w:vAlign w:val="center"/>
            <w:hideMark/>
          </w:tcPr>
          <w:p w14:paraId="34A6782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důležitost</w:t>
            </w:r>
          </w:p>
        </w:tc>
        <w:tc>
          <w:tcPr>
            <w:tcW w:w="7030" w:type="dxa"/>
            <w:shd w:val="clear" w:color="auto" w:fill="auto"/>
            <w:vAlign w:val="center"/>
          </w:tcPr>
          <w:p w14:paraId="715D2B3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vysoká</w:t>
            </w:r>
          </w:p>
        </w:tc>
      </w:tr>
      <w:tr w:rsidR="00962D34" w:rsidRPr="00962D34" w14:paraId="14546F89" w14:textId="77777777" w:rsidTr="009A7AC2">
        <w:trPr>
          <w:trHeight w:val="340"/>
          <w:jc w:val="center"/>
        </w:trPr>
        <w:tc>
          <w:tcPr>
            <w:tcW w:w="2057" w:type="dxa"/>
            <w:shd w:val="clear" w:color="auto" w:fill="auto"/>
            <w:vAlign w:val="center"/>
            <w:hideMark/>
          </w:tcPr>
          <w:p w14:paraId="1A3B85C8"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7887FF2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okolo 500 tis. Kč</w:t>
            </w:r>
          </w:p>
        </w:tc>
      </w:tr>
      <w:tr w:rsidR="00962D34" w:rsidRPr="00962D34" w14:paraId="44AFC64F" w14:textId="77777777" w:rsidTr="009A7AC2">
        <w:trPr>
          <w:trHeight w:val="340"/>
          <w:jc w:val="center"/>
        </w:trPr>
        <w:tc>
          <w:tcPr>
            <w:tcW w:w="2057" w:type="dxa"/>
            <w:shd w:val="clear" w:color="auto" w:fill="auto"/>
            <w:vAlign w:val="center"/>
            <w:hideMark/>
          </w:tcPr>
          <w:p w14:paraId="064791B2"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02AD129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vlastní zdroje obce</w:t>
            </w:r>
          </w:p>
        </w:tc>
      </w:tr>
      <w:tr w:rsidR="00962D34" w:rsidRPr="00962D34" w14:paraId="6DB56752" w14:textId="77777777" w:rsidTr="009A7AC2">
        <w:trPr>
          <w:trHeight w:val="340"/>
          <w:jc w:val="center"/>
        </w:trPr>
        <w:tc>
          <w:tcPr>
            <w:tcW w:w="2057" w:type="dxa"/>
            <w:shd w:val="clear" w:color="auto" w:fill="auto"/>
            <w:vAlign w:val="center"/>
            <w:hideMark/>
          </w:tcPr>
          <w:p w14:paraId="2657A429"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0B41931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bez vazby na strategické dokumenty</w:t>
            </w:r>
          </w:p>
        </w:tc>
      </w:tr>
      <w:tr w:rsidR="00962D34" w:rsidRPr="00962D34" w14:paraId="2990B2C5" w14:textId="77777777" w:rsidTr="009A7AC2">
        <w:trPr>
          <w:trHeight w:val="340"/>
          <w:jc w:val="center"/>
        </w:trPr>
        <w:tc>
          <w:tcPr>
            <w:tcW w:w="2057" w:type="dxa"/>
            <w:shd w:val="clear" w:color="auto" w:fill="auto"/>
            <w:vAlign w:val="center"/>
            <w:hideMark/>
          </w:tcPr>
          <w:p w14:paraId="63499FEF"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1A898A70"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autobusové zastávky a jejich nejbližší okolí</w:t>
            </w:r>
          </w:p>
        </w:tc>
      </w:tr>
      <w:tr w:rsidR="00962D34" w:rsidRPr="00962D34" w14:paraId="01294A2F" w14:textId="77777777" w:rsidTr="009A7AC2">
        <w:trPr>
          <w:trHeight w:val="340"/>
          <w:jc w:val="center"/>
        </w:trPr>
        <w:tc>
          <w:tcPr>
            <w:tcW w:w="2057" w:type="dxa"/>
            <w:shd w:val="clear" w:color="auto" w:fill="auto"/>
            <w:vAlign w:val="center"/>
            <w:hideMark/>
          </w:tcPr>
          <w:p w14:paraId="2F26FF5E"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061F7DC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2023-2024</w:t>
            </w:r>
          </w:p>
        </w:tc>
      </w:tr>
      <w:tr w:rsidR="00962D34" w:rsidRPr="00962D34" w14:paraId="16911054" w14:textId="77777777" w:rsidTr="009A7AC2">
        <w:trPr>
          <w:trHeight w:val="340"/>
          <w:jc w:val="center"/>
        </w:trPr>
        <w:tc>
          <w:tcPr>
            <w:tcW w:w="2057" w:type="dxa"/>
            <w:shd w:val="clear" w:color="auto" w:fill="auto"/>
            <w:vAlign w:val="center"/>
            <w:hideMark/>
          </w:tcPr>
          <w:p w14:paraId="280FAF76"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7CCB192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Zastupitelstvo obce Staré Buky</w:t>
            </w:r>
          </w:p>
        </w:tc>
      </w:tr>
      <w:tr w:rsidR="00962D34" w:rsidRPr="00962D34" w14:paraId="137471FF" w14:textId="77777777" w:rsidTr="009A7AC2">
        <w:trPr>
          <w:trHeight w:val="340"/>
          <w:jc w:val="center"/>
        </w:trPr>
        <w:tc>
          <w:tcPr>
            <w:tcW w:w="2057" w:type="dxa"/>
            <w:shd w:val="clear" w:color="auto" w:fill="auto"/>
            <w:vAlign w:val="center"/>
            <w:hideMark/>
          </w:tcPr>
          <w:p w14:paraId="562C1AE4"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7510756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záměr</w:t>
            </w:r>
          </w:p>
        </w:tc>
      </w:tr>
      <w:tr w:rsidR="00962D34" w:rsidRPr="00962D34" w14:paraId="02FC19ED" w14:textId="77777777" w:rsidTr="009A7AC2">
        <w:trPr>
          <w:trHeight w:val="340"/>
          <w:jc w:val="center"/>
        </w:trPr>
        <w:tc>
          <w:tcPr>
            <w:tcW w:w="2057" w:type="dxa"/>
            <w:shd w:val="clear" w:color="auto" w:fill="auto"/>
            <w:vAlign w:val="center"/>
          </w:tcPr>
          <w:p w14:paraId="7545F011"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1717B15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 PRO Staré Buky 2022-2031: 1, 2</w:t>
            </w:r>
          </w:p>
        </w:tc>
      </w:tr>
    </w:tbl>
    <w:p w14:paraId="1C7B441C" w14:textId="77777777" w:rsidR="00962D34" w:rsidRPr="00962D34" w:rsidRDefault="00962D34" w:rsidP="00962D34">
      <w:pPr>
        <w:spacing w:after="60" w:line="259" w:lineRule="auto"/>
        <w:rPr>
          <w:rFonts w:ascii="Calibri" w:eastAsia="Calibri" w:hAnsi="Calibri" w:cs="Times New Roman"/>
        </w:rPr>
      </w:pPr>
      <w:r w:rsidRPr="00962D34">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962D34" w:rsidRPr="00962D34" w14:paraId="0DC48CA7"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3FF0A3B1" w14:textId="77777777" w:rsidR="00962D34" w:rsidRPr="00962D34" w:rsidRDefault="00962D34" w:rsidP="00962D34">
            <w:pPr>
              <w:spacing w:before="60" w:after="60"/>
              <w:jc w:val="center"/>
              <w:rPr>
                <w:rFonts w:ascii="Calibri" w:eastAsia="Times New Roman" w:hAnsi="Calibri" w:cs="Calibri"/>
                <w:b/>
                <w:color w:val="000000"/>
                <w:sz w:val="24"/>
                <w:szCs w:val="24"/>
                <w:lang w:eastAsia="cs-CZ"/>
              </w:rPr>
            </w:pPr>
            <w:r w:rsidRPr="00962D34">
              <w:rPr>
                <w:rFonts w:ascii="Calibri" w:eastAsia="Times New Roman" w:hAnsi="Calibri" w:cs="Calibri"/>
                <w:b/>
                <w:color w:val="000000"/>
                <w:sz w:val="24"/>
                <w:szCs w:val="24"/>
                <w:lang w:eastAsia="cs-CZ"/>
              </w:rPr>
              <w:lastRenderedPageBreak/>
              <w:t>Zpracovat architektonickou studii areálu „Zámeček“</w:t>
            </w:r>
          </w:p>
        </w:tc>
      </w:tr>
      <w:tr w:rsidR="00962D34" w:rsidRPr="00962D34" w14:paraId="260872EB" w14:textId="77777777" w:rsidTr="009A7AC2">
        <w:trPr>
          <w:trHeight w:val="340"/>
          <w:jc w:val="center"/>
        </w:trPr>
        <w:tc>
          <w:tcPr>
            <w:tcW w:w="2057" w:type="dxa"/>
            <w:shd w:val="clear" w:color="auto" w:fill="auto"/>
            <w:vAlign w:val="center"/>
            <w:hideMark/>
          </w:tcPr>
          <w:p w14:paraId="4854A3DB"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žadatel</w:t>
            </w:r>
          </w:p>
        </w:tc>
        <w:tc>
          <w:tcPr>
            <w:tcW w:w="7030" w:type="dxa"/>
            <w:shd w:val="clear" w:color="auto" w:fill="auto"/>
            <w:vAlign w:val="center"/>
          </w:tcPr>
          <w:p w14:paraId="721EE372"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Obec Staré Buky</w:t>
            </w:r>
          </w:p>
        </w:tc>
      </w:tr>
      <w:tr w:rsidR="00962D34" w:rsidRPr="00962D34" w14:paraId="252DF524" w14:textId="77777777" w:rsidTr="009A7AC2">
        <w:trPr>
          <w:trHeight w:val="340"/>
          <w:jc w:val="center"/>
        </w:trPr>
        <w:tc>
          <w:tcPr>
            <w:tcW w:w="2057" w:type="dxa"/>
            <w:shd w:val="clear" w:color="auto" w:fill="auto"/>
            <w:vAlign w:val="center"/>
          </w:tcPr>
          <w:p w14:paraId="2D2D676E"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role obce</w:t>
            </w:r>
          </w:p>
        </w:tc>
        <w:tc>
          <w:tcPr>
            <w:tcW w:w="7030" w:type="dxa"/>
            <w:shd w:val="clear" w:color="auto" w:fill="auto"/>
            <w:vAlign w:val="center"/>
          </w:tcPr>
          <w:p w14:paraId="41E5BA6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realizační</w:t>
            </w:r>
          </w:p>
        </w:tc>
      </w:tr>
      <w:tr w:rsidR="00962D34" w:rsidRPr="00962D34" w14:paraId="6231AEC5" w14:textId="77777777" w:rsidTr="009A7AC2">
        <w:trPr>
          <w:trHeight w:val="340"/>
          <w:jc w:val="center"/>
        </w:trPr>
        <w:tc>
          <w:tcPr>
            <w:tcW w:w="2057" w:type="dxa"/>
            <w:shd w:val="clear" w:color="auto" w:fill="auto"/>
            <w:vAlign w:val="center"/>
            <w:hideMark/>
          </w:tcPr>
          <w:p w14:paraId="6F221E1F"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0AEA865F"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projekční společnost</w:t>
            </w:r>
          </w:p>
        </w:tc>
      </w:tr>
      <w:tr w:rsidR="00962D34" w:rsidRPr="00962D34" w14:paraId="7AE026F5" w14:textId="77777777" w:rsidTr="009A7AC2">
        <w:trPr>
          <w:trHeight w:val="340"/>
          <w:jc w:val="center"/>
        </w:trPr>
        <w:tc>
          <w:tcPr>
            <w:tcW w:w="2057" w:type="dxa"/>
            <w:shd w:val="clear" w:color="auto" w:fill="auto"/>
            <w:vAlign w:val="center"/>
            <w:hideMark/>
          </w:tcPr>
          <w:p w14:paraId="270AA79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5ECD0906"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existence možných variant, jak by mohl být areál v budoucnu funkčně využit</w:t>
            </w:r>
          </w:p>
        </w:tc>
      </w:tr>
      <w:tr w:rsidR="00962D34" w:rsidRPr="00962D34" w14:paraId="75A5086B" w14:textId="77777777" w:rsidTr="009A7AC2">
        <w:trPr>
          <w:trHeight w:val="48"/>
          <w:jc w:val="center"/>
        </w:trPr>
        <w:tc>
          <w:tcPr>
            <w:tcW w:w="2057" w:type="dxa"/>
            <w:shd w:val="clear" w:color="auto" w:fill="auto"/>
            <w:vAlign w:val="center"/>
            <w:hideMark/>
          </w:tcPr>
          <w:p w14:paraId="044387E8"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typ</w:t>
            </w:r>
          </w:p>
        </w:tc>
        <w:tc>
          <w:tcPr>
            <w:tcW w:w="7030" w:type="dxa"/>
            <w:shd w:val="clear" w:color="auto" w:fill="auto"/>
            <w:vAlign w:val="center"/>
          </w:tcPr>
          <w:p w14:paraId="2DC18F5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neinvestiční</w:t>
            </w:r>
          </w:p>
        </w:tc>
      </w:tr>
      <w:tr w:rsidR="00962D34" w:rsidRPr="00962D34" w14:paraId="19BC52F2" w14:textId="77777777" w:rsidTr="009A7AC2">
        <w:trPr>
          <w:trHeight w:val="340"/>
          <w:jc w:val="center"/>
        </w:trPr>
        <w:tc>
          <w:tcPr>
            <w:tcW w:w="2057" w:type="dxa"/>
            <w:shd w:val="clear" w:color="auto" w:fill="auto"/>
            <w:vAlign w:val="center"/>
            <w:hideMark/>
          </w:tcPr>
          <w:p w14:paraId="5740EED3"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důležitost</w:t>
            </w:r>
          </w:p>
        </w:tc>
        <w:tc>
          <w:tcPr>
            <w:tcW w:w="7030" w:type="dxa"/>
            <w:shd w:val="clear" w:color="auto" w:fill="auto"/>
            <w:vAlign w:val="center"/>
          </w:tcPr>
          <w:p w14:paraId="7116FB8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vysoká</w:t>
            </w:r>
          </w:p>
        </w:tc>
      </w:tr>
      <w:tr w:rsidR="00962D34" w:rsidRPr="00962D34" w14:paraId="0E1417C6" w14:textId="77777777" w:rsidTr="009A7AC2">
        <w:trPr>
          <w:trHeight w:val="340"/>
          <w:jc w:val="center"/>
        </w:trPr>
        <w:tc>
          <w:tcPr>
            <w:tcW w:w="2057" w:type="dxa"/>
            <w:shd w:val="clear" w:color="auto" w:fill="auto"/>
            <w:vAlign w:val="center"/>
            <w:hideMark/>
          </w:tcPr>
          <w:p w14:paraId="68C6CCC7"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2DAAD75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do 200 tis. Kč</w:t>
            </w:r>
          </w:p>
        </w:tc>
      </w:tr>
      <w:tr w:rsidR="00962D34" w:rsidRPr="00962D34" w14:paraId="2612285D" w14:textId="77777777" w:rsidTr="009A7AC2">
        <w:trPr>
          <w:trHeight w:val="340"/>
          <w:jc w:val="center"/>
        </w:trPr>
        <w:tc>
          <w:tcPr>
            <w:tcW w:w="2057" w:type="dxa"/>
            <w:shd w:val="clear" w:color="auto" w:fill="auto"/>
            <w:vAlign w:val="center"/>
            <w:hideMark/>
          </w:tcPr>
          <w:p w14:paraId="33E0C160"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50674D6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vlastní zdroje obce</w:t>
            </w:r>
          </w:p>
        </w:tc>
      </w:tr>
      <w:tr w:rsidR="00962D34" w:rsidRPr="00962D34" w14:paraId="55233595" w14:textId="77777777" w:rsidTr="009A7AC2">
        <w:trPr>
          <w:trHeight w:val="340"/>
          <w:jc w:val="center"/>
        </w:trPr>
        <w:tc>
          <w:tcPr>
            <w:tcW w:w="2057" w:type="dxa"/>
            <w:shd w:val="clear" w:color="auto" w:fill="auto"/>
            <w:vAlign w:val="center"/>
            <w:hideMark/>
          </w:tcPr>
          <w:p w14:paraId="21A3427E"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0F3A92E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Calibri" w:hAnsi="Calibri" w:cs="Calibri"/>
                <w:color w:val="000000"/>
                <w:sz w:val="20"/>
                <w:szCs w:val="20"/>
              </w:rPr>
              <w:t>Strategie rozvoje Královéhradeckého kraje na období 2021–2027 (SP 5: Vyvážený rozvoj a správa území, StC 5.1: Eliminace územních disparit a řešení regionálních specifik, Opatření 5.1.1: Podpora hospodářsky problémových regionů, venkova, periferií a specifických oblastí)</w:t>
            </w:r>
          </w:p>
        </w:tc>
      </w:tr>
      <w:tr w:rsidR="00962D34" w:rsidRPr="00962D34" w14:paraId="6B8F3B07" w14:textId="77777777" w:rsidTr="009A7AC2">
        <w:trPr>
          <w:trHeight w:val="340"/>
          <w:jc w:val="center"/>
        </w:trPr>
        <w:tc>
          <w:tcPr>
            <w:tcW w:w="2057" w:type="dxa"/>
            <w:shd w:val="clear" w:color="auto" w:fill="auto"/>
            <w:vAlign w:val="center"/>
            <w:hideMark/>
          </w:tcPr>
          <w:p w14:paraId="42CB8AC4"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159761CA"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budova zámečku a jeho okolí</w:t>
            </w:r>
          </w:p>
        </w:tc>
      </w:tr>
      <w:tr w:rsidR="00962D34" w:rsidRPr="00962D34" w14:paraId="69F5A6D5" w14:textId="77777777" w:rsidTr="009A7AC2">
        <w:trPr>
          <w:trHeight w:val="340"/>
          <w:jc w:val="center"/>
        </w:trPr>
        <w:tc>
          <w:tcPr>
            <w:tcW w:w="2057" w:type="dxa"/>
            <w:shd w:val="clear" w:color="auto" w:fill="auto"/>
            <w:vAlign w:val="center"/>
            <w:hideMark/>
          </w:tcPr>
          <w:p w14:paraId="70D861AB"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3827CD2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2022-2023</w:t>
            </w:r>
          </w:p>
        </w:tc>
      </w:tr>
      <w:tr w:rsidR="00962D34" w:rsidRPr="00962D34" w14:paraId="0A62FCF6" w14:textId="77777777" w:rsidTr="009A7AC2">
        <w:trPr>
          <w:trHeight w:val="340"/>
          <w:jc w:val="center"/>
        </w:trPr>
        <w:tc>
          <w:tcPr>
            <w:tcW w:w="2057" w:type="dxa"/>
            <w:shd w:val="clear" w:color="auto" w:fill="auto"/>
            <w:vAlign w:val="center"/>
            <w:hideMark/>
          </w:tcPr>
          <w:p w14:paraId="100E2188"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0929245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Zastupitelstvo obce Staré Buky</w:t>
            </w:r>
          </w:p>
        </w:tc>
      </w:tr>
      <w:tr w:rsidR="00962D34" w:rsidRPr="00962D34" w14:paraId="5CDCCAFA" w14:textId="77777777" w:rsidTr="009A7AC2">
        <w:trPr>
          <w:trHeight w:val="340"/>
          <w:jc w:val="center"/>
        </w:trPr>
        <w:tc>
          <w:tcPr>
            <w:tcW w:w="2057" w:type="dxa"/>
            <w:shd w:val="clear" w:color="auto" w:fill="auto"/>
            <w:vAlign w:val="center"/>
            <w:hideMark/>
          </w:tcPr>
          <w:p w14:paraId="128F326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1A8E36E6"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částečná realizace</w:t>
            </w:r>
          </w:p>
        </w:tc>
      </w:tr>
      <w:tr w:rsidR="00962D34" w:rsidRPr="00962D34" w14:paraId="0AE38E08" w14:textId="77777777" w:rsidTr="009A7AC2">
        <w:trPr>
          <w:trHeight w:val="340"/>
          <w:jc w:val="center"/>
        </w:trPr>
        <w:tc>
          <w:tcPr>
            <w:tcW w:w="2057" w:type="dxa"/>
            <w:shd w:val="clear" w:color="auto" w:fill="auto"/>
            <w:vAlign w:val="center"/>
          </w:tcPr>
          <w:p w14:paraId="1D63C638"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17B80D5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 PRO Staré Buky 2022-2031: 1, 2, 3</w:t>
            </w:r>
          </w:p>
        </w:tc>
      </w:tr>
    </w:tbl>
    <w:p w14:paraId="56CC85D2" w14:textId="77777777" w:rsidR="00962D34" w:rsidRPr="00962D34" w:rsidRDefault="00962D34" w:rsidP="00962D34">
      <w:pPr>
        <w:spacing w:after="60" w:line="259" w:lineRule="auto"/>
        <w:rPr>
          <w:rFonts w:ascii="Calibri" w:eastAsia="Calibri" w:hAnsi="Calibri" w:cs="Times New Roman"/>
        </w:rPr>
      </w:pPr>
      <w:r w:rsidRPr="00962D34">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962D34" w:rsidRPr="00962D34" w14:paraId="71FCAE0A"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7F36BCFA" w14:textId="77777777" w:rsidR="00962D34" w:rsidRPr="00962D34" w:rsidRDefault="00962D34" w:rsidP="00962D34">
            <w:pPr>
              <w:spacing w:before="60" w:after="60"/>
              <w:jc w:val="center"/>
              <w:rPr>
                <w:rFonts w:ascii="Calibri" w:eastAsia="Times New Roman" w:hAnsi="Calibri" w:cs="Calibri"/>
                <w:b/>
                <w:color w:val="000000"/>
                <w:sz w:val="24"/>
                <w:szCs w:val="24"/>
                <w:lang w:eastAsia="cs-CZ"/>
              </w:rPr>
            </w:pPr>
            <w:r w:rsidRPr="00962D34">
              <w:rPr>
                <w:rFonts w:ascii="Calibri" w:eastAsia="Times New Roman" w:hAnsi="Calibri" w:cs="Calibri"/>
                <w:b/>
                <w:color w:val="000000"/>
                <w:sz w:val="24"/>
                <w:szCs w:val="24"/>
                <w:lang w:eastAsia="cs-CZ"/>
              </w:rPr>
              <w:lastRenderedPageBreak/>
              <w:t>Vytvořit projektovou dokumentaci na revitalizaci parku v okolí budovy zámečku</w:t>
            </w:r>
          </w:p>
        </w:tc>
      </w:tr>
      <w:tr w:rsidR="00962D34" w:rsidRPr="00962D34" w14:paraId="613D4BB4" w14:textId="77777777" w:rsidTr="009A7AC2">
        <w:trPr>
          <w:trHeight w:val="340"/>
          <w:jc w:val="center"/>
        </w:trPr>
        <w:tc>
          <w:tcPr>
            <w:tcW w:w="2057" w:type="dxa"/>
            <w:shd w:val="clear" w:color="auto" w:fill="auto"/>
            <w:vAlign w:val="center"/>
            <w:hideMark/>
          </w:tcPr>
          <w:p w14:paraId="05ADB324"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žadatel</w:t>
            </w:r>
          </w:p>
        </w:tc>
        <w:tc>
          <w:tcPr>
            <w:tcW w:w="7030" w:type="dxa"/>
            <w:shd w:val="clear" w:color="auto" w:fill="auto"/>
            <w:vAlign w:val="center"/>
          </w:tcPr>
          <w:p w14:paraId="73BE292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Obec Staré Buky</w:t>
            </w:r>
          </w:p>
        </w:tc>
      </w:tr>
      <w:tr w:rsidR="00962D34" w:rsidRPr="00962D34" w14:paraId="52F6B6A4" w14:textId="77777777" w:rsidTr="009A7AC2">
        <w:trPr>
          <w:trHeight w:val="340"/>
          <w:jc w:val="center"/>
        </w:trPr>
        <w:tc>
          <w:tcPr>
            <w:tcW w:w="2057" w:type="dxa"/>
            <w:shd w:val="clear" w:color="auto" w:fill="auto"/>
            <w:vAlign w:val="center"/>
          </w:tcPr>
          <w:p w14:paraId="078E1B86"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role obce</w:t>
            </w:r>
          </w:p>
        </w:tc>
        <w:tc>
          <w:tcPr>
            <w:tcW w:w="7030" w:type="dxa"/>
            <w:shd w:val="clear" w:color="auto" w:fill="auto"/>
            <w:vAlign w:val="center"/>
          </w:tcPr>
          <w:p w14:paraId="71C2A31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realizační</w:t>
            </w:r>
          </w:p>
        </w:tc>
      </w:tr>
      <w:tr w:rsidR="00962D34" w:rsidRPr="00962D34" w14:paraId="102EFBEB" w14:textId="77777777" w:rsidTr="009A7AC2">
        <w:trPr>
          <w:trHeight w:val="340"/>
          <w:jc w:val="center"/>
        </w:trPr>
        <w:tc>
          <w:tcPr>
            <w:tcW w:w="2057" w:type="dxa"/>
            <w:shd w:val="clear" w:color="auto" w:fill="auto"/>
            <w:vAlign w:val="center"/>
            <w:hideMark/>
          </w:tcPr>
          <w:p w14:paraId="5DC987F8"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17721F7F"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společnost zpracovávající projektovou dokumentaci</w:t>
            </w:r>
          </w:p>
        </w:tc>
      </w:tr>
      <w:tr w:rsidR="00962D34" w:rsidRPr="00962D34" w14:paraId="1EAE9572" w14:textId="77777777" w:rsidTr="009A7AC2">
        <w:trPr>
          <w:trHeight w:val="340"/>
          <w:jc w:val="center"/>
        </w:trPr>
        <w:tc>
          <w:tcPr>
            <w:tcW w:w="2057" w:type="dxa"/>
            <w:shd w:val="clear" w:color="auto" w:fill="auto"/>
            <w:vAlign w:val="center"/>
            <w:hideMark/>
          </w:tcPr>
          <w:p w14:paraId="7583235C"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42F07B1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existence projektové dokumentace → nezbytný předpoklad pro následnou revitalizaci parku</w:t>
            </w:r>
          </w:p>
        </w:tc>
      </w:tr>
      <w:tr w:rsidR="00962D34" w:rsidRPr="00962D34" w14:paraId="073BC039" w14:textId="77777777" w:rsidTr="009A7AC2">
        <w:trPr>
          <w:trHeight w:val="48"/>
          <w:jc w:val="center"/>
        </w:trPr>
        <w:tc>
          <w:tcPr>
            <w:tcW w:w="2057" w:type="dxa"/>
            <w:shd w:val="clear" w:color="auto" w:fill="auto"/>
            <w:vAlign w:val="center"/>
            <w:hideMark/>
          </w:tcPr>
          <w:p w14:paraId="2AA7EE76"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typ</w:t>
            </w:r>
          </w:p>
        </w:tc>
        <w:tc>
          <w:tcPr>
            <w:tcW w:w="7030" w:type="dxa"/>
            <w:shd w:val="clear" w:color="auto" w:fill="auto"/>
            <w:vAlign w:val="center"/>
          </w:tcPr>
          <w:p w14:paraId="0773F99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neinvestiční</w:t>
            </w:r>
          </w:p>
        </w:tc>
      </w:tr>
      <w:tr w:rsidR="00962D34" w:rsidRPr="00962D34" w14:paraId="47E8DE60" w14:textId="77777777" w:rsidTr="009A7AC2">
        <w:trPr>
          <w:trHeight w:val="340"/>
          <w:jc w:val="center"/>
        </w:trPr>
        <w:tc>
          <w:tcPr>
            <w:tcW w:w="2057" w:type="dxa"/>
            <w:shd w:val="clear" w:color="auto" w:fill="auto"/>
            <w:vAlign w:val="center"/>
            <w:hideMark/>
          </w:tcPr>
          <w:p w14:paraId="1A4A096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důležitost</w:t>
            </w:r>
          </w:p>
        </w:tc>
        <w:tc>
          <w:tcPr>
            <w:tcW w:w="7030" w:type="dxa"/>
            <w:shd w:val="clear" w:color="auto" w:fill="auto"/>
            <w:vAlign w:val="center"/>
          </w:tcPr>
          <w:p w14:paraId="25584F5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vysoká</w:t>
            </w:r>
          </w:p>
        </w:tc>
      </w:tr>
      <w:tr w:rsidR="00962D34" w:rsidRPr="00962D34" w14:paraId="2963FE7C" w14:textId="77777777" w:rsidTr="009A7AC2">
        <w:trPr>
          <w:trHeight w:val="340"/>
          <w:jc w:val="center"/>
        </w:trPr>
        <w:tc>
          <w:tcPr>
            <w:tcW w:w="2057" w:type="dxa"/>
            <w:shd w:val="clear" w:color="auto" w:fill="auto"/>
            <w:vAlign w:val="center"/>
            <w:hideMark/>
          </w:tcPr>
          <w:p w14:paraId="4BA7E8EF"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039FED6C"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do 1 mil. Kč</w:t>
            </w:r>
          </w:p>
        </w:tc>
      </w:tr>
      <w:tr w:rsidR="00962D34" w:rsidRPr="00962D34" w14:paraId="3AD0EDCF" w14:textId="77777777" w:rsidTr="009A7AC2">
        <w:trPr>
          <w:trHeight w:val="340"/>
          <w:jc w:val="center"/>
        </w:trPr>
        <w:tc>
          <w:tcPr>
            <w:tcW w:w="2057" w:type="dxa"/>
            <w:shd w:val="clear" w:color="auto" w:fill="auto"/>
            <w:vAlign w:val="center"/>
            <w:hideMark/>
          </w:tcPr>
          <w:p w14:paraId="7C26A200"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7121DAB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vlastní zdroje obce</w:t>
            </w:r>
          </w:p>
        </w:tc>
      </w:tr>
      <w:tr w:rsidR="00962D34" w:rsidRPr="00962D34" w14:paraId="7F874D2D" w14:textId="77777777" w:rsidTr="009A7AC2">
        <w:trPr>
          <w:trHeight w:val="340"/>
          <w:jc w:val="center"/>
        </w:trPr>
        <w:tc>
          <w:tcPr>
            <w:tcW w:w="2057" w:type="dxa"/>
            <w:shd w:val="clear" w:color="auto" w:fill="auto"/>
            <w:vAlign w:val="center"/>
            <w:hideMark/>
          </w:tcPr>
          <w:p w14:paraId="7C3FE8C0"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3AD103B0"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Calibri" w:hAnsi="Calibri" w:cs="Calibri"/>
                <w:color w:val="000000"/>
                <w:sz w:val="20"/>
                <w:szCs w:val="20"/>
              </w:rPr>
              <w:t>Strategie rozvoje Královéhradeckého kraje na období 2021–2027 (SP 5: Vyvážený rozvoj a správa území, StC 5.1: Eliminace územních disparit a řešení regionálních specifik, Opatření 5.1.1: Podpora hospodářsky problémových regionů, venkova, periferií a specifických oblastí)</w:t>
            </w:r>
          </w:p>
        </w:tc>
      </w:tr>
      <w:tr w:rsidR="00962D34" w:rsidRPr="00962D34" w14:paraId="54A8FD7F" w14:textId="77777777" w:rsidTr="009A7AC2">
        <w:trPr>
          <w:trHeight w:val="340"/>
          <w:jc w:val="center"/>
        </w:trPr>
        <w:tc>
          <w:tcPr>
            <w:tcW w:w="2057" w:type="dxa"/>
            <w:shd w:val="clear" w:color="auto" w:fill="auto"/>
            <w:vAlign w:val="center"/>
            <w:hideMark/>
          </w:tcPr>
          <w:p w14:paraId="04A8BA2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57FB098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park v okolí budovy zámečku</w:t>
            </w:r>
          </w:p>
        </w:tc>
      </w:tr>
      <w:tr w:rsidR="00962D34" w:rsidRPr="00962D34" w14:paraId="166C4302" w14:textId="77777777" w:rsidTr="009A7AC2">
        <w:trPr>
          <w:trHeight w:val="340"/>
          <w:jc w:val="center"/>
        </w:trPr>
        <w:tc>
          <w:tcPr>
            <w:tcW w:w="2057" w:type="dxa"/>
            <w:shd w:val="clear" w:color="auto" w:fill="auto"/>
            <w:vAlign w:val="center"/>
            <w:hideMark/>
          </w:tcPr>
          <w:p w14:paraId="7211C43B"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2EA1F622"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2023-2024</w:t>
            </w:r>
          </w:p>
        </w:tc>
      </w:tr>
      <w:tr w:rsidR="00962D34" w:rsidRPr="00962D34" w14:paraId="04DCF0E0" w14:textId="77777777" w:rsidTr="009A7AC2">
        <w:trPr>
          <w:trHeight w:val="340"/>
          <w:jc w:val="center"/>
        </w:trPr>
        <w:tc>
          <w:tcPr>
            <w:tcW w:w="2057" w:type="dxa"/>
            <w:shd w:val="clear" w:color="auto" w:fill="auto"/>
            <w:vAlign w:val="center"/>
            <w:hideMark/>
          </w:tcPr>
          <w:p w14:paraId="5253503C"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6139E39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Zastupitelstvo obce Staré Buky</w:t>
            </w:r>
          </w:p>
        </w:tc>
      </w:tr>
      <w:tr w:rsidR="00962D34" w:rsidRPr="00962D34" w14:paraId="74BF91D8" w14:textId="77777777" w:rsidTr="009A7AC2">
        <w:trPr>
          <w:trHeight w:val="340"/>
          <w:jc w:val="center"/>
        </w:trPr>
        <w:tc>
          <w:tcPr>
            <w:tcW w:w="2057" w:type="dxa"/>
            <w:shd w:val="clear" w:color="auto" w:fill="auto"/>
            <w:vAlign w:val="center"/>
            <w:hideMark/>
          </w:tcPr>
          <w:p w14:paraId="2B116CC3"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56862ED5"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zpracována studie proveditelnosti</w:t>
            </w:r>
          </w:p>
        </w:tc>
      </w:tr>
      <w:tr w:rsidR="00962D34" w:rsidRPr="00962D34" w14:paraId="495D0101" w14:textId="77777777" w:rsidTr="009A7AC2">
        <w:trPr>
          <w:trHeight w:val="340"/>
          <w:jc w:val="center"/>
        </w:trPr>
        <w:tc>
          <w:tcPr>
            <w:tcW w:w="2057" w:type="dxa"/>
            <w:shd w:val="clear" w:color="auto" w:fill="auto"/>
            <w:vAlign w:val="center"/>
          </w:tcPr>
          <w:p w14:paraId="744AFDF5"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7BFD8ED2"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 PRO Staré Buky 2022-2031: 1, 2, 3</w:t>
            </w:r>
          </w:p>
        </w:tc>
      </w:tr>
    </w:tbl>
    <w:p w14:paraId="0FFC60CD" w14:textId="77777777" w:rsidR="00962D34" w:rsidRPr="00962D34" w:rsidRDefault="00962D34" w:rsidP="00962D34">
      <w:pPr>
        <w:spacing w:after="60" w:line="259" w:lineRule="auto"/>
        <w:rPr>
          <w:rFonts w:ascii="Calibri" w:eastAsia="Calibri" w:hAnsi="Calibri" w:cs="Times New Roman"/>
        </w:rPr>
      </w:pPr>
      <w:r w:rsidRPr="00962D34">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962D34" w:rsidRPr="00962D34" w14:paraId="6EC8F974"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601A5F5A" w14:textId="77777777" w:rsidR="00962D34" w:rsidRPr="00962D34" w:rsidRDefault="00962D34" w:rsidP="00962D34">
            <w:pPr>
              <w:spacing w:before="60" w:after="60"/>
              <w:jc w:val="center"/>
              <w:rPr>
                <w:rFonts w:ascii="Calibri" w:eastAsia="Times New Roman" w:hAnsi="Calibri" w:cs="Calibri"/>
                <w:b/>
                <w:color w:val="000000"/>
                <w:sz w:val="24"/>
                <w:szCs w:val="24"/>
                <w:lang w:eastAsia="cs-CZ"/>
              </w:rPr>
            </w:pPr>
            <w:r w:rsidRPr="00962D34">
              <w:rPr>
                <w:rFonts w:ascii="Calibri" w:eastAsia="Times New Roman" w:hAnsi="Calibri" w:cs="Calibri"/>
                <w:b/>
                <w:color w:val="000000"/>
                <w:sz w:val="24"/>
                <w:szCs w:val="24"/>
                <w:lang w:eastAsia="cs-CZ"/>
              </w:rPr>
              <w:lastRenderedPageBreak/>
              <w:t>Usilovat o omezení rychlosti jedoucích vozidel a o zklidnění provozu v lokalitě Dolníky</w:t>
            </w:r>
          </w:p>
        </w:tc>
      </w:tr>
      <w:tr w:rsidR="00962D34" w:rsidRPr="00962D34" w14:paraId="1EF4F9A8" w14:textId="77777777" w:rsidTr="009A7AC2">
        <w:trPr>
          <w:trHeight w:val="340"/>
          <w:jc w:val="center"/>
        </w:trPr>
        <w:tc>
          <w:tcPr>
            <w:tcW w:w="2057" w:type="dxa"/>
            <w:shd w:val="clear" w:color="auto" w:fill="auto"/>
            <w:vAlign w:val="center"/>
            <w:hideMark/>
          </w:tcPr>
          <w:p w14:paraId="2F16B75A"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žadatel</w:t>
            </w:r>
          </w:p>
        </w:tc>
        <w:tc>
          <w:tcPr>
            <w:tcW w:w="7030" w:type="dxa"/>
            <w:shd w:val="clear" w:color="auto" w:fill="auto"/>
            <w:vAlign w:val="center"/>
          </w:tcPr>
          <w:p w14:paraId="1584B3D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ORP Trutnov</w:t>
            </w:r>
          </w:p>
        </w:tc>
      </w:tr>
      <w:tr w:rsidR="00962D34" w:rsidRPr="00962D34" w14:paraId="2EE4586D" w14:textId="77777777" w:rsidTr="009A7AC2">
        <w:trPr>
          <w:trHeight w:val="340"/>
          <w:jc w:val="center"/>
        </w:trPr>
        <w:tc>
          <w:tcPr>
            <w:tcW w:w="2057" w:type="dxa"/>
            <w:shd w:val="clear" w:color="auto" w:fill="auto"/>
            <w:vAlign w:val="center"/>
          </w:tcPr>
          <w:p w14:paraId="371A69B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role obce</w:t>
            </w:r>
          </w:p>
        </w:tc>
        <w:tc>
          <w:tcPr>
            <w:tcW w:w="7030" w:type="dxa"/>
            <w:shd w:val="clear" w:color="auto" w:fill="auto"/>
            <w:vAlign w:val="center"/>
          </w:tcPr>
          <w:p w14:paraId="0B574AFC"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iniciační</w:t>
            </w:r>
          </w:p>
        </w:tc>
      </w:tr>
      <w:tr w:rsidR="00962D34" w:rsidRPr="00962D34" w14:paraId="33BF2719" w14:textId="77777777" w:rsidTr="009A7AC2">
        <w:trPr>
          <w:trHeight w:val="340"/>
          <w:jc w:val="center"/>
        </w:trPr>
        <w:tc>
          <w:tcPr>
            <w:tcW w:w="2057" w:type="dxa"/>
            <w:shd w:val="clear" w:color="auto" w:fill="auto"/>
            <w:vAlign w:val="center"/>
            <w:hideMark/>
          </w:tcPr>
          <w:p w14:paraId="09210DE4"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541E9175"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Policie ČR, Dopravní inspektorát Trutnov</w:t>
            </w:r>
          </w:p>
        </w:tc>
      </w:tr>
      <w:tr w:rsidR="00962D34" w:rsidRPr="00962D34" w14:paraId="77EC9898" w14:textId="77777777" w:rsidTr="009A7AC2">
        <w:trPr>
          <w:trHeight w:val="340"/>
          <w:jc w:val="center"/>
        </w:trPr>
        <w:tc>
          <w:tcPr>
            <w:tcW w:w="2057" w:type="dxa"/>
            <w:shd w:val="clear" w:color="auto" w:fill="auto"/>
            <w:vAlign w:val="center"/>
            <w:hideMark/>
          </w:tcPr>
          <w:p w14:paraId="474BABA5"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3D04B04F"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zvýšení bezpečnosti v souvislosti s automobilovou dopravou</w:t>
            </w:r>
          </w:p>
        </w:tc>
      </w:tr>
      <w:tr w:rsidR="00962D34" w:rsidRPr="00962D34" w14:paraId="775CF8CD" w14:textId="77777777" w:rsidTr="009A7AC2">
        <w:trPr>
          <w:trHeight w:val="48"/>
          <w:jc w:val="center"/>
        </w:trPr>
        <w:tc>
          <w:tcPr>
            <w:tcW w:w="2057" w:type="dxa"/>
            <w:shd w:val="clear" w:color="auto" w:fill="auto"/>
            <w:vAlign w:val="center"/>
            <w:hideMark/>
          </w:tcPr>
          <w:p w14:paraId="4AA6ED83"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typ</w:t>
            </w:r>
          </w:p>
        </w:tc>
        <w:tc>
          <w:tcPr>
            <w:tcW w:w="7030" w:type="dxa"/>
            <w:shd w:val="clear" w:color="auto" w:fill="auto"/>
            <w:vAlign w:val="center"/>
          </w:tcPr>
          <w:p w14:paraId="00F2A2D2"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neinvestiční</w:t>
            </w:r>
          </w:p>
        </w:tc>
      </w:tr>
      <w:tr w:rsidR="00962D34" w:rsidRPr="00962D34" w14:paraId="0F36D14F" w14:textId="77777777" w:rsidTr="009A7AC2">
        <w:trPr>
          <w:trHeight w:val="340"/>
          <w:jc w:val="center"/>
        </w:trPr>
        <w:tc>
          <w:tcPr>
            <w:tcW w:w="2057" w:type="dxa"/>
            <w:shd w:val="clear" w:color="auto" w:fill="auto"/>
            <w:vAlign w:val="center"/>
            <w:hideMark/>
          </w:tcPr>
          <w:p w14:paraId="44C1B840"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důležitost</w:t>
            </w:r>
          </w:p>
        </w:tc>
        <w:tc>
          <w:tcPr>
            <w:tcW w:w="7030" w:type="dxa"/>
            <w:shd w:val="clear" w:color="auto" w:fill="auto"/>
            <w:vAlign w:val="center"/>
          </w:tcPr>
          <w:p w14:paraId="56C6444B"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vysoká</w:t>
            </w:r>
          </w:p>
        </w:tc>
      </w:tr>
      <w:tr w:rsidR="00962D34" w:rsidRPr="00962D34" w14:paraId="6DC863DB" w14:textId="77777777" w:rsidTr="009A7AC2">
        <w:trPr>
          <w:trHeight w:val="340"/>
          <w:jc w:val="center"/>
        </w:trPr>
        <w:tc>
          <w:tcPr>
            <w:tcW w:w="2057" w:type="dxa"/>
            <w:shd w:val="clear" w:color="auto" w:fill="auto"/>
            <w:vAlign w:val="center"/>
            <w:hideMark/>
          </w:tcPr>
          <w:p w14:paraId="450871EE"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70079412"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zanedbatelné</w:t>
            </w:r>
          </w:p>
        </w:tc>
      </w:tr>
      <w:tr w:rsidR="00962D34" w:rsidRPr="00962D34" w14:paraId="0DA053FB" w14:textId="77777777" w:rsidTr="009A7AC2">
        <w:trPr>
          <w:trHeight w:val="340"/>
          <w:jc w:val="center"/>
        </w:trPr>
        <w:tc>
          <w:tcPr>
            <w:tcW w:w="2057" w:type="dxa"/>
            <w:shd w:val="clear" w:color="auto" w:fill="auto"/>
            <w:vAlign w:val="center"/>
            <w:hideMark/>
          </w:tcPr>
          <w:p w14:paraId="3BABC95C"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4858B18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zdroje ORP Trutnov</w:t>
            </w:r>
          </w:p>
        </w:tc>
      </w:tr>
      <w:tr w:rsidR="00962D34" w:rsidRPr="00962D34" w14:paraId="0430F428" w14:textId="77777777" w:rsidTr="009A7AC2">
        <w:trPr>
          <w:trHeight w:val="340"/>
          <w:jc w:val="center"/>
        </w:trPr>
        <w:tc>
          <w:tcPr>
            <w:tcW w:w="2057" w:type="dxa"/>
            <w:shd w:val="clear" w:color="auto" w:fill="auto"/>
            <w:vAlign w:val="center"/>
            <w:hideMark/>
          </w:tcPr>
          <w:p w14:paraId="5AC26AEC"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6F8CB60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3.1.2: Zlepšení dopravní dostupnosti regionů kraje a přeshraniční dostupnosti včetně bezpečnosti dopravy)</w:t>
            </w:r>
          </w:p>
        </w:tc>
      </w:tr>
      <w:tr w:rsidR="00962D34" w:rsidRPr="00962D34" w14:paraId="4B80D442" w14:textId="77777777" w:rsidTr="009A7AC2">
        <w:trPr>
          <w:trHeight w:val="340"/>
          <w:jc w:val="center"/>
        </w:trPr>
        <w:tc>
          <w:tcPr>
            <w:tcW w:w="2057" w:type="dxa"/>
            <w:shd w:val="clear" w:color="auto" w:fill="auto"/>
            <w:vAlign w:val="center"/>
            <w:hideMark/>
          </w:tcPr>
          <w:p w14:paraId="65135781"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3210D9D0"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lokalita Dolníky</w:t>
            </w:r>
          </w:p>
        </w:tc>
      </w:tr>
      <w:tr w:rsidR="00962D34" w:rsidRPr="00962D34" w14:paraId="42C546FC" w14:textId="77777777" w:rsidTr="009A7AC2">
        <w:trPr>
          <w:trHeight w:val="340"/>
          <w:jc w:val="center"/>
        </w:trPr>
        <w:tc>
          <w:tcPr>
            <w:tcW w:w="2057" w:type="dxa"/>
            <w:shd w:val="clear" w:color="auto" w:fill="auto"/>
            <w:vAlign w:val="center"/>
            <w:hideMark/>
          </w:tcPr>
          <w:p w14:paraId="285BBDB2"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628927B5"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2023-2024</w:t>
            </w:r>
          </w:p>
        </w:tc>
      </w:tr>
      <w:tr w:rsidR="00962D34" w:rsidRPr="00962D34" w14:paraId="5BB97FA3" w14:textId="77777777" w:rsidTr="009A7AC2">
        <w:trPr>
          <w:trHeight w:val="340"/>
          <w:jc w:val="center"/>
        </w:trPr>
        <w:tc>
          <w:tcPr>
            <w:tcW w:w="2057" w:type="dxa"/>
            <w:shd w:val="clear" w:color="auto" w:fill="auto"/>
            <w:vAlign w:val="center"/>
            <w:hideMark/>
          </w:tcPr>
          <w:p w14:paraId="25411188"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4C4A5C0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ORP Trutnov</w:t>
            </w:r>
          </w:p>
        </w:tc>
      </w:tr>
      <w:tr w:rsidR="00962D34" w:rsidRPr="00962D34" w14:paraId="2FFBA210" w14:textId="77777777" w:rsidTr="009A7AC2">
        <w:trPr>
          <w:trHeight w:val="340"/>
          <w:jc w:val="center"/>
        </w:trPr>
        <w:tc>
          <w:tcPr>
            <w:tcW w:w="2057" w:type="dxa"/>
            <w:shd w:val="clear" w:color="auto" w:fill="auto"/>
            <w:vAlign w:val="center"/>
            <w:hideMark/>
          </w:tcPr>
          <w:p w14:paraId="76627D28"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3B686BC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záměr</w:t>
            </w:r>
          </w:p>
        </w:tc>
      </w:tr>
      <w:tr w:rsidR="00962D34" w:rsidRPr="00962D34" w14:paraId="01076151" w14:textId="77777777" w:rsidTr="009A7AC2">
        <w:trPr>
          <w:trHeight w:val="340"/>
          <w:jc w:val="center"/>
        </w:trPr>
        <w:tc>
          <w:tcPr>
            <w:tcW w:w="2057" w:type="dxa"/>
            <w:shd w:val="clear" w:color="auto" w:fill="auto"/>
            <w:vAlign w:val="center"/>
          </w:tcPr>
          <w:p w14:paraId="63850173"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0095771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 PRO Staré Buky 2022-2031: 1</w:t>
            </w:r>
          </w:p>
        </w:tc>
      </w:tr>
    </w:tbl>
    <w:p w14:paraId="132D025F" w14:textId="77777777" w:rsidR="00962D34" w:rsidRPr="00962D34" w:rsidRDefault="00962D34" w:rsidP="00962D34">
      <w:pPr>
        <w:spacing w:after="60" w:line="259" w:lineRule="auto"/>
        <w:rPr>
          <w:rFonts w:ascii="Calibri" w:eastAsia="Calibri" w:hAnsi="Calibri" w:cs="Times New Roman"/>
        </w:rPr>
      </w:pPr>
      <w:r w:rsidRPr="00962D34">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962D34" w:rsidRPr="00962D34" w14:paraId="3DA012FA"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40C0C05A" w14:textId="77777777" w:rsidR="00962D34" w:rsidRPr="00962D34" w:rsidRDefault="00962D34" w:rsidP="00962D34">
            <w:pPr>
              <w:spacing w:before="60" w:after="60"/>
              <w:jc w:val="center"/>
              <w:rPr>
                <w:rFonts w:ascii="Calibri" w:eastAsia="Times New Roman" w:hAnsi="Calibri" w:cs="Calibri"/>
                <w:b/>
                <w:color w:val="000000"/>
                <w:sz w:val="24"/>
                <w:szCs w:val="24"/>
                <w:lang w:eastAsia="cs-CZ"/>
              </w:rPr>
            </w:pPr>
            <w:r w:rsidRPr="00962D34">
              <w:rPr>
                <w:rFonts w:ascii="Calibri" w:eastAsia="Times New Roman" w:hAnsi="Calibri" w:cs="Calibri"/>
                <w:b/>
                <w:color w:val="000000"/>
                <w:sz w:val="24"/>
                <w:szCs w:val="24"/>
                <w:lang w:eastAsia="cs-CZ"/>
              </w:rPr>
              <w:lastRenderedPageBreak/>
              <w:t>Pořádat každoročně Den obce</w:t>
            </w:r>
          </w:p>
        </w:tc>
      </w:tr>
      <w:tr w:rsidR="00962D34" w:rsidRPr="00962D34" w14:paraId="07079DB4" w14:textId="77777777" w:rsidTr="009A7AC2">
        <w:trPr>
          <w:trHeight w:val="340"/>
          <w:jc w:val="center"/>
        </w:trPr>
        <w:tc>
          <w:tcPr>
            <w:tcW w:w="2057" w:type="dxa"/>
            <w:shd w:val="clear" w:color="auto" w:fill="auto"/>
            <w:vAlign w:val="center"/>
            <w:hideMark/>
          </w:tcPr>
          <w:p w14:paraId="4104CD8C"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žadatel</w:t>
            </w:r>
          </w:p>
        </w:tc>
        <w:tc>
          <w:tcPr>
            <w:tcW w:w="7030" w:type="dxa"/>
            <w:shd w:val="clear" w:color="auto" w:fill="auto"/>
            <w:vAlign w:val="center"/>
          </w:tcPr>
          <w:p w14:paraId="704E4DB2"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Obec Staré Buky</w:t>
            </w:r>
          </w:p>
        </w:tc>
      </w:tr>
      <w:tr w:rsidR="00962D34" w:rsidRPr="00962D34" w14:paraId="05F1969F" w14:textId="77777777" w:rsidTr="009A7AC2">
        <w:trPr>
          <w:trHeight w:val="340"/>
          <w:jc w:val="center"/>
        </w:trPr>
        <w:tc>
          <w:tcPr>
            <w:tcW w:w="2057" w:type="dxa"/>
            <w:shd w:val="clear" w:color="auto" w:fill="auto"/>
            <w:vAlign w:val="center"/>
          </w:tcPr>
          <w:p w14:paraId="4A39B591"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role obce</w:t>
            </w:r>
          </w:p>
        </w:tc>
        <w:tc>
          <w:tcPr>
            <w:tcW w:w="7030" w:type="dxa"/>
            <w:shd w:val="clear" w:color="auto" w:fill="auto"/>
            <w:vAlign w:val="center"/>
          </w:tcPr>
          <w:p w14:paraId="22F757D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realizační</w:t>
            </w:r>
          </w:p>
        </w:tc>
      </w:tr>
      <w:tr w:rsidR="00962D34" w:rsidRPr="00962D34" w14:paraId="4FA34FE7" w14:textId="77777777" w:rsidTr="009A7AC2">
        <w:trPr>
          <w:trHeight w:val="340"/>
          <w:jc w:val="center"/>
        </w:trPr>
        <w:tc>
          <w:tcPr>
            <w:tcW w:w="2057" w:type="dxa"/>
            <w:shd w:val="clear" w:color="auto" w:fill="auto"/>
            <w:vAlign w:val="center"/>
            <w:hideMark/>
          </w:tcPr>
          <w:p w14:paraId="202BF821"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51DABD7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zájmové spolky působící v obci</w:t>
            </w:r>
          </w:p>
        </w:tc>
      </w:tr>
      <w:tr w:rsidR="00962D34" w:rsidRPr="00962D34" w14:paraId="0883DDDB" w14:textId="77777777" w:rsidTr="009A7AC2">
        <w:trPr>
          <w:trHeight w:val="340"/>
          <w:jc w:val="center"/>
        </w:trPr>
        <w:tc>
          <w:tcPr>
            <w:tcW w:w="2057" w:type="dxa"/>
            <w:shd w:val="clear" w:color="auto" w:fill="auto"/>
            <w:vAlign w:val="center"/>
            <w:hideMark/>
          </w:tcPr>
          <w:p w14:paraId="473D2A4F"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108CE6E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existence kulturně-společenské tradice → podpora větší soudržnosti a sounáležitosti obyvatel s obcí</w:t>
            </w:r>
          </w:p>
        </w:tc>
      </w:tr>
      <w:tr w:rsidR="00962D34" w:rsidRPr="00962D34" w14:paraId="5BD9712B" w14:textId="77777777" w:rsidTr="009A7AC2">
        <w:trPr>
          <w:trHeight w:val="48"/>
          <w:jc w:val="center"/>
        </w:trPr>
        <w:tc>
          <w:tcPr>
            <w:tcW w:w="2057" w:type="dxa"/>
            <w:shd w:val="clear" w:color="auto" w:fill="auto"/>
            <w:vAlign w:val="center"/>
            <w:hideMark/>
          </w:tcPr>
          <w:p w14:paraId="45E2C02C"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typ</w:t>
            </w:r>
          </w:p>
        </w:tc>
        <w:tc>
          <w:tcPr>
            <w:tcW w:w="7030" w:type="dxa"/>
            <w:shd w:val="clear" w:color="auto" w:fill="auto"/>
            <w:vAlign w:val="center"/>
          </w:tcPr>
          <w:p w14:paraId="26F338D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neinvestiční</w:t>
            </w:r>
          </w:p>
        </w:tc>
      </w:tr>
      <w:tr w:rsidR="00962D34" w:rsidRPr="00962D34" w14:paraId="20DAF5A6" w14:textId="77777777" w:rsidTr="009A7AC2">
        <w:trPr>
          <w:trHeight w:val="340"/>
          <w:jc w:val="center"/>
        </w:trPr>
        <w:tc>
          <w:tcPr>
            <w:tcW w:w="2057" w:type="dxa"/>
            <w:shd w:val="clear" w:color="auto" w:fill="auto"/>
            <w:vAlign w:val="center"/>
            <w:hideMark/>
          </w:tcPr>
          <w:p w14:paraId="3FD75444"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důležitost</w:t>
            </w:r>
          </w:p>
        </w:tc>
        <w:tc>
          <w:tcPr>
            <w:tcW w:w="7030" w:type="dxa"/>
            <w:shd w:val="clear" w:color="auto" w:fill="auto"/>
            <w:vAlign w:val="center"/>
          </w:tcPr>
          <w:p w14:paraId="42C87FC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vysoká</w:t>
            </w:r>
          </w:p>
        </w:tc>
      </w:tr>
      <w:tr w:rsidR="00962D34" w:rsidRPr="00962D34" w14:paraId="5C84DF7C" w14:textId="77777777" w:rsidTr="009A7AC2">
        <w:trPr>
          <w:trHeight w:val="340"/>
          <w:jc w:val="center"/>
        </w:trPr>
        <w:tc>
          <w:tcPr>
            <w:tcW w:w="2057" w:type="dxa"/>
            <w:shd w:val="clear" w:color="auto" w:fill="auto"/>
            <w:vAlign w:val="center"/>
            <w:hideMark/>
          </w:tcPr>
          <w:p w14:paraId="0B0E9A8E"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4A4BE45F"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do 200 tis. Kč</w:t>
            </w:r>
          </w:p>
        </w:tc>
      </w:tr>
      <w:tr w:rsidR="00962D34" w:rsidRPr="00962D34" w14:paraId="4A47DBAB" w14:textId="77777777" w:rsidTr="009A7AC2">
        <w:trPr>
          <w:trHeight w:val="340"/>
          <w:jc w:val="center"/>
        </w:trPr>
        <w:tc>
          <w:tcPr>
            <w:tcW w:w="2057" w:type="dxa"/>
            <w:shd w:val="clear" w:color="auto" w:fill="auto"/>
            <w:vAlign w:val="center"/>
            <w:hideMark/>
          </w:tcPr>
          <w:p w14:paraId="707E831E"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4079056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vlastní zdroje obce</w:t>
            </w:r>
          </w:p>
          <w:p w14:paraId="7DD0B1F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zdroje zájmových spolků</w:t>
            </w:r>
          </w:p>
        </w:tc>
      </w:tr>
      <w:tr w:rsidR="00962D34" w:rsidRPr="00962D34" w14:paraId="64D50EB8" w14:textId="77777777" w:rsidTr="009A7AC2">
        <w:trPr>
          <w:trHeight w:val="340"/>
          <w:jc w:val="center"/>
        </w:trPr>
        <w:tc>
          <w:tcPr>
            <w:tcW w:w="2057" w:type="dxa"/>
            <w:shd w:val="clear" w:color="auto" w:fill="auto"/>
            <w:vAlign w:val="center"/>
            <w:hideMark/>
          </w:tcPr>
          <w:p w14:paraId="41C31D0B"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753DF460" w14:textId="77777777" w:rsidR="00962D34" w:rsidRPr="00962D34" w:rsidRDefault="00962D34" w:rsidP="00962D34">
            <w:pPr>
              <w:spacing w:before="60" w:after="60"/>
              <w:jc w:val="both"/>
              <w:rPr>
                <w:rFonts w:ascii="Calibri" w:eastAsia="Calibri" w:hAnsi="Calibri" w:cs="Calibri"/>
                <w:color w:val="000000"/>
                <w:sz w:val="20"/>
                <w:szCs w:val="20"/>
              </w:rPr>
            </w:pPr>
            <w:r w:rsidRPr="00962D34">
              <w:rPr>
                <w:rFonts w:ascii="Calibri" w:eastAsia="Calibri" w:hAnsi="Calibri" w:cs="Calibri"/>
                <w:color w:val="000000"/>
                <w:sz w:val="20"/>
                <w:szCs w:val="20"/>
              </w:rPr>
              <w:t>Strategie rozvoje Královéhradeckého kraje na období 2021–2027 (SP 2: Zdravá, stabilní a soudržná společnost, StC 2.3: Vysoká úroveň kultury a trávení volného času, Opatření 2.3.1: Rozvoj živé kultury a místního kulturního života)</w:t>
            </w:r>
          </w:p>
        </w:tc>
      </w:tr>
      <w:tr w:rsidR="00962D34" w:rsidRPr="00962D34" w14:paraId="40085D90" w14:textId="77777777" w:rsidTr="009A7AC2">
        <w:trPr>
          <w:trHeight w:val="340"/>
          <w:jc w:val="center"/>
        </w:trPr>
        <w:tc>
          <w:tcPr>
            <w:tcW w:w="2057" w:type="dxa"/>
            <w:shd w:val="clear" w:color="auto" w:fill="auto"/>
            <w:vAlign w:val="center"/>
            <w:hideMark/>
          </w:tcPr>
          <w:p w14:paraId="5CA28ED2"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634DF04B"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vytipované místo na území obce</w:t>
            </w:r>
          </w:p>
        </w:tc>
      </w:tr>
      <w:tr w:rsidR="00962D34" w:rsidRPr="00962D34" w14:paraId="0A6FCBDD" w14:textId="77777777" w:rsidTr="009A7AC2">
        <w:trPr>
          <w:trHeight w:val="340"/>
          <w:jc w:val="center"/>
        </w:trPr>
        <w:tc>
          <w:tcPr>
            <w:tcW w:w="2057" w:type="dxa"/>
            <w:shd w:val="clear" w:color="auto" w:fill="auto"/>
            <w:vAlign w:val="center"/>
            <w:hideMark/>
          </w:tcPr>
          <w:p w14:paraId="1BFA41DE"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6ABDB25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průběžně po celé programové období</w:t>
            </w:r>
          </w:p>
        </w:tc>
      </w:tr>
      <w:tr w:rsidR="00962D34" w:rsidRPr="00962D34" w14:paraId="592307E1" w14:textId="77777777" w:rsidTr="009A7AC2">
        <w:trPr>
          <w:trHeight w:val="340"/>
          <w:jc w:val="center"/>
        </w:trPr>
        <w:tc>
          <w:tcPr>
            <w:tcW w:w="2057" w:type="dxa"/>
            <w:shd w:val="clear" w:color="auto" w:fill="auto"/>
            <w:vAlign w:val="center"/>
            <w:hideMark/>
          </w:tcPr>
          <w:p w14:paraId="7DEC945B"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7804544D"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vedení obce Staré Buky ve spolupráci s aktivními obyvateli</w:t>
            </w:r>
          </w:p>
        </w:tc>
      </w:tr>
      <w:tr w:rsidR="00962D34" w:rsidRPr="00962D34" w14:paraId="1B42C357" w14:textId="77777777" w:rsidTr="009A7AC2">
        <w:trPr>
          <w:trHeight w:val="340"/>
          <w:jc w:val="center"/>
        </w:trPr>
        <w:tc>
          <w:tcPr>
            <w:tcW w:w="2057" w:type="dxa"/>
            <w:shd w:val="clear" w:color="auto" w:fill="auto"/>
            <w:vAlign w:val="center"/>
            <w:hideMark/>
          </w:tcPr>
          <w:p w14:paraId="2FF230F6"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794D0842"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záměr</w:t>
            </w:r>
          </w:p>
        </w:tc>
      </w:tr>
      <w:tr w:rsidR="00962D34" w:rsidRPr="00962D34" w14:paraId="69029A76" w14:textId="77777777" w:rsidTr="009A7AC2">
        <w:trPr>
          <w:trHeight w:val="340"/>
          <w:jc w:val="center"/>
        </w:trPr>
        <w:tc>
          <w:tcPr>
            <w:tcW w:w="2057" w:type="dxa"/>
            <w:shd w:val="clear" w:color="auto" w:fill="auto"/>
            <w:vAlign w:val="center"/>
          </w:tcPr>
          <w:p w14:paraId="6B4CA1B7"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75E4E3C3"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 PRO Staré Buky 2022-2031: 3</w:t>
            </w:r>
          </w:p>
        </w:tc>
      </w:tr>
    </w:tbl>
    <w:p w14:paraId="23EC8CFE" w14:textId="77777777" w:rsidR="00962D34" w:rsidRPr="00962D34" w:rsidRDefault="00962D34" w:rsidP="00962D34">
      <w:pPr>
        <w:spacing w:after="60" w:line="259" w:lineRule="auto"/>
        <w:rPr>
          <w:rFonts w:ascii="Calibri" w:eastAsia="Calibri" w:hAnsi="Calibri" w:cs="Times New Roman"/>
        </w:rPr>
      </w:pPr>
      <w:r w:rsidRPr="00962D34">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962D34" w:rsidRPr="00962D34" w14:paraId="5240734F"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44E9A3DF" w14:textId="77777777" w:rsidR="00962D34" w:rsidRPr="00962D34" w:rsidRDefault="00962D34" w:rsidP="00962D34">
            <w:pPr>
              <w:spacing w:before="60" w:after="60"/>
              <w:jc w:val="center"/>
              <w:rPr>
                <w:rFonts w:ascii="Calibri" w:eastAsia="Times New Roman" w:hAnsi="Calibri" w:cs="Calibri"/>
                <w:b/>
                <w:color w:val="000000"/>
                <w:sz w:val="24"/>
                <w:szCs w:val="24"/>
                <w:lang w:eastAsia="cs-CZ"/>
              </w:rPr>
            </w:pPr>
            <w:r w:rsidRPr="00962D34">
              <w:rPr>
                <w:rFonts w:ascii="Calibri" w:eastAsia="Times New Roman" w:hAnsi="Calibri" w:cs="Calibri"/>
                <w:b/>
                <w:color w:val="000000"/>
                <w:sz w:val="24"/>
                <w:szCs w:val="24"/>
                <w:lang w:eastAsia="cs-CZ"/>
              </w:rPr>
              <w:lastRenderedPageBreak/>
              <w:t>Optimalizovat síť sběrných nádob na tříděný odpad</w:t>
            </w:r>
          </w:p>
        </w:tc>
      </w:tr>
      <w:tr w:rsidR="00962D34" w:rsidRPr="00962D34" w14:paraId="26E43FBF" w14:textId="77777777" w:rsidTr="009A7AC2">
        <w:trPr>
          <w:trHeight w:val="340"/>
          <w:jc w:val="center"/>
        </w:trPr>
        <w:tc>
          <w:tcPr>
            <w:tcW w:w="2057" w:type="dxa"/>
            <w:shd w:val="clear" w:color="auto" w:fill="auto"/>
            <w:vAlign w:val="center"/>
            <w:hideMark/>
          </w:tcPr>
          <w:p w14:paraId="0D947A9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žadatel</w:t>
            </w:r>
          </w:p>
        </w:tc>
        <w:tc>
          <w:tcPr>
            <w:tcW w:w="7030" w:type="dxa"/>
            <w:shd w:val="clear" w:color="auto" w:fill="auto"/>
            <w:vAlign w:val="center"/>
          </w:tcPr>
          <w:p w14:paraId="1430958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Obec Staré Buky</w:t>
            </w:r>
          </w:p>
        </w:tc>
      </w:tr>
      <w:tr w:rsidR="00962D34" w:rsidRPr="00962D34" w14:paraId="59C4AEED" w14:textId="77777777" w:rsidTr="009A7AC2">
        <w:trPr>
          <w:trHeight w:val="340"/>
          <w:jc w:val="center"/>
        </w:trPr>
        <w:tc>
          <w:tcPr>
            <w:tcW w:w="2057" w:type="dxa"/>
            <w:shd w:val="clear" w:color="auto" w:fill="auto"/>
            <w:vAlign w:val="center"/>
          </w:tcPr>
          <w:p w14:paraId="1D6E399C"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role obce</w:t>
            </w:r>
          </w:p>
        </w:tc>
        <w:tc>
          <w:tcPr>
            <w:tcW w:w="7030" w:type="dxa"/>
            <w:shd w:val="clear" w:color="auto" w:fill="auto"/>
            <w:vAlign w:val="center"/>
          </w:tcPr>
          <w:p w14:paraId="28A4EA7E"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realizační</w:t>
            </w:r>
          </w:p>
        </w:tc>
      </w:tr>
      <w:tr w:rsidR="00962D34" w:rsidRPr="00962D34" w14:paraId="69212FEC" w14:textId="77777777" w:rsidTr="009A7AC2">
        <w:trPr>
          <w:trHeight w:val="340"/>
          <w:jc w:val="center"/>
        </w:trPr>
        <w:tc>
          <w:tcPr>
            <w:tcW w:w="2057" w:type="dxa"/>
            <w:shd w:val="clear" w:color="auto" w:fill="auto"/>
            <w:vAlign w:val="center"/>
            <w:hideMark/>
          </w:tcPr>
          <w:p w14:paraId="69779B0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2C844393"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KHK kraj</w:t>
            </w:r>
          </w:p>
        </w:tc>
      </w:tr>
      <w:tr w:rsidR="00962D34" w:rsidRPr="00962D34" w14:paraId="2CC6FE4E" w14:textId="77777777" w:rsidTr="009A7AC2">
        <w:trPr>
          <w:trHeight w:val="340"/>
          <w:jc w:val="center"/>
        </w:trPr>
        <w:tc>
          <w:tcPr>
            <w:tcW w:w="2057" w:type="dxa"/>
            <w:shd w:val="clear" w:color="auto" w:fill="auto"/>
            <w:vAlign w:val="center"/>
            <w:hideMark/>
          </w:tcPr>
          <w:p w14:paraId="3938628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432991B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zajištění dostupnosti kontejnerů na tříděný odpad v optimální vzdálenosti pro lokality, kde v současné době nejsou dostupné</w:t>
            </w:r>
          </w:p>
        </w:tc>
      </w:tr>
      <w:tr w:rsidR="00962D34" w:rsidRPr="00962D34" w14:paraId="2FFA9528" w14:textId="77777777" w:rsidTr="009A7AC2">
        <w:trPr>
          <w:trHeight w:val="48"/>
          <w:jc w:val="center"/>
        </w:trPr>
        <w:tc>
          <w:tcPr>
            <w:tcW w:w="2057" w:type="dxa"/>
            <w:shd w:val="clear" w:color="auto" w:fill="auto"/>
            <w:vAlign w:val="center"/>
            <w:hideMark/>
          </w:tcPr>
          <w:p w14:paraId="6916C95B"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typ</w:t>
            </w:r>
          </w:p>
        </w:tc>
        <w:tc>
          <w:tcPr>
            <w:tcW w:w="7030" w:type="dxa"/>
            <w:shd w:val="clear" w:color="auto" w:fill="auto"/>
            <w:vAlign w:val="center"/>
          </w:tcPr>
          <w:p w14:paraId="2A378BCA"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investiční</w:t>
            </w:r>
          </w:p>
        </w:tc>
      </w:tr>
      <w:tr w:rsidR="00962D34" w:rsidRPr="00962D34" w14:paraId="1797F22E" w14:textId="77777777" w:rsidTr="009A7AC2">
        <w:trPr>
          <w:trHeight w:val="340"/>
          <w:jc w:val="center"/>
        </w:trPr>
        <w:tc>
          <w:tcPr>
            <w:tcW w:w="2057" w:type="dxa"/>
            <w:shd w:val="clear" w:color="auto" w:fill="auto"/>
            <w:vAlign w:val="center"/>
            <w:hideMark/>
          </w:tcPr>
          <w:p w14:paraId="3B38F207"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důležitost</w:t>
            </w:r>
          </w:p>
        </w:tc>
        <w:tc>
          <w:tcPr>
            <w:tcW w:w="7030" w:type="dxa"/>
            <w:shd w:val="clear" w:color="auto" w:fill="auto"/>
            <w:vAlign w:val="center"/>
          </w:tcPr>
          <w:p w14:paraId="12A9CFDC"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střední</w:t>
            </w:r>
          </w:p>
        </w:tc>
      </w:tr>
      <w:tr w:rsidR="00962D34" w:rsidRPr="00962D34" w14:paraId="6EA8F91F" w14:textId="77777777" w:rsidTr="009A7AC2">
        <w:trPr>
          <w:trHeight w:val="340"/>
          <w:jc w:val="center"/>
        </w:trPr>
        <w:tc>
          <w:tcPr>
            <w:tcW w:w="2057" w:type="dxa"/>
            <w:shd w:val="clear" w:color="auto" w:fill="auto"/>
            <w:vAlign w:val="center"/>
            <w:hideMark/>
          </w:tcPr>
          <w:p w14:paraId="3B329E96"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1FFAAC1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 řádu desítek tis. Kč</w:t>
            </w:r>
          </w:p>
        </w:tc>
      </w:tr>
      <w:tr w:rsidR="00962D34" w:rsidRPr="00962D34" w14:paraId="0677A384" w14:textId="77777777" w:rsidTr="009A7AC2">
        <w:trPr>
          <w:trHeight w:val="340"/>
          <w:jc w:val="center"/>
        </w:trPr>
        <w:tc>
          <w:tcPr>
            <w:tcW w:w="2057" w:type="dxa"/>
            <w:shd w:val="clear" w:color="auto" w:fill="auto"/>
            <w:vAlign w:val="center"/>
            <w:hideMark/>
          </w:tcPr>
          <w:p w14:paraId="636A0362"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7510C0CF"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KHK kraj – POV KHK</w:t>
            </w:r>
          </w:p>
          <w:p w14:paraId="1EC1A8DB"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vlastní zdroje obce</w:t>
            </w:r>
          </w:p>
        </w:tc>
      </w:tr>
      <w:tr w:rsidR="00962D34" w:rsidRPr="00962D34" w14:paraId="648B019B" w14:textId="77777777" w:rsidTr="009A7AC2">
        <w:trPr>
          <w:trHeight w:val="340"/>
          <w:jc w:val="center"/>
        </w:trPr>
        <w:tc>
          <w:tcPr>
            <w:tcW w:w="2057" w:type="dxa"/>
            <w:shd w:val="clear" w:color="auto" w:fill="auto"/>
            <w:vAlign w:val="center"/>
            <w:hideMark/>
          </w:tcPr>
          <w:p w14:paraId="36C8BD25"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4E0D0523"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Calibri" w:hAnsi="Calibri" w:cs="Calibri"/>
                <w:color w:val="000000"/>
                <w:sz w:val="20"/>
                <w:szCs w:val="20"/>
              </w:rPr>
              <w:t>Strategie rozvoje Královéhradeckého kraje na období 2021–2027 (SP 4: Kvalitní a čisté životní prostředí, StC 4.3: Eliminace negativních dopadů činností člověka na životní prostředí, Opatření 4.3.1: Efektivní a ekologické odpadové hospodářství)</w:t>
            </w:r>
          </w:p>
        </w:tc>
      </w:tr>
      <w:tr w:rsidR="00962D34" w:rsidRPr="00962D34" w14:paraId="1E154C77" w14:textId="77777777" w:rsidTr="009A7AC2">
        <w:trPr>
          <w:trHeight w:val="340"/>
          <w:jc w:val="center"/>
        </w:trPr>
        <w:tc>
          <w:tcPr>
            <w:tcW w:w="2057" w:type="dxa"/>
            <w:shd w:val="clear" w:color="auto" w:fill="auto"/>
            <w:vAlign w:val="center"/>
            <w:hideMark/>
          </w:tcPr>
          <w:p w14:paraId="43C974BF"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22908A45"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stávající lokality s kontejnery na tříděný odpad, případně vytipované lokality nové</w:t>
            </w:r>
          </w:p>
        </w:tc>
      </w:tr>
      <w:tr w:rsidR="00962D34" w:rsidRPr="00962D34" w14:paraId="2EF228B2" w14:textId="77777777" w:rsidTr="009A7AC2">
        <w:trPr>
          <w:trHeight w:val="340"/>
          <w:jc w:val="center"/>
        </w:trPr>
        <w:tc>
          <w:tcPr>
            <w:tcW w:w="2057" w:type="dxa"/>
            <w:shd w:val="clear" w:color="auto" w:fill="auto"/>
            <w:vAlign w:val="center"/>
            <w:hideMark/>
          </w:tcPr>
          <w:p w14:paraId="32232B14"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0A385A70"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průběžně po celé programové období</w:t>
            </w:r>
          </w:p>
        </w:tc>
      </w:tr>
      <w:tr w:rsidR="00962D34" w:rsidRPr="00962D34" w14:paraId="08D4139F" w14:textId="77777777" w:rsidTr="009A7AC2">
        <w:trPr>
          <w:trHeight w:val="340"/>
          <w:jc w:val="center"/>
        </w:trPr>
        <w:tc>
          <w:tcPr>
            <w:tcW w:w="2057" w:type="dxa"/>
            <w:shd w:val="clear" w:color="auto" w:fill="auto"/>
            <w:vAlign w:val="center"/>
            <w:hideMark/>
          </w:tcPr>
          <w:p w14:paraId="1B0FFC5F"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4F519BD5"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Zastupitelstvo obce Staré Buky</w:t>
            </w:r>
          </w:p>
        </w:tc>
      </w:tr>
      <w:tr w:rsidR="00962D34" w:rsidRPr="00962D34" w14:paraId="61E2DF12" w14:textId="77777777" w:rsidTr="009A7AC2">
        <w:trPr>
          <w:trHeight w:val="340"/>
          <w:jc w:val="center"/>
        </w:trPr>
        <w:tc>
          <w:tcPr>
            <w:tcW w:w="2057" w:type="dxa"/>
            <w:shd w:val="clear" w:color="auto" w:fill="auto"/>
            <w:vAlign w:val="center"/>
            <w:hideMark/>
          </w:tcPr>
          <w:p w14:paraId="4B017B0D"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12DA75B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záměr</w:t>
            </w:r>
          </w:p>
        </w:tc>
      </w:tr>
      <w:tr w:rsidR="00962D34" w:rsidRPr="00962D34" w14:paraId="2168807B" w14:textId="77777777" w:rsidTr="009A7AC2">
        <w:trPr>
          <w:trHeight w:val="340"/>
          <w:jc w:val="center"/>
        </w:trPr>
        <w:tc>
          <w:tcPr>
            <w:tcW w:w="2057" w:type="dxa"/>
            <w:shd w:val="clear" w:color="auto" w:fill="auto"/>
            <w:vAlign w:val="center"/>
          </w:tcPr>
          <w:p w14:paraId="57949D77"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7B69B59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 PRO Staré Buky 2022-2031: 2</w:t>
            </w:r>
          </w:p>
        </w:tc>
      </w:tr>
    </w:tbl>
    <w:p w14:paraId="4115B6B1" w14:textId="77777777" w:rsidR="00962D34" w:rsidRPr="00962D34" w:rsidRDefault="00962D34" w:rsidP="00962D34">
      <w:pPr>
        <w:spacing w:after="60" w:line="259" w:lineRule="auto"/>
        <w:rPr>
          <w:rFonts w:ascii="Calibri" w:eastAsia="Calibri" w:hAnsi="Calibri" w:cs="Times New Roman"/>
        </w:rPr>
      </w:pPr>
      <w:r w:rsidRPr="00962D34">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962D34" w:rsidRPr="00962D34" w14:paraId="397D7A1C"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790E6D21" w14:textId="77777777" w:rsidR="00962D34" w:rsidRPr="00962D34" w:rsidRDefault="00962D34" w:rsidP="00962D34">
            <w:pPr>
              <w:spacing w:before="60" w:after="60"/>
              <w:jc w:val="center"/>
              <w:rPr>
                <w:rFonts w:ascii="Calibri" w:eastAsia="Times New Roman" w:hAnsi="Calibri" w:cs="Calibri"/>
                <w:b/>
                <w:color w:val="000000"/>
                <w:sz w:val="24"/>
                <w:szCs w:val="24"/>
                <w:lang w:eastAsia="cs-CZ"/>
              </w:rPr>
            </w:pPr>
            <w:r w:rsidRPr="00962D34">
              <w:rPr>
                <w:rFonts w:ascii="Calibri" w:eastAsia="Times New Roman" w:hAnsi="Calibri" w:cs="Calibri"/>
                <w:b/>
                <w:color w:val="000000"/>
                <w:sz w:val="24"/>
                <w:szCs w:val="24"/>
                <w:lang w:eastAsia="cs-CZ"/>
              </w:rPr>
              <w:lastRenderedPageBreak/>
              <w:t>Uvažovat o zavedení tzv. systému „door to door“</w:t>
            </w:r>
          </w:p>
        </w:tc>
      </w:tr>
      <w:tr w:rsidR="00962D34" w:rsidRPr="00962D34" w14:paraId="0E113738" w14:textId="77777777" w:rsidTr="009A7AC2">
        <w:trPr>
          <w:trHeight w:val="340"/>
          <w:jc w:val="center"/>
        </w:trPr>
        <w:tc>
          <w:tcPr>
            <w:tcW w:w="2057" w:type="dxa"/>
            <w:shd w:val="clear" w:color="auto" w:fill="auto"/>
            <w:vAlign w:val="center"/>
            <w:hideMark/>
          </w:tcPr>
          <w:p w14:paraId="1DC24609"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žadatel</w:t>
            </w:r>
          </w:p>
        </w:tc>
        <w:tc>
          <w:tcPr>
            <w:tcW w:w="7030" w:type="dxa"/>
            <w:shd w:val="clear" w:color="auto" w:fill="auto"/>
            <w:vAlign w:val="center"/>
          </w:tcPr>
          <w:p w14:paraId="41059425"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Obec Staré Buky</w:t>
            </w:r>
          </w:p>
        </w:tc>
      </w:tr>
      <w:tr w:rsidR="00962D34" w:rsidRPr="00962D34" w14:paraId="508D8FB8" w14:textId="77777777" w:rsidTr="009A7AC2">
        <w:trPr>
          <w:trHeight w:val="340"/>
          <w:jc w:val="center"/>
        </w:trPr>
        <w:tc>
          <w:tcPr>
            <w:tcW w:w="2057" w:type="dxa"/>
            <w:shd w:val="clear" w:color="auto" w:fill="auto"/>
            <w:vAlign w:val="center"/>
          </w:tcPr>
          <w:p w14:paraId="458028C6"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role obce</w:t>
            </w:r>
          </w:p>
        </w:tc>
        <w:tc>
          <w:tcPr>
            <w:tcW w:w="7030" w:type="dxa"/>
            <w:shd w:val="clear" w:color="auto" w:fill="auto"/>
            <w:vAlign w:val="center"/>
          </w:tcPr>
          <w:p w14:paraId="60A90E11"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realizační</w:t>
            </w:r>
          </w:p>
        </w:tc>
      </w:tr>
      <w:tr w:rsidR="00962D34" w:rsidRPr="00962D34" w14:paraId="3C862D02" w14:textId="77777777" w:rsidTr="009A7AC2">
        <w:trPr>
          <w:trHeight w:val="340"/>
          <w:jc w:val="center"/>
        </w:trPr>
        <w:tc>
          <w:tcPr>
            <w:tcW w:w="2057" w:type="dxa"/>
            <w:shd w:val="clear" w:color="auto" w:fill="auto"/>
            <w:vAlign w:val="center"/>
            <w:hideMark/>
          </w:tcPr>
          <w:p w14:paraId="61CF751C"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6ECCA942"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MŽP, KHK kraj</w:t>
            </w:r>
          </w:p>
        </w:tc>
      </w:tr>
      <w:tr w:rsidR="00962D34" w:rsidRPr="00962D34" w14:paraId="22902B80" w14:textId="77777777" w:rsidTr="009A7AC2">
        <w:trPr>
          <w:trHeight w:val="340"/>
          <w:jc w:val="center"/>
        </w:trPr>
        <w:tc>
          <w:tcPr>
            <w:tcW w:w="2057" w:type="dxa"/>
            <w:shd w:val="clear" w:color="auto" w:fill="auto"/>
            <w:vAlign w:val="center"/>
            <w:hideMark/>
          </w:tcPr>
          <w:p w14:paraId="02796C17"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073450FA"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 xml:space="preserve">podpora snížení množství směsných komunálních odpadů produkovaných </w:t>
            </w:r>
          </w:p>
          <w:p w14:paraId="7D133726"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na území obce</w:t>
            </w:r>
          </w:p>
          <w:p w14:paraId="6537A3B4"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větší množství vytříděných složek odpadu</w:t>
            </w:r>
          </w:p>
        </w:tc>
      </w:tr>
      <w:tr w:rsidR="00962D34" w:rsidRPr="00962D34" w14:paraId="75F7A0C7" w14:textId="77777777" w:rsidTr="009A7AC2">
        <w:trPr>
          <w:trHeight w:val="48"/>
          <w:jc w:val="center"/>
        </w:trPr>
        <w:tc>
          <w:tcPr>
            <w:tcW w:w="2057" w:type="dxa"/>
            <w:shd w:val="clear" w:color="auto" w:fill="auto"/>
            <w:vAlign w:val="center"/>
            <w:hideMark/>
          </w:tcPr>
          <w:p w14:paraId="0FE191B0"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typ</w:t>
            </w:r>
          </w:p>
        </w:tc>
        <w:tc>
          <w:tcPr>
            <w:tcW w:w="7030" w:type="dxa"/>
            <w:shd w:val="clear" w:color="auto" w:fill="auto"/>
            <w:vAlign w:val="center"/>
          </w:tcPr>
          <w:p w14:paraId="5B9ECBA7"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investiční</w:t>
            </w:r>
          </w:p>
        </w:tc>
      </w:tr>
      <w:tr w:rsidR="00962D34" w:rsidRPr="00962D34" w14:paraId="60DB1C75" w14:textId="77777777" w:rsidTr="009A7AC2">
        <w:trPr>
          <w:trHeight w:val="340"/>
          <w:jc w:val="center"/>
        </w:trPr>
        <w:tc>
          <w:tcPr>
            <w:tcW w:w="2057" w:type="dxa"/>
            <w:shd w:val="clear" w:color="auto" w:fill="auto"/>
            <w:vAlign w:val="center"/>
            <w:hideMark/>
          </w:tcPr>
          <w:p w14:paraId="37DFEDB3"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důležitost</w:t>
            </w:r>
          </w:p>
        </w:tc>
        <w:tc>
          <w:tcPr>
            <w:tcW w:w="7030" w:type="dxa"/>
            <w:shd w:val="clear" w:color="auto" w:fill="auto"/>
            <w:vAlign w:val="center"/>
          </w:tcPr>
          <w:p w14:paraId="24AECC2A"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střední</w:t>
            </w:r>
          </w:p>
        </w:tc>
      </w:tr>
      <w:tr w:rsidR="00962D34" w:rsidRPr="00962D34" w14:paraId="0C26D5F0" w14:textId="77777777" w:rsidTr="009A7AC2">
        <w:trPr>
          <w:trHeight w:val="340"/>
          <w:jc w:val="center"/>
        </w:trPr>
        <w:tc>
          <w:tcPr>
            <w:tcW w:w="2057" w:type="dxa"/>
            <w:shd w:val="clear" w:color="auto" w:fill="auto"/>
            <w:vAlign w:val="center"/>
            <w:hideMark/>
          </w:tcPr>
          <w:p w14:paraId="50DF8CFE"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2B30D9F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 řádu stovek tis. Kč</w:t>
            </w:r>
          </w:p>
        </w:tc>
      </w:tr>
      <w:tr w:rsidR="00962D34" w:rsidRPr="00962D34" w14:paraId="7619DA01" w14:textId="77777777" w:rsidTr="009A7AC2">
        <w:trPr>
          <w:trHeight w:val="340"/>
          <w:jc w:val="center"/>
        </w:trPr>
        <w:tc>
          <w:tcPr>
            <w:tcW w:w="2057" w:type="dxa"/>
            <w:shd w:val="clear" w:color="auto" w:fill="auto"/>
            <w:vAlign w:val="center"/>
            <w:hideMark/>
          </w:tcPr>
          <w:p w14:paraId="48EA1FAB"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58CDC7E6"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EU – OP ŽP 2021-2027</w:t>
            </w:r>
          </w:p>
          <w:p w14:paraId="697AA828"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KHK kraj – POV KHK</w:t>
            </w:r>
          </w:p>
          <w:p w14:paraId="2191EC10"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vlastní zdroje obce</w:t>
            </w:r>
          </w:p>
        </w:tc>
      </w:tr>
      <w:tr w:rsidR="00962D34" w:rsidRPr="00962D34" w14:paraId="6718D2B0" w14:textId="77777777" w:rsidTr="009A7AC2">
        <w:trPr>
          <w:trHeight w:val="340"/>
          <w:jc w:val="center"/>
        </w:trPr>
        <w:tc>
          <w:tcPr>
            <w:tcW w:w="2057" w:type="dxa"/>
            <w:shd w:val="clear" w:color="auto" w:fill="auto"/>
            <w:vAlign w:val="center"/>
            <w:hideMark/>
          </w:tcPr>
          <w:p w14:paraId="58CD6168"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5A1EB52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Calibri" w:hAnsi="Calibri" w:cs="Calibri"/>
                <w:color w:val="000000"/>
                <w:sz w:val="20"/>
                <w:szCs w:val="20"/>
              </w:rPr>
              <w:t>Strategie rozvoje Královéhradeckého kraje na období 2021–2027 (SP 4: Kvalitní a čisté životní prostředí, StC 4.3: Eliminace negativních dopadů činností člověka na životní prostředí, Opatření 4.3.1: Efektivní a ekologické odpadové hospodářství)</w:t>
            </w:r>
          </w:p>
        </w:tc>
      </w:tr>
      <w:tr w:rsidR="00962D34" w:rsidRPr="00962D34" w14:paraId="49D31D92" w14:textId="77777777" w:rsidTr="009A7AC2">
        <w:trPr>
          <w:trHeight w:val="340"/>
          <w:jc w:val="center"/>
        </w:trPr>
        <w:tc>
          <w:tcPr>
            <w:tcW w:w="2057" w:type="dxa"/>
            <w:shd w:val="clear" w:color="auto" w:fill="auto"/>
            <w:vAlign w:val="center"/>
            <w:hideMark/>
          </w:tcPr>
          <w:p w14:paraId="3E57A040"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42AB89D2"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území obce Staré Buky a její místní části</w:t>
            </w:r>
          </w:p>
        </w:tc>
      </w:tr>
      <w:tr w:rsidR="00962D34" w:rsidRPr="00962D34" w14:paraId="693468AE" w14:textId="77777777" w:rsidTr="009A7AC2">
        <w:trPr>
          <w:trHeight w:val="340"/>
          <w:jc w:val="center"/>
        </w:trPr>
        <w:tc>
          <w:tcPr>
            <w:tcW w:w="2057" w:type="dxa"/>
            <w:shd w:val="clear" w:color="auto" w:fill="auto"/>
            <w:vAlign w:val="center"/>
            <w:hideMark/>
          </w:tcPr>
          <w:p w14:paraId="4322538A"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16EBA562"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2023-2025</w:t>
            </w:r>
          </w:p>
        </w:tc>
      </w:tr>
      <w:tr w:rsidR="00962D34" w:rsidRPr="00962D34" w14:paraId="0D58A7C1" w14:textId="77777777" w:rsidTr="009A7AC2">
        <w:trPr>
          <w:trHeight w:val="340"/>
          <w:jc w:val="center"/>
        </w:trPr>
        <w:tc>
          <w:tcPr>
            <w:tcW w:w="2057" w:type="dxa"/>
            <w:shd w:val="clear" w:color="auto" w:fill="auto"/>
            <w:vAlign w:val="center"/>
            <w:hideMark/>
          </w:tcPr>
          <w:p w14:paraId="1AA0D160"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268D1483"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Zastupitelstvo obce Staré Buky</w:t>
            </w:r>
          </w:p>
        </w:tc>
      </w:tr>
      <w:tr w:rsidR="00962D34" w:rsidRPr="00962D34" w14:paraId="4BEDE8AD" w14:textId="77777777" w:rsidTr="009A7AC2">
        <w:trPr>
          <w:trHeight w:val="340"/>
          <w:jc w:val="center"/>
        </w:trPr>
        <w:tc>
          <w:tcPr>
            <w:tcW w:w="2057" w:type="dxa"/>
            <w:shd w:val="clear" w:color="auto" w:fill="auto"/>
            <w:vAlign w:val="center"/>
            <w:hideMark/>
          </w:tcPr>
          <w:p w14:paraId="1D285981"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2FFE5ACB"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Calibri"/>
                <w:color w:val="000000"/>
                <w:sz w:val="20"/>
                <w:szCs w:val="20"/>
                <w:lang w:eastAsia="cs-CZ"/>
              </w:rPr>
              <w:t>záměr</w:t>
            </w:r>
          </w:p>
        </w:tc>
      </w:tr>
      <w:tr w:rsidR="00962D34" w:rsidRPr="00962D34" w14:paraId="438FE92E" w14:textId="77777777" w:rsidTr="009A7AC2">
        <w:trPr>
          <w:trHeight w:val="340"/>
          <w:jc w:val="center"/>
        </w:trPr>
        <w:tc>
          <w:tcPr>
            <w:tcW w:w="2057" w:type="dxa"/>
            <w:shd w:val="clear" w:color="auto" w:fill="auto"/>
            <w:vAlign w:val="center"/>
          </w:tcPr>
          <w:p w14:paraId="010400E7" w14:textId="77777777" w:rsidR="00962D34" w:rsidRPr="00962D34" w:rsidRDefault="00962D34" w:rsidP="00962D34">
            <w:pPr>
              <w:spacing w:before="60" w:after="60"/>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11A35F69" w14:textId="77777777" w:rsidR="00962D34" w:rsidRPr="00962D34" w:rsidRDefault="00962D34" w:rsidP="00962D34">
            <w:pPr>
              <w:spacing w:before="60" w:after="60"/>
              <w:jc w:val="both"/>
              <w:rPr>
                <w:rFonts w:ascii="Calibri" w:eastAsia="Times New Roman" w:hAnsi="Calibri" w:cs="Calibri"/>
                <w:color w:val="000000"/>
                <w:sz w:val="20"/>
                <w:szCs w:val="20"/>
                <w:lang w:eastAsia="cs-CZ"/>
              </w:rPr>
            </w:pPr>
            <w:r w:rsidRPr="00962D34">
              <w:rPr>
                <w:rFonts w:ascii="Calibri" w:eastAsia="Times New Roman" w:hAnsi="Calibri" w:cs="Times New Roman"/>
                <w:color w:val="000000"/>
                <w:sz w:val="20"/>
                <w:szCs w:val="20"/>
                <w:lang w:eastAsia="cs-CZ"/>
              </w:rPr>
              <w:t>vazba na klíčové oblasti rozvoje PRO Staré Buky 2022-2031: 2</w:t>
            </w:r>
          </w:p>
        </w:tc>
      </w:tr>
    </w:tbl>
    <w:p w14:paraId="02F16B3C" w14:textId="2401EB61" w:rsidR="00962D34" w:rsidRDefault="00962D34" w:rsidP="00962D34">
      <w:pPr>
        <w:spacing w:after="60" w:line="259" w:lineRule="auto"/>
        <w:rPr>
          <w:rFonts w:ascii="Calibri" w:eastAsia="Calibri" w:hAnsi="Calibri" w:cs="Times New Roman"/>
        </w:rPr>
      </w:pPr>
    </w:p>
    <w:p w14:paraId="0808FE36" w14:textId="77777777" w:rsidR="00502AA3" w:rsidRDefault="00502AA3" w:rsidP="00962D34">
      <w:pPr>
        <w:spacing w:after="60" w:line="259" w:lineRule="auto"/>
        <w:rPr>
          <w:rFonts w:ascii="Calibri" w:eastAsia="Calibri" w:hAnsi="Calibri" w:cs="Times New Roman"/>
        </w:rPr>
        <w:sectPr w:rsidR="00502AA3">
          <w:headerReference w:type="default" r:id="rId165"/>
          <w:footerReference w:type="default" r:id="rId166"/>
          <w:pgSz w:w="11906" w:h="16838"/>
          <w:pgMar w:top="1417" w:right="1417" w:bottom="1417" w:left="1417" w:header="708" w:footer="708" w:gutter="0"/>
          <w:cols w:space="708"/>
          <w:docGrid w:linePitch="360"/>
        </w:sectPr>
      </w:pPr>
    </w:p>
    <w:p w14:paraId="06C24BF2" w14:textId="77777777" w:rsidR="00837905" w:rsidRPr="00DB41E2" w:rsidRDefault="00837905" w:rsidP="00837905">
      <w:pPr>
        <w:pStyle w:val="Nadpis1"/>
        <w:rPr>
          <w:rFonts w:eastAsia="Calibri"/>
        </w:rPr>
      </w:pPr>
      <w:bookmarkStart w:id="587" w:name="_Toc421451972"/>
      <w:bookmarkStart w:id="588" w:name="_Toc441221944"/>
      <w:bookmarkStart w:id="589" w:name="_Toc480751618"/>
      <w:bookmarkStart w:id="590" w:name="_Toc440566383"/>
      <w:bookmarkStart w:id="591" w:name="_Toc441227534"/>
      <w:bookmarkStart w:id="592" w:name="_Toc480752695"/>
      <w:bookmarkStart w:id="593" w:name="_Toc507022414"/>
      <w:bookmarkStart w:id="594" w:name="_Toc15328041"/>
      <w:bookmarkStart w:id="595" w:name="_Toc31029467"/>
      <w:bookmarkStart w:id="596" w:name="_Toc32580154"/>
      <w:bookmarkStart w:id="597" w:name="_Toc120652177"/>
      <w:bookmarkEnd w:id="587"/>
      <w:bookmarkEnd w:id="588"/>
      <w:bookmarkEnd w:id="589"/>
      <w:r w:rsidRPr="00DB41E2">
        <w:rPr>
          <w:rFonts w:eastAsia="Calibri"/>
        </w:rPr>
        <w:lastRenderedPageBreak/>
        <w:t>5 Implementační část</w:t>
      </w:r>
      <w:bookmarkEnd w:id="590"/>
      <w:bookmarkEnd w:id="591"/>
      <w:bookmarkEnd w:id="592"/>
      <w:bookmarkEnd w:id="593"/>
      <w:bookmarkEnd w:id="594"/>
      <w:bookmarkEnd w:id="595"/>
      <w:bookmarkEnd w:id="596"/>
      <w:bookmarkEnd w:id="597"/>
    </w:p>
    <w:p w14:paraId="66E84214" w14:textId="77777777" w:rsidR="00837905" w:rsidRPr="00DB41E2" w:rsidRDefault="00837905" w:rsidP="00837905">
      <w:pPr>
        <w:spacing w:after="160" w:line="259" w:lineRule="auto"/>
        <w:jc w:val="both"/>
        <w:rPr>
          <w:rFonts w:ascii="Calibri" w:eastAsia="Calibri" w:hAnsi="Calibri" w:cs="Times New Roman"/>
        </w:rPr>
      </w:pPr>
      <w:r w:rsidRPr="00DB41E2">
        <w:rPr>
          <w:rFonts w:ascii="Calibri" w:eastAsia="Calibri" w:hAnsi="Calibri" w:cs="Times New Roman"/>
        </w:rPr>
        <w:t>Implementační část je nedílnou součástí strategických dokumentů a neměla by být opomenuta</w:t>
      </w:r>
      <w:r w:rsidRPr="00DB41E2">
        <w:rPr>
          <w:rFonts w:ascii="Calibri" w:eastAsia="Calibri" w:hAnsi="Calibri" w:cs="Times New Roman"/>
          <w:vertAlign w:val="superscript"/>
        </w:rPr>
        <w:footnoteReference w:id="84"/>
      </w:r>
      <w:r w:rsidRPr="00DB41E2">
        <w:rPr>
          <w:rFonts w:ascii="Calibri" w:eastAsia="Calibri" w:hAnsi="Calibri" w:cs="Times New Roman"/>
        </w:rPr>
        <w:t xml:space="preserve">. </w:t>
      </w:r>
      <w:r w:rsidRPr="00DB41E2">
        <w:rPr>
          <w:rFonts w:ascii="Calibri" w:eastAsia="Calibri" w:hAnsi="Calibri" w:cs="Times New Roman"/>
        </w:rPr>
        <w:br/>
        <w:t>Pro úspěšné nastavení a praktické využití strategického dokumentu je nezbytné definovat a popsat následující systémy:</w:t>
      </w:r>
    </w:p>
    <w:p w14:paraId="773BD7D2" w14:textId="77777777" w:rsidR="00837905" w:rsidRPr="00F23450" w:rsidRDefault="00837905" w:rsidP="00837905">
      <w:pPr>
        <w:pStyle w:val="Odstavecseseznamem"/>
        <w:numPr>
          <w:ilvl w:val="0"/>
          <w:numId w:val="2"/>
        </w:numPr>
        <w:spacing w:after="160" w:line="259" w:lineRule="auto"/>
        <w:ind w:left="426"/>
        <w:rPr>
          <w:rFonts w:ascii="Calibri" w:eastAsia="Calibri" w:hAnsi="Calibri" w:cs="Times New Roman"/>
        </w:rPr>
      </w:pPr>
      <w:r w:rsidRPr="00F23450">
        <w:rPr>
          <w:rFonts w:ascii="Calibri" w:eastAsia="Calibri" w:hAnsi="Calibri" w:cs="Times New Roman"/>
        </w:rPr>
        <w:t xml:space="preserve">Systém řízení a organizačního zajištění naplňování </w:t>
      </w:r>
      <w:r>
        <w:rPr>
          <w:rFonts w:ascii="Calibri" w:eastAsia="Calibri" w:hAnsi="Calibri" w:cs="Times New Roman"/>
        </w:rPr>
        <w:t>Programu</w:t>
      </w:r>
      <w:r w:rsidRPr="00F23450">
        <w:rPr>
          <w:rFonts w:ascii="Calibri" w:eastAsia="Calibri" w:hAnsi="Calibri" w:cs="Times New Roman"/>
        </w:rPr>
        <w:t xml:space="preserve"> rozvoje</w:t>
      </w:r>
    </w:p>
    <w:p w14:paraId="4DD39C55" w14:textId="77777777" w:rsidR="00837905" w:rsidRPr="00F23450" w:rsidRDefault="00837905" w:rsidP="00837905">
      <w:pPr>
        <w:pStyle w:val="Odstavecseseznamem"/>
        <w:numPr>
          <w:ilvl w:val="0"/>
          <w:numId w:val="2"/>
        </w:numPr>
        <w:spacing w:after="160" w:line="259" w:lineRule="auto"/>
        <w:ind w:left="426"/>
        <w:rPr>
          <w:rFonts w:ascii="Calibri" w:eastAsia="Calibri" w:hAnsi="Calibri" w:cs="Times New Roman"/>
        </w:rPr>
      </w:pPr>
      <w:r w:rsidRPr="00F23450">
        <w:rPr>
          <w:rFonts w:ascii="Calibri" w:eastAsia="Calibri" w:hAnsi="Calibri" w:cs="Times New Roman"/>
        </w:rPr>
        <w:t xml:space="preserve">Systém financování </w:t>
      </w:r>
      <w:r>
        <w:rPr>
          <w:rFonts w:ascii="Calibri" w:eastAsia="Calibri" w:hAnsi="Calibri" w:cs="Times New Roman"/>
        </w:rPr>
        <w:t>Programu</w:t>
      </w:r>
      <w:r w:rsidRPr="00F23450">
        <w:rPr>
          <w:rFonts w:ascii="Calibri" w:eastAsia="Calibri" w:hAnsi="Calibri" w:cs="Times New Roman"/>
        </w:rPr>
        <w:t xml:space="preserve"> rozvoje</w:t>
      </w:r>
    </w:p>
    <w:p w14:paraId="4A214B42" w14:textId="77777777" w:rsidR="00837905" w:rsidRPr="00F23450" w:rsidRDefault="00837905" w:rsidP="00837905">
      <w:pPr>
        <w:pStyle w:val="Odstavecseseznamem"/>
        <w:numPr>
          <w:ilvl w:val="0"/>
          <w:numId w:val="2"/>
        </w:numPr>
        <w:spacing w:after="160" w:line="259" w:lineRule="auto"/>
        <w:ind w:left="426"/>
        <w:rPr>
          <w:rFonts w:ascii="Calibri" w:eastAsia="Calibri" w:hAnsi="Calibri" w:cs="Times New Roman"/>
        </w:rPr>
      </w:pPr>
      <w:r w:rsidRPr="00F23450">
        <w:rPr>
          <w:rFonts w:ascii="Calibri" w:eastAsia="Calibri" w:hAnsi="Calibri" w:cs="Times New Roman"/>
        </w:rPr>
        <w:t xml:space="preserve">Systém aktualizace </w:t>
      </w:r>
      <w:r>
        <w:rPr>
          <w:rFonts w:ascii="Calibri" w:eastAsia="Calibri" w:hAnsi="Calibri" w:cs="Times New Roman"/>
        </w:rPr>
        <w:t>Programu</w:t>
      </w:r>
      <w:r w:rsidRPr="00F23450">
        <w:rPr>
          <w:rFonts w:ascii="Calibri" w:eastAsia="Calibri" w:hAnsi="Calibri" w:cs="Times New Roman"/>
        </w:rPr>
        <w:t xml:space="preserve"> rozvoje</w:t>
      </w:r>
    </w:p>
    <w:p w14:paraId="7A510FC5" w14:textId="77777777" w:rsidR="00837905" w:rsidRPr="00F23450" w:rsidRDefault="00837905" w:rsidP="00837905">
      <w:pPr>
        <w:pStyle w:val="Odstavecseseznamem"/>
        <w:numPr>
          <w:ilvl w:val="0"/>
          <w:numId w:val="2"/>
        </w:numPr>
        <w:spacing w:after="160" w:line="259" w:lineRule="auto"/>
        <w:ind w:left="426"/>
        <w:rPr>
          <w:rFonts w:ascii="Calibri" w:eastAsia="Calibri" w:hAnsi="Calibri" w:cs="Times New Roman"/>
        </w:rPr>
      </w:pPr>
      <w:r w:rsidRPr="00F23450">
        <w:rPr>
          <w:rFonts w:ascii="Calibri" w:eastAsia="Calibri" w:hAnsi="Calibri" w:cs="Times New Roman"/>
        </w:rPr>
        <w:t xml:space="preserve">Systém monitoringu a vyhodnocování realizace </w:t>
      </w:r>
      <w:r>
        <w:rPr>
          <w:rFonts w:ascii="Calibri" w:eastAsia="Calibri" w:hAnsi="Calibri" w:cs="Times New Roman"/>
        </w:rPr>
        <w:t>Programu</w:t>
      </w:r>
      <w:r w:rsidRPr="00F23450">
        <w:rPr>
          <w:rFonts w:ascii="Calibri" w:eastAsia="Calibri" w:hAnsi="Calibri" w:cs="Times New Roman"/>
        </w:rPr>
        <w:t xml:space="preserve"> rozvoje</w:t>
      </w:r>
    </w:p>
    <w:p w14:paraId="12D6EEE2" w14:textId="77777777" w:rsidR="00837905" w:rsidRPr="00DB41E2" w:rsidRDefault="00837905" w:rsidP="00837905">
      <w:pPr>
        <w:spacing w:after="160" w:line="259" w:lineRule="auto"/>
        <w:rPr>
          <w:rFonts w:ascii="Calibri" w:eastAsia="Calibri" w:hAnsi="Calibri" w:cs="Times New Roman"/>
        </w:rPr>
      </w:pPr>
    </w:p>
    <w:p w14:paraId="5A970062" w14:textId="77777777" w:rsidR="00837905" w:rsidRPr="00DB41E2" w:rsidRDefault="00837905" w:rsidP="00837905">
      <w:pPr>
        <w:pStyle w:val="Nadpis2"/>
        <w:spacing w:line="240" w:lineRule="auto"/>
        <w:ind w:left="567" w:hanging="567"/>
        <w:jc w:val="both"/>
      </w:pPr>
      <w:bookmarkStart w:id="598" w:name="_Toc420308834"/>
      <w:bookmarkStart w:id="599" w:name="_Toc420309167"/>
      <w:bookmarkStart w:id="600" w:name="_Toc421451914"/>
      <w:bookmarkStart w:id="601" w:name="_Toc440566384"/>
      <w:bookmarkStart w:id="602" w:name="_Toc441227535"/>
      <w:bookmarkStart w:id="603" w:name="_Toc480752696"/>
      <w:bookmarkStart w:id="604" w:name="_Toc507022415"/>
      <w:bookmarkStart w:id="605" w:name="_Toc15328042"/>
      <w:bookmarkStart w:id="606" w:name="_Toc31029468"/>
      <w:bookmarkStart w:id="607" w:name="_Toc32580155"/>
      <w:bookmarkStart w:id="608" w:name="_Toc120652178"/>
      <w:r w:rsidRPr="00DB41E2">
        <w:t xml:space="preserve">5.1 Systém řízení a organizačního zajištění naplňování </w:t>
      </w:r>
      <w:r>
        <w:t>Programu</w:t>
      </w:r>
      <w:r w:rsidRPr="00DB41E2">
        <w:t xml:space="preserve"> rozvoje</w:t>
      </w:r>
      <w:bookmarkEnd w:id="598"/>
      <w:bookmarkEnd w:id="599"/>
      <w:bookmarkEnd w:id="600"/>
      <w:bookmarkEnd w:id="601"/>
      <w:bookmarkEnd w:id="602"/>
      <w:bookmarkEnd w:id="603"/>
      <w:bookmarkEnd w:id="604"/>
      <w:bookmarkEnd w:id="605"/>
      <w:bookmarkEnd w:id="606"/>
      <w:bookmarkEnd w:id="607"/>
      <w:bookmarkEnd w:id="608"/>
    </w:p>
    <w:p w14:paraId="6DF696DA" w14:textId="77777777" w:rsidR="00837905" w:rsidRPr="00DB41E2" w:rsidRDefault="00837905" w:rsidP="00837905">
      <w:pPr>
        <w:spacing w:after="160" w:line="259" w:lineRule="auto"/>
        <w:jc w:val="both"/>
        <w:rPr>
          <w:rFonts w:ascii="Calibri" w:eastAsia="Calibri" w:hAnsi="Calibri" w:cs="Times New Roman"/>
        </w:rPr>
      </w:pPr>
      <w:r w:rsidRPr="00DB41E2">
        <w:rPr>
          <w:rFonts w:ascii="Calibri" w:eastAsia="Calibri" w:hAnsi="Calibri" w:cs="Times New Roman"/>
        </w:rPr>
        <w:t xml:space="preserve">Efektivní naplňování strategického plánu může být obecně zajištěno jedině díky jednoznačnému systému řízení. Platí to i pro tento rozvojový plánovací dokument. Jedná se tedy o zajištění postupného naplňování stanovené vize, strategických cílů, opatření a aktivit. Pro tyto účely byly stanoveny následující dvě hierarchické úrovně systému řízení a organizačního zajištění naplňování </w:t>
      </w:r>
      <w:r>
        <w:rPr>
          <w:rFonts w:ascii="Calibri" w:eastAsia="Calibri" w:hAnsi="Calibri" w:cs="Times New Roman"/>
        </w:rPr>
        <w:t>P</w:t>
      </w:r>
      <w:r w:rsidRPr="00DB41E2">
        <w:rPr>
          <w:rFonts w:ascii="Calibri" w:eastAsia="Calibri" w:hAnsi="Calibri" w:cs="Times New Roman"/>
        </w:rPr>
        <w:t>RO (viz schéma 3).</w:t>
      </w:r>
    </w:p>
    <w:p w14:paraId="28060E93" w14:textId="77777777" w:rsidR="00837905" w:rsidRPr="00DB41E2" w:rsidRDefault="00837905" w:rsidP="00837905">
      <w:pPr>
        <w:spacing w:after="160" w:line="259" w:lineRule="auto"/>
        <w:jc w:val="both"/>
        <w:rPr>
          <w:rFonts w:ascii="Calibri" w:eastAsia="Calibri" w:hAnsi="Calibri" w:cs="Times New Roman"/>
        </w:rPr>
      </w:pPr>
    </w:p>
    <w:p w14:paraId="0B69EE1B" w14:textId="77777777" w:rsidR="00837905" w:rsidRPr="00DB41E2" w:rsidRDefault="00837905" w:rsidP="00837905">
      <w:pPr>
        <w:pStyle w:val="SCHMA"/>
        <w:jc w:val="both"/>
      </w:pPr>
      <w:bookmarkStart w:id="609" w:name="_Toc421452116"/>
      <w:bookmarkStart w:id="610" w:name="_Toc441222039"/>
      <w:bookmarkStart w:id="611" w:name="_Toc480751950"/>
      <w:bookmarkStart w:id="612" w:name="_Toc507022301"/>
      <w:bookmarkStart w:id="613" w:name="_Toc15327198"/>
      <w:bookmarkStart w:id="614" w:name="_Toc31028482"/>
      <w:bookmarkStart w:id="615" w:name="_Toc32578463"/>
      <w:bookmarkStart w:id="616" w:name="_Toc120652067"/>
      <w:r w:rsidRPr="00DB41E2">
        <w:t xml:space="preserve">Schéma 3: Znázornění systému řízení a organizačního zajištění naplňování </w:t>
      </w:r>
      <w:r>
        <w:t>P</w:t>
      </w:r>
      <w:r w:rsidRPr="00DB41E2">
        <w:t xml:space="preserve">RO </w:t>
      </w:r>
      <w:r>
        <w:t xml:space="preserve">Staré Buky </w:t>
      </w:r>
      <w:r w:rsidRPr="00DB41E2">
        <w:t>na období let 20</w:t>
      </w:r>
      <w:r>
        <w:t>22</w:t>
      </w:r>
      <w:r w:rsidRPr="00DB41E2">
        <w:t>-20</w:t>
      </w:r>
      <w:bookmarkEnd w:id="609"/>
      <w:bookmarkEnd w:id="610"/>
      <w:bookmarkEnd w:id="611"/>
      <w:bookmarkEnd w:id="612"/>
      <w:bookmarkEnd w:id="613"/>
      <w:bookmarkEnd w:id="614"/>
      <w:bookmarkEnd w:id="615"/>
      <w:r>
        <w:t>31</w:t>
      </w:r>
      <w:bookmarkEnd w:id="616"/>
    </w:p>
    <w:p w14:paraId="79E026F8" w14:textId="77777777" w:rsidR="00837905" w:rsidRPr="00DB41E2" w:rsidRDefault="00837905" w:rsidP="00837905">
      <w:pPr>
        <w:spacing w:line="360" w:lineRule="auto"/>
        <w:jc w:val="both"/>
        <w:rPr>
          <w:rFonts w:ascii="Calibri" w:eastAsia="Calibri" w:hAnsi="Calibri" w:cs="Times New Roman"/>
        </w:rPr>
      </w:pPr>
      <w:r w:rsidRPr="00DB41E2">
        <w:rPr>
          <w:rFonts w:ascii="Calibri" w:eastAsia="Calibri" w:hAnsi="Calibri" w:cs="Times New Roman"/>
          <w:noProof/>
          <w:lang w:eastAsia="cs-CZ"/>
        </w:rPr>
        <w:drawing>
          <wp:inline distT="0" distB="0" distL="0" distR="0" wp14:anchorId="24952A53" wp14:editId="09856781">
            <wp:extent cx="5762625" cy="2343150"/>
            <wp:effectExtent l="0" t="0" r="0" b="0"/>
            <wp:docPr id="7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14:paraId="2743FBE5" w14:textId="77777777" w:rsidR="00837905" w:rsidRDefault="00837905" w:rsidP="00837905">
      <w:pPr>
        <w:spacing w:after="160" w:line="259" w:lineRule="auto"/>
        <w:jc w:val="both"/>
        <w:rPr>
          <w:rFonts w:ascii="Calibri" w:eastAsia="Calibri" w:hAnsi="Calibri" w:cs="Times New Roman"/>
          <w:b/>
          <w:u w:val="single"/>
        </w:rPr>
      </w:pPr>
      <w:r>
        <w:rPr>
          <w:rFonts w:ascii="Calibri" w:eastAsia="Calibri" w:hAnsi="Calibri" w:cs="Times New Roman"/>
          <w:b/>
          <w:u w:val="single"/>
        </w:rPr>
        <w:br w:type="page"/>
      </w:r>
    </w:p>
    <w:p w14:paraId="76234725" w14:textId="77777777" w:rsidR="00837905" w:rsidRPr="00DB41E2" w:rsidRDefault="00837905" w:rsidP="00837905">
      <w:pPr>
        <w:spacing w:after="160" w:line="259" w:lineRule="auto"/>
        <w:jc w:val="both"/>
        <w:rPr>
          <w:rFonts w:ascii="Calibri" w:eastAsia="Calibri" w:hAnsi="Calibri" w:cs="Times New Roman"/>
          <w:b/>
          <w:u w:val="single"/>
        </w:rPr>
      </w:pPr>
      <w:r w:rsidRPr="00DB41E2">
        <w:rPr>
          <w:rFonts w:ascii="Calibri" w:eastAsia="Calibri" w:hAnsi="Calibri" w:cs="Times New Roman"/>
          <w:b/>
          <w:u w:val="single"/>
        </w:rPr>
        <w:lastRenderedPageBreak/>
        <w:t>Řídící skupina</w:t>
      </w:r>
    </w:p>
    <w:p w14:paraId="426D572B" w14:textId="77777777" w:rsidR="00837905" w:rsidRDefault="00837905" w:rsidP="00837905">
      <w:pPr>
        <w:spacing w:after="160" w:line="259" w:lineRule="auto"/>
        <w:jc w:val="both"/>
        <w:rPr>
          <w:rFonts w:ascii="Calibri" w:eastAsia="Calibri" w:hAnsi="Calibri" w:cs="Times New Roman"/>
        </w:rPr>
      </w:pPr>
      <w:r w:rsidRPr="00DB41E2">
        <w:rPr>
          <w:rFonts w:ascii="Calibri" w:eastAsia="Calibri" w:hAnsi="Calibri" w:cs="Times New Roman"/>
        </w:rPr>
        <w:t xml:space="preserve">Řídící skupina je hlavním orgánem, který je zodpovědný za postupné naplňování </w:t>
      </w:r>
      <w:r>
        <w:rPr>
          <w:rFonts w:ascii="Calibri" w:eastAsia="Calibri" w:hAnsi="Calibri" w:cs="Times New Roman"/>
        </w:rPr>
        <w:t>P</w:t>
      </w:r>
      <w:r w:rsidRPr="00DB41E2">
        <w:rPr>
          <w:rFonts w:ascii="Calibri" w:eastAsia="Calibri" w:hAnsi="Calibri" w:cs="Times New Roman"/>
        </w:rPr>
        <w:t xml:space="preserve">RO. Řídící skupina rozhoduje o tom, zda přijme či nepřijme a schválí či neschválí předložené rozvojové projekty (včetně jejich navrženého rozpočtu), které jsou v souladu se schváleným plánovacím dokumentem. Řídící skupina dále zvolí osobu, tzv. garanta </w:t>
      </w:r>
      <w:r>
        <w:rPr>
          <w:rFonts w:ascii="Calibri" w:eastAsia="Calibri" w:hAnsi="Calibri" w:cs="Times New Roman"/>
        </w:rPr>
        <w:t>P</w:t>
      </w:r>
      <w:r w:rsidRPr="00DB41E2">
        <w:rPr>
          <w:rFonts w:ascii="Calibri" w:eastAsia="Calibri" w:hAnsi="Calibri" w:cs="Times New Roman"/>
        </w:rPr>
        <w:t xml:space="preserve">RO, jehož role bude spočívat především v iniciaci a koordinaci všech činností spojených s realizací a aktualizacemi </w:t>
      </w:r>
      <w:r>
        <w:rPr>
          <w:rFonts w:ascii="Calibri" w:eastAsia="Calibri" w:hAnsi="Calibri" w:cs="Times New Roman"/>
        </w:rPr>
        <w:t>P</w:t>
      </w:r>
      <w:r w:rsidRPr="00DB41E2">
        <w:rPr>
          <w:rFonts w:ascii="Calibri" w:eastAsia="Calibri" w:hAnsi="Calibri" w:cs="Times New Roman"/>
        </w:rPr>
        <w:t>RO. Garant</w:t>
      </w:r>
      <w:r>
        <w:rPr>
          <w:rFonts w:ascii="Calibri" w:eastAsia="Calibri" w:hAnsi="Calibri" w:cs="Times New Roman"/>
        </w:rPr>
        <w:t xml:space="preserve"> P</w:t>
      </w:r>
      <w:r w:rsidRPr="00DB41E2">
        <w:rPr>
          <w:rFonts w:ascii="Calibri" w:eastAsia="Calibri" w:hAnsi="Calibri" w:cs="Times New Roman"/>
        </w:rPr>
        <w:t>RO by měl být jedním z členů řídící skupiny, popřípadě výkonného týmu.</w:t>
      </w:r>
    </w:p>
    <w:p w14:paraId="77B5E8DB" w14:textId="77777777" w:rsidR="00837905" w:rsidRPr="00DB41E2" w:rsidRDefault="00837905" w:rsidP="00837905">
      <w:pPr>
        <w:spacing w:after="160" w:line="259" w:lineRule="auto"/>
        <w:jc w:val="both"/>
        <w:rPr>
          <w:rFonts w:ascii="Calibri" w:eastAsia="Calibri" w:hAnsi="Calibri" w:cs="Times New Roman"/>
        </w:rPr>
      </w:pPr>
    </w:p>
    <w:p w14:paraId="18B30A67" w14:textId="77777777" w:rsidR="00837905" w:rsidRPr="00DB41E2" w:rsidRDefault="00837905" w:rsidP="00837905">
      <w:pPr>
        <w:spacing w:after="160" w:line="259" w:lineRule="auto"/>
        <w:jc w:val="both"/>
        <w:rPr>
          <w:rFonts w:ascii="Calibri" w:eastAsia="Calibri" w:hAnsi="Calibri" w:cs="Times New Roman"/>
          <w:b/>
          <w:u w:val="single"/>
        </w:rPr>
      </w:pPr>
      <w:r w:rsidRPr="00DB41E2">
        <w:rPr>
          <w:rFonts w:ascii="Calibri" w:eastAsia="Calibri" w:hAnsi="Calibri" w:cs="Times New Roman"/>
          <w:b/>
          <w:u w:val="single"/>
        </w:rPr>
        <w:t>Výkonný tým</w:t>
      </w:r>
    </w:p>
    <w:p w14:paraId="27A2DA2D" w14:textId="77777777" w:rsidR="00837905" w:rsidRPr="00DB41E2" w:rsidRDefault="00837905" w:rsidP="00837905">
      <w:pPr>
        <w:spacing w:after="160" w:line="259" w:lineRule="auto"/>
        <w:jc w:val="both"/>
        <w:rPr>
          <w:rFonts w:ascii="Calibri" w:eastAsia="Calibri" w:hAnsi="Calibri" w:cs="Times New Roman"/>
        </w:rPr>
      </w:pPr>
      <w:r w:rsidRPr="00DB41E2">
        <w:rPr>
          <w:rFonts w:ascii="Calibri" w:eastAsia="Calibri" w:hAnsi="Calibri" w:cs="Times New Roman"/>
        </w:rPr>
        <w:t>Výkonný tým je složen z představitelů obce</w:t>
      </w:r>
      <w:r>
        <w:rPr>
          <w:rFonts w:ascii="Calibri" w:eastAsia="Calibri" w:hAnsi="Calibri" w:cs="Times New Roman"/>
        </w:rPr>
        <w:t xml:space="preserve">, </w:t>
      </w:r>
      <w:r w:rsidRPr="00DB41E2">
        <w:rPr>
          <w:rFonts w:ascii="Calibri" w:eastAsia="Calibri" w:hAnsi="Calibri" w:cs="Times New Roman"/>
        </w:rPr>
        <w:t>zaměstnanců obce</w:t>
      </w:r>
      <w:r>
        <w:rPr>
          <w:rFonts w:ascii="Calibri" w:eastAsia="Calibri" w:hAnsi="Calibri" w:cs="Times New Roman"/>
        </w:rPr>
        <w:t xml:space="preserve"> a osob, které jsou členy v</w:t>
      </w:r>
      <w:r w:rsidRPr="00C933F4">
        <w:rPr>
          <w:rFonts w:ascii="Calibri" w:eastAsia="Calibri" w:hAnsi="Calibri" w:cs="Times New Roman"/>
        </w:rPr>
        <w:t>ýbor</w:t>
      </w:r>
      <w:r>
        <w:rPr>
          <w:rFonts w:ascii="Calibri" w:eastAsia="Calibri" w:hAnsi="Calibri" w:cs="Times New Roman"/>
        </w:rPr>
        <w:t>ů</w:t>
      </w:r>
      <w:r w:rsidRPr="00C933F4">
        <w:rPr>
          <w:rFonts w:ascii="Calibri" w:eastAsia="Calibri" w:hAnsi="Calibri" w:cs="Times New Roman"/>
        </w:rPr>
        <w:t xml:space="preserve"> fungující</w:t>
      </w:r>
      <w:r>
        <w:rPr>
          <w:rFonts w:ascii="Calibri" w:eastAsia="Calibri" w:hAnsi="Calibri" w:cs="Times New Roman"/>
        </w:rPr>
        <w:t>ch</w:t>
      </w:r>
      <w:r w:rsidRPr="00C933F4">
        <w:rPr>
          <w:rFonts w:ascii="Calibri" w:eastAsia="Calibri" w:hAnsi="Calibri" w:cs="Times New Roman"/>
        </w:rPr>
        <w:t xml:space="preserve"> při zastupitelstvu obce</w:t>
      </w:r>
      <w:r w:rsidRPr="00DB41E2">
        <w:rPr>
          <w:rFonts w:ascii="Calibri" w:eastAsia="Calibri" w:hAnsi="Calibri" w:cs="Times New Roman"/>
        </w:rPr>
        <w:t>. Vedoucím výkonného týmu je starost</w:t>
      </w:r>
      <w:r>
        <w:rPr>
          <w:rFonts w:ascii="Calibri" w:eastAsia="Calibri" w:hAnsi="Calibri" w:cs="Times New Roman"/>
        </w:rPr>
        <w:t>k</w:t>
      </w:r>
      <w:r w:rsidRPr="00DB41E2">
        <w:rPr>
          <w:rFonts w:ascii="Calibri" w:eastAsia="Calibri" w:hAnsi="Calibri" w:cs="Times New Roman"/>
        </w:rPr>
        <w:t xml:space="preserve">a obce. Stěžejním úkolem výkonného týmu v procesu implementace </w:t>
      </w:r>
      <w:r>
        <w:rPr>
          <w:rFonts w:ascii="Calibri" w:eastAsia="Calibri" w:hAnsi="Calibri" w:cs="Times New Roman"/>
        </w:rPr>
        <w:t>P</w:t>
      </w:r>
      <w:r w:rsidRPr="00DB41E2">
        <w:rPr>
          <w:rFonts w:ascii="Calibri" w:eastAsia="Calibri" w:hAnsi="Calibri" w:cs="Times New Roman"/>
        </w:rPr>
        <w:t xml:space="preserve">RO je předkládat řídící skupině konkrétní návrhy projektů a rozvojových aktivit, které jsou v souladu se schváleným strategickým dokumentem. Mezi další úkoly výkonného týmu patří monitorování a průběžné vyhodnocování naplňování jednotlivých aktivit a zajištění aktualizace </w:t>
      </w:r>
      <w:r>
        <w:rPr>
          <w:rFonts w:ascii="Calibri" w:eastAsia="Calibri" w:hAnsi="Calibri" w:cs="Times New Roman"/>
        </w:rPr>
        <w:t>P</w:t>
      </w:r>
      <w:r w:rsidRPr="00DB41E2">
        <w:rPr>
          <w:rFonts w:ascii="Calibri" w:eastAsia="Calibri" w:hAnsi="Calibri" w:cs="Times New Roman"/>
        </w:rPr>
        <w:t>RO (vlastními silami či za pomoci externí osoby).</w:t>
      </w:r>
    </w:p>
    <w:p w14:paraId="2D98B223" w14:textId="77777777" w:rsidR="00837905" w:rsidRPr="00DB41E2" w:rsidRDefault="00837905" w:rsidP="00837905">
      <w:pPr>
        <w:spacing w:after="160" w:line="259" w:lineRule="auto"/>
        <w:jc w:val="both"/>
        <w:rPr>
          <w:rFonts w:ascii="Calibri" w:eastAsia="Calibri" w:hAnsi="Calibri" w:cs="Times New Roman"/>
        </w:rPr>
      </w:pPr>
    </w:p>
    <w:p w14:paraId="55F6AE9F" w14:textId="77777777" w:rsidR="00837905" w:rsidRPr="00DB41E2" w:rsidRDefault="00837905" w:rsidP="00837905">
      <w:pPr>
        <w:spacing w:after="160" w:line="259" w:lineRule="auto"/>
        <w:jc w:val="both"/>
        <w:rPr>
          <w:rFonts w:ascii="Calibri" w:eastAsia="Calibri" w:hAnsi="Calibri" w:cs="Times New Roman"/>
        </w:rPr>
      </w:pPr>
      <w:r w:rsidRPr="00DB41E2">
        <w:rPr>
          <w:rFonts w:ascii="Calibri" w:eastAsia="Calibri" w:hAnsi="Calibri" w:cs="Times New Roman"/>
        </w:rPr>
        <w:t xml:space="preserve">Do procesu implementace </w:t>
      </w:r>
      <w:r>
        <w:rPr>
          <w:rFonts w:ascii="Calibri" w:eastAsia="Calibri" w:hAnsi="Calibri" w:cs="Times New Roman"/>
        </w:rPr>
        <w:t>P</w:t>
      </w:r>
      <w:r w:rsidRPr="00DB41E2">
        <w:rPr>
          <w:rFonts w:ascii="Calibri" w:eastAsia="Calibri" w:hAnsi="Calibri" w:cs="Times New Roman"/>
        </w:rPr>
        <w:t>RO bude zapojena i řada dalších subjektů, které budou plnit funkci poradní. Ze subjektů lze jmenovat např. zástupce zájmových spolků působících v obci</w:t>
      </w:r>
      <w:r>
        <w:rPr>
          <w:rFonts w:ascii="Calibri" w:eastAsia="Calibri" w:hAnsi="Calibri" w:cs="Times New Roman"/>
        </w:rPr>
        <w:t xml:space="preserve">, zástupce </w:t>
      </w:r>
      <w:r w:rsidRPr="00DB41E2">
        <w:rPr>
          <w:rFonts w:ascii="Calibri" w:eastAsia="Calibri" w:hAnsi="Calibri" w:cs="Times New Roman"/>
        </w:rPr>
        <w:t>podnikatelských subjektů působících v obci, experty z řad odborné veřejnosti apod.</w:t>
      </w:r>
    </w:p>
    <w:p w14:paraId="7395F5A8" w14:textId="77777777" w:rsidR="00837905" w:rsidRPr="00DB41E2" w:rsidRDefault="00837905" w:rsidP="00837905">
      <w:pPr>
        <w:spacing w:after="160" w:line="259" w:lineRule="auto"/>
        <w:jc w:val="both"/>
        <w:rPr>
          <w:rFonts w:ascii="Calibri" w:eastAsia="Calibri" w:hAnsi="Calibri" w:cs="Times New Roman"/>
        </w:rPr>
      </w:pPr>
    </w:p>
    <w:p w14:paraId="5AFE1D73" w14:textId="77777777" w:rsidR="00837905" w:rsidRPr="00DB41E2" w:rsidRDefault="00837905" w:rsidP="00837905">
      <w:pPr>
        <w:pStyle w:val="Nadpis2"/>
      </w:pPr>
      <w:bookmarkStart w:id="617" w:name="_Toc420308835"/>
      <w:bookmarkStart w:id="618" w:name="_Toc420309168"/>
      <w:bookmarkStart w:id="619" w:name="_Toc421451915"/>
      <w:bookmarkStart w:id="620" w:name="_Toc440566385"/>
      <w:bookmarkStart w:id="621" w:name="_Toc441227536"/>
      <w:bookmarkStart w:id="622" w:name="_Toc480752697"/>
      <w:bookmarkStart w:id="623" w:name="_Toc507022416"/>
      <w:bookmarkStart w:id="624" w:name="_Toc15328043"/>
      <w:bookmarkStart w:id="625" w:name="_Toc31029469"/>
      <w:bookmarkStart w:id="626" w:name="_Toc32580156"/>
      <w:bookmarkStart w:id="627" w:name="_Toc120652179"/>
      <w:r w:rsidRPr="00DB41E2">
        <w:t xml:space="preserve">5.2 Systém financování </w:t>
      </w:r>
      <w:r>
        <w:t>Programu</w:t>
      </w:r>
      <w:r w:rsidRPr="00DB41E2">
        <w:t xml:space="preserve"> rozvoje</w:t>
      </w:r>
      <w:bookmarkEnd w:id="617"/>
      <w:bookmarkEnd w:id="618"/>
      <w:bookmarkEnd w:id="619"/>
      <w:bookmarkEnd w:id="620"/>
      <w:bookmarkEnd w:id="621"/>
      <w:bookmarkEnd w:id="622"/>
      <w:bookmarkEnd w:id="623"/>
      <w:bookmarkEnd w:id="624"/>
      <w:bookmarkEnd w:id="625"/>
      <w:bookmarkEnd w:id="626"/>
      <w:bookmarkEnd w:id="627"/>
    </w:p>
    <w:p w14:paraId="61BCA283" w14:textId="77777777" w:rsidR="00837905" w:rsidRPr="00DB41E2" w:rsidRDefault="00837905" w:rsidP="00837905">
      <w:pPr>
        <w:spacing w:after="160" w:line="259" w:lineRule="auto"/>
        <w:jc w:val="both"/>
        <w:rPr>
          <w:rFonts w:ascii="Calibri" w:eastAsia="Calibri" w:hAnsi="Calibri" w:cs="Times New Roman"/>
        </w:rPr>
      </w:pPr>
      <w:r w:rsidRPr="00DB41E2">
        <w:rPr>
          <w:rFonts w:ascii="Calibri" w:eastAsia="Calibri" w:hAnsi="Calibri" w:cs="Times New Roman"/>
        </w:rPr>
        <w:t xml:space="preserve">Z hlediska naplňování jednotlivých projektových záměrů </w:t>
      </w:r>
      <w:r>
        <w:rPr>
          <w:rFonts w:ascii="Calibri" w:eastAsia="Calibri" w:hAnsi="Calibri" w:cs="Times New Roman"/>
        </w:rPr>
        <w:t>P</w:t>
      </w:r>
      <w:r w:rsidRPr="00DB41E2">
        <w:rPr>
          <w:rFonts w:ascii="Calibri" w:eastAsia="Calibri" w:hAnsi="Calibri" w:cs="Times New Roman"/>
        </w:rPr>
        <w:t xml:space="preserve">RO je nutné zajištění finančních prostředků. Realizace řady navržených aktivit se nepochybně neobejde bez vnější finanční podpory. Proto </w:t>
      </w:r>
      <w:r w:rsidRPr="00DB41E2">
        <w:rPr>
          <w:rFonts w:ascii="Calibri" w:eastAsia="Calibri" w:hAnsi="Calibri" w:cs="Times New Roman"/>
        </w:rPr>
        <w:br/>
        <w:t>je důležité využívat dostupné vnější finanční zdroje, jejichž příspěvek významně napomůže k jejich realizaci.</w:t>
      </w:r>
    </w:p>
    <w:p w14:paraId="1CB35E59" w14:textId="77777777" w:rsidR="00837905" w:rsidRPr="00DB41E2" w:rsidRDefault="00837905" w:rsidP="00837905">
      <w:pPr>
        <w:spacing w:after="160" w:line="259" w:lineRule="auto"/>
        <w:jc w:val="both"/>
        <w:rPr>
          <w:rFonts w:ascii="Calibri" w:eastAsia="Calibri" w:hAnsi="Calibri" w:cs="Times New Roman"/>
          <w:u w:val="single"/>
        </w:rPr>
      </w:pPr>
      <w:r w:rsidRPr="00DB41E2">
        <w:rPr>
          <w:rFonts w:ascii="Calibri" w:eastAsia="Calibri" w:hAnsi="Calibri" w:cs="Times New Roman"/>
          <w:u w:val="single"/>
        </w:rPr>
        <w:t>Financování rozvojových aktivit lze zajistit třemi předpokládanými způsoby:</w:t>
      </w:r>
    </w:p>
    <w:p w14:paraId="28373F3F" w14:textId="77777777" w:rsidR="00837905" w:rsidRPr="00267BBC" w:rsidRDefault="00837905">
      <w:pPr>
        <w:pStyle w:val="Odstavecseseznamem"/>
        <w:numPr>
          <w:ilvl w:val="0"/>
          <w:numId w:val="7"/>
        </w:numPr>
        <w:spacing w:after="160"/>
        <w:ind w:left="714" w:hanging="357"/>
        <w:contextualSpacing w:val="0"/>
        <w:jc w:val="both"/>
        <w:rPr>
          <w:rFonts w:ascii="Calibri" w:eastAsia="Calibri" w:hAnsi="Calibri" w:cs="Times New Roman"/>
        </w:rPr>
      </w:pPr>
      <w:r w:rsidRPr="00267BBC">
        <w:rPr>
          <w:rFonts w:ascii="Calibri" w:eastAsia="Calibri" w:hAnsi="Calibri" w:cs="Times New Roman"/>
          <w:b/>
        </w:rPr>
        <w:t>Financování projektů výhradně z vlastních zdrojů</w:t>
      </w:r>
      <w:r w:rsidRPr="00267BBC">
        <w:rPr>
          <w:rFonts w:ascii="Calibri" w:eastAsia="Calibri" w:hAnsi="Calibri" w:cs="Times New Roman"/>
        </w:rPr>
        <w:t xml:space="preserve"> – jednotlivé projekty jsou financovány výhradně z rozpočtu obce.</w:t>
      </w:r>
    </w:p>
    <w:p w14:paraId="6A820F3A" w14:textId="77777777" w:rsidR="00837905" w:rsidRPr="00267BBC" w:rsidRDefault="00837905">
      <w:pPr>
        <w:pStyle w:val="Odstavecseseznamem"/>
        <w:numPr>
          <w:ilvl w:val="0"/>
          <w:numId w:val="7"/>
        </w:numPr>
        <w:spacing w:after="60" w:line="259" w:lineRule="auto"/>
        <w:jc w:val="both"/>
        <w:rPr>
          <w:rFonts w:ascii="Calibri" w:eastAsia="Calibri" w:hAnsi="Calibri" w:cs="Times New Roman"/>
        </w:rPr>
      </w:pPr>
      <w:r w:rsidRPr="00267BBC">
        <w:rPr>
          <w:rFonts w:ascii="Calibri" w:eastAsia="Calibri" w:hAnsi="Calibri" w:cs="Times New Roman"/>
          <w:b/>
        </w:rPr>
        <w:t>Financování projektů na bázi tzv. principu doplňkovosti</w:t>
      </w:r>
      <w:r w:rsidRPr="00267BBC">
        <w:rPr>
          <w:rFonts w:ascii="Calibri" w:eastAsia="Calibri" w:hAnsi="Calibri" w:cs="Times New Roman"/>
        </w:rPr>
        <w:t xml:space="preserve"> – jednotlivé projekty jsou financovány z převážné části prostřednictvím externích finančních zdrojů a částečně z vlastních zdrojů. Externí finanční prostředky lze rozdělit na nevratné (dotace, granty) a vratné (úvěry, půjčky apod.). Především nevratné externí finanční prostředky představují velmi významný podíl finančních zdrojů, které jsou potřebné k realizaci daného projektu (mohou pokrýt až 85 či 90 % celkových nákladů projektu). Z pohledu externích zdrojů lze uvažovat o následujících zdrojích financování:</w:t>
      </w:r>
    </w:p>
    <w:p w14:paraId="1A8F1EE1" w14:textId="77777777" w:rsidR="00837905" w:rsidRDefault="00837905">
      <w:pPr>
        <w:pStyle w:val="Odstavecseseznamem"/>
        <w:numPr>
          <w:ilvl w:val="0"/>
          <w:numId w:val="8"/>
        </w:numPr>
        <w:spacing w:after="60"/>
        <w:ind w:left="1134" w:hanging="357"/>
        <w:contextualSpacing w:val="0"/>
        <w:jc w:val="both"/>
        <w:rPr>
          <w:rFonts w:ascii="Calibri" w:eastAsia="Calibri" w:hAnsi="Calibri" w:cs="Times New Roman"/>
        </w:rPr>
      </w:pPr>
      <w:r w:rsidRPr="00267BBC">
        <w:rPr>
          <w:rFonts w:ascii="Calibri" w:eastAsia="Calibri" w:hAnsi="Calibri" w:cs="Times New Roman"/>
        </w:rPr>
        <w:t>z rozpočtu Evropské unie – strukturální fondy EU</w:t>
      </w:r>
    </w:p>
    <w:p w14:paraId="7FA06C69" w14:textId="77777777" w:rsidR="00837905" w:rsidRDefault="00837905">
      <w:pPr>
        <w:pStyle w:val="Odstavecseseznamem"/>
        <w:numPr>
          <w:ilvl w:val="0"/>
          <w:numId w:val="8"/>
        </w:numPr>
        <w:spacing w:after="60"/>
        <w:ind w:left="1134" w:hanging="357"/>
        <w:contextualSpacing w:val="0"/>
        <w:jc w:val="both"/>
        <w:rPr>
          <w:rFonts w:ascii="Calibri" w:eastAsia="Calibri" w:hAnsi="Calibri" w:cs="Times New Roman"/>
        </w:rPr>
      </w:pPr>
      <w:r w:rsidRPr="00267BBC">
        <w:rPr>
          <w:rFonts w:ascii="Calibri" w:eastAsia="Calibri" w:hAnsi="Calibri" w:cs="Times New Roman"/>
        </w:rPr>
        <w:t>ze státního rozpočtu Č</w:t>
      </w:r>
      <w:r>
        <w:rPr>
          <w:rFonts w:ascii="Calibri" w:eastAsia="Calibri" w:hAnsi="Calibri" w:cs="Times New Roman"/>
        </w:rPr>
        <w:t>R</w:t>
      </w:r>
    </w:p>
    <w:p w14:paraId="486BEDB5" w14:textId="77777777" w:rsidR="00837905" w:rsidRDefault="00837905">
      <w:pPr>
        <w:pStyle w:val="Odstavecseseznamem"/>
        <w:numPr>
          <w:ilvl w:val="0"/>
          <w:numId w:val="8"/>
        </w:numPr>
        <w:spacing w:after="60"/>
        <w:ind w:left="1134" w:hanging="357"/>
        <w:contextualSpacing w:val="0"/>
        <w:jc w:val="both"/>
        <w:rPr>
          <w:rFonts w:ascii="Calibri" w:eastAsia="Calibri" w:hAnsi="Calibri" w:cs="Times New Roman"/>
        </w:rPr>
      </w:pPr>
      <w:r w:rsidRPr="00267BBC">
        <w:rPr>
          <w:rFonts w:ascii="Calibri" w:eastAsia="Calibri" w:hAnsi="Calibri" w:cs="Times New Roman"/>
        </w:rPr>
        <w:t>z rozpočtu Královéhradeckého kraje</w:t>
      </w:r>
    </w:p>
    <w:p w14:paraId="6F8B1271" w14:textId="77777777" w:rsidR="00837905" w:rsidRPr="00267BBC" w:rsidRDefault="00837905">
      <w:pPr>
        <w:pStyle w:val="Odstavecseseznamem"/>
        <w:numPr>
          <w:ilvl w:val="0"/>
          <w:numId w:val="8"/>
        </w:numPr>
        <w:spacing w:after="160"/>
        <w:ind w:left="1134" w:hanging="357"/>
        <w:contextualSpacing w:val="0"/>
        <w:jc w:val="both"/>
        <w:rPr>
          <w:rFonts w:ascii="Calibri" w:eastAsia="Calibri" w:hAnsi="Calibri" w:cs="Times New Roman"/>
        </w:rPr>
      </w:pPr>
      <w:r w:rsidRPr="00267BBC">
        <w:rPr>
          <w:rFonts w:ascii="Calibri" w:eastAsia="Calibri" w:hAnsi="Calibri" w:cs="Times New Roman"/>
        </w:rPr>
        <w:t>ze soukromých kapitálových prostředků (bankovní úvěry, zdroje soukromého sektoru, prostředky nestátních neziskových organizací).</w:t>
      </w:r>
    </w:p>
    <w:p w14:paraId="454F6326" w14:textId="77777777" w:rsidR="00837905" w:rsidRPr="00267BBC" w:rsidRDefault="00837905">
      <w:pPr>
        <w:pStyle w:val="Odstavecseseznamem"/>
        <w:numPr>
          <w:ilvl w:val="0"/>
          <w:numId w:val="7"/>
        </w:numPr>
        <w:spacing w:after="160" w:line="259" w:lineRule="auto"/>
        <w:jc w:val="both"/>
        <w:rPr>
          <w:rFonts w:ascii="Calibri" w:eastAsia="Calibri" w:hAnsi="Calibri" w:cs="Times New Roman"/>
        </w:rPr>
      </w:pPr>
      <w:r w:rsidRPr="00267BBC">
        <w:rPr>
          <w:rFonts w:ascii="Calibri" w:eastAsia="Calibri" w:hAnsi="Calibri" w:cs="Times New Roman"/>
          <w:b/>
        </w:rPr>
        <w:lastRenderedPageBreak/>
        <w:t>Nepřímá podpora projektů</w:t>
      </w:r>
      <w:r w:rsidRPr="00267BBC">
        <w:rPr>
          <w:rFonts w:ascii="Calibri" w:eastAsia="Calibri" w:hAnsi="Calibri" w:cs="Times New Roman"/>
        </w:rPr>
        <w:t xml:space="preserve"> – obec </w:t>
      </w:r>
      <w:r>
        <w:rPr>
          <w:rFonts w:ascii="Calibri" w:eastAsia="Calibri" w:hAnsi="Calibri" w:cs="Times New Roman"/>
        </w:rPr>
        <w:t>Staré Buky</w:t>
      </w:r>
      <w:r w:rsidRPr="00267BBC">
        <w:rPr>
          <w:rFonts w:ascii="Calibri" w:eastAsia="Calibri" w:hAnsi="Calibri" w:cs="Times New Roman"/>
        </w:rPr>
        <w:t xml:space="preserve"> se nepodílí ani finančně ani realizačně </w:t>
      </w:r>
      <w:r w:rsidRPr="00267BBC">
        <w:rPr>
          <w:rFonts w:ascii="Calibri" w:eastAsia="Calibri" w:hAnsi="Calibri" w:cs="Times New Roman"/>
        </w:rPr>
        <w:br/>
        <w:t>na přípravě a realizaci projektů. Role obce je v tomto případě iniciační a komunikační, čímž napomáhá k prosazování daného projektového záměru.</w:t>
      </w:r>
    </w:p>
    <w:p w14:paraId="119B8A70" w14:textId="77777777" w:rsidR="00837905" w:rsidRDefault="00837905" w:rsidP="00837905">
      <w:pPr>
        <w:spacing w:line="259" w:lineRule="auto"/>
        <w:jc w:val="both"/>
        <w:rPr>
          <w:rFonts w:ascii="Calibri" w:eastAsia="Calibri" w:hAnsi="Calibri" w:cs="Times New Roman"/>
        </w:rPr>
      </w:pPr>
    </w:p>
    <w:p w14:paraId="171AB82B" w14:textId="77777777" w:rsidR="00837905" w:rsidRDefault="00837905" w:rsidP="00837905">
      <w:pPr>
        <w:spacing w:line="259" w:lineRule="auto"/>
        <w:jc w:val="both"/>
        <w:rPr>
          <w:rFonts w:ascii="Calibri" w:eastAsia="Calibri" w:hAnsi="Calibri" w:cs="Times New Roman"/>
        </w:rPr>
      </w:pPr>
      <w:r w:rsidRPr="00DB41E2">
        <w:rPr>
          <w:rFonts w:ascii="Calibri" w:eastAsia="Calibri" w:hAnsi="Calibri" w:cs="Times New Roman"/>
        </w:rPr>
        <w:t xml:space="preserve">Vazby systému financování </w:t>
      </w:r>
      <w:r>
        <w:rPr>
          <w:rFonts w:ascii="Calibri" w:eastAsia="Calibri" w:hAnsi="Calibri" w:cs="Times New Roman"/>
        </w:rPr>
        <w:t>P</w:t>
      </w:r>
      <w:r w:rsidRPr="00DB41E2">
        <w:rPr>
          <w:rFonts w:ascii="Calibri" w:eastAsia="Calibri" w:hAnsi="Calibri" w:cs="Times New Roman"/>
        </w:rPr>
        <w:t>RO znázorňuje schéma 4.</w:t>
      </w:r>
    </w:p>
    <w:p w14:paraId="7717F60D" w14:textId="77777777" w:rsidR="00837905" w:rsidRDefault="00837905" w:rsidP="00837905">
      <w:pPr>
        <w:spacing w:line="259" w:lineRule="auto"/>
        <w:jc w:val="both"/>
        <w:rPr>
          <w:rFonts w:ascii="Calibri" w:eastAsia="Calibri" w:hAnsi="Calibri" w:cs="Times New Roman"/>
        </w:rPr>
      </w:pPr>
    </w:p>
    <w:p w14:paraId="6D4745E8" w14:textId="77777777" w:rsidR="00837905" w:rsidRPr="00DB41E2" w:rsidRDefault="00837905" w:rsidP="00837905">
      <w:pPr>
        <w:spacing w:line="259" w:lineRule="auto"/>
        <w:jc w:val="both"/>
        <w:rPr>
          <w:rFonts w:ascii="Calibri" w:eastAsia="Calibri" w:hAnsi="Calibri" w:cs="Times New Roman"/>
        </w:rPr>
      </w:pPr>
    </w:p>
    <w:p w14:paraId="6251D8C7" w14:textId="77777777" w:rsidR="00837905" w:rsidRPr="00DB41E2" w:rsidRDefault="00837905" w:rsidP="00837905">
      <w:pPr>
        <w:spacing w:line="259" w:lineRule="auto"/>
        <w:jc w:val="both"/>
        <w:rPr>
          <w:rFonts w:ascii="Calibri" w:eastAsia="Calibri" w:hAnsi="Calibri" w:cs="Times New Roman"/>
        </w:rPr>
      </w:pPr>
    </w:p>
    <w:p w14:paraId="78F6421A" w14:textId="77777777" w:rsidR="00837905" w:rsidRPr="00DB41E2" w:rsidRDefault="00837905" w:rsidP="00837905">
      <w:pPr>
        <w:pStyle w:val="SCHMA"/>
      </w:pPr>
      <w:bookmarkStart w:id="628" w:name="_Toc421452117"/>
      <w:bookmarkStart w:id="629" w:name="_Toc441222040"/>
      <w:bookmarkStart w:id="630" w:name="_Toc480751951"/>
      <w:bookmarkStart w:id="631" w:name="_Toc507022302"/>
      <w:bookmarkStart w:id="632" w:name="_Toc15327199"/>
      <w:bookmarkStart w:id="633" w:name="_Toc31028483"/>
      <w:bookmarkStart w:id="634" w:name="_Toc32578464"/>
      <w:bookmarkStart w:id="635" w:name="_Toc120652068"/>
      <w:r w:rsidRPr="00DB41E2">
        <w:t xml:space="preserve">Schéma 4: Vazby systému financování </w:t>
      </w:r>
      <w:r>
        <w:t>P</w:t>
      </w:r>
      <w:r w:rsidRPr="00DB41E2">
        <w:t xml:space="preserve">RO </w:t>
      </w:r>
      <w:r>
        <w:t>Staré Buky</w:t>
      </w:r>
      <w:r w:rsidRPr="00DB41E2">
        <w:rPr>
          <w:rFonts w:eastAsia="Calibri" w:cs="Times New Roman"/>
        </w:rPr>
        <w:t xml:space="preserve"> </w:t>
      </w:r>
      <w:r w:rsidRPr="00DB41E2">
        <w:t>na období let 20</w:t>
      </w:r>
      <w:r>
        <w:t>22</w:t>
      </w:r>
      <w:r w:rsidRPr="00DB41E2">
        <w:t>-20</w:t>
      </w:r>
      <w:bookmarkEnd w:id="628"/>
      <w:bookmarkEnd w:id="629"/>
      <w:bookmarkEnd w:id="630"/>
      <w:bookmarkEnd w:id="631"/>
      <w:bookmarkEnd w:id="632"/>
      <w:bookmarkEnd w:id="633"/>
      <w:bookmarkEnd w:id="634"/>
      <w:r>
        <w:t>31</w:t>
      </w:r>
      <w:bookmarkEnd w:id="635"/>
    </w:p>
    <w:p w14:paraId="1A52CA4C" w14:textId="77777777" w:rsidR="00837905" w:rsidRPr="00DB41E2" w:rsidRDefault="00837905" w:rsidP="00837905">
      <w:pPr>
        <w:spacing w:line="360" w:lineRule="auto"/>
        <w:jc w:val="both"/>
        <w:rPr>
          <w:rFonts w:ascii="Calibri" w:eastAsia="Calibri" w:hAnsi="Calibri" w:cs="Times New Roman"/>
        </w:rPr>
      </w:pPr>
      <w:r>
        <w:rPr>
          <w:noProof/>
        </w:rPr>
        <w:pict w14:anchorId="0392406E">
          <v:shapetype id="_x0000_t202" coordsize="21600,21600" o:spt="202" path="m,l,21600r21600,l21600,xe">
            <v:stroke joinstyle="miter"/>
            <v:path gradientshapeok="t" o:connecttype="rect"/>
          </v:shapetype>
          <v:shape id="Textové pole 75" o:spid="_x0000_s2058" type="#_x0000_t202" style="position:absolute;left:0;text-align:left;margin-left:250.15pt;margin-top:5.2pt;width:178.5pt;height:22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c000">
            <v:textbox>
              <w:txbxContent>
                <w:p w14:paraId="275C8A29" w14:textId="77777777" w:rsidR="00837905" w:rsidRPr="00BF4B1E" w:rsidRDefault="00837905" w:rsidP="00837905">
                  <w:pPr>
                    <w:spacing w:before="200"/>
                    <w:jc w:val="center"/>
                    <w:rPr>
                      <w:b/>
                      <w:sz w:val="28"/>
                      <w:szCs w:val="28"/>
                    </w:rPr>
                  </w:pPr>
                  <w:r w:rsidRPr="00BF4B1E">
                    <w:rPr>
                      <w:b/>
                      <w:sz w:val="28"/>
                      <w:szCs w:val="28"/>
                    </w:rPr>
                    <w:t>Projekty/Rozvojové aktivity</w:t>
                  </w:r>
                </w:p>
                <w:p w14:paraId="242CFFD8" w14:textId="77777777" w:rsidR="00837905" w:rsidRPr="00BF4B1E" w:rsidRDefault="00837905" w:rsidP="00837905">
                  <w:pPr>
                    <w:rPr>
                      <w:b/>
                    </w:rPr>
                  </w:pPr>
                </w:p>
              </w:txbxContent>
            </v:textbox>
          </v:shape>
        </w:pict>
      </w:r>
      <w:r>
        <w:rPr>
          <w:noProof/>
        </w:rPr>
        <w:pict w14:anchorId="1CBE6759">
          <v:shape id="Textové pole 74" o:spid="_x0000_s2057" type="#_x0000_t202" style="position:absolute;left:0;text-align:left;margin-left:34.15pt;margin-top:17.25pt;width:156.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92d050">
            <v:textbox>
              <w:txbxContent>
                <w:p w14:paraId="0BF2767C" w14:textId="77777777" w:rsidR="00837905" w:rsidRPr="00FA4EE9" w:rsidRDefault="00837905" w:rsidP="00837905">
                  <w:pPr>
                    <w:shd w:val="clear" w:color="auto" w:fill="92D050"/>
                    <w:spacing w:before="60"/>
                    <w:jc w:val="center"/>
                    <w:rPr>
                      <w:b/>
                    </w:rPr>
                  </w:pPr>
                  <w:r w:rsidRPr="00FA4EE9">
                    <w:rPr>
                      <w:b/>
                    </w:rPr>
                    <w:t>Zdroje financování</w:t>
                  </w:r>
                </w:p>
              </w:txbxContent>
            </v:textbox>
          </v:shape>
        </w:pict>
      </w:r>
    </w:p>
    <w:p w14:paraId="752779FB" w14:textId="77777777" w:rsidR="00837905" w:rsidRPr="00DB41E2" w:rsidRDefault="00837905" w:rsidP="00837905">
      <w:pPr>
        <w:spacing w:line="360" w:lineRule="auto"/>
        <w:jc w:val="both"/>
        <w:rPr>
          <w:rFonts w:ascii="Calibri" w:eastAsia="Calibri" w:hAnsi="Calibri" w:cs="Times New Roman"/>
        </w:rPr>
      </w:pPr>
      <w:r>
        <w:rPr>
          <w:noProof/>
        </w:rPr>
        <w:pict w14:anchorId="4F8F7B53">
          <v:shape id="Textové pole 73" o:spid="_x0000_s2059" type="#_x0000_t202" style="position:absolute;left:0;text-align:left;margin-left:260.65pt;margin-top:19.7pt;width:156.75pt;height:2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92d050">
            <v:textbox>
              <w:txbxContent>
                <w:p w14:paraId="090C18F0" w14:textId="77777777" w:rsidR="00837905" w:rsidRPr="00FA4EE9" w:rsidRDefault="00837905" w:rsidP="00837905">
                  <w:pPr>
                    <w:spacing w:before="60"/>
                    <w:jc w:val="center"/>
                    <w:rPr>
                      <w:b/>
                    </w:rPr>
                  </w:pPr>
                  <w:r w:rsidRPr="00FA4EE9">
                    <w:rPr>
                      <w:b/>
                    </w:rPr>
                    <w:t>Způsob financování</w:t>
                  </w:r>
                </w:p>
                <w:p w14:paraId="30256B0E" w14:textId="77777777" w:rsidR="00837905" w:rsidRDefault="00837905" w:rsidP="00837905"/>
              </w:txbxContent>
            </v:textbox>
          </v:shape>
        </w:pict>
      </w:r>
    </w:p>
    <w:p w14:paraId="067F911E" w14:textId="77777777" w:rsidR="00837905" w:rsidRPr="00DB41E2" w:rsidRDefault="00837905" w:rsidP="00837905">
      <w:pPr>
        <w:spacing w:line="360" w:lineRule="auto"/>
        <w:jc w:val="both"/>
        <w:rPr>
          <w:rFonts w:ascii="Calibri" w:eastAsia="Calibri" w:hAnsi="Calibri" w:cs="Times New Roman"/>
        </w:rPr>
      </w:pPr>
      <w:r>
        <w:rPr>
          <w:noProof/>
        </w:rPr>
        <w:pict w14:anchorId="4E7B0F9F">
          <v:shape id="Textové pole 72" o:spid="_x0000_s2053" type="#_x0000_t202" style="position:absolute;left:0;text-align:left;margin-left:53.65pt;margin-top:14.45pt;width:120.7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2d69b">
            <v:textbox>
              <w:txbxContent>
                <w:p w14:paraId="6AAADA1A" w14:textId="77777777" w:rsidR="00837905" w:rsidRDefault="00837905" w:rsidP="00837905">
                  <w:pPr>
                    <w:spacing w:before="160"/>
                    <w:jc w:val="center"/>
                  </w:pPr>
                  <w:r>
                    <w:t>Rozpočet obce</w:t>
                  </w:r>
                </w:p>
              </w:txbxContent>
            </v:textbox>
          </v:shape>
        </w:pict>
      </w:r>
    </w:p>
    <w:p w14:paraId="66EED3FC" w14:textId="77777777" w:rsidR="00837905" w:rsidRPr="00DB41E2" w:rsidRDefault="00837905" w:rsidP="00837905">
      <w:pPr>
        <w:spacing w:line="360" w:lineRule="auto"/>
        <w:jc w:val="both"/>
        <w:rPr>
          <w:rFonts w:ascii="Calibri" w:eastAsia="Calibri" w:hAnsi="Calibri" w:cs="Times New Roman"/>
        </w:rPr>
      </w:pPr>
      <w:r>
        <w:rPr>
          <w:noProof/>
        </w:rPr>
        <w:pict w14:anchorId="621312E3">
          <v:shapetype id="_x0000_t32" coordsize="21600,21600" o:spt="32" o:oned="t" path="m,l21600,21600e" filled="f">
            <v:path arrowok="t" fillok="f" o:connecttype="none"/>
            <o:lock v:ext="edit" shapetype="t"/>
          </v:shapetype>
          <v:shape id="Přímá spojnice se šipkou 71" o:spid="_x0000_s2063" type="#_x0000_t32" style="position:absolute;left:0;text-align:left;margin-left:174.4pt;margin-top:10pt;width:93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">
            <v:stroke endarrow="block"/>
          </v:shape>
        </w:pict>
      </w:r>
      <w:r>
        <w:rPr>
          <w:noProof/>
        </w:rPr>
        <w:pict w14:anchorId="10C87D49">
          <v:shape id="Přímá spojnice se šipkou 81" o:spid="_x0000_s2064" type="#_x0000_t32" style="position:absolute;left:0;text-align:left;margin-left:174.4pt;margin-top:19.05pt;width:93pt;height:5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">
            <v:stroke endarrow="block"/>
          </v:shape>
        </w:pict>
      </w:r>
      <w:r>
        <w:rPr>
          <w:noProof/>
        </w:rPr>
        <w:pict w14:anchorId="767B25CB">
          <v:shape id="Textové pole 82" o:spid="_x0000_s2060" type="#_x0000_t202" style="position:absolute;left:0;text-align:left;margin-left:267.4pt;margin-top:13.05pt;width:143.15pt;height:4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2d69b">
            <v:textbox>
              <w:txbxContent>
                <w:p w14:paraId="7A2A7AD0" w14:textId="77777777" w:rsidR="00837905" w:rsidRDefault="00837905" w:rsidP="00837905">
                  <w:pPr>
                    <w:spacing w:before="40" w:after="40"/>
                    <w:jc w:val="center"/>
                  </w:pPr>
                  <w:r>
                    <w:t>Financování projektů výhradně z vlastních zdrojů</w:t>
                  </w:r>
                </w:p>
                <w:p w14:paraId="4AB669E9" w14:textId="77777777" w:rsidR="00837905" w:rsidRDefault="00837905" w:rsidP="00837905"/>
              </w:txbxContent>
            </v:textbox>
          </v:shape>
        </w:pict>
      </w:r>
    </w:p>
    <w:p w14:paraId="73474B34" w14:textId="77777777" w:rsidR="00837905" w:rsidRPr="00DB41E2" w:rsidRDefault="00837905" w:rsidP="00837905">
      <w:pPr>
        <w:spacing w:line="360" w:lineRule="auto"/>
        <w:jc w:val="both"/>
        <w:rPr>
          <w:rFonts w:ascii="Calibri" w:eastAsia="Calibri" w:hAnsi="Calibri" w:cs="Times New Roman"/>
        </w:rPr>
      </w:pPr>
      <w:r>
        <w:rPr>
          <w:noProof/>
        </w:rPr>
        <w:pict w14:anchorId="6D65D980">
          <v:shape id="Textové pole 85" o:spid="_x0000_s2055" type="#_x0000_t202" style="position:absolute;left:0;text-align:left;margin-left:53.65pt;margin-top:17.7pt;width:120.7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2d69b">
            <v:textbox>
              <w:txbxContent>
                <w:p w14:paraId="3C55227B" w14:textId="77777777" w:rsidR="00837905" w:rsidRDefault="00837905" w:rsidP="00837905">
                  <w:pPr>
                    <w:spacing w:before="20" w:after="20"/>
                    <w:jc w:val="center"/>
                  </w:pPr>
                  <w:r>
                    <w:t>Národní či krajské zdroje</w:t>
                  </w:r>
                </w:p>
              </w:txbxContent>
            </v:textbox>
          </v:shape>
        </w:pict>
      </w:r>
    </w:p>
    <w:p w14:paraId="111CEFDF" w14:textId="77777777" w:rsidR="00837905" w:rsidRPr="00DB41E2" w:rsidRDefault="00837905" w:rsidP="00837905">
      <w:pPr>
        <w:spacing w:line="360" w:lineRule="auto"/>
        <w:jc w:val="both"/>
        <w:rPr>
          <w:rFonts w:ascii="Calibri" w:eastAsia="Calibri" w:hAnsi="Calibri" w:cs="Times New Roman"/>
        </w:rPr>
      </w:pPr>
      <w:r>
        <w:rPr>
          <w:noProof/>
        </w:rPr>
        <w:pict w14:anchorId="7755EDF8">
          <v:shape id="Přímá spojnice se šipkou 86" o:spid="_x0000_s2065" type="#_x0000_t32" style="position:absolute;left:0;text-align:left;margin-left:174.4pt;margin-top:14.75pt;width:93pt;height:2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">
            <v:stroke endarrow="block"/>
          </v:shape>
        </w:pict>
      </w:r>
    </w:p>
    <w:p w14:paraId="1E2AF9BB" w14:textId="77777777" w:rsidR="00837905" w:rsidRPr="00DB41E2" w:rsidRDefault="00837905" w:rsidP="00837905">
      <w:pPr>
        <w:spacing w:line="360" w:lineRule="auto"/>
        <w:jc w:val="both"/>
        <w:rPr>
          <w:rFonts w:ascii="Calibri" w:eastAsia="Calibri" w:hAnsi="Calibri" w:cs="Times New Roman"/>
        </w:rPr>
      </w:pPr>
      <w:r>
        <w:rPr>
          <w:noProof/>
        </w:rPr>
        <w:pict w14:anchorId="369747A5">
          <v:shape id="Přímá spojnice se šipkou 87" o:spid="_x0000_s2066" type="#_x0000_t32" style="position:absolute;left:0;text-align:left;margin-left:174.4pt;margin-top:4.4pt;width:93pt;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">
            <v:stroke endarrow="block"/>
          </v:shape>
        </w:pict>
      </w:r>
      <w:r>
        <w:rPr>
          <w:noProof/>
        </w:rPr>
        <w:pict w14:anchorId="64A444DA">
          <v:shape id="Textové pole 88" o:spid="_x0000_s2061" type="#_x0000_t202" style="position:absolute;left:0;text-align:left;margin-left:267.4pt;margin-top:4.4pt;width:143.15pt;height:4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2d69b">
            <v:textbox>
              <w:txbxContent>
                <w:p w14:paraId="30848756" w14:textId="77777777" w:rsidR="00837905" w:rsidRDefault="00837905" w:rsidP="00837905">
                  <w:pPr>
                    <w:spacing w:before="40" w:after="40"/>
                    <w:jc w:val="center"/>
                  </w:pPr>
                  <w:r>
                    <w:t>Financování projektů na bázi tzv. principu doplňkovosti</w:t>
                  </w:r>
                </w:p>
                <w:p w14:paraId="6748BFFD" w14:textId="77777777" w:rsidR="00837905" w:rsidRDefault="00837905" w:rsidP="00837905"/>
              </w:txbxContent>
            </v:textbox>
          </v:shape>
        </w:pict>
      </w:r>
    </w:p>
    <w:p w14:paraId="71BB4BDA" w14:textId="77777777" w:rsidR="00837905" w:rsidRPr="00DB41E2" w:rsidRDefault="00837905" w:rsidP="00837905">
      <w:pPr>
        <w:spacing w:line="360" w:lineRule="auto"/>
        <w:jc w:val="both"/>
        <w:rPr>
          <w:rFonts w:ascii="Calibri" w:eastAsia="Calibri" w:hAnsi="Calibri" w:cs="Times New Roman"/>
        </w:rPr>
      </w:pPr>
      <w:r>
        <w:rPr>
          <w:noProof/>
        </w:rPr>
        <w:pict w14:anchorId="0CF25D14">
          <v:shape id="Přímá spojnice se šipkou 89" o:spid="_x0000_s2069" type="#_x0000_t32" style="position:absolute;left:0;text-align:left;margin-left:174.4pt;margin-top:19.5pt;width:93pt;height:3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">
            <v:stroke endarrow="block"/>
          </v:shape>
        </w:pict>
      </w:r>
      <w:r>
        <w:rPr>
          <w:noProof/>
        </w:rPr>
        <w:pict w14:anchorId="48E981BC">
          <v:shape id="Přímá spojnice se šipkou 90" o:spid="_x0000_s2067" type="#_x0000_t32" style="position:absolute;left:0;text-align:left;margin-left:174.4pt;margin-top:9.75pt;width:93pt;height:3.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">
            <v:stroke endarrow="block"/>
          </v:shape>
        </w:pict>
      </w:r>
      <w:r>
        <w:rPr>
          <w:noProof/>
        </w:rPr>
        <w:pict w14:anchorId="4122EF59">
          <v:shape id="Textové pole 91" o:spid="_x0000_s2056" type="#_x0000_t202" style="position:absolute;left:0;text-align:left;margin-left:53.65pt;margin-top:2.25pt;width:120.7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2d69b">
            <v:textbox>
              <w:txbxContent>
                <w:p w14:paraId="54A77A2B" w14:textId="77777777" w:rsidR="00837905" w:rsidRDefault="00837905" w:rsidP="00837905">
                  <w:pPr>
                    <w:spacing w:before="160"/>
                    <w:jc w:val="center"/>
                  </w:pPr>
                  <w:r>
                    <w:t>Zdroje EU</w:t>
                  </w:r>
                </w:p>
              </w:txbxContent>
            </v:textbox>
          </v:shape>
        </w:pict>
      </w:r>
    </w:p>
    <w:p w14:paraId="3959F0FE" w14:textId="77777777" w:rsidR="00837905" w:rsidRPr="00DB41E2" w:rsidRDefault="00837905" w:rsidP="00837905">
      <w:pPr>
        <w:spacing w:line="360" w:lineRule="auto"/>
        <w:jc w:val="both"/>
        <w:rPr>
          <w:rFonts w:ascii="Calibri" w:eastAsia="Calibri" w:hAnsi="Calibri" w:cs="Times New Roman"/>
        </w:rPr>
      </w:pPr>
      <w:r>
        <w:rPr>
          <w:noProof/>
        </w:rPr>
        <w:pict w14:anchorId="7445124E">
          <v:shape id="Přímá spojnice se šipkou 92" o:spid="_x0000_s2068" type="#_x0000_t32" style="position:absolute;left:0;text-align:left;margin-left:174.4pt;margin-top:6.05pt;width:93pt;height:2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">
            <v:stroke endarrow="block"/>
          </v:shape>
        </w:pict>
      </w:r>
      <w:r>
        <w:rPr>
          <w:noProof/>
        </w:rPr>
        <w:pict w14:anchorId="18DC2689">
          <v:shape id="Textové pole 93" o:spid="_x0000_s2062" type="#_x0000_t202" style="position:absolute;left:0;text-align:left;margin-left:267.4pt;margin-top:15.1pt;width:143.15pt;height:4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2d69b">
            <v:textbox>
              <w:txbxContent>
                <w:p w14:paraId="74881EDC" w14:textId="77777777" w:rsidR="00837905" w:rsidRDefault="00837905" w:rsidP="00837905">
                  <w:pPr>
                    <w:spacing w:before="200" w:after="40"/>
                    <w:jc w:val="center"/>
                  </w:pPr>
                  <w:r>
                    <w:t>Nepřímá podpora projektů</w:t>
                  </w:r>
                </w:p>
                <w:p w14:paraId="2514CC71" w14:textId="77777777" w:rsidR="00837905" w:rsidRDefault="00837905" w:rsidP="00837905"/>
              </w:txbxContent>
            </v:textbox>
          </v:shape>
        </w:pict>
      </w:r>
    </w:p>
    <w:p w14:paraId="4A7F116C" w14:textId="77777777" w:rsidR="00837905" w:rsidRPr="00DB41E2" w:rsidRDefault="00837905" w:rsidP="00837905">
      <w:pPr>
        <w:spacing w:line="360" w:lineRule="auto"/>
        <w:jc w:val="both"/>
        <w:rPr>
          <w:rFonts w:ascii="Calibri" w:eastAsia="Calibri" w:hAnsi="Calibri" w:cs="Times New Roman"/>
        </w:rPr>
      </w:pPr>
      <w:r>
        <w:rPr>
          <w:noProof/>
        </w:rPr>
        <w:pict w14:anchorId="50BF1455">
          <v:shape id="Přímá spojnice se šipkou 94" o:spid="_x0000_s2070" type="#_x0000_t32" style="position:absolute;left:0;text-align:left;margin-left:174.4pt;margin-top:24.2pt;width:93pt;height:2.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">
            <v:stroke endarrow="block"/>
          </v:shape>
        </w:pict>
      </w:r>
      <w:r>
        <w:rPr>
          <w:noProof/>
        </w:rPr>
        <w:pict w14:anchorId="4D7BF46B">
          <v:shape id="Textové pole 95" o:spid="_x0000_s2054" type="#_x0000_t202" style="position:absolute;left:0;text-align:left;margin-left:53.65pt;margin-top:5.45pt;width:120.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2d69b">
            <v:textbox>
              <w:txbxContent>
                <w:p w14:paraId="0C2DD5AD" w14:textId="77777777" w:rsidR="00837905" w:rsidRDefault="00837905" w:rsidP="00837905">
                  <w:pPr>
                    <w:spacing w:before="20" w:after="20"/>
                    <w:jc w:val="center"/>
                  </w:pPr>
                  <w:r>
                    <w:t>Soukromé kapitálové prostředky</w:t>
                  </w:r>
                </w:p>
              </w:txbxContent>
            </v:textbox>
          </v:shape>
        </w:pict>
      </w:r>
      <w:r w:rsidRPr="00DB41E2">
        <w:rPr>
          <w:rFonts w:ascii="Calibri" w:eastAsia="Calibri" w:hAnsi="Calibri" w:cs="Times New Roman"/>
        </w:rPr>
        <w:t xml:space="preserve">  </w:t>
      </w:r>
    </w:p>
    <w:p w14:paraId="07CC2B36" w14:textId="77777777" w:rsidR="00837905" w:rsidRPr="00DB41E2" w:rsidRDefault="00837905" w:rsidP="00837905">
      <w:pPr>
        <w:spacing w:line="360" w:lineRule="auto"/>
        <w:jc w:val="both"/>
        <w:rPr>
          <w:rFonts w:ascii="Calibri" w:eastAsia="Calibri" w:hAnsi="Calibri" w:cs="Times New Roman"/>
        </w:rPr>
      </w:pPr>
    </w:p>
    <w:p w14:paraId="3EA27B54" w14:textId="77777777" w:rsidR="00837905" w:rsidRPr="00DB41E2" w:rsidRDefault="00837905" w:rsidP="00837905">
      <w:pPr>
        <w:spacing w:after="120" w:line="259" w:lineRule="auto"/>
        <w:rPr>
          <w:rFonts w:ascii="Calibri" w:eastAsia="Calibri" w:hAnsi="Calibri" w:cs="Times New Roman"/>
          <w:b/>
          <w:sz w:val="18"/>
          <w:szCs w:val="18"/>
        </w:rPr>
      </w:pPr>
      <w:bookmarkStart w:id="636" w:name="_Toc420308836"/>
      <w:bookmarkStart w:id="637" w:name="_Toc420309169"/>
      <w:bookmarkStart w:id="638" w:name="_Toc421451916"/>
    </w:p>
    <w:p w14:paraId="7A620EA4" w14:textId="77777777" w:rsidR="00837905" w:rsidRPr="00DB41E2" w:rsidRDefault="00837905" w:rsidP="00837905">
      <w:pPr>
        <w:spacing w:line="259" w:lineRule="auto"/>
        <w:rPr>
          <w:rFonts w:ascii="Calibri" w:eastAsia="Calibri" w:hAnsi="Calibri" w:cs="Times New Roman"/>
          <w:b/>
          <w:sz w:val="10"/>
          <w:szCs w:val="10"/>
        </w:rPr>
      </w:pPr>
    </w:p>
    <w:p w14:paraId="1ED8B493" w14:textId="77777777" w:rsidR="00837905" w:rsidRPr="00DB41E2" w:rsidRDefault="00837905" w:rsidP="00837905">
      <w:pPr>
        <w:pStyle w:val="Nadpis2"/>
      </w:pPr>
      <w:bookmarkStart w:id="639" w:name="_Toc440566386"/>
      <w:bookmarkStart w:id="640" w:name="_Toc441227537"/>
      <w:bookmarkStart w:id="641" w:name="_Toc480752698"/>
      <w:bookmarkStart w:id="642" w:name="_Toc507022417"/>
      <w:bookmarkStart w:id="643" w:name="_Toc15328044"/>
      <w:bookmarkStart w:id="644" w:name="_Toc31029470"/>
      <w:bookmarkStart w:id="645" w:name="_Toc32580157"/>
      <w:bookmarkStart w:id="646" w:name="_Toc120652180"/>
      <w:r w:rsidRPr="00DB41E2">
        <w:t xml:space="preserve">5.3 Systém aktualizace </w:t>
      </w:r>
      <w:r>
        <w:t>Programu</w:t>
      </w:r>
      <w:r w:rsidRPr="00DB41E2">
        <w:t xml:space="preserve"> rozvoje</w:t>
      </w:r>
      <w:bookmarkEnd w:id="636"/>
      <w:bookmarkEnd w:id="637"/>
      <w:bookmarkEnd w:id="638"/>
      <w:bookmarkEnd w:id="639"/>
      <w:bookmarkEnd w:id="640"/>
      <w:bookmarkEnd w:id="641"/>
      <w:bookmarkEnd w:id="642"/>
      <w:bookmarkEnd w:id="643"/>
      <w:bookmarkEnd w:id="644"/>
      <w:bookmarkEnd w:id="645"/>
      <w:bookmarkEnd w:id="646"/>
    </w:p>
    <w:p w14:paraId="7A941CC7" w14:textId="77777777" w:rsidR="00837905" w:rsidRPr="00DB41E2" w:rsidRDefault="00837905" w:rsidP="00837905">
      <w:pPr>
        <w:spacing w:after="140" w:line="259" w:lineRule="auto"/>
        <w:jc w:val="both"/>
        <w:rPr>
          <w:rFonts w:ascii="Calibri" w:eastAsia="Calibri" w:hAnsi="Calibri" w:cs="Times New Roman"/>
        </w:rPr>
      </w:pPr>
      <w:r w:rsidRPr="00DB41E2">
        <w:rPr>
          <w:rFonts w:ascii="Calibri" w:eastAsia="Calibri" w:hAnsi="Calibri" w:cs="Times New Roman"/>
        </w:rPr>
        <w:t xml:space="preserve">Nedílnou součástí implementace </w:t>
      </w:r>
      <w:r>
        <w:rPr>
          <w:rFonts w:ascii="Calibri" w:eastAsia="Calibri" w:hAnsi="Calibri" w:cs="Times New Roman"/>
        </w:rPr>
        <w:t>P</w:t>
      </w:r>
      <w:r w:rsidRPr="00DB41E2">
        <w:rPr>
          <w:rFonts w:ascii="Calibri" w:eastAsia="Calibri" w:hAnsi="Calibri" w:cs="Times New Roman"/>
        </w:rPr>
        <w:t>RO je i zajištění je</w:t>
      </w:r>
      <w:r>
        <w:rPr>
          <w:rFonts w:ascii="Calibri" w:eastAsia="Calibri" w:hAnsi="Calibri" w:cs="Times New Roman"/>
        </w:rPr>
        <w:t>ho</w:t>
      </w:r>
      <w:r w:rsidRPr="00DB41E2">
        <w:rPr>
          <w:rFonts w:ascii="Calibri" w:eastAsia="Calibri" w:hAnsi="Calibri" w:cs="Times New Roman"/>
        </w:rPr>
        <w:t xml:space="preserve"> aktualizace. Jedná se totiž o tzv. „živý“ dokument, který by měl být aktualizován v čase. </w:t>
      </w:r>
      <w:r>
        <w:rPr>
          <w:rFonts w:ascii="Calibri" w:eastAsia="Calibri" w:hAnsi="Calibri" w:cs="Times New Roman"/>
        </w:rPr>
        <w:t>Desetileté</w:t>
      </w:r>
      <w:r w:rsidRPr="00DB41E2">
        <w:rPr>
          <w:rFonts w:ascii="Calibri" w:eastAsia="Calibri" w:hAnsi="Calibri" w:cs="Times New Roman"/>
        </w:rPr>
        <w:t xml:space="preserve"> období představuje dlouhou dobu, během které může dojít k výrazným změnám, ať se jedná o pozitivní či negativní trendy vývoje. Z výrazných změn lze jmenovat např. zásadní změny v hospodářské či regionální politice EU, potažmo České republiky, změny v důsledku komunálních voleb apod.</w:t>
      </w:r>
    </w:p>
    <w:p w14:paraId="1F20F309" w14:textId="77777777" w:rsidR="00837905" w:rsidRPr="00DB41E2" w:rsidRDefault="00837905" w:rsidP="00837905">
      <w:pPr>
        <w:spacing w:after="140" w:line="259" w:lineRule="auto"/>
        <w:jc w:val="both"/>
        <w:rPr>
          <w:rFonts w:ascii="Calibri" w:eastAsia="Calibri" w:hAnsi="Calibri" w:cs="Times New Roman"/>
        </w:rPr>
      </w:pPr>
      <w:r w:rsidRPr="00DB41E2">
        <w:rPr>
          <w:rFonts w:ascii="Calibri" w:eastAsia="Calibri" w:hAnsi="Calibri" w:cs="Times New Roman"/>
        </w:rPr>
        <w:t xml:space="preserve">Aktualizace probíhá na základě vyhodnocení realizace </w:t>
      </w:r>
      <w:r>
        <w:rPr>
          <w:rFonts w:ascii="Calibri" w:eastAsia="Calibri" w:hAnsi="Calibri" w:cs="Times New Roman"/>
        </w:rPr>
        <w:t>P</w:t>
      </w:r>
      <w:r w:rsidRPr="00DB41E2">
        <w:rPr>
          <w:rFonts w:ascii="Calibri" w:eastAsia="Calibri" w:hAnsi="Calibri" w:cs="Times New Roman"/>
        </w:rPr>
        <w:t>RO, pokud nastaly významné skutečnosti ohledně realizace. Jmenovat lze např. situaci, kdy na základě kontroly naplňování strategických cílů lze vypustit, upravit či doplnit opatření nebo aktivity. Může dojít i k pozměnění samotných strategických cílů.</w:t>
      </w:r>
    </w:p>
    <w:p w14:paraId="4E1853BF" w14:textId="77777777" w:rsidR="00837905" w:rsidRPr="00DB41E2" w:rsidRDefault="00837905" w:rsidP="00837905">
      <w:pPr>
        <w:spacing w:after="140" w:line="259" w:lineRule="auto"/>
        <w:jc w:val="both"/>
        <w:rPr>
          <w:rFonts w:ascii="Calibri" w:eastAsia="Calibri" w:hAnsi="Calibri" w:cs="Times New Roman"/>
        </w:rPr>
      </w:pPr>
      <w:r w:rsidRPr="00DB41E2">
        <w:rPr>
          <w:rFonts w:ascii="Calibri" w:eastAsia="Calibri" w:hAnsi="Calibri" w:cs="Times New Roman"/>
        </w:rPr>
        <w:t xml:space="preserve">Komplexní aktualizaci </w:t>
      </w:r>
      <w:r>
        <w:rPr>
          <w:rFonts w:ascii="Calibri" w:eastAsia="Calibri" w:hAnsi="Calibri" w:cs="Times New Roman"/>
        </w:rPr>
        <w:t>P</w:t>
      </w:r>
      <w:r w:rsidRPr="00DB41E2">
        <w:rPr>
          <w:rFonts w:ascii="Calibri" w:eastAsia="Calibri" w:hAnsi="Calibri" w:cs="Times New Roman"/>
        </w:rPr>
        <w:t xml:space="preserve">RO je doporučeno provést podle potřeb samotné obce, především pokud </w:t>
      </w:r>
      <w:r w:rsidRPr="00DB41E2">
        <w:rPr>
          <w:rFonts w:ascii="Calibri" w:eastAsia="Calibri" w:hAnsi="Calibri" w:cs="Times New Roman"/>
        </w:rPr>
        <w:br/>
        <w:t xml:space="preserve">by nastaly výše jmenované skutečnosti. Pokud tyto skutečnosti nenastanou, ke komplexní aktualizaci </w:t>
      </w:r>
      <w:r>
        <w:rPr>
          <w:rFonts w:ascii="Calibri" w:eastAsia="Calibri" w:hAnsi="Calibri" w:cs="Times New Roman"/>
        </w:rPr>
        <w:t>P</w:t>
      </w:r>
      <w:r w:rsidRPr="00DB41E2">
        <w:rPr>
          <w:rFonts w:ascii="Calibri" w:eastAsia="Calibri" w:hAnsi="Calibri" w:cs="Times New Roman"/>
        </w:rPr>
        <w:t>RO by mělo dojít nejdříve v polovině plánovacího období, tj. po </w:t>
      </w:r>
      <w:r>
        <w:rPr>
          <w:rFonts w:ascii="Calibri" w:eastAsia="Calibri" w:hAnsi="Calibri" w:cs="Times New Roman"/>
        </w:rPr>
        <w:t>pěti</w:t>
      </w:r>
      <w:r w:rsidRPr="00DB41E2">
        <w:rPr>
          <w:rFonts w:ascii="Calibri" w:eastAsia="Calibri" w:hAnsi="Calibri" w:cs="Times New Roman"/>
        </w:rPr>
        <w:t xml:space="preserve"> letech. Dílčí revize dokumentu mohou probíhat průběžně, nejlépe ke konci každého kalendářního roku, ve vazbě na formulování </w:t>
      </w:r>
      <w:r w:rsidRPr="00DB41E2">
        <w:rPr>
          <w:rFonts w:ascii="Calibri" w:eastAsia="Calibri" w:hAnsi="Calibri" w:cs="Times New Roman"/>
        </w:rPr>
        <w:lastRenderedPageBreak/>
        <w:t xml:space="preserve">dalších realizačních akcí </w:t>
      </w:r>
      <w:r>
        <w:rPr>
          <w:rFonts w:ascii="Calibri" w:eastAsia="Calibri" w:hAnsi="Calibri" w:cs="Times New Roman"/>
        </w:rPr>
        <w:t>P</w:t>
      </w:r>
      <w:r w:rsidRPr="00DB41E2">
        <w:rPr>
          <w:rFonts w:ascii="Calibri" w:eastAsia="Calibri" w:hAnsi="Calibri" w:cs="Times New Roman"/>
        </w:rPr>
        <w:t>RO a ve vazbě na rozpočet obce (jedná se především o úpravu předpokládaného časového harmonogramu, nákladů a zdrojů financování)</w:t>
      </w:r>
      <w:r w:rsidRPr="00DB41E2">
        <w:rPr>
          <w:rFonts w:ascii="Calibri" w:eastAsia="Calibri" w:hAnsi="Calibri" w:cs="Times New Roman"/>
          <w:vertAlign w:val="superscript"/>
        </w:rPr>
        <w:footnoteReference w:id="85"/>
      </w:r>
      <w:r w:rsidRPr="00DB41E2">
        <w:rPr>
          <w:rFonts w:ascii="Calibri" w:eastAsia="Calibri" w:hAnsi="Calibri" w:cs="Times New Roman"/>
        </w:rPr>
        <w:t xml:space="preserve">. </w:t>
      </w:r>
    </w:p>
    <w:p w14:paraId="16519810" w14:textId="77777777" w:rsidR="00837905" w:rsidRPr="00DB41E2" w:rsidRDefault="00837905" w:rsidP="00837905">
      <w:pPr>
        <w:spacing w:after="140" w:line="259" w:lineRule="auto"/>
        <w:jc w:val="both"/>
        <w:rPr>
          <w:rFonts w:ascii="Calibri" w:eastAsia="Calibri" w:hAnsi="Calibri" w:cs="Times New Roman"/>
        </w:rPr>
      </w:pPr>
      <w:r w:rsidRPr="00DB41E2">
        <w:rPr>
          <w:rFonts w:ascii="Calibri" w:eastAsia="Calibri" w:hAnsi="Calibri" w:cs="Times New Roman"/>
        </w:rPr>
        <w:t>S aktualizací a dílčími revizemi souvisí také pravidelná tvorba akčního plánu, kdy jsou každoročně zhodnoceny uskutečněné aktivity a rozpracován plán činností na další rok. Tvorba akčního plánu na následující období, při využití zásobníku projektů, je úzce spjata s otázkou tvorby rozpočtu obce.</w:t>
      </w:r>
    </w:p>
    <w:p w14:paraId="534350D6" w14:textId="77777777" w:rsidR="00837905" w:rsidRPr="00DB41E2" w:rsidRDefault="00837905" w:rsidP="00837905">
      <w:pPr>
        <w:spacing w:after="140" w:line="259" w:lineRule="auto"/>
        <w:jc w:val="both"/>
        <w:rPr>
          <w:rFonts w:ascii="Calibri" w:eastAsia="Calibri" w:hAnsi="Calibri" w:cs="Times New Roman"/>
        </w:rPr>
      </w:pPr>
      <w:r w:rsidRPr="00DB41E2">
        <w:rPr>
          <w:rFonts w:ascii="Calibri" w:eastAsia="Calibri" w:hAnsi="Calibri" w:cs="Times New Roman"/>
        </w:rPr>
        <w:t>Aktualizace může být provedena buď dodatkem ke stávající</w:t>
      </w:r>
      <w:r>
        <w:rPr>
          <w:rFonts w:ascii="Calibri" w:eastAsia="Calibri" w:hAnsi="Calibri" w:cs="Times New Roman"/>
        </w:rPr>
        <w:t>mu P</w:t>
      </w:r>
      <w:r w:rsidRPr="00DB41E2">
        <w:rPr>
          <w:rFonts w:ascii="Calibri" w:eastAsia="Calibri" w:hAnsi="Calibri" w:cs="Times New Roman"/>
        </w:rPr>
        <w:t xml:space="preserve">RO, nebo přímo úpravou </w:t>
      </w:r>
      <w:r>
        <w:rPr>
          <w:rFonts w:ascii="Calibri" w:eastAsia="Calibri" w:hAnsi="Calibri" w:cs="Times New Roman"/>
        </w:rPr>
        <w:t>P</w:t>
      </w:r>
      <w:r w:rsidRPr="00DB41E2">
        <w:rPr>
          <w:rFonts w:ascii="Calibri" w:eastAsia="Calibri" w:hAnsi="Calibri" w:cs="Times New Roman"/>
        </w:rPr>
        <w:t>RO, čímž vznikne nová verze (vhodnější varianta). Je nezbytné uvést termín aktualizace a vyznačit provedené změny.</w:t>
      </w:r>
    </w:p>
    <w:p w14:paraId="58811654" w14:textId="77777777" w:rsidR="00837905" w:rsidRDefault="00837905" w:rsidP="00837905">
      <w:pPr>
        <w:spacing w:after="160" w:line="259" w:lineRule="auto"/>
        <w:jc w:val="both"/>
        <w:rPr>
          <w:rFonts w:ascii="Calibri" w:eastAsia="Calibri" w:hAnsi="Calibri" w:cs="Times New Roman"/>
        </w:rPr>
      </w:pPr>
      <w:r w:rsidRPr="00DB41E2">
        <w:rPr>
          <w:rFonts w:ascii="Calibri" w:eastAsia="Calibri" w:hAnsi="Calibri" w:cs="Times New Roman"/>
        </w:rPr>
        <w:t xml:space="preserve">Za zajištění aktualizace a dílčích revizí </w:t>
      </w:r>
      <w:r>
        <w:rPr>
          <w:rFonts w:ascii="Calibri" w:eastAsia="Calibri" w:hAnsi="Calibri" w:cs="Times New Roman"/>
        </w:rPr>
        <w:t>P</w:t>
      </w:r>
      <w:r w:rsidRPr="00DB41E2">
        <w:rPr>
          <w:rFonts w:ascii="Calibri" w:eastAsia="Calibri" w:hAnsi="Calibri" w:cs="Times New Roman"/>
        </w:rPr>
        <w:t xml:space="preserve">RO </w:t>
      </w:r>
      <w:r>
        <w:rPr>
          <w:rFonts w:ascii="Calibri" w:eastAsia="Calibri" w:hAnsi="Calibri" w:cs="Times New Roman"/>
        </w:rPr>
        <w:t>Staré Buky</w:t>
      </w:r>
      <w:r w:rsidRPr="00DB41E2">
        <w:rPr>
          <w:rFonts w:ascii="Calibri" w:eastAsia="Calibri" w:hAnsi="Calibri" w:cs="Times New Roman"/>
        </w:rPr>
        <w:t xml:space="preserve"> je zodpovědný výkonný tým.</w:t>
      </w:r>
    </w:p>
    <w:p w14:paraId="6B4286A1" w14:textId="77777777" w:rsidR="00837905" w:rsidRPr="00DB41E2" w:rsidRDefault="00837905" w:rsidP="00837905">
      <w:pPr>
        <w:spacing w:after="160" w:line="259" w:lineRule="auto"/>
        <w:jc w:val="both"/>
        <w:rPr>
          <w:rFonts w:ascii="Calibri" w:eastAsia="Calibri" w:hAnsi="Calibri" w:cs="Times New Roman"/>
        </w:rPr>
      </w:pPr>
    </w:p>
    <w:p w14:paraId="7233C0D3" w14:textId="77777777" w:rsidR="00837905" w:rsidRPr="00DB41E2" w:rsidRDefault="00837905" w:rsidP="00837905">
      <w:pPr>
        <w:pStyle w:val="Nadpis2"/>
        <w:spacing w:line="240" w:lineRule="auto"/>
        <w:ind w:left="624" w:hanging="624"/>
        <w:jc w:val="both"/>
      </w:pPr>
      <w:bookmarkStart w:id="647" w:name="_Toc440566387"/>
      <w:bookmarkStart w:id="648" w:name="_Toc441227538"/>
      <w:bookmarkStart w:id="649" w:name="_Toc480752699"/>
      <w:bookmarkStart w:id="650" w:name="_Toc507022418"/>
      <w:bookmarkStart w:id="651" w:name="_Toc15328045"/>
      <w:bookmarkStart w:id="652" w:name="_Toc31029471"/>
      <w:bookmarkStart w:id="653" w:name="_Toc32580158"/>
      <w:bookmarkStart w:id="654" w:name="_Toc120652181"/>
      <w:r w:rsidRPr="00DB41E2">
        <w:t xml:space="preserve">5.4 Systém monitoringu a vyhodnocování realizace </w:t>
      </w:r>
      <w:r>
        <w:t>Programu</w:t>
      </w:r>
      <w:r w:rsidRPr="00DB41E2">
        <w:t xml:space="preserve"> rozvoje</w:t>
      </w:r>
      <w:bookmarkEnd w:id="647"/>
      <w:bookmarkEnd w:id="648"/>
      <w:bookmarkEnd w:id="649"/>
      <w:bookmarkEnd w:id="650"/>
      <w:bookmarkEnd w:id="651"/>
      <w:bookmarkEnd w:id="652"/>
      <w:bookmarkEnd w:id="653"/>
      <w:bookmarkEnd w:id="654"/>
    </w:p>
    <w:p w14:paraId="4679660C" w14:textId="77777777" w:rsidR="00837905" w:rsidRPr="00DB41E2" w:rsidRDefault="00837905" w:rsidP="00837905">
      <w:pPr>
        <w:spacing w:after="160" w:line="259" w:lineRule="auto"/>
        <w:jc w:val="both"/>
        <w:rPr>
          <w:rFonts w:ascii="Calibri" w:eastAsia="Calibri" w:hAnsi="Calibri" w:cs="Times New Roman"/>
        </w:rPr>
      </w:pPr>
      <w:r w:rsidRPr="00DB41E2">
        <w:rPr>
          <w:rFonts w:ascii="Calibri" w:eastAsia="Calibri" w:hAnsi="Calibri" w:cs="Times New Roman"/>
        </w:rPr>
        <w:t xml:space="preserve">Systém monitoringu a vyhodnocování realizace </w:t>
      </w:r>
      <w:r>
        <w:rPr>
          <w:rFonts w:ascii="Calibri" w:eastAsia="Calibri" w:hAnsi="Calibri" w:cs="Times New Roman"/>
        </w:rPr>
        <w:t>P</w:t>
      </w:r>
      <w:r w:rsidRPr="00DB41E2">
        <w:rPr>
          <w:rFonts w:ascii="Calibri" w:eastAsia="Calibri" w:hAnsi="Calibri" w:cs="Times New Roman"/>
        </w:rPr>
        <w:t xml:space="preserve">RO </w:t>
      </w:r>
      <w:r>
        <w:rPr>
          <w:rFonts w:ascii="Calibri" w:eastAsia="Calibri" w:hAnsi="Calibri" w:cs="Times New Roman"/>
        </w:rPr>
        <w:t>Staré Buky</w:t>
      </w:r>
      <w:r w:rsidRPr="00DB41E2">
        <w:rPr>
          <w:rFonts w:ascii="Calibri" w:eastAsia="Calibri" w:hAnsi="Calibri" w:cs="Times New Roman"/>
        </w:rPr>
        <w:t xml:space="preserve"> je důležitou součástí celého strategického dokumentu. Pro hodnocení byla zvolena metoda indikátorů. V rámci této metody jsou předem stanoveny ukazatele, pomocí nichž dochází k průběžnému hodnocení dosažených změn v rámci implementace </w:t>
      </w:r>
      <w:r>
        <w:rPr>
          <w:rFonts w:ascii="Calibri" w:eastAsia="Calibri" w:hAnsi="Calibri" w:cs="Times New Roman"/>
        </w:rPr>
        <w:t>P</w:t>
      </w:r>
      <w:r w:rsidRPr="00DB41E2">
        <w:rPr>
          <w:rFonts w:ascii="Calibri" w:eastAsia="Calibri" w:hAnsi="Calibri" w:cs="Times New Roman"/>
        </w:rPr>
        <w:t xml:space="preserve">RO, a tedy i evaluaci úspěšnosti </w:t>
      </w:r>
      <w:r>
        <w:rPr>
          <w:rFonts w:ascii="Calibri" w:eastAsia="Calibri" w:hAnsi="Calibri" w:cs="Times New Roman"/>
        </w:rPr>
        <w:t>strategie</w:t>
      </w:r>
      <w:r w:rsidRPr="00DB41E2">
        <w:rPr>
          <w:rFonts w:ascii="Calibri" w:eastAsia="Calibri" w:hAnsi="Calibri" w:cs="Times New Roman"/>
        </w:rPr>
        <w:t>. Indikátorová metoda je v současné době hojně využívána, např. ve strategických dokumentech na úrovni kraje i celé České republiky či v operačních programech pro implementaci kohezní politiky EU.</w:t>
      </w:r>
    </w:p>
    <w:p w14:paraId="3A4CBCE4" w14:textId="77777777" w:rsidR="00837905" w:rsidRPr="00DB41E2" w:rsidRDefault="00837905" w:rsidP="00837905">
      <w:pPr>
        <w:spacing w:after="160" w:line="259" w:lineRule="auto"/>
        <w:jc w:val="both"/>
        <w:rPr>
          <w:rFonts w:ascii="Calibri" w:eastAsia="Calibri" w:hAnsi="Calibri" w:cs="Times New Roman"/>
        </w:rPr>
      </w:pPr>
      <w:r w:rsidRPr="00DB41E2">
        <w:rPr>
          <w:rFonts w:ascii="Calibri" w:eastAsia="Calibri" w:hAnsi="Calibri" w:cs="Times New Roman"/>
        </w:rPr>
        <w:t xml:space="preserve">Pro potřeby </w:t>
      </w:r>
      <w:r>
        <w:rPr>
          <w:rFonts w:ascii="Calibri" w:eastAsia="Calibri" w:hAnsi="Calibri" w:cs="Times New Roman"/>
        </w:rPr>
        <w:t>P</w:t>
      </w:r>
      <w:r w:rsidRPr="00DB41E2">
        <w:rPr>
          <w:rFonts w:ascii="Calibri" w:eastAsia="Calibri" w:hAnsi="Calibri" w:cs="Times New Roman"/>
        </w:rPr>
        <w:t xml:space="preserve">RO </w:t>
      </w:r>
      <w:r>
        <w:rPr>
          <w:rFonts w:ascii="Calibri" w:eastAsia="Calibri" w:hAnsi="Calibri" w:cs="Times New Roman"/>
        </w:rPr>
        <w:t>Staré buky</w:t>
      </w:r>
      <w:r w:rsidRPr="00DB41E2">
        <w:rPr>
          <w:rFonts w:ascii="Calibri" w:eastAsia="Calibri" w:hAnsi="Calibri" w:cs="Times New Roman"/>
        </w:rPr>
        <w:t xml:space="preserve"> na období let 20</w:t>
      </w:r>
      <w:r>
        <w:rPr>
          <w:rFonts w:ascii="Calibri" w:eastAsia="Calibri" w:hAnsi="Calibri" w:cs="Times New Roman"/>
        </w:rPr>
        <w:t>22</w:t>
      </w:r>
      <w:r w:rsidRPr="00DB41E2">
        <w:rPr>
          <w:rFonts w:ascii="Calibri" w:eastAsia="Calibri" w:hAnsi="Calibri" w:cs="Times New Roman"/>
        </w:rPr>
        <w:t>-20</w:t>
      </w:r>
      <w:r>
        <w:rPr>
          <w:rFonts w:ascii="Calibri" w:eastAsia="Calibri" w:hAnsi="Calibri" w:cs="Times New Roman"/>
        </w:rPr>
        <w:t>31</w:t>
      </w:r>
      <w:r w:rsidRPr="00DB41E2">
        <w:rPr>
          <w:rFonts w:ascii="Calibri" w:eastAsia="Calibri" w:hAnsi="Calibri" w:cs="Times New Roman"/>
        </w:rPr>
        <w:t xml:space="preserve"> byly zvoleny dvě úrovně monitorovacích indikátorů:</w:t>
      </w:r>
    </w:p>
    <w:p w14:paraId="2CF74B33" w14:textId="77777777" w:rsidR="00837905" w:rsidRPr="00267BBC" w:rsidRDefault="00837905">
      <w:pPr>
        <w:pStyle w:val="Odstavecseseznamem"/>
        <w:numPr>
          <w:ilvl w:val="0"/>
          <w:numId w:val="9"/>
        </w:numPr>
        <w:spacing w:after="160"/>
        <w:ind w:left="426" w:hanging="357"/>
        <w:contextualSpacing w:val="0"/>
        <w:jc w:val="both"/>
        <w:rPr>
          <w:rFonts w:ascii="Calibri" w:eastAsia="Calibri" w:hAnsi="Calibri" w:cs="Times New Roman"/>
        </w:rPr>
      </w:pPr>
      <w:r w:rsidRPr="00267BBC">
        <w:rPr>
          <w:rFonts w:ascii="Calibri" w:eastAsia="Calibri" w:hAnsi="Calibri" w:cs="Times New Roman"/>
          <w:b/>
        </w:rPr>
        <w:t>Indikátor výsledku</w:t>
      </w:r>
      <w:r w:rsidRPr="00267BBC">
        <w:rPr>
          <w:rFonts w:ascii="Calibri" w:eastAsia="Calibri" w:hAnsi="Calibri" w:cs="Times New Roman"/>
        </w:rPr>
        <w:t xml:space="preserve"> – dosažitelný realizací souboru opatření, projektů/aktivit. V rámci dokumentu se jedná o hierarchickou úroveň strategických cílů.</w:t>
      </w:r>
    </w:p>
    <w:p w14:paraId="260CAB3C" w14:textId="77777777" w:rsidR="00837905" w:rsidRPr="00267BBC" w:rsidRDefault="00837905">
      <w:pPr>
        <w:pStyle w:val="Odstavecseseznamem"/>
        <w:numPr>
          <w:ilvl w:val="0"/>
          <w:numId w:val="9"/>
        </w:numPr>
        <w:spacing w:after="160"/>
        <w:ind w:left="426" w:hanging="357"/>
        <w:contextualSpacing w:val="0"/>
        <w:jc w:val="both"/>
        <w:rPr>
          <w:rFonts w:ascii="Calibri" w:eastAsia="Calibri" w:hAnsi="Calibri" w:cs="Times New Roman"/>
        </w:rPr>
      </w:pPr>
      <w:r w:rsidRPr="00267BBC">
        <w:rPr>
          <w:rFonts w:ascii="Calibri" w:eastAsia="Calibri" w:hAnsi="Calibri" w:cs="Times New Roman"/>
          <w:b/>
        </w:rPr>
        <w:t>Indikátor výstupu</w:t>
      </w:r>
      <w:r w:rsidRPr="00267BBC">
        <w:rPr>
          <w:rFonts w:ascii="Calibri" w:eastAsia="Calibri" w:hAnsi="Calibri" w:cs="Times New Roman"/>
        </w:rPr>
        <w:t xml:space="preserve"> – dosažitelný realizací konkrétního projektu/aktivity, tj. v rámci dokumentu se jedná o úroveň konkrétních navržených aktivit. </w:t>
      </w:r>
    </w:p>
    <w:p w14:paraId="4F11F01E" w14:textId="77777777" w:rsidR="00837905" w:rsidRPr="00DB41E2" w:rsidRDefault="00837905" w:rsidP="00837905">
      <w:pPr>
        <w:spacing w:before="240" w:after="160" w:line="259" w:lineRule="auto"/>
        <w:jc w:val="both"/>
        <w:rPr>
          <w:rFonts w:ascii="Calibri" w:eastAsia="Calibri" w:hAnsi="Calibri" w:cs="Times New Roman"/>
        </w:rPr>
      </w:pPr>
      <w:r w:rsidRPr="00DB41E2">
        <w:rPr>
          <w:rFonts w:ascii="Calibri" w:eastAsia="Calibri" w:hAnsi="Calibri" w:cs="Times New Roman"/>
        </w:rPr>
        <w:t xml:space="preserve">U každého navrženého indikátoru je definována měrná jednotka, hodnota indikátoru v současnosti </w:t>
      </w:r>
      <w:r w:rsidRPr="00DB41E2">
        <w:rPr>
          <w:rFonts w:ascii="Calibri" w:eastAsia="Calibri" w:hAnsi="Calibri" w:cs="Times New Roman"/>
        </w:rPr>
        <w:br/>
        <w:t>a hodnota požadovaného cílového stavu. Cílový stav představuje hodnotu, které chceme ke konci plánovacího období dosáhnout (v některých případech je uvedena frekvence za určité časové období). Pokud je u indikátoru uvedena měrná jednotka ANO/NE, výchozí a cílový stav je hodnocen v nula-jedničkovém měřítku, kde nula znamená NE a jednička znamená ANO.</w:t>
      </w:r>
    </w:p>
    <w:p w14:paraId="7E358822" w14:textId="77777777" w:rsidR="00837905" w:rsidRPr="00DB41E2" w:rsidRDefault="00837905" w:rsidP="00837905">
      <w:pPr>
        <w:spacing w:after="160" w:line="259" w:lineRule="auto"/>
        <w:jc w:val="both"/>
        <w:rPr>
          <w:rFonts w:ascii="Calibri" w:eastAsia="Calibri" w:hAnsi="Calibri" w:cs="Times New Roman"/>
        </w:rPr>
      </w:pPr>
      <w:r w:rsidRPr="00DB41E2">
        <w:rPr>
          <w:rFonts w:ascii="Calibri" w:eastAsia="Calibri" w:hAnsi="Calibri" w:cs="Times New Roman"/>
        </w:rPr>
        <w:t xml:space="preserve">Frekvence sledování indikátorů je doporučena následovně: u indikátorů výsledku je doporučeno provést hodnocení v polovině plánovacího období, tj. po </w:t>
      </w:r>
      <w:r>
        <w:rPr>
          <w:rFonts w:ascii="Calibri" w:eastAsia="Calibri" w:hAnsi="Calibri" w:cs="Times New Roman"/>
        </w:rPr>
        <w:t>pěti</w:t>
      </w:r>
      <w:r w:rsidRPr="00DB41E2">
        <w:rPr>
          <w:rFonts w:ascii="Calibri" w:eastAsia="Calibri" w:hAnsi="Calibri" w:cs="Times New Roman"/>
        </w:rPr>
        <w:t xml:space="preserve"> letech, u indikátorů výstupu </w:t>
      </w:r>
      <w:r w:rsidRPr="00DB41E2">
        <w:rPr>
          <w:rFonts w:ascii="Calibri" w:eastAsia="Calibri" w:hAnsi="Calibri" w:cs="Times New Roman"/>
        </w:rPr>
        <w:br/>
        <w:t>je doporučeno provést hodnocení v periodě jednoho roku.</w:t>
      </w:r>
    </w:p>
    <w:p w14:paraId="66B48D5D" w14:textId="77777777" w:rsidR="00837905" w:rsidRPr="00DB41E2" w:rsidRDefault="00837905" w:rsidP="00837905">
      <w:pPr>
        <w:spacing w:after="160" w:line="259" w:lineRule="auto"/>
        <w:jc w:val="both"/>
        <w:rPr>
          <w:rFonts w:ascii="Calibri" w:eastAsia="Calibri" w:hAnsi="Calibri" w:cs="Times New Roman"/>
        </w:rPr>
      </w:pPr>
      <w:r w:rsidRPr="00DB41E2">
        <w:rPr>
          <w:rFonts w:ascii="Calibri" w:eastAsia="Calibri" w:hAnsi="Calibri" w:cs="Times New Roman"/>
        </w:rPr>
        <w:t xml:space="preserve">Předpokládanými zdroji dat pro hodnocení naplňování daných indikátorů budou podklady </w:t>
      </w:r>
      <w:r w:rsidRPr="00DB41E2">
        <w:rPr>
          <w:rFonts w:ascii="Calibri" w:eastAsia="Calibri" w:hAnsi="Calibri" w:cs="Times New Roman"/>
        </w:rPr>
        <w:br/>
        <w:t xml:space="preserve">a dokumenty obce </w:t>
      </w:r>
      <w:r>
        <w:rPr>
          <w:rFonts w:ascii="Calibri" w:eastAsia="Calibri" w:hAnsi="Calibri" w:cs="Times New Roman"/>
        </w:rPr>
        <w:t>Staré Buky</w:t>
      </w:r>
      <w:r w:rsidRPr="00DB41E2">
        <w:rPr>
          <w:rFonts w:ascii="Calibri" w:eastAsia="Calibri" w:hAnsi="Calibri" w:cs="Times New Roman"/>
        </w:rPr>
        <w:t>.</w:t>
      </w:r>
    </w:p>
    <w:p w14:paraId="37A0234B" w14:textId="77777777" w:rsidR="00837905" w:rsidRPr="00DB41E2" w:rsidRDefault="00837905" w:rsidP="00837905">
      <w:pPr>
        <w:spacing w:after="160" w:line="259" w:lineRule="auto"/>
        <w:jc w:val="both"/>
        <w:rPr>
          <w:rFonts w:ascii="Calibri" w:eastAsia="Calibri" w:hAnsi="Calibri" w:cs="Times New Roman"/>
        </w:rPr>
      </w:pPr>
      <w:r w:rsidRPr="00DB41E2">
        <w:rPr>
          <w:rFonts w:ascii="Calibri" w:eastAsia="Calibri" w:hAnsi="Calibri" w:cs="Times New Roman"/>
        </w:rPr>
        <w:t>Indikátorové sady monitorovacích ukazatelů za jednotlivé klíčové oblasti rozvoje jsou uvedeny v následujících tabulkách.</w:t>
      </w:r>
    </w:p>
    <w:p w14:paraId="1576CD6A" w14:textId="77777777" w:rsidR="00837905" w:rsidRPr="00DB41E2" w:rsidRDefault="00837905" w:rsidP="00837905">
      <w:pPr>
        <w:spacing w:after="160" w:line="259" w:lineRule="auto"/>
        <w:jc w:val="both"/>
        <w:rPr>
          <w:rFonts w:ascii="Calibri" w:eastAsia="Calibri" w:hAnsi="Calibri" w:cs="Times New Roman"/>
        </w:rPr>
        <w:sectPr w:rsidR="00837905" w:rsidRPr="00DB41E2" w:rsidSect="009B1347">
          <w:headerReference w:type="default" r:id="rId172"/>
          <w:footerReference w:type="default" r:id="rId173"/>
          <w:pgSz w:w="11906" w:h="16838"/>
          <w:pgMar w:top="1417" w:right="1417" w:bottom="1417" w:left="1417" w:header="709" w:footer="709" w:gutter="0"/>
          <w:cols w:space="708"/>
          <w:docGrid w:linePitch="360"/>
        </w:sectPr>
      </w:pPr>
    </w:p>
    <w:p w14:paraId="09B314D5" w14:textId="461786C5" w:rsidR="00837905" w:rsidRPr="00DB41E2" w:rsidRDefault="00837905" w:rsidP="00837905">
      <w:pPr>
        <w:pStyle w:val="TABULKA0"/>
      </w:pPr>
      <w:bookmarkStart w:id="655" w:name="_Toc421451970"/>
      <w:bookmarkStart w:id="656" w:name="_Toc441221942"/>
      <w:bookmarkStart w:id="657" w:name="_Toc480751616"/>
      <w:bookmarkStart w:id="658" w:name="_Toc507022071"/>
      <w:bookmarkStart w:id="659" w:name="_Toc15326993"/>
      <w:bookmarkStart w:id="660" w:name="_Toc31028248"/>
      <w:bookmarkStart w:id="661" w:name="_Toc32577819"/>
      <w:bookmarkStart w:id="662" w:name="_Toc120651958"/>
      <w:r w:rsidRPr="00206731">
        <w:lastRenderedPageBreak/>
        <w:t xml:space="preserve">Tabulka </w:t>
      </w:r>
      <w:r>
        <w:t>3</w:t>
      </w:r>
      <w:r w:rsidR="00041A31">
        <w:t>6</w:t>
      </w:r>
      <w:r w:rsidRPr="00206731">
        <w:t>:</w:t>
      </w:r>
      <w:r w:rsidRPr="00DB41E2">
        <w:t xml:space="preserve"> Sada monitorovacích ukazatelů klíčové oblasti rozvoje </w:t>
      </w:r>
      <w:bookmarkEnd w:id="655"/>
      <w:bookmarkEnd w:id="656"/>
      <w:bookmarkEnd w:id="657"/>
      <w:bookmarkEnd w:id="658"/>
      <w:bookmarkEnd w:id="659"/>
      <w:bookmarkEnd w:id="660"/>
      <w:bookmarkEnd w:id="661"/>
      <w:r>
        <w:t>INFRASTRUKTURA</w:t>
      </w:r>
      <w:bookmarkEnd w:id="662"/>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65"/>
        <w:gridCol w:w="4676"/>
        <w:gridCol w:w="4868"/>
        <w:gridCol w:w="1151"/>
        <w:gridCol w:w="1148"/>
        <w:gridCol w:w="1236"/>
      </w:tblGrid>
      <w:tr w:rsidR="00837905" w:rsidRPr="00DB41E2" w14:paraId="2006DC15" w14:textId="77777777" w:rsidTr="009A7AC2">
        <w:trPr>
          <w:trHeight w:val="300"/>
          <w:jc w:val="center"/>
        </w:trPr>
        <w:tc>
          <w:tcPr>
            <w:tcW w:w="376" w:type="pct"/>
            <w:tcBorders>
              <w:top w:val="single" w:sz="18" w:space="0" w:color="auto"/>
              <w:bottom w:val="single" w:sz="18" w:space="0" w:color="auto"/>
              <w:right w:val="single" w:sz="12" w:space="0" w:color="auto"/>
            </w:tcBorders>
            <w:shd w:val="clear" w:color="auto" w:fill="A6A6A6"/>
            <w:noWrap/>
            <w:vAlign w:val="center"/>
            <w:hideMark/>
          </w:tcPr>
          <w:p w14:paraId="3632E122"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Klíčová oblast</w:t>
            </w:r>
          </w:p>
        </w:tc>
        <w:tc>
          <w:tcPr>
            <w:tcW w:w="1653" w:type="pct"/>
            <w:tcBorders>
              <w:top w:val="single" w:sz="18" w:space="0" w:color="auto"/>
              <w:left w:val="single" w:sz="12" w:space="0" w:color="auto"/>
              <w:bottom w:val="single" w:sz="18" w:space="0" w:color="auto"/>
            </w:tcBorders>
            <w:shd w:val="clear" w:color="auto" w:fill="A6A6A6"/>
            <w:noWrap/>
            <w:vAlign w:val="center"/>
            <w:hideMark/>
          </w:tcPr>
          <w:p w14:paraId="58F3A034"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B97885">
              <w:rPr>
                <w:rFonts w:ascii="Calibri" w:eastAsia="Times New Roman" w:hAnsi="Calibri" w:cs="Times New Roman"/>
                <w:b/>
                <w:color w:val="000000"/>
                <w:sz w:val="24"/>
                <w:szCs w:val="24"/>
                <w:lang w:eastAsia="cs-CZ"/>
              </w:rPr>
              <w:t>INFRASTRUKTURA</w:t>
            </w:r>
          </w:p>
        </w:tc>
        <w:tc>
          <w:tcPr>
            <w:tcW w:w="1721" w:type="pct"/>
            <w:tcBorders>
              <w:top w:val="single" w:sz="18" w:space="0" w:color="auto"/>
              <w:bottom w:val="single" w:sz="18" w:space="0" w:color="auto"/>
            </w:tcBorders>
            <w:shd w:val="clear" w:color="auto" w:fill="A6A6A6"/>
            <w:noWrap/>
            <w:vAlign w:val="center"/>
            <w:hideMark/>
          </w:tcPr>
          <w:p w14:paraId="1555D657"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Monitorovací ukazatel</w:t>
            </w:r>
          </w:p>
        </w:tc>
        <w:tc>
          <w:tcPr>
            <w:tcW w:w="407" w:type="pct"/>
            <w:tcBorders>
              <w:top w:val="single" w:sz="18" w:space="0" w:color="auto"/>
              <w:bottom w:val="single" w:sz="18" w:space="0" w:color="auto"/>
            </w:tcBorders>
            <w:shd w:val="clear" w:color="auto" w:fill="A6A6A6"/>
            <w:noWrap/>
            <w:vAlign w:val="center"/>
            <w:hideMark/>
          </w:tcPr>
          <w:p w14:paraId="190C8D37"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Jednotka</w:t>
            </w:r>
          </w:p>
        </w:tc>
        <w:tc>
          <w:tcPr>
            <w:tcW w:w="406" w:type="pct"/>
            <w:tcBorders>
              <w:top w:val="single" w:sz="18" w:space="0" w:color="auto"/>
              <w:bottom w:val="single" w:sz="18" w:space="0" w:color="auto"/>
            </w:tcBorders>
            <w:shd w:val="clear" w:color="auto" w:fill="A6A6A6"/>
            <w:noWrap/>
            <w:vAlign w:val="center"/>
            <w:hideMark/>
          </w:tcPr>
          <w:p w14:paraId="11924702"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Výchozí stav</w:t>
            </w:r>
          </w:p>
        </w:tc>
        <w:tc>
          <w:tcPr>
            <w:tcW w:w="437" w:type="pct"/>
            <w:tcBorders>
              <w:top w:val="single" w:sz="18" w:space="0" w:color="auto"/>
              <w:bottom w:val="single" w:sz="18" w:space="0" w:color="auto"/>
            </w:tcBorders>
            <w:shd w:val="clear" w:color="auto" w:fill="A6A6A6"/>
            <w:noWrap/>
            <w:vAlign w:val="center"/>
            <w:hideMark/>
          </w:tcPr>
          <w:p w14:paraId="33BACAE7"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Cílový stav</w:t>
            </w:r>
          </w:p>
        </w:tc>
      </w:tr>
      <w:tr w:rsidR="00837905" w:rsidRPr="00DB41E2" w14:paraId="2198D8F0" w14:textId="77777777" w:rsidTr="009A7AC2">
        <w:trPr>
          <w:trHeight w:val="555"/>
          <w:jc w:val="center"/>
        </w:trPr>
        <w:tc>
          <w:tcPr>
            <w:tcW w:w="376" w:type="pct"/>
            <w:tcBorders>
              <w:top w:val="single" w:sz="18" w:space="0" w:color="auto"/>
              <w:bottom w:val="single" w:sz="12" w:space="0" w:color="auto"/>
              <w:right w:val="single" w:sz="12" w:space="0" w:color="auto"/>
            </w:tcBorders>
            <w:shd w:val="clear" w:color="auto" w:fill="BFBFBF"/>
            <w:noWrap/>
            <w:vAlign w:val="center"/>
            <w:hideMark/>
          </w:tcPr>
          <w:p w14:paraId="4235D524"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DB41E2">
              <w:rPr>
                <w:rFonts w:ascii="Calibri" w:eastAsia="Times New Roman" w:hAnsi="Calibri" w:cs="Times New Roman"/>
                <w:b/>
                <w:color w:val="000000"/>
                <w:sz w:val="20"/>
                <w:szCs w:val="20"/>
                <w:lang w:eastAsia="cs-CZ"/>
              </w:rPr>
              <w:t>Cíl</w:t>
            </w:r>
          </w:p>
        </w:tc>
        <w:tc>
          <w:tcPr>
            <w:tcW w:w="1653" w:type="pct"/>
            <w:tcBorders>
              <w:top w:val="single" w:sz="18" w:space="0" w:color="auto"/>
              <w:left w:val="single" w:sz="12" w:space="0" w:color="auto"/>
              <w:bottom w:val="single" w:sz="12" w:space="0" w:color="auto"/>
            </w:tcBorders>
            <w:shd w:val="clear" w:color="auto" w:fill="BFBFBF"/>
            <w:noWrap/>
            <w:vAlign w:val="center"/>
          </w:tcPr>
          <w:p w14:paraId="263E92CE" w14:textId="77777777" w:rsidR="00837905" w:rsidRPr="00DB41E2" w:rsidRDefault="00837905" w:rsidP="009A7AC2">
            <w:pPr>
              <w:contextualSpacing/>
              <w:jc w:val="center"/>
              <w:rPr>
                <w:rFonts w:ascii="Calibri" w:eastAsia="Times New Roman" w:hAnsi="Calibri" w:cs="Times New Roman"/>
                <w:b/>
                <w:bCs/>
                <w:color w:val="000000"/>
                <w:sz w:val="20"/>
                <w:szCs w:val="20"/>
                <w:lang w:eastAsia="cs-CZ"/>
              </w:rPr>
            </w:pPr>
            <w:r w:rsidRPr="00982D52">
              <w:rPr>
                <w:rFonts w:ascii="Calibri" w:eastAsia="Times New Roman" w:hAnsi="Calibri" w:cs="Times New Roman"/>
                <w:b/>
                <w:bCs/>
                <w:color w:val="000000"/>
                <w:sz w:val="20"/>
                <w:szCs w:val="20"/>
                <w:lang w:eastAsia="cs-CZ"/>
              </w:rPr>
              <w:t>Postupně zlepšovat stav dopravní infrastruktury</w:t>
            </w:r>
          </w:p>
        </w:tc>
        <w:tc>
          <w:tcPr>
            <w:tcW w:w="1721" w:type="pct"/>
            <w:tcBorders>
              <w:top w:val="single" w:sz="18" w:space="0" w:color="auto"/>
              <w:bottom w:val="single" w:sz="12" w:space="0" w:color="auto"/>
            </w:tcBorders>
            <w:shd w:val="clear" w:color="auto" w:fill="BFBFBF"/>
            <w:noWrap/>
            <w:vAlign w:val="center"/>
          </w:tcPr>
          <w:p w14:paraId="4992C2AD" w14:textId="77777777" w:rsidR="00837905" w:rsidRPr="00DB41E2" w:rsidRDefault="00837905" w:rsidP="009A7AC2">
            <w:pPr>
              <w:contextualSpacing/>
              <w:jc w:val="center"/>
              <w:rPr>
                <w:rFonts w:ascii="Calibri" w:eastAsia="Times New Roman" w:hAnsi="Calibri" w:cs="Times New Roman"/>
                <w:b/>
                <w:bCs/>
                <w:color w:val="000000"/>
                <w:sz w:val="20"/>
                <w:szCs w:val="20"/>
                <w:lang w:eastAsia="cs-CZ"/>
              </w:rPr>
            </w:pPr>
            <w:r>
              <w:rPr>
                <w:rFonts w:eastAsia="Times New Roman" w:cs="Times New Roman"/>
                <w:b/>
                <w:bCs/>
                <w:color w:val="000000"/>
                <w:sz w:val="20"/>
                <w:szCs w:val="20"/>
                <w:lang w:eastAsia="cs-CZ"/>
              </w:rPr>
              <w:t>P</w:t>
            </w:r>
            <w:r w:rsidRPr="00B454CD">
              <w:rPr>
                <w:rFonts w:eastAsia="Times New Roman" w:cs="Times New Roman"/>
                <w:b/>
                <w:bCs/>
                <w:color w:val="000000"/>
                <w:sz w:val="20"/>
                <w:szCs w:val="20"/>
                <w:lang w:eastAsia="cs-CZ"/>
              </w:rPr>
              <w:t xml:space="preserve">očet nově uskutečněných akcí zaměřených </w:t>
            </w:r>
            <w:r w:rsidRPr="00B454CD">
              <w:rPr>
                <w:rFonts w:eastAsia="Times New Roman" w:cs="Times New Roman"/>
                <w:b/>
                <w:bCs/>
                <w:color w:val="000000"/>
                <w:sz w:val="20"/>
                <w:szCs w:val="20"/>
                <w:lang w:eastAsia="cs-CZ"/>
              </w:rPr>
              <w:br/>
              <w:t>na zkvalitnění dopravní infrastruktury</w:t>
            </w:r>
          </w:p>
        </w:tc>
        <w:tc>
          <w:tcPr>
            <w:tcW w:w="407" w:type="pct"/>
            <w:tcBorders>
              <w:top w:val="single" w:sz="18" w:space="0" w:color="auto"/>
              <w:bottom w:val="single" w:sz="12" w:space="0" w:color="auto"/>
            </w:tcBorders>
            <w:shd w:val="clear" w:color="auto" w:fill="BFBFBF"/>
            <w:noWrap/>
            <w:vAlign w:val="center"/>
          </w:tcPr>
          <w:p w14:paraId="1E433886"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počet</w:t>
            </w:r>
          </w:p>
        </w:tc>
        <w:tc>
          <w:tcPr>
            <w:tcW w:w="406" w:type="pct"/>
            <w:tcBorders>
              <w:top w:val="single" w:sz="18" w:space="0" w:color="auto"/>
              <w:bottom w:val="single" w:sz="12" w:space="0" w:color="auto"/>
            </w:tcBorders>
            <w:shd w:val="clear" w:color="auto" w:fill="BFBFBF"/>
            <w:noWrap/>
            <w:vAlign w:val="center"/>
          </w:tcPr>
          <w:p w14:paraId="13DC1FB5"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0</w:t>
            </w:r>
          </w:p>
        </w:tc>
        <w:tc>
          <w:tcPr>
            <w:tcW w:w="437" w:type="pct"/>
            <w:tcBorders>
              <w:top w:val="single" w:sz="18" w:space="0" w:color="auto"/>
              <w:bottom w:val="single" w:sz="12" w:space="0" w:color="auto"/>
            </w:tcBorders>
            <w:shd w:val="clear" w:color="auto" w:fill="BFBFBF"/>
            <w:noWrap/>
            <w:vAlign w:val="center"/>
          </w:tcPr>
          <w:p w14:paraId="7EB930FA"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11</w:t>
            </w:r>
          </w:p>
        </w:tc>
      </w:tr>
      <w:tr w:rsidR="00837905" w:rsidRPr="00DB41E2" w14:paraId="26D3F2A4" w14:textId="77777777" w:rsidTr="009A7AC2">
        <w:trPr>
          <w:trHeight w:val="50"/>
          <w:jc w:val="center"/>
        </w:trPr>
        <w:tc>
          <w:tcPr>
            <w:tcW w:w="376" w:type="pct"/>
            <w:tcBorders>
              <w:top w:val="single" w:sz="12" w:space="0" w:color="auto"/>
              <w:bottom w:val="single" w:sz="12" w:space="0" w:color="auto"/>
              <w:right w:val="single" w:sz="12" w:space="0" w:color="auto"/>
            </w:tcBorders>
            <w:shd w:val="clear" w:color="auto" w:fill="D9D9D9"/>
            <w:noWrap/>
            <w:vAlign w:val="center"/>
            <w:hideMark/>
          </w:tcPr>
          <w:p w14:paraId="7FC73B3C"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D9D9D9"/>
            <w:noWrap/>
            <w:vAlign w:val="center"/>
          </w:tcPr>
          <w:p w14:paraId="19387B03" w14:textId="77777777" w:rsidR="00837905" w:rsidRPr="00DB41E2" w:rsidRDefault="00837905" w:rsidP="009A7AC2">
            <w:pPr>
              <w:contextualSpacing/>
              <w:jc w:val="center"/>
              <w:rPr>
                <w:rFonts w:ascii="Calibri" w:eastAsia="Times New Roman" w:hAnsi="Calibri" w:cs="Times New Roman"/>
                <w:b/>
                <w:color w:val="000000"/>
                <w:sz w:val="20"/>
                <w:szCs w:val="20"/>
                <w:lang w:eastAsia="cs-CZ"/>
              </w:rPr>
            </w:pPr>
            <w:r w:rsidRPr="00982D52">
              <w:rPr>
                <w:rFonts w:ascii="Calibri" w:eastAsia="Times New Roman" w:hAnsi="Calibri" w:cs="Times New Roman"/>
                <w:b/>
                <w:color w:val="000000"/>
                <w:sz w:val="20"/>
                <w:szCs w:val="20"/>
                <w:lang w:eastAsia="cs-CZ"/>
              </w:rPr>
              <w:t>Usilovat o zlepšení stavu místních a účelových komunikací</w:t>
            </w:r>
          </w:p>
        </w:tc>
      </w:tr>
      <w:tr w:rsidR="00837905" w:rsidRPr="00DB41E2" w14:paraId="2D7A8777" w14:textId="77777777" w:rsidTr="009A7AC2">
        <w:trPr>
          <w:trHeight w:val="246"/>
          <w:jc w:val="center"/>
        </w:trPr>
        <w:tc>
          <w:tcPr>
            <w:tcW w:w="376" w:type="pct"/>
            <w:vMerge w:val="restart"/>
            <w:tcBorders>
              <w:top w:val="single" w:sz="12" w:space="0" w:color="auto"/>
              <w:right w:val="single" w:sz="12" w:space="0" w:color="auto"/>
            </w:tcBorders>
            <w:shd w:val="clear" w:color="auto" w:fill="F2F2F2"/>
            <w:noWrap/>
            <w:vAlign w:val="center"/>
            <w:hideMark/>
          </w:tcPr>
          <w:p w14:paraId="2C103B2C"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653" w:type="pct"/>
            <w:tcBorders>
              <w:top w:val="single" w:sz="12" w:space="0" w:color="auto"/>
              <w:left w:val="single" w:sz="12" w:space="0" w:color="auto"/>
            </w:tcBorders>
            <w:shd w:val="clear" w:color="auto" w:fill="F2F2F2"/>
            <w:noWrap/>
            <w:vAlign w:val="center"/>
          </w:tcPr>
          <w:p w14:paraId="05BAC64D"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 xml:space="preserve">Rekonstruovat komunikaci propojující </w:t>
            </w:r>
            <w:r>
              <w:rPr>
                <w:rFonts w:ascii="Calibri" w:eastAsia="Times New Roman" w:hAnsi="Calibri" w:cs="Times New Roman"/>
                <w:color w:val="000000"/>
                <w:sz w:val="20"/>
                <w:szCs w:val="20"/>
                <w:lang w:eastAsia="cs-CZ"/>
              </w:rPr>
              <w:br/>
            </w:r>
            <w:r w:rsidRPr="005129D9">
              <w:rPr>
                <w:rFonts w:ascii="Calibri" w:eastAsia="Times New Roman" w:hAnsi="Calibri" w:cs="Times New Roman"/>
                <w:color w:val="000000"/>
                <w:sz w:val="20"/>
                <w:szCs w:val="20"/>
                <w:lang w:eastAsia="cs-CZ"/>
              </w:rPr>
              <w:t>Staré Buky a Nový Rokytník</w:t>
            </w:r>
          </w:p>
        </w:tc>
        <w:tc>
          <w:tcPr>
            <w:tcW w:w="1721" w:type="pct"/>
            <w:tcBorders>
              <w:top w:val="single" w:sz="12" w:space="0" w:color="auto"/>
              <w:bottom w:val="single" w:sz="8" w:space="0" w:color="auto"/>
            </w:tcBorders>
            <w:shd w:val="clear" w:color="auto" w:fill="F2F2F2"/>
            <w:noWrap/>
            <w:vAlign w:val="center"/>
          </w:tcPr>
          <w:p w14:paraId="69563E1A" w14:textId="77777777" w:rsidR="00837905" w:rsidRPr="00DB41E2" w:rsidRDefault="00837905" w:rsidP="009A7AC2">
            <w:pPr>
              <w:jc w:val="center"/>
              <w:rPr>
                <w:rFonts w:ascii="Calibri" w:eastAsia="Times New Roman" w:hAnsi="Calibri" w:cs="Times New Roman"/>
                <w:color w:val="000000"/>
                <w:sz w:val="20"/>
                <w:szCs w:val="20"/>
                <w:lang w:eastAsia="cs-CZ"/>
              </w:rPr>
            </w:pPr>
            <w:r w:rsidRPr="00B454CD">
              <w:rPr>
                <w:rFonts w:ascii="Calibri" w:eastAsia="Times New Roman" w:hAnsi="Calibri" w:cs="Times New Roman"/>
                <w:color w:val="000000"/>
                <w:sz w:val="20"/>
                <w:szCs w:val="20"/>
                <w:lang w:eastAsia="cs-CZ"/>
              </w:rPr>
              <w:t>Zrekonstruována</w:t>
            </w:r>
            <w:r w:rsidRPr="005129D9">
              <w:rPr>
                <w:rFonts w:ascii="Calibri" w:eastAsia="Times New Roman" w:hAnsi="Calibri" w:cs="Times New Roman"/>
                <w:color w:val="000000"/>
                <w:sz w:val="20"/>
                <w:szCs w:val="20"/>
                <w:lang w:eastAsia="cs-CZ"/>
              </w:rPr>
              <w:t xml:space="preserve"> komunikac</w:t>
            </w:r>
            <w:r>
              <w:rPr>
                <w:rFonts w:ascii="Calibri" w:eastAsia="Times New Roman" w:hAnsi="Calibri" w:cs="Times New Roman"/>
                <w:color w:val="000000"/>
                <w:sz w:val="20"/>
                <w:szCs w:val="20"/>
                <w:lang w:eastAsia="cs-CZ"/>
              </w:rPr>
              <w:t>e</w:t>
            </w:r>
            <w:r w:rsidRPr="005129D9">
              <w:rPr>
                <w:rFonts w:ascii="Calibri" w:eastAsia="Times New Roman" w:hAnsi="Calibri" w:cs="Times New Roman"/>
                <w:color w:val="000000"/>
                <w:sz w:val="20"/>
                <w:szCs w:val="20"/>
                <w:lang w:eastAsia="cs-CZ"/>
              </w:rPr>
              <w:t xml:space="preserve"> propojující </w:t>
            </w:r>
            <w:r>
              <w:rPr>
                <w:rFonts w:ascii="Calibri" w:eastAsia="Times New Roman" w:hAnsi="Calibri" w:cs="Times New Roman"/>
                <w:color w:val="000000"/>
                <w:sz w:val="20"/>
                <w:szCs w:val="20"/>
                <w:lang w:eastAsia="cs-CZ"/>
              </w:rPr>
              <w:br/>
            </w:r>
            <w:r w:rsidRPr="005129D9">
              <w:rPr>
                <w:rFonts w:ascii="Calibri" w:eastAsia="Times New Roman" w:hAnsi="Calibri" w:cs="Times New Roman"/>
                <w:color w:val="000000"/>
                <w:sz w:val="20"/>
                <w:szCs w:val="20"/>
                <w:lang w:eastAsia="cs-CZ"/>
              </w:rPr>
              <w:t>Staré Buky a Nový Rokytník</w:t>
            </w:r>
          </w:p>
        </w:tc>
        <w:tc>
          <w:tcPr>
            <w:tcW w:w="407" w:type="pct"/>
            <w:tcBorders>
              <w:top w:val="single" w:sz="12" w:space="0" w:color="auto"/>
            </w:tcBorders>
            <w:shd w:val="clear" w:color="auto" w:fill="F2F2F2"/>
            <w:noWrap/>
            <w:vAlign w:val="center"/>
          </w:tcPr>
          <w:p w14:paraId="2C996C40"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top w:val="single" w:sz="12" w:space="0" w:color="auto"/>
            </w:tcBorders>
            <w:shd w:val="clear" w:color="auto" w:fill="F2F2F2"/>
            <w:noWrap/>
            <w:vAlign w:val="center"/>
          </w:tcPr>
          <w:p w14:paraId="14DA8FF2"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12" w:space="0" w:color="auto"/>
            </w:tcBorders>
            <w:shd w:val="clear" w:color="auto" w:fill="F2F2F2"/>
            <w:noWrap/>
            <w:vAlign w:val="center"/>
          </w:tcPr>
          <w:p w14:paraId="1FD0EF56"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16E9CBF9" w14:textId="77777777" w:rsidTr="009A7AC2">
        <w:trPr>
          <w:trHeight w:val="246"/>
          <w:jc w:val="center"/>
        </w:trPr>
        <w:tc>
          <w:tcPr>
            <w:tcW w:w="376" w:type="pct"/>
            <w:vMerge/>
            <w:tcBorders>
              <w:right w:val="single" w:sz="12" w:space="0" w:color="auto"/>
            </w:tcBorders>
            <w:shd w:val="clear" w:color="auto" w:fill="F2F2F2"/>
            <w:noWrap/>
            <w:vAlign w:val="center"/>
          </w:tcPr>
          <w:p w14:paraId="50ABB62C"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left w:val="single" w:sz="12" w:space="0" w:color="auto"/>
              <w:bottom w:val="single" w:sz="8" w:space="0" w:color="auto"/>
            </w:tcBorders>
            <w:shd w:val="clear" w:color="auto" w:fill="F2F2F2"/>
            <w:noWrap/>
            <w:vAlign w:val="center"/>
          </w:tcPr>
          <w:p w14:paraId="66789CEF" w14:textId="77777777" w:rsidR="00837905" w:rsidRPr="00761C9F"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Řešit stav příjezdové komunikace do lokality Dolníky</w:t>
            </w:r>
          </w:p>
        </w:tc>
        <w:tc>
          <w:tcPr>
            <w:tcW w:w="1721" w:type="pct"/>
            <w:tcBorders>
              <w:top w:val="single" w:sz="8" w:space="0" w:color="auto"/>
              <w:bottom w:val="single" w:sz="8" w:space="0" w:color="auto"/>
            </w:tcBorders>
            <w:shd w:val="clear" w:color="auto" w:fill="F2F2F2"/>
            <w:noWrap/>
            <w:vAlign w:val="center"/>
          </w:tcPr>
          <w:p w14:paraId="3C296CB1" w14:textId="77777777" w:rsidR="00837905"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Zlepšen stav </w:t>
            </w:r>
            <w:r w:rsidRPr="005129D9">
              <w:rPr>
                <w:rFonts w:ascii="Calibri" w:eastAsia="Times New Roman" w:hAnsi="Calibri" w:cs="Times New Roman"/>
                <w:color w:val="000000"/>
                <w:sz w:val="20"/>
                <w:szCs w:val="20"/>
                <w:lang w:eastAsia="cs-CZ"/>
              </w:rPr>
              <w:t>příjezdové komunikace do lokality Dolníky</w:t>
            </w:r>
          </w:p>
        </w:tc>
        <w:tc>
          <w:tcPr>
            <w:tcW w:w="407" w:type="pct"/>
            <w:tcBorders>
              <w:bottom w:val="single" w:sz="8" w:space="0" w:color="auto"/>
            </w:tcBorders>
            <w:shd w:val="clear" w:color="auto" w:fill="F2F2F2"/>
            <w:noWrap/>
            <w:vAlign w:val="center"/>
          </w:tcPr>
          <w:p w14:paraId="1C3BA36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bottom w:val="single" w:sz="8" w:space="0" w:color="auto"/>
            </w:tcBorders>
            <w:shd w:val="clear" w:color="auto" w:fill="F2F2F2"/>
            <w:noWrap/>
            <w:vAlign w:val="center"/>
          </w:tcPr>
          <w:p w14:paraId="36F8B63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bottom w:val="single" w:sz="8" w:space="0" w:color="auto"/>
            </w:tcBorders>
            <w:shd w:val="clear" w:color="auto" w:fill="F2F2F2"/>
            <w:noWrap/>
            <w:vAlign w:val="center"/>
          </w:tcPr>
          <w:p w14:paraId="7E72D888"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50824B8E" w14:textId="77777777" w:rsidTr="009A7AC2">
        <w:trPr>
          <w:trHeight w:val="246"/>
          <w:jc w:val="center"/>
        </w:trPr>
        <w:tc>
          <w:tcPr>
            <w:tcW w:w="376" w:type="pct"/>
            <w:vMerge/>
            <w:tcBorders>
              <w:right w:val="single" w:sz="12" w:space="0" w:color="auto"/>
            </w:tcBorders>
            <w:shd w:val="clear" w:color="auto" w:fill="F2F2F2"/>
            <w:noWrap/>
            <w:vAlign w:val="center"/>
          </w:tcPr>
          <w:p w14:paraId="2242DEF5"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left w:val="single" w:sz="12" w:space="0" w:color="auto"/>
              <w:bottom w:val="single" w:sz="8" w:space="0" w:color="auto"/>
            </w:tcBorders>
            <w:shd w:val="clear" w:color="auto" w:fill="F2F2F2"/>
            <w:noWrap/>
            <w:vAlign w:val="center"/>
          </w:tcPr>
          <w:p w14:paraId="7A702C20" w14:textId="77777777" w:rsidR="00837905" w:rsidRPr="00761C9F"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Usilovat o úpravu komunikace v okolí autobusové zastávky „Staré Buky, Horní Staré Buky, točna“</w:t>
            </w:r>
          </w:p>
        </w:tc>
        <w:tc>
          <w:tcPr>
            <w:tcW w:w="1721" w:type="pct"/>
            <w:tcBorders>
              <w:top w:val="single" w:sz="8" w:space="0" w:color="auto"/>
              <w:bottom w:val="single" w:sz="8" w:space="0" w:color="auto"/>
            </w:tcBorders>
            <w:shd w:val="clear" w:color="auto" w:fill="F2F2F2"/>
            <w:noWrap/>
            <w:vAlign w:val="center"/>
          </w:tcPr>
          <w:p w14:paraId="3C59C0A2" w14:textId="77777777" w:rsidR="00837905"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U</w:t>
            </w:r>
            <w:r w:rsidRPr="00DF657C">
              <w:rPr>
                <w:rFonts w:ascii="Calibri" w:eastAsia="Times New Roman" w:hAnsi="Calibri" w:cs="Times New Roman"/>
                <w:color w:val="000000"/>
                <w:sz w:val="20"/>
                <w:szCs w:val="20"/>
                <w:lang w:eastAsia="cs-CZ"/>
              </w:rPr>
              <w:t>prav</w:t>
            </w:r>
            <w:r>
              <w:rPr>
                <w:rFonts w:ascii="Calibri" w:eastAsia="Times New Roman" w:hAnsi="Calibri" w:cs="Times New Roman"/>
                <w:color w:val="000000"/>
                <w:sz w:val="20"/>
                <w:szCs w:val="20"/>
                <w:lang w:eastAsia="cs-CZ"/>
              </w:rPr>
              <w:t>ena</w:t>
            </w:r>
            <w:r w:rsidRPr="00DF657C">
              <w:rPr>
                <w:rFonts w:ascii="Calibri" w:eastAsia="Times New Roman" w:hAnsi="Calibri" w:cs="Times New Roman"/>
                <w:color w:val="000000"/>
                <w:sz w:val="20"/>
                <w:szCs w:val="20"/>
                <w:lang w:eastAsia="cs-CZ"/>
              </w:rPr>
              <w:t xml:space="preserve"> komunikace v okolí autobusové zastávky </w:t>
            </w:r>
            <w:r>
              <w:rPr>
                <w:rFonts w:ascii="Calibri" w:eastAsia="Times New Roman" w:hAnsi="Calibri" w:cs="Times New Roman"/>
                <w:color w:val="000000"/>
                <w:sz w:val="20"/>
                <w:szCs w:val="20"/>
                <w:lang w:eastAsia="cs-CZ"/>
              </w:rPr>
              <w:br/>
            </w:r>
            <w:r w:rsidRPr="00DF657C">
              <w:rPr>
                <w:rFonts w:ascii="Calibri" w:eastAsia="Times New Roman" w:hAnsi="Calibri" w:cs="Times New Roman"/>
                <w:color w:val="000000"/>
                <w:sz w:val="20"/>
                <w:szCs w:val="20"/>
                <w:lang w:eastAsia="cs-CZ"/>
              </w:rPr>
              <w:t>„Staré Buky, Horní Staré Buky, točna“</w:t>
            </w:r>
          </w:p>
        </w:tc>
        <w:tc>
          <w:tcPr>
            <w:tcW w:w="407" w:type="pct"/>
            <w:tcBorders>
              <w:bottom w:val="single" w:sz="8" w:space="0" w:color="auto"/>
            </w:tcBorders>
            <w:shd w:val="clear" w:color="auto" w:fill="F2F2F2"/>
            <w:noWrap/>
            <w:vAlign w:val="center"/>
          </w:tcPr>
          <w:p w14:paraId="5A3FEE2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bottom w:val="single" w:sz="8" w:space="0" w:color="auto"/>
            </w:tcBorders>
            <w:shd w:val="clear" w:color="auto" w:fill="F2F2F2"/>
            <w:noWrap/>
            <w:vAlign w:val="center"/>
          </w:tcPr>
          <w:p w14:paraId="61A120B1"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bottom w:val="single" w:sz="8" w:space="0" w:color="auto"/>
            </w:tcBorders>
            <w:shd w:val="clear" w:color="auto" w:fill="F2F2F2"/>
            <w:noWrap/>
            <w:vAlign w:val="center"/>
          </w:tcPr>
          <w:p w14:paraId="7D70192A"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0353EB6A" w14:textId="77777777" w:rsidTr="009A7AC2">
        <w:trPr>
          <w:trHeight w:val="60"/>
          <w:jc w:val="center"/>
        </w:trPr>
        <w:tc>
          <w:tcPr>
            <w:tcW w:w="376" w:type="pct"/>
            <w:vMerge/>
            <w:tcBorders>
              <w:right w:val="single" w:sz="12" w:space="0" w:color="auto"/>
            </w:tcBorders>
            <w:shd w:val="clear" w:color="auto" w:fill="F2F2F2"/>
            <w:noWrap/>
            <w:vAlign w:val="center"/>
          </w:tcPr>
          <w:p w14:paraId="3199649F"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top w:val="single" w:sz="8" w:space="0" w:color="auto"/>
              <w:left w:val="single" w:sz="12" w:space="0" w:color="auto"/>
              <w:bottom w:val="single" w:sz="8" w:space="0" w:color="auto"/>
            </w:tcBorders>
            <w:shd w:val="clear" w:color="auto" w:fill="F2F2F2"/>
            <w:noWrap/>
            <w:vAlign w:val="center"/>
          </w:tcPr>
          <w:p w14:paraId="64B60006"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 xml:space="preserve">Podle potřeby řešit opravu </w:t>
            </w:r>
            <w:r>
              <w:rPr>
                <w:rFonts w:ascii="Calibri" w:eastAsia="Times New Roman" w:hAnsi="Calibri" w:cs="Times New Roman"/>
                <w:color w:val="000000"/>
                <w:sz w:val="20"/>
                <w:szCs w:val="20"/>
                <w:lang w:eastAsia="cs-CZ"/>
              </w:rPr>
              <w:br/>
            </w:r>
            <w:r w:rsidRPr="005129D9">
              <w:rPr>
                <w:rFonts w:ascii="Calibri" w:eastAsia="Times New Roman" w:hAnsi="Calibri" w:cs="Times New Roman"/>
                <w:color w:val="000000"/>
                <w:sz w:val="20"/>
                <w:szCs w:val="20"/>
                <w:lang w:eastAsia="cs-CZ"/>
              </w:rPr>
              <w:t>dalších místních a účelových komunikací</w:t>
            </w:r>
          </w:p>
        </w:tc>
        <w:tc>
          <w:tcPr>
            <w:tcW w:w="1721" w:type="pct"/>
            <w:tcBorders>
              <w:top w:val="single" w:sz="8" w:space="0" w:color="auto"/>
              <w:bottom w:val="single" w:sz="8" w:space="0" w:color="auto"/>
            </w:tcBorders>
            <w:shd w:val="clear" w:color="auto" w:fill="F2F2F2"/>
            <w:noWrap/>
            <w:vAlign w:val="center"/>
          </w:tcPr>
          <w:p w14:paraId="352BE555" w14:textId="77777777" w:rsidR="00837905" w:rsidRPr="00DB41E2" w:rsidRDefault="00837905" w:rsidP="009A7AC2">
            <w:pPr>
              <w:jc w:val="center"/>
              <w:rPr>
                <w:rFonts w:ascii="Calibri" w:eastAsia="Times New Roman" w:hAnsi="Calibri" w:cs="Times New Roman"/>
                <w:color w:val="000000"/>
                <w:sz w:val="20"/>
                <w:szCs w:val="20"/>
                <w:lang w:eastAsia="cs-CZ"/>
              </w:rPr>
            </w:pPr>
            <w:r w:rsidRPr="00B454CD">
              <w:rPr>
                <w:rFonts w:ascii="Calibri" w:eastAsia="Times New Roman" w:hAnsi="Calibri" w:cs="Times New Roman"/>
                <w:color w:val="000000"/>
                <w:sz w:val="20"/>
                <w:szCs w:val="20"/>
                <w:lang w:eastAsia="cs-CZ"/>
              </w:rPr>
              <w:t xml:space="preserve">Počet nově rekonstruovaných </w:t>
            </w:r>
            <w:r w:rsidRPr="00B454CD">
              <w:rPr>
                <w:rFonts w:ascii="Calibri" w:eastAsia="Times New Roman" w:hAnsi="Calibri" w:cs="Times New Roman"/>
                <w:color w:val="000000"/>
                <w:sz w:val="20"/>
                <w:szCs w:val="20"/>
                <w:lang w:eastAsia="cs-CZ"/>
              </w:rPr>
              <w:br/>
              <w:t>dalších místních a účelových komunikací</w:t>
            </w:r>
          </w:p>
        </w:tc>
        <w:tc>
          <w:tcPr>
            <w:tcW w:w="407" w:type="pct"/>
            <w:tcBorders>
              <w:top w:val="single" w:sz="8" w:space="0" w:color="auto"/>
              <w:bottom w:val="single" w:sz="8" w:space="0" w:color="auto"/>
            </w:tcBorders>
            <w:shd w:val="clear" w:color="auto" w:fill="F2F2F2"/>
            <w:noWrap/>
            <w:vAlign w:val="center"/>
          </w:tcPr>
          <w:p w14:paraId="7009D11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406" w:type="pct"/>
            <w:tcBorders>
              <w:top w:val="single" w:sz="8" w:space="0" w:color="auto"/>
              <w:bottom w:val="single" w:sz="8" w:space="0" w:color="auto"/>
            </w:tcBorders>
            <w:shd w:val="clear" w:color="auto" w:fill="F2F2F2"/>
            <w:noWrap/>
            <w:vAlign w:val="center"/>
          </w:tcPr>
          <w:p w14:paraId="43A6FF5A"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bottom w:val="single" w:sz="8" w:space="0" w:color="auto"/>
            </w:tcBorders>
            <w:shd w:val="clear" w:color="auto" w:fill="F2F2F2"/>
            <w:noWrap/>
            <w:vAlign w:val="center"/>
          </w:tcPr>
          <w:p w14:paraId="789EE8BF"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r>
      <w:tr w:rsidR="00837905" w:rsidRPr="00DB41E2" w14:paraId="6DF49EAC" w14:textId="77777777" w:rsidTr="009A7AC2">
        <w:trPr>
          <w:trHeight w:val="60"/>
          <w:jc w:val="center"/>
        </w:trPr>
        <w:tc>
          <w:tcPr>
            <w:tcW w:w="376" w:type="pct"/>
            <w:tcBorders>
              <w:top w:val="single" w:sz="12" w:space="0" w:color="auto"/>
              <w:bottom w:val="single" w:sz="12" w:space="0" w:color="auto"/>
              <w:right w:val="single" w:sz="12" w:space="0" w:color="auto"/>
            </w:tcBorders>
            <w:shd w:val="clear" w:color="auto" w:fill="D9D9D9"/>
            <w:noWrap/>
            <w:vAlign w:val="center"/>
          </w:tcPr>
          <w:p w14:paraId="457AF715"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D9D9D9"/>
            <w:noWrap/>
            <w:vAlign w:val="center"/>
          </w:tcPr>
          <w:p w14:paraId="1965B59A"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5129D9">
              <w:rPr>
                <w:rFonts w:ascii="Calibri" w:eastAsia="Times New Roman" w:hAnsi="Calibri" w:cs="Times New Roman"/>
                <w:b/>
                <w:color w:val="000000"/>
                <w:sz w:val="20"/>
                <w:szCs w:val="20"/>
                <w:lang w:eastAsia="cs-CZ"/>
              </w:rPr>
              <w:t>Usilovat o realizaci dalších aktivit souvisejících s dopravní infrastrukturou pro motorová vozidla</w:t>
            </w:r>
          </w:p>
        </w:tc>
      </w:tr>
      <w:tr w:rsidR="00837905" w:rsidRPr="00DB41E2" w14:paraId="34AE9356" w14:textId="77777777" w:rsidTr="009A7AC2">
        <w:trPr>
          <w:trHeight w:val="60"/>
          <w:jc w:val="center"/>
        </w:trPr>
        <w:tc>
          <w:tcPr>
            <w:tcW w:w="376" w:type="pct"/>
            <w:vMerge w:val="restart"/>
            <w:tcBorders>
              <w:right w:val="single" w:sz="12" w:space="0" w:color="auto"/>
            </w:tcBorders>
            <w:shd w:val="clear" w:color="auto" w:fill="F2F2F2"/>
            <w:noWrap/>
            <w:vAlign w:val="center"/>
          </w:tcPr>
          <w:p w14:paraId="5C78227F"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653" w:type="pct"/>
            <w:tcBorders>
              <w:top w:val="single" w:sz="12" w:space="0" w:color="auto"/>
              <w:left w:val="single" w:sz="12" w:space="0" w:color="auto"/>
              <w:bottom w:val="single" w:sz="8" w:space="0" w:color="auto"/>
            </w:tcBorders>
            <w:shd w:val="clear" w:color="auto" w:fill="F2F2F2"/>
            <w:noWrap/>
            <w:vAlign w:val="center"/>
          </w:tcPr>
          <w:p w14:paraId="07D03F47"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Usilovat o opravu mostu v Dolních Starých Bukách</w:t>
            </w:r>
          </w:p>
        </w:tc>
        <w:tc>
          <w:tcPr>
            <w:tcW w:w="1721" w:type="pct"/>
            <w:tcBorders>
              <w:top w:val="single" w:sz="12" w:space="0" w:color="auto"/>
              <w:bottom w:val="single" w:sz="8" w:space="0" w:color="auto"/>
            </w:tcBorders>
            <w:shd w:val="clear" w:color="auto" w:fill="F2F2F2"/>
            <w:noWrap/>
            <w:vAlign w:val="center"/>
          </w:tcPr>
          <w:p w14:paraId="5B1831C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Opraven most </w:t>
            </w:r>
            <w:r w:rsidRPr="005129D9">
              <w:rPr>
                <w:rFonts w:ascii="Calibri" w:eastAsia="Times New Roman" w:hAnsi="Calibri" w:cs="Times New Roman"/>
                <w:color w:val="000000"/>
                <w:sz w:val="20"/>
                <w:szCs w:val="20"/>
                <w:lang w:eastAsia="cs-CZ"/>
              </w:rPr>
              <w:t>v Dolních Starých Bukách</w:t>
            </w:r>
          </w:p>
        </w:tc>
        <w:tc>
          <w:tcPr>
            <w:tcW w:w="407" w:type="pct"/>
            <w:tcBorders>
              <w:top w:val="single" w:sz="12" w:space="0" w:color="auto"/>
              <w:bottom w:val="single" w:sz="8" w:space="0" w:color="auto"/>
            </w:tcBorders>
            <w:shd w:val="clear" w:color="auto" w:fill="F2F2F2"/>
            <w:noWrap/>
            <w:vAlign w:val="center"/>
          </w:tcPr>
          <w:p w14:paraId="4A3B695A"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top w:val="single" w:sz="12" w:space="0" w:color="auto"/>
              <w:bottom w:val="single" w:sz="8" w:space="0" w:color="auto"/>
            </w:tcBorders>
            <w:shd w:val="clear" w:color="auto" w:fill="F2F2F2"/>
            <w:noWrap/>
            <w:vAlign w:val="center"/>
          </w:tcPr>
          <w:p w14:paraId="64458067"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12" w:space="0" w:color="auto"/>
              <w:bottom w:val="single" w:sz="8" w:space="0" w:color="auto"/>
            </w:tcBorders>
            <w:shd w:val="clear" w:color="auto" w:fill="F2F2F2"/>
            <w:noWrap/>
            <w:vAlign w:val="center"/>
          </w:tcPr>
          <w:p w14:paraId="595BE00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76D6E978" w14:textId="77777777" w:rsidTr="009A7AC2">
        <w:trPr>
          <w:trHeight w:val="246"/>
          <w:jc w:val="center"/>
        </w:trPr>
        <w:tc>
          <w:tcPr>
            <w:tcW w:w="376" w:type="pct"/>
            <w:vMerge/>
            <w:tcBorders>
              <w:right w:val="single" w:sz="12" w:space="0" w:color="auto"/>
            </w:tcBorders>
            <w:shd w:val="clear" w:color="auto" w:fill="F2F2F2"/>
            <w:noWrap/>
            <w:vAlign w:val="center"/>
          </w:tcPr>
          <w:p w14:paraId="28570A75"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vMerge w:val="restart"/>
            <w:tcBorders>
              <w:top w:val="single" w:sz="8" w:space="0" w:color="auto"/>
              <w:left w:val="single" w:sz="12" w:space="0" w:color="auto"/>
            </w:tcBorders>
            <w:shd w:val="clear" w:color="auto" w:fill="F2F2F2"/>
            <w:noWrap/>
            <w:vAlign w:val="center"/>
          </w:tcPr>
          <w:p w14:paraId="2E38F788"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 xml:space="preserve">Usilovat o omezení rychlosti jedoucích vozidel </w:t>
            </w:r>
            <w:r>
              <w:rPr>
                <w:rFonts w:ascii="Calibri" w:eastAsia="Times New Roman" w:hAnsi="Calibri" w:cs="Times New Roman"/>
                <w:color w:val="000000"/>
                <w:sz w:val="20"/>
                <w:szCs w:val="20"/>
                <w:lang w:eastAsia="cs-CZ"/>
              </w:rPr>
              <w:br/>
            </w:r>
            <w:r w:rsidRPr="005129D9">
              <w:rPr>
                <w:rFonts w:ascii="Calibri" w:eastAsia="Times New Roman" w:hAnsi="Calibri" w:cs="Times New Roman"/>
                <w:color w:val="000000"/>
                <w:sz w:val="20"/>
                <w:szCs w:val="20"/>
                <w:lang w:eastAsia="cs-CZ"/>
              </w:rPr>
              <w:t>a o zklidnění provozu v lokalitě Dolníky</w:t>
            </w:r>
          </w:p>
        </w:tc>
        <w:tc>
          <w:tcPr>
            <w:tcW w:w="1721" w:type="pct"/>
            <w:tcBorders>
              <w:top w:val="single" w:sz="8" w:space="0" w:color="auto"/>
              <w:bottom w:val="single" w:sz="8" w:space="0" w:color="auto"/>
            </w:tcBorders>
            <w:shd w:val="clear" w:color="auto" w:fill="F2F2F2"/>
            <w:noWrap/>
            <w:vAlign w:val="center"/>
          </w:tcPr>
          <w:p w14:paraId="5A7CEBC1" w14:textId="77777777" w:rsidR="00837905" w:rsidRPr="00DB41E2" w:rsidRDefault="00837905" w:rsidP="009A7AC2">
            <w:pPr>
              <w:jc w:val="center"/>
              <w:rPr>
                <w:rFonts w:ascii="Calibri" w:eastAsia="Times New Roman" w:hAnsi="Calibri" w:cs="Times New Roman"/>
                <w:color w:val="000000"/>
                <w:sz w:val="20"/>
                <w:szCs w:val="20"/>
                <w:lang w:eastAsia="cs-CZ"/>
              </w:rPr>
            </w:pPr>
            <w:r w:rsidRPr="00DF657C">
              <w:rPr>
                <w:rFonts w:ascii="Calibri" w:eastAsia="Times New Roman" w:hAnsi="Calibri" w:cs="Times New Roman"/>
                <w:color w:val="000000"/>
                <w:sz w:val="20"/>
                <w:szCs w:val="20"/>
                <w:lang w:eastAsia="cs-CZ"/>
              </w:rPr>
              <w:t>Umístěn</w:t>
            </w:r>
            <w:r>
              <w:rPr>
                <w:rFonts w:ascii="Calibri" w:eastAsia="Times New Roman" w:hAnsi="Calibri" w:cs="Times New Roman"/>
                <w:color w:val="000000"/>
                <w:sz w:val="20"/>
                <w:szCs w:val="20"/>
                <w:lang w:eastAsia="cs-CZ"/>
              </w:rPr>
              <w:t xml:space="preserve">a </w:t>
            </w:r>
            <w:r w:rsidRPr="00DF657C">
              <w:rPr>
                <w:rFonts w:ascii="Calibri" w:eastAsia="Times New Roman" w:hAnsi="Calibri" w:cs="Times New Roman"/>
                <w:color w:val="000000"/>
                <w:sz w:val="20"/>
                <w:szCs w:val="20"/>
                <w:lang w:eastAsia="cs-CZ"/>
              </w:rPr>
              <w:t>značk</w:t>
            </w:r>
            <w:r>
              <w:rPr>
                <w:rFonts w:ascii="Calibri" w:eastAsia="Times New Roman" w:hAnsi="Calibri" w:cs="Times New Roman"/>
                <w:color w:val="000000"/>
                <w:sz w:val="20"/>
                <w:szCs w:val="20"/>
                <w:lang w:eastAsia="cs-CZ"/>
              </w:rPr>
              <w:t>a</w:t>
            </w:r>
            <w:r w:rsidRPr="00DF657C">
              <w:rPr>
                <w:rFonts w:ascii="Calibri" w:eastAsia="Times New Roman" w:hAnsi="Calibri" w:cs="Times New Roman"/>
                <w:color w:val="000000"/>
                <w:sz w:val="20"/>
                <w:szCs w:val="20"/>
                <w:lang w:eastAsia="cs-CZ"/>
              </w:rPr>
              <w:t xml:space="preserve"> maximální povolená rychlost 30 km/h</w:t>
            </w:r>
          </w:p>
        </w:tc>
        <w:tc>
          <w:tcPr>
            <w:tcW w:w="407" w:type="pct"/>
            <w:tcBorders>
              <w:top w:val="single" w:sz="8" w:space="0" w:color="auto"/>
            </w:tcBorders>
            <w:shd w:val="clear" w:color="auto" w:fill="F2F2F2"/>
            <w:noWrap/>
            <w:vAlign w:val="center"/>
          </w:tcPr>
          <w:p w14:paraId="056D32AB"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top w:val="single" w:sz="8" w:space="0" w:color="auto"/>
            </w:tcBorders>
            <w:shd w:val="clear" w:color="auto" w:fill="F2F2F2"/>
            <w:noWrap/>
            <w:vAlign w:val="center"/>
          </w:tcPr>
          <w:p w14:paraId="493D7EA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tcBorders>
            <w:shd w:val="clear" w:color="auto" w:fill="F2F2F2"/>
            <w:noWrap/>
            <w:vAlign w:val="center"/>
          </w:tcPr>
          <w:p w14:paraId="57306671"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2603C003" w14:textId="77777777" w:rsidTr="009A7AC2">
        <w:trPr>
          <w:trHeight w:val="246"/>
          <w:jc w:val="center"/>
        </w:trPr>
        <w:tc>
          <w:tcPr>
            <w:tcW w:w="376" w:type="pct"/>
            <w:vMerge/>
            <w:tcBorders>
              <w:right w:val="single" w:sz="12" w:space="0" w:color="auto"/>
            </w:tcBorders>
            <w:shd w:val="clear" w:color="auto" w:fill="F2F2F2"/>
            <w:noWrap/>
            <w:vAlign w:val="center"/>
          </w:tcPr>
          <w:p w14:paraId="2DC79A6E"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vMerge/>
            <w:tcBorders>
              <w:left w:val="single" w:sz="12" w:space="0" w:color="auto"/>
              <w:bottom w:val="single" w:sz="8" w:space="0" w:color="auto"/>
            </w:tcBorders>
            <w:shd w:val="clear" w:color="auto" w:fill="F2F2F2"/>
            <w:noWrap/>
            <w:vAlign w:val="center"/>
          </w:tcPr>
          <w:p w14:paraId="5D7C2EEC" w14:textId="77777777" w:rsidR="00837905" w:rsidRPr="005129D9" w:rsidRDefault="00837905" w:rsidP="009A7AC2">
            <w:pPr>
              <w:contextualSpacing/>
              <w:jc w:val="center"/>
              <w:rPr>
                <w:rFonts w:ascii="Calibri" w:eastAsia="Times New Roman" w:hAnsi="Calibri" w:cs="Times New Roman"/>
                <w:color w:val="000000"/>
                <w:sz w:val="20"/>
                <w:szCs w:val="20"/>
                <w:lang w:eastAsia="cs-CZ"/>
              </w:rPr>
            </w:pPr>
          </w:p>
        </w:tc>
        <w:tc>
          <w:tcPr>
            <w:tcW w:w="1721" w:type="pct"/>
            <w:tcBorders>
              <w:top w:val="single" w:sz="8" w:space="0" w:color="auto"/>
              <w:bottom w:val="single" w:sz="8" w:space="0" w:color="auto"/>
            </w:tcBorders>
            <w:shd w:val="clear" w:color="auto" w:fill="F2F2F2"/>
            <w:noWrap/>
            <w:vAlign w:val="center"/>
          </w:tcPr>
          <w:p w14:paraId="00210016" w14:textId="77777777" w:rsidR="00837905" w:rsidRPr="00DB41E2" w:rsidRDefault="00837905" w:rsidP="009A7AC2">
            <w:pPr>
              <w:jc w:val="center"/>
              <w:rPr>
                <w:rFonts w:ascii="Calibri" w:eastAsia="Times New Roman" w:hAnsi="Calibri" w:cs="Times New Roman"/>
                <w:color w:val="000000"/>
                <w:sz w:val="20"/>
                <w:szCs w:val="20"/>
                <w:lang w:eastAsia="cs-CZ"/>
              </w:rPr>
            </w:pPr>
            <w:r w:rsidRPr="00DF657C">
              <w:rPr>
                <w:rFonts w:ascii="Calibri" w:eastAsia="Times New Roman" w:hAnsi="Calibri" w:cs="Times New Roman"/>
                <w:color w:val="000000"/>
                <w:sz w:val="20"/>
                <w:szCs w:val="20"/>
                <w:lang w:eastAsia="cs-CZ"/>
              </w:rPr>
              <w:t>Umístěn</w:t>
            </w:r>
            <w:r>
              <w:rPr>
                <w:rFonts w:ascii="Calibri" w:eastAsia="Times New Roman" w:hAnsi="Calibri" w:cs="Times New Roman"/>
                <w:color w:val="000000"/>
                <w:sz w:val="20"/>
                <w:szCs w:val="20"/>
                <w:lang w:eastAsia="cs-CZ"/>
              </w:rPr>
              <w:t xml:space="preserve">a </w:t>
            </w:r>
            <w:r w:rsidRPr="00DF657C">
              <w:rPr>
                <w:rFonts w:ascii="Calibri" w:eastAsia="Times New Roman" w:hAnsi="Calibri" w:cs="Times New Roman"/>
                <w:color w:val="000000"/>
                <w:sz w:val="20"/>
                <w:szCs w:val="20"/>
                <w:lang w:eastAsia="cs-CZ"/>
              </w:rPr>
              <w:t>značk</w:t>
            </w:r>
            <w:r>
              <w:rPr>
                <w:rFonts w:ascii="Calibri" w:eastAsia="Times New Roman" w:hAnsi="Calibri" w:cs="Times New Roman"/>
                <w:color w:val="000000"/>
                <w:sz w:val="20"/>
                <w:szCs w:val="20"/>
                <w:lang w:eastAsia="cs-CZ"/>
              </w:rPr>
              <w:t>a</w:t>
            </w:r>
            <w:r w:rsidRPr="00DF657C">
              <w:rPr>
                <w:rFonts w:ascii="Calibri" w:eastAsia="Times New Roman" w:hAnsi="Calibri" w:cs="Times New Roman"/>
                <w:color w:val="000000"/>
                <w:sz w:val="20"/>
                <w:szCs w:val="20"/>
                <w:lang w:eastAsia="cs-CZ"/>
              </w:rPr>
              <w:t xml:space="preserve">, že do lokality mohou vjíždět </w:t>
            </w:r>
            <w:r>
              <w:rPr>
                <w:rFonts w:ascii="Calibri" w:eastAsia="Times New Roman" w:hAnsi="Calibri" w:cs="Times New Roman"/>
                <w:color w:val="000000"/>
                <w:sz w:val="20"/>
                <w:szCs w:val="20"/>
                <w:lang w:eastAsia="cs-CZ"/>
              </w:rPr>
              <w:br/>
            </w:r>
            <w:r w:rsidRPr="00DF657C">
              <w:rPr>
                <w:rFonts w:ascii="Calibri" w:eastAsia="Times New Roman" w:hAnsi="Calibri" w:cs="Times New Roman"/>
                <w:color w:val="000000"/>
                <w:sz w:val="20"/>
                <w:szCs w:val="20"/>
                <w:lang w:eastAsia="cs-CZ"/>
              </w:rPr>
              <w:t>pouze vozidla s hmotností do 3,5 t</w:t>
            </w:r>
          </w:p>
        </w:tc>
        <w:tc>
          <w:tcPr>
            <w:tcW w:w="407" w:type="pct"/>
            <w:tcBorders>
              <w:bottom w:val="single" w:sz="8" w:space="0" w:color="auto"/>
            </w:tcBorders>
            <w:shd w:val="clear" w:color="auto" w:fill="F2F2F2"/>
            <w:noWrap/>
            <w:vAlign w:val="center"/>
          </w:tcPr>
          <w:p w14:paraId="0D0CF222"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bottom w:val="single" w:sz="8" w:space="0" w:color="auto"/>
            </w:tcBorders>
            <w:shd w:val="clear" w:color="auto" w:fill="F2F2F2"/>
            <w:noWrap/>
            <w:vAlign w:val="center"/>
          </w:tcPr>
          <w:p w14:paraId="44B1C74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bottom w:val="single" w:sz="8" w:space="0" w:color="auto"/>
            </w:tcBorders>
            <w:shd w:val="clear" w:color="auto" w:fill="F2F2F2"/>
            <w:noWrap/>
            <w:vAlign w:val="center"/>
          </w:tcPr>
          <w:p w14:paraId="733727EE"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7CE9229E" w14:textId="77777777" w:rsidTr="009A7AC2">
        <w:trPr>
          <w:trHeight w:val="60"/>
          <w:jc w:val="center"/>
        </w:trPr>
        <w:tc>
          <w:tcPr>
            <w:tcW w:w="376" w:type="pct"/>
            <w:vMerge/>
            <w:tcBorders>
              <w:right w:val="single" w:sz="12" w:space="0" w:color="auto"/>
            </w:tcBorders>
            <w:shd w:val="clear" w:color="auto" w:fill="F2F2F2"/>
            <w:noWrap/>
            <w:vAlign w:val="center"/>
          </w:tcPr>
          <w:p w14:paraId="78E9F1F4"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top w:val="single" w:sz="8" w:space="0" w:color="auto"/>
              <w:left w:val="single" w:sz="12" w:space="0" w:color="auto"/>
              <w:bottom w:val="single" w:sz="8" w:space="0" w:color="auto"/>
            </w:tcBorders>
            <w:shd w:val="clear" w:color="auto" w:fill="F2F2F2"/>
            <w:noWrap/>
            <w:vAlign w:val="center"/>
          </w:tcPr>
          <w:p w14:paraId="41F406B1"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 xml:space="preserve">Zahájit jednání s vlastníky komunikací </w:t>
            </w:r>
            <w:r>
              <w:rPr>
                <w:rFonts w:ascii="Calibri" w:eastAsia="Times New Roman" w:hAnsi="Calibri" w:cs="Times New Roman"/>
                <w:color w:val="000000"/>
                <w:sz w:val="20"/>
                <w:szCs w:val="20"/>
                <w:lang w:eastAsia="cs-CZ"/>
              </w:rPr>
              <w:br/>
            </w:r>
            <w:r w:rsidRPr="005129D9">
              <w:rPr>
                <w:rFonts w:ascii="Calibri" w:eastAsia="Times New Roman" w:hAnsi="Calibri" w:cs="Times New Roman"/>
                <w:color w:val="000000"/>
                <w:sz w:val="20"/>
                <w:szCs w:val="20"/>
                <w:lang w:eastAsia="cs-CZ"/>
              </w:rPr>
              <w:t>u tzv. „Holandských domků“</w:t>
            </w:r>
          </w:p>
        </w:tc>
        <w:tc>
          <w:tcPr>
            <w:tcW w:w="1721" w:type="pct"/>
            <w:tcBorders>
              <w:top w:val="single" w:sz="8" w:space="0" w:color="auto"/>
              <w:bottom w:val="single" w:sz="8" w:space="0" w:color="auto"/>
            </w:tcBorders>
            <w:shd w:val="clear" w:color="auto" w:fill="F2F2F2"/>
            <w:noWrap/>
            <w:vAlign w:val="center"/>
          </w:tcPr>
          <w:p w14:paraId="49B18140"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Počet nově uskutečněných </w:t>
            </w:r>
            <w:r w:rsidRPr="00DF657C">
              <w:rPr>
                <w:rFonts w:ascii="Calibri" w:eastAsia="Times New Roman" w:hAnsi="Calibri" w:cs="Times New Roman"/>
                <w:color w:val="000000"/>
                <w:sz w:val="20"/>
                <w:szCs w:val="20"/>
                <w:lang w:eastAsia="cs-CZ"/>
              </w:rPr>
              <w:t xml:space="preserve">jednání </w:t>
            </w:r>
            <w:r>
              <w:rPr>
                <w:rFonts w:ascii="Calibri" w:eastAsia="Times New Roman" w:hAnsi="Calibri" w:cs="Times New Roman"/>
                <w:color w:val="000000"/>
                <w:sz w:val="20"/>
                <w:szCs w:val="20"/>
                <w:lang w:eastAsia="cs-CZ"/>
              </w:rPr>
              <w:br/>
            </w:r>
            <w:r w:rsidRPr="00DF657C">
              <w:rPr>
                <w:rFonts w:ascii="Calibri" w:eastAsia="Times New Roman" w:hAnsi="Calibri" w:cs="Times New Roman"/>
                <w:color w:val="000000"/>
                <w:sz w:val="20"/>
                <w:szCs w:val="20"/>
                <w:lang w:eastAsia="cs-CZ"/>
              </w:rPr>
              <w:t>s vlastníky komunikací u tzv. „Holandských domků“</w:t>
            </w:r>
          </w:p>
        </w:tc>
        <w:tc>
          <w:tcPr>
            <w:tcW w:w="407" w:type="pct"/>
            <w:tcBorders>
              <w:top w:val="single" w:sz="8" w:space="0" w:color="auto"/>
              <w:bottom w:val="single" w:sz="8" w:space="0" w:color="auto"/>
            </w:tcBorders>
            <w:shd w:val="clear" w:color="auto" w:fill="F2F2F2"/>
            <w:noWrap/>
            <w:vAlign w:val="center"/>
          </w:tcPr>
          <w:p w14:paraId="39B862FF"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406" w:type="pct"/>
            <w:tcBorders>
              <w:top w:val="single" w:sz="8" w:space="0" w:color="auto"/>
              <w:bottom w:val="single" w:sz="8" w:space="0" w:color="auto"/>
            </w:tcBorders>
            <w:shd w:val="clear" w:color="auto" w:fill="F2F2F2"/>
            <w:noWrap/>
            <w:vAlign w:val="center"/>
          </w:tcPr>
          <w:p w14:paraId="71BA95F1"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bottom w:val="single" w:sz="8" w:space="0" w:color="auto"/>
            </w:tcBorders>
            <w:shd w:val="clear" w:color="auto" w:fill="F2F2F2"/>
            <w:noWrap/>
            <w:vAlign w:val="center"/>
          </w:tcPr>
          <w:p w14:paraId="1E173F6E"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r>
      <w:tr w:rsidR="00837905" w:rsidRPr="00DB41E2" w14:paraId="1A5E4E34" w14:textId="77777777" w:rsidTr="009A7AC2">
        <w:trPr>
          <w:trHeight w:val="60"/>
          <w:jc w:val="center"/>
        </w:trPr>
        <w:tc>
          <w:tcPr>
            <w:tcW w:w="376" w:type="pct"/>
            <w:vMerge/>
            <w:tcBorders>
              <w:right w:val="single" w:sz="12" w:space="0" w:color="auto"/>
            </w:tcBorders>
            <w:shd w:val="clear" w:color="auto" w:fill="F2F2F2"/>
            <w:noWrap/>
            <w:vAlign w:val="center"/>
          </w:tcPr>
          <w:p w14:paraId="16E2086E"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top w:val="single" w:sz="8" w:space="0" w:color="auto"/>
              <w:left w:val="single" w:sz="12" w:space="0" w:color="auto"/>
              <w:bottom w:val="single" w:sz="8" w:space="0" w:color="auto"/>
            </w:tcBorders>
            <w:shd w:val="clear" w:color="auto" w:fill="F2F2F2"/>
            <w:noWrap/>
            <w:vAlign w:val="center"/>
          </w:tcPr>
          <w:p w14:paraId="786A0F57"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Řešit přístupovou komunikaci ke Kostelu sv. Anny</w:t>
            </w:r>
          </w:p>
        </w:tc>
        <w:tc>
          <w:tcPr>
            <w:tcW w:w="1721" w:type="pct"/>
            <w:tcBorders>
              <w:top w:val="single" w:sz="8" w:space="0" w:color="auto"/>
              <w:bottom w:val="single" w:sz="8" w:space="0" w:color="auto"/>
            </w:tcBorders>
            <w:shd w:val="clear" w:color="auto" w:fill="F2F2F2"/>
            <w:noWrap/>
            <w:vAlign w:val="center"/>
          </w:tcPr>
          <w:p w14:paraId="17DB835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Existence </w:t>
            </w:r>
            <w:r w:rsidRPr="00DF657C">
              <w:rPr>
                <w:rFonts w:ascii="Calibri" w:eastAsia="Times New Roman" w:hAnsi="Calibri" w:cs="Times New Roman"/>
                <w:color w:val="000000"/>
                <w:sz w:val="20"/>
                <w:szCs w:val="20"/>
                <w:lang w:eastAsia="cs-CZ"/>
              </w:rPr>
              <w:t>optimální přístupov</w:t>
            </w:r>
            <w:r>
              <w:rPr>
                <w:rFonts w:ascii="Calibri" w:eastAsia="Times New Roman" w:hAnsi="Calibri" w:cs="Times New Roman"/>
                <w:color w:val="000000"/>
                <w:sz w:val="20"/>
                <w:szCs w:val="20"/>
                <w:lang w:eastAsia="cs-CZ"/>
              </w:rPr>
              <w:t>é</w:t>
            </w:r>
            <w:r w:rsidRPr="00DF657C">
              <w:rPr>
                <w:rFonts w:ascii="Calibri" w:eastAsia="Times New Roman" w:hAnsi="Calibri" w:cs="Times New Roman"/>
                <w:color w:val="000000"/>
                <w:sz w:val="20"/>
                <w:szCs w:val="20"/>
                <w:lang w:eastAsia="cs-CZ"/>
              </w:rPr>
              <w:t xml:space="preserve"> komunikace </w:t>
            </w:r>
            <w:r>
              <w:rPr>
                <w:rFonts w:ascii="Calibri" w:eastAsia="Times New Roman" w:hAnsi="Calibri" w:cs="Times New Roman"/>
                <w:color w:val="000000"/>
                <w:sz w:val="20"/>
                <w:szCs w:val="20"/>
                <w:lang w:eastAsia="cs-CZ"/>
              </w:rPr>
              <w:br/>
            </w:r>
            <w:r w:rsidRPr="00DF657C">
              <w:rPr>
                <w:rFonts w:ascii="Calibri" w:eastAsia="Times New Roman" w:hAnsi="Calibri" w:cs="Times New Roman"/>
                <w:color w:val="000000"/>
                <w:sz w:val="20"/>
                <w:szCs w:val="20"/>
                <w:lang w:eastAsia="cs-CZ"/>
              </w:rPr>
              <w:t>pro motorová vozidla vedoucí ke Kostelu sv. Anny</w:t>
            </w:r>
          </w:p>
        </w:tc>
        <w:tc>
          <w:tcPr>
            <w:tcW w:w="407" w:type="pct"/>
            <w:tcBorders>
              <w:top w:val="single" w:sz="8" w:space="0" w:color="auto"/>
              <w:bottom w:val="single" w:sz="8" w:space="0" w:color="auto"/>
            </w:tcBorders>
            <w:shd w:val="clear" w:color="auto" w:fill="F2F2F2"/>
            <w:noWrap/>
            <w:vAlign w:val="center"/>
          </w:tcPr>
          <w:p w14:paraId="5B49F7C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top w:val="single" w:sz="8" w:space="0" w:color="auto"/>
              <w:bottom w:val="single" w:sz="8" w:space="0" w:color="auto"/>
            </w:tcBorders>
            <w:shd w:val="clear" w:color="auto" w:fill="F2F2F2"/>
            <w:noWrap/>
            <w:vAlign w:val="center"/>
          </w:tcPr>
          <w:p w14:paraId="3FB31AA1"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bottom w:val="single" w:sz="8" w:space="0" w:color="auto"/>
            </w:tcBorders>
            <w:shd w:val="clear" w:color="auto" w:fill="F2F2F2"/>
            <w:noWrap/>
            <w:vAlign w:val="center"/>
          </w:tcPr>
          <w:p w14:paraId="55117910"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244E3EC2" w14:textId="77777777" w:rsidTr="009A7AC2">
        <w:trPr>
          <w:trHeight w:val="60"/>
          <w:jc w:val="center"/>
        </w:trPr>
        <w:tc>
          <w:tcPr>
            <w:tcW w:w="376" w:type="pct"/>
            <w:vMerge/>
            <w:tcBorders>
              <w:bottom w:val="single" w:sz="12" w:space="0" w:color="auto"/>
              <w:right w:val="single" w:sz="12" w:space="0" w:color="auto"/>
            </w:tcBorders>
            <w:shd w:val="clear" w:color="auto" w:fill="F2F2F2"/>
            <w:noWrap/>
            <w:vAlign w:val="center"/>
          </w:tcPr>
          <w:p w14:paraId="2EEAF03E"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top w:val="single" w:sz="8" w:space="0" w:color="auto"/>
              <w:left w:val="single" w:sz="12" w:space="0" w:color="auto"/>
              <w:bottom w:val="single" w:sz="12" w:space="0" w:color="auto"/>
            </w:tcBorders>
            <w:shd w:val="clear" w:color="auto" w:fill="F2F2F2"/>
            <w:noWrap/>
            <w:vAlign w:val="center"/>
          </w:tcPr>
          <w:p w14:paraId="060F3BB7"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 xml:space="preserve">Usilovat o propojení Dolníků a Prostředních </w:t>
            </w:r>
            <w:r>
              <w:rPr>
                <w:rFonts w:ascii="Calibri" w:eastAsia="Times New Roman" w:hAnsi="Calibri" w:cs="Times New Roman"/>
                <w:color w:val="000000"/>
                <w:sz w:val="20"/>
                <w:szCs w:val="20"/>
                <w:lang w:eastAsia="cs-CZ"/>
              </w:rPr>
              <w:br/>
            </w:r>
            <w:r w:rsidRPr="005129D9">
              <w:rPr>
                <w:rFonts w:ascii="Calibri" w:eastAsia="Times New Roman" w:hAnsi="Calibri" w:cs="Times New Roman"/>
                <w:color w:val="000000"/>
                <w:sz w:val="20"/>
                <w:szCs w:val="20"/>
                <w:lang w:eastAsia="cs-CZ"/>
              </w:rPr>
              <w:t>Starých Buků komunikací</w:t>
            </w:r>
          </w:p>
        </w:tc>
        <w:tc>
          <w:tcPr>
            <w:tcW w:w="1721" w:type="pct"/>
            <w:tcBorders>
              <w:top w:val="single" w:sz="8" w:space="0" w:color="auto"/>
              <w:bottom w:val="single" w:sz="12" w:space="0" w:color="auto"/>
            </w:tcBorders>
            <w:shd w:val="clear" w:color="auto" w:fill="F2F2F2"/>
            <w:noWrap/>
            <w:vAlign w:val="center"/>
          </w:tcPr>
          <w:p w14:paraId="11729002"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Existence </w:t>
            </w:r>
            <w:r w:rsidRPr="00F5699F">
              <w:rPr>
                <w:rFonts w:ascii="Calibri" w:eastAsia="Times New Roman" w:hAnsi="Calibri" w:cs="Times New Roman"/>
                <w:color w:val="000000"/>
                <w:sz w:val="20"/>
                <w:szCs w:val="20"/>
                <w:lang w:eastAsia="cs-CZ"/>
              </w:rPr>
              <w:t>propojení Dolníků a Prostředních Starých Buků komunikací</w:t>
            </w:r>
            <w:r>
              <w:rPr>
                <w:rFonts w:ascii="Calibri" w:eastAsia="Times New Roman" w:hAnsi="Calibri" w:cs="Times New Roman"/>
                <w:color w:val="000000"/>
                <w:sz w:val="20"/>
                <w:szCs w:val="20"/>
                <w:lang w:eastAsia="cs-CZ"/>
              </w:rPr>
              <w:t xml:space="preserve"> vhodnou pro motorová vozidla</w:t>
            </w:r>
          </w:p>
        </w:tc>
        <w:tc>
          <w:tcPr>
            <w:tcW w:w="407" w:type="pct"/>
            <w:tcBorders>
              <w:top w:val="single" w:sz="8" w:space="0" w:color="auto"/>
              <w:bottom w:val="single" w:sz="12" w:space="0" w:color="auto"/>
            </w:tcBorders>
            <w:shd w:val="clear" w:color="auto" w:fill="F2F2F2"/>
            <w:noWrap/>
            <w:vAlign w:val="center"/>
          </w:tcPr>
          <w:p w14:paraId="730B5CD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top w:val="single" w:sz="8" w:space="0" w:color="auto"/>
              <w:bottom w:val="single" w:sz="12" w:space="0" w:color="auto"/>
            </w:tcBorders>
            <w:shd w:val="clear" w:color="auto" w:fill="F2F2F2"/>
            <w:noWrap/>
            <w:vAlign w:val="center"/>
          </w:tcPr>
          <w:p w14:paraId="15F676B6"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bottom w:val="single" w:sz="12" w:space="0" w:color="auto"/>
            </w:tcBorders>
            <w:shd w:val="clear" w:color="auto" w:fill="F2F2F2"/>
            <w:noWrap/>
            <w:vAlign w:val="center"/>
          </w:tcPr>
          <w:p w14:paraId="2B34D14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bl>
    <w:p w14:paraId="68CA4C66" w14:textId="77777777" w:rsidR="00837905" w:rsidRDefault="00837905" w:rsidP="00837905">
      <w:r>
        <w:br w:type="page"/>
      </w:r>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65"/>
        <w:gridCol w:w="4676"/>
        <w:gridCol w:w="4868"/>
        <w:gridCol w:w="1151"/>
        <w:gridCol w:w="1148"/>
        <w:gridCol w:w="1236"/>
      </w:tblGrid>
      <w:tr w:rsidR="00837905" w:rsidRPr="00DB41E2" w14:paraId="36EF625E" w14:textId="77777777" w:rsidTr="009A7AC2">
        <w:trPr>
          <w:trHeight w:val="60"/>
          <w:jc w:val="center"/>
        </w:trPr>
        <w:tc>
          <w:tcPr>
            <w:tcW w:w="376" w:type="pct"/>
            <w:tcBorders>
              <w:top w:val="single" w:sz="18" w:space="0" w:color="auto"/>
              <w:bottom w:val="single" w:sz="12" w:space="0" w:color="auto"/>
              <w:right w:val="single" w:sz="12" w:space="0" w:color="auto"/>
            </w:tcBorders>
            <w:shd w:val="clear" w:color="auto" w:fill="BFBFBF"/>
            <w:noWrap/>
            <w:vAlign w:val="center"/>
          </w:tcPr>
          <w:p w14:paraId="33E1E08A"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b/>
                <w:color w:val="000000"/>
                <w:sz w:val="20"/>
                <w:szCs w:val="20"/>
                <w:lang w:eastAsia="cs-CZ"/>
              </w:rPr>
              <w:lastRenderedPageBreak/>
              <w:t>Cíl</w:t>
            </w:r>
          </w:p>
        </w:tc>
        <w:tc>
          <w:tcPr>
            <w:tcW w:w="1653" w:type="pct"/>
            <w:tcBorders>
              <w:top w:val="single" w:sz="18" w:space="0" w:color="auto"/>
              <w:left w:val="single" w:sz="12" w:space="0" w:color="auto"/>
              <w:bottom w:val="single" w:sz="12" w:space="0" w:color="auto"/>
            </w:tcBorders>
            <w:shd w:val="clear" w:color="auto" w:fill="BFBFBF"/>
            <w:noWrap/>
            <w:vAlign w:val="center"/>
          </w:tcPr>
          <w:p w14:paraId="7B6FCECB" w14:textId="77777777" w:rsidR="00837905" w:rsidRPr="005129D9" w:rsidRDefault="00837905" w:rsidP="009A7AC2">
            <w:pPr>
              <w:contextualSpacing/>
              <w:jc w:val="center"/>
              <w:rPr>
                <w:rFonts w:ascii="Calibri" w:eastAsia="Times New Roman" w:hAnsi="Calibri" w:cs="Times New Roman"/>
                <w:b/>
                <w:bCs/>
                <w:color w:val="000000"/>
                <w:sz w:val="20"/>
                <w:szCs w:val="20"/>
                <w:lang w:eastAsia="cs-CZ"/>
              </w:rPr>
            </w:pPr>
            <w:r w:rsidRPr="005129D9">
              <w:rPr>
                <w:rFonts w:ascii="Calibri" w:eastAsia="Times New Roman" w:hAnsi="Calibri" w:cs="Times New Roman"/>
                <w:b/>
                <w:bCs/>
                <w:color w:val="000000"/>
                <w:sz w:val="20"/>
                <w:szCs w:val="20"/>
                <w:lang w:eastAsia="cs-CZ"/>
              </w:rPr>
              <w:t>Podporovat rozvoj technické a bezpečnostní infrastruktury</w:t>
            </w:r>
          </w:p>
        </w:tc>
        <w:tc>
          <w:tcPr>
            <w:tcW w:w="1721" w:type="pct"/>
            <w:tcBorders>
              <w:top w:val="single" w:sz="18" w:space="0" w:color="auto"/>
              <w:bottom w:val="single" w:sz="12" w:space="0" w:color="auto"/>
            </w:tcBorders>
            <w:shd w:val="clear" w:color="auto" w:fill="BFBFBF"/>
            <w:noWrap/>
            <w:vAlign w:val="center"/>
          </w:tcPr>
          <w:p w14:paraId="0B5D3896" w14:textId="77777777" w:rsidR="00837905" w:rsidRPr="00DB41E2" w:rsidRDefault="00837905" w:rsidP="009A7AC2">
            <w:pPr>
              <w:jc w:val="center"/>
              <w:rPr>
                <w:rFonts w:ascii="Calibri" w:eastAsia="Times New Roman" w:hAnsi="Calibri" w:cs="Times New Roman"/>
                <w:color w:val="000000"/>
                <w:sz w:val="20"/>
                <w:szCs w:val="20"/>
                <w:lang w:eastAsia="cs-CZ"/>
              </w:rPr>
            </w:pPr>
            <w:r w:rsidRPr="00A14622">
              <w:rPr>
                <w:rFonts w:ascii="Calibri" w:eastAsia="Times New Roman" w:hAnsi="Calibri" w:cs="Times New Roman"/>
                <w:b/>
                <w:bCs/>
                <w:color w:val="000000"/>
                <w:sz w:val="20"/>
                <w:szCs w:val="20"/>
                <w:lang w:eastAsia="cs-CZ"/>
              </w:rPr>
              <w:t xml:space="preserve">Počet nově uskutečněných aktivit za účelem </w:t>
            </w:r>
            <w:r>
              <w:rPr>
                <w:rFonts w:ascii="Calibri" w:eastAsia="Times New Roman" w:hAnsi="Calibri" w:cs="Times New Roman"/>
                <w:b/>
                <w:bCs/>
                <w:color w:val="000000"/>
                <w:sz w:val="20"/>
                <w:szCs w:val="20"/>
                <w:lang w:eastAsia="cs-CZ"/>
              </w:rPr>
              <w:t>rozvoje</w:t>
            </w:r>
            <w:r w:rsidRPr="00A14622">
              <w:rPr>
                <w:rFonts w:ascii="Calibri" w:eastAsia="Times New Roman" w:hAnsi="Calibri" w:cs="Times New Roman"/>
                <w:b/>
                <w:bCs/>
                <w:color w:val="000000"/>
                <w:sz w:val="20"/>
                <w:szCs w:val="20"/>
                <w:lang w:eastAsia="cs-CZ"/>
              </w:rPr>
              <w:t xml:space="preserve"> technické </w:t>
            </w:r>
            <w:r w:rsidRPr="005129D9">
              <w:rPr>
                <w:rFonts w:ascii="Calibri" w:eastAsia="Times New Roman" w:hAnsi="Calibri" w:cs="Times New Roman"/>
                <w:b/>
                <w:bCs/>
                <w:color w:val="000000"/>
                <w:sz w:val="20"/>
                <w:szCs w:val="20"/>
                <w:lang w:eastAsia="cs-CZ"/>
              </w:rPr>
              <w:t xml:space="preserve">a bezpečnostní </w:t>
            </w:r>
            <w:r w:rsidRPr="00A14622">
              <w:rPr>
                <w:rFonts w:ascii="Calibri" w:eastAsia="Times New Roman" w:hAnsi="Calibri" w:cs="Times New Roman"/>
                <w:b/>
                <w:bCs/>
                <w:color w:val="000000"/>
                <w:sz w:val="20"/>
                <w:szCs w:val="20"/>
                <w:lang w:eastAsia="cs-CZ"/>
              </w:rPr>
              <w:t>infrastruktury</w:t>
            </w:r>
          </w:p>
        </w:tc>
        <w:tc>
          <w:tcPr>
            <w:tcW w:w="407" w:type="pct"/>
            <w:tcBorders>
              <w:top w:val="single" w:sz="18" w:space="0" w:color="auto"/>
              <w:bottom w:val="single" w:sz="12" w:space="0" w:color="auto"/>
            </w:tcBorders>
            <w:shd w:val="clear" w:color="auto" w:fill="BFBFBF"/>
            <w:noWrap/>
            <w:vAlign w:val="center"/>
          </w:tcPr>
          <w:p w14:paraId="1250894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b/>
                <w:color w:val="000000"/>
                <w:sz w:val="20"/>
                <w:szCs w:val="20"/>
                <w:lang w:eastAsia="cs-CZ"/>
              </w:rPr>
              <w:t>počet</w:t>
            </w:r>
          </w:p>
        </w:tc>
        <w:tc>
          <w:tcPr>
            <w:tcW w:w="406" w:type="pct"/>
            <w:tcBorders>
              <w:top w:val="single" w:sz="18" w:space="0" w:color="auto"/>
              <w:bottom w:val="single" w:sz="12" w:space="0" w:color="auto"/>
            </w:tcBorders>
            <w:shd w:val="clear" w:color="auto" w:fill="BFBFBF"/>
            <w:noWrap/>
            <w:vAlign w:val="center"/>
          </w:tcPr>
          <w:p w14:paraId="36AEC713" w14:textId="77777777" w:rsidR="00837905" w:rsidRPr="004841E6" w:rsidRDefault="00837905" w:rsidP="009A7AC2">
            <w:pPr>
              <w:jc w:val="center"/>
              <w:rPr>
                <w:rFonts w:ascii="Calibri" w:eastAsia="Times New Roman" w:hAnsi="Calibri" w:cs="Times New Roman"/>
                <w:b/>
                <w:bCs/>
                <w:color w:val="000000"/>
                <w:sz w:val="20"/>
                <w:szCs w:val="20"/>
                <w:lang w:eastAsia="cs-CZ"/>
              </w:rPr>
            </w:pPr>
            <w:r w:rsidRPr="004841E6">
              <w:rPr>
                <w:rFonts w:ascii="Calibri" w:eastAsia="Times New Roman" w:hAnsi="Calibri" w:cs="Times New Roman"/>
                <w:b/>
                <w:bCs/>
                <w:color w:val="000000"/>
                <w:sz w:val="20"/>
                <w:szCs w:val="20"/>
                <w:lang w:eastAsia="cs-CZ"/>
              </w:rPr>
              <w:t>0</w:t>
            </w:r>
          </w:p>
        </w:tc>
        <w:tc>
          <w:tcPr>
            <w:tcW w:w="437" w:type="pct"/>
            <w:tcBorders>
              <w:top w:val="single" w:sz="18" w:space="0" w:color="auto"/>
              <w:bottom w:val="single" w:sz="12" w:space="0" w:color="auto"/>
            </w:tcBorders>
            <w:shd w:val="clear" w:color="auto" w:fill="BFBFBF"/>
            <w:noWrap/>
            <w:vAlign w:val="center"/>
          </w:tcPr>
          <w:p w14:paraId="6A1807C8" w14:textId="77777777" w:rsidR="00837905" w:rsidRPr="004841E6" w:rsidRDefault="00837905" w:rsidP="009A7AC2">
            <w:pPr>
              <w:jc w:val="center"/>
              <w:rPr>
                <w:rFonts w:ascii="Calibri" w:eastAsia="Times New Roman" w:hAnsi="Calibri" w:cs="Times New Roman"/>
                <w:b/>
                <w:bCs/>
                <w:color w:val="000000"/>
                <w:sz w:val="20"/>
                <w:szCs w:val="20"/>
                <w:lang w:eastAsia="cs-CZ"/>
              </w:rPr>
            </w:pPr>
            <w:r w:rsidRPr="004841E6">
              <w:rPr>
                <w:rFonts w:ascii="Calibri" w:eastAsia="Times New Roman" w:hAnsi="Calibri" w:cs="Times New Roman"/>
                <w:b/>
                <w:bCs/>
                <w:color w:val="000000"/>
                <w:sz w:val="20"/>
                <w:szCs w:val="20"/>
                <w:lang w:eastAsia="cs-CZ"/>
              </w:rPr>
              <w:t>18</w:t>
            </w:r>
          </w:p>
        </w:tc>
      </w:tr>
      <w:tr w:rsidR="00837905" w:rsidRPr="00DB41E2" w14:paraId="43F2A443" w14:textId="77777777" w:rsidTr="009A7AC2">
        <w:trPr>
          <w:trHeight w:val="60"/>
          <w:jc w:val="center"/>
        </w:trPr>
        <w:tc>
          <w:tcPr>
            <w:tcW w:w="376" w:type="pct"/>
            <w:tcBorders>
              <w:bottom w:val="single" w:sz="12" w:space="0" w:color="auto"/>
              <w:right w:val="single" w:sz="12" w:space="0" w:color="auto"/>
            </w:tcBorders>
            <w:shd w:val="clear" w:color="auto" w:fill="D9D9D9"/>
            <w:noWrap/>
            <w:vAlign w:val="center"/>
          </w:tcPr>
          <w:p w14:paraId="189D7A68"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D9D9D9"/>
            <w:noWrap/>
            <w:vAlign w:val="center"/>
          </w:tcPr>
          <w:p w14:paraId="6C6D9B7B" w14:textId="77777777" w:rsidR="00837905" w:rsidRPr="00E60E81" w:rsidRDefault="00837905" w:rsidP="009A7AC2">
            <w:pPr>
              <w:jc w:val="center"/>
              <w:rPr>
                <w:rFonts w:ascii="Calibri" w:eastAsia="Times New Roman" w:hAnsi="Calibri" w:cs="Times New Roman"/>
                <w:b/>
                <w:bCs/>
                <w:color w:val="000000"/>
                <w:sz w:val="20"/>
                <w:szCs w:val="20"/>
                <w:lang w:eastAsia="cs-CZ"/>
              </w:rPr>
            </w:pPr>
            <w:r w:rsidRPr="005129D9">
              <w:rPr>
                <w:rFonts w:ascii="Calibri" w:eastAsia="Times New Roman" w:hAnsi="Calibri" w:cs="Times New Roman"/>
                <w:b/>
                <w:bCs/>
                <w:color w:val="000000"/>
                <w:sz w:val="20"/>
                <w:szCs w:val="20"/>
                <w:lang w:eastAsia="cs-CZ"/>
              </w:rPr>
              <w:t>Posílit bezpečnost související s dopravou</w:t>
            </w:r>
          </w:p>
        </w:tc>
      </w:tr>
      <w:tr w:rsidR="00837905" w:rsidRPr="00DB41E2" w14:paraId="32A35E43" w14:textId="77777777" w:rsidTr="009A7AC2">
        <w:trPr>
          <w:trHeight w:val="60"/>
          <w:jc w:val="center"/>
        </w:trPr>
        <w:tc>
          <w:tcPr>
            <w:tcW w:w="376" w:type="pct"/>
            <w:vMerge w:val="restart"/>
            <w:tcBorders>
              <w:right w:val="single" w:sz="12" w:space="0" w:color="auto"/>
            </w:tcBorders>
            <w:shd w:val="clear" w:color="auto" w:fill="F2F2F2"/>
            <w:noWrap/>
            <w:vAlign w:val="center"/>
          </w:tcPr>
          <w:p w14:paraId="4E946B71"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653" w:type="pct"/>
            <w:tcBorders>
              <w:top w:val="single" w:sz="12" w:space="0" w:color="auto"/>
              <w:left w:val="single" w:sz="12" w:space="0" w:color="auto"/>
              <w:bottom w:val="single" w:sz="8" w:space="0" w:color="auto"/>
            </w:tcBorders>
            <w:shd w:val="clear" w:color="auto" w:fill="F2F2F2"/>
            <w:noWrap/>
            <w:vAlign w:val="center"/>
          </w:tcPr>
          <w:p w14:paraId="2EEAA45F"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 xml:space="preserve">Usilovat o zvýšení množství </w:t>
            </w:r>
            <w:r>
              <w:rPr>
                <w:rFonts w:ascii="Calibri" w:eastAsia="Times New Roman" w:hAnsi="Calibri" w:cs="Times New Roman"/>
                <w:color w:val="000000"/>
                <w:sz w:val="20"/>
                <w:szCs w:val="20"/>
                <w:lang w:eastAsia="cs-CZ"/>
              </w:rPr>
              <w:br/>
            </w:r>
            <w:r w:rsidRPr="005129D9">
              <w:rPr>
                <w:rFonts w:ascii="Calibri" w:eastAsia="Times New Roman" w:hAnsi="Calibri" w:cs="Times New Roman"/>
                <w:color w:val="000000"/>
                <w:sz w:val="20"/>
                <w:szCs w:val="20"/>
                <w:lang w:eastAsia="cs-CZ"/>
              </w:rPr>
              <w:t>bezpečnostních prvků v obci</w:t>
            </w:r>
          </w:p>
        </w:tc>
        <w:tc>
          <w:tcPr>
            <w:tcW w:w="1721" w:type="pct"/>
            <w:tcBorders>
              <w:top w:val="single" w:sz="12" w:space="0" w:color="auto"/>
              <w:bottom w:val="single" w:sz="8" w:space="0" w:color="auto"/>
            </w:tcBorders>
            <w:shd w:val="clear" w:color="auto" w:fill="F2F2F2"/>
            <w:noWrap/>
            <w:vAlign w:val="center"/>
          </w:tcPr>
          <w:p w14:paraId="7AB08D93"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Počet nově instalovaných bezpečnostních prvků souvisejících s automobilovou dopravou</w:t>
            </w:r>
          </w:p>
        </w:tc>
        <w:tc>
          <w:tcPr>
            <w:tcW w:w="407" w:type="pct"/>
            <w:tcBorders>
              <w:top w:val="single" w:sz="12" w:space="0" w:color="auto"/>
              <w:bottom w:val="single" w:sz="8" w:space="0" w:color="auto"/>
            </w:tcBorders>
            <w:shd w:val="clear" w:color="auto" w:fill="F2F2F2"/>
            <w:noWrap/>
            <w:vAlign w:val="center"/>
          </w:tcPr>
          <w:p w14:paraId="62344207"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406" w:type="pct"/>
            <w:tcBorders>
              <w:top w:val="single" w:sz="12" w:space="0" w:color="auto"/>
              <w:bottom w:val="single" w:sz="8" w:space="0" w:color="auto"/>
            </w:tcBorders>
            <w:shd w:val="clear" w:color="auto" w:fill="F2F2F2"/>
            <w:noWrap/>
            <w:vAlign w:val="center"/>
          </w:tcPr>
          <w:p w14:paraId="09D5E9A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12" w:space="0" w:color="auto"/>
              <w:bottom w:val="single" w:sz="8" w:space="0" w:color="auto"/>
            </w:tcBorders>
            <w:shd w:val="clear" w:color="auto" w:fill="F2F2F2"/>
            <w:noWrap/>
            <w:vAlign w:val="center"/>
          </w:tcPr>
          <w:p w14:paraId="6E72513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r>
      <w:tr w:rsidR="00837905" w:rsidRPr="00DB41E2" w14:paraId="6E95B390" w14:textId="77777777" w:rsidTr="009A7AC2">
        <w:trPr>
          <w:trHeight w:val="60"/>
          <w:jc w:val="center"/>
        </w:trPr>
        <w:tc>
          <w:tcPr>
            <w:tcW w:w="376" w:type="pct"/>
            <w:vMerge/>
            <w:tcBorders>
              <w:right w:val="single" w:sz="12" w:space="0" w:color="auto"/>
            </w:tcBorders>
            <w:shd w:val="clear" w:color="auto" w:fill="F2F2F2"/>
            <w:noWrap/>
            <w:vAlign w:val="center"/>
          </w:tcPr>
          <w:p w14:paraId="406406BC"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top w:val="single" w:sz="8" w:space="0" w:color="auto"/>
              <w:left w:val="single" w:sz="12" w:space="0" w:color="auto"/>
              <w:bottom w:val="single" w:sz="8" w:space="0" w:color="auto"/>
            </w:tcBorders>
            <w:shd w:val="clear" w:color="auto" w:fill="F2F2F2"/>
            <w:noWrap/>
            <w:vAlign w:val="center"/>
          </w:tcPr>
          <w:p w14:paraId="58631E55"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Vybudovat chodník v žádoucích místech v centru obce</w:t>
            </w:r>
          </w:p>
        </w:tc>
        <w:tc>
          <w:tcPr>
            <w:tcW w:w="1721" w:type="pct"/>
            <w:tcBorders>
              <w:top w:val="single" w:sz="8" w:space="0" w:color="auto"/>
              <w:bottom w:val="single" w:sz="8" w:space="0" w:color="auto"/>
            </w:tcBorders>
            <w:shd w:val="clear" w:color="auto" w:fill="F2F2F2"/>
            <w:noWrap/>
            <w:vAlign w:val="center"/>
          </w:tcPr>
          <w:p w14:paraId="6D8F7A05" w14:textId="77777777" w:rsidR="00837905" w:rsidRPr="00DB41E2" w:rsidRDefault="00837905" w:rsidP="009A7AC2">
            <w:pPr>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Vybudov</w:t>
            </w:r>
            <w:r>
              <w:rPr>
                <w:rFonts w:ascii="Calibri" w:eastAsia="Times New Roman" w:hAnsi="Calibri" w:cs="Times New Roman"/>
                <w:color w:val="000000"/>
                <w:sz w:val="20"/>
                <w:szCs w:val="20"/>
                <w:lang w:eastAsia="cs-CZ"/>
              </w:rPr>
              <w:t>án</w:t>
            </w:r>
            <w:r w:rsidRPr="005129D9">
              <w:rPr>
                <w:rFonts w:ascii="Calibri" w:eastAsia="Times New Roman" w:hAnsi="Calibri" w:cs="Times New Roman"/>
                <w:color w:val="000000"/>
                <w:sz w:val="20"/>
                <w:szCs w:val="20"/>
                <w:lang w:eastAsia="cs-CZ"/>
              </w:rPr>
              <w:t xml:space="preserve"> chodník v žádoucích místech v centru obce</w:t>
            </w:r>
          </w:p>
        </w:tc>
        <w:tc>
          <w:tcPr>
            <w:tcW w:w="407" w:type="pct"/>
            <w:tcBorders>
              <w:top w:val="single" w:sz="8" w:space="0" w:color="auto"/>
              <w:bottom w:val="single" w:sz="8" w:space="0" w:color="auto"/>
            </w:tcBorders>
            <w:shd w:val="clear" w:color="auto" w:fill="F2F2F2"/>
            <w:noWrap/>
            <w:vAlign w:val="center"/>
          </w:tcPr>
          <w:p w14:paraId="3448F52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top w:val="single" w:sz="8" w:space="0" w:color="auto"/>
              <w:bottom w:val="single" w:sz="8" w:space="0" w:color="auto"/>
            </w:tcBorders>
            <w:shd w:val="clear" w:color="auto" w:fill="F2F2F2"/>
            <w:noWrap/>
            <w:vAlign w:val="center"/>
          </w:tcPr>
          <w:p w14:paraId="6DF26D6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bottom w:val="single" w:sz="8" w:space="0" w:color="auto"/>
            </w:tcBorders>
            <w:shd w:val="clear" w:color="auto" w:fill="F2F2F2"/>
            <w:noWrap/>
            <w:vAlign w:val="center"/>
          </w:tcPr>
          <w:p w14:paraId="085CE3A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383BFA34" w14:textId="77777777" w:rsidTr="009A7AC2">
        <w:trPr>
          <w:trHeight w:val="60"/>
          <w:jc w:val="center"/>
        </w:trPr>
        <w:tc>
          <w:tcPr>
            <w:tcW w:w="376" w:type="pct"/>
            <w:vMerge/>
            <w:tcBorders>
              <w:right w:val="single" w:sz="12" w:space="0" w:color="auto"/>
            </w:tcBorders>
            <w:shd w:val="clear" w:color="auto" w:fill="F2F2F2"/>
            <w:noWrap/>
            <w:vAlign w:val="center"/>
          </w:tcPr>
          <w:p w14:paraId="001682DE"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top w:val="single" w:sz="8" w:space="0" w:color="auto"/>
              <w:left w:val="single" w:sz="12" w:space="0" w:color="auto"/>
              <w:bottom w:val="single" w:sz="8" w:space="0" w:color="auto"/>
            </w:tcBorders>
            <w:shd w:val="clear" w:color="auto" w:fill="F2F2F2"/>
            <w:noWrap/>
            <w:vAlign w:val="center"/>
          </w:tcPr>
          <w:p w14:paraId="7AA73352"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 xml:space="preserve">Zpevnit cestu vedoucí ze Starých Buků </w:t>
            </w:r>
            <w:r>
              <w:rPr>
                <w:rFonts w:ascii="Calibri" w:eastAsia="Times New Roman" w:hAnsi="Calibri" w:cs="Times New Roman"/>
                <w:color w:val="000000"/>
                <w:sz w:val="20"/>
                <w:szCs w:val="20"/>
                <w:lang w:eastAsia="cs-CZ"/>
              </w:rPr>
              <w:br/>
            </w:r>
            <w:r w:rsidRPr="005129D9">
              <w:rPr>
                <w:rFonts w:ascii="Calibri" w:eastAsia="Times New Roman" w:hAnsi="Calibri" w:cs="Times New Roman"/>
                <w:color w:val="000000"/>
                <w:sz w:val="20"/>
                <w:szCs w:val="20"/>
                <w:lang w:eastAsia="cs-CZ"/>
              </w:rPr>
              <w:t>přes rekreační areál Dolce do Trutnova</w:t>
            </w:r>
          </w:p>
        </w:tc>
        <w:tc>
          <w:tcPr>
            <w:tcW w:w="1721" w:type="pct"/>
            <w:tcBorders>
              <w:top w:val="single" w:sz="8" w:space="0" w:color="auto"/>
              <w:bottom w:val="single" w:sz="8" w:space="0" w:color="auto"/>
            </w:tcBorders>
            <w:shd w:val="clear" w:color="auto" w:fill="F2F2F2"/>
            <w:noWrap/>
            <w:vAlign w:val="center"/>
          </w:tcPr>
          <w:p w14:paraId="7B68C53A" w14:textId="77777777" w:rsidR="00837905" w:rsidRPr="00DB41E2" w:rsidRDefault="00837905" w:rsidP="009A7AC2">
            <w:pPr>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Zpevn</w:t>
            </w:r>
            <w:r>
              <w:rPr>
                <w:rFonts w:ascii="Calibri" w:eastAsia="Times New Roman" w:hAnsi="Calibri" w:cs="Times New Roman"/>
                <w:color w:val="000000"/>
                <w:sz w:val="20"/>
                <w:szCs w:val="20"/>
                <w:lang w:eastAsia="cs-CZ"/>
              </w:rPr>
              <w:t>ěna</w:t>
            </w:r>
            <w:r w:rsidRPr="005129D9">
              <w:rPr>
                <w:rFonts w:ascii="Calibri" w:eastAsia="Times New Roman" w:hAnsi="Calibri" w:cs="Times New Roman"/>
                <w:color w:val="000000"/>
                <w:sz w:val="20"/>
                <w:szCs w:val="20"/>
                <w:lang w:eastAsia="cs-CZ"/>
              </w:rPr>
              <w:t xml:space="preserve"> cest</w:t>
            </w:r>
            <w:r>
              <w:rPr>
                <w:rFonts w:ascii="Calibri" w:eastAsia="Times New Roman" w:hAnsi="Calibri" w:cs="Times New Roman"/>
                <w:color w:val="000000"/>
                <w:sz w:val="20"/>
                <w:szCs w:val="20"/>
                <w:lang w:eastAsia="cs-CZ"/>
              </w:rPr>
              <w:t>a</w:t>
            </w:r>
            <w:r w:rsidRPr="005129D9">
              <w:rPr>
                <w:rFonts w:ascii="Calibri" w:eastAsia="Times New Roman" w:hAnsi="Calibri" w:cs="Times New Roman"/>
                <w:color w:val="000000"/>
                <w:sz w:val="20"/>
                <w:szCs w:val="20"/>
                <w:lang w:eastAsia="cs-CZ"/>
              </w:rPr>
              <w:t xml:space="preserve"> vedoucí ze Starých Buků </w:t>
            </w:r>
            <w:r>
              <w:rPr>
                <w:rFonts w:ascii="Calibri" w:eastAsia="Times New Roman" w:hAnsi="Calibri" w:cs="Times New Roman"/>
                <w:color w:val="000000"/>
                <w:sz w:val="20"/>
                <w:szCs w:val="20"/>
                <w:lang w:eastAsia="cs-CZ"/>
              </w:rPr>
              <w:br/>
            </w:r>
            <w:r w:rsidRPr="005129D9">
              <w:rPr>
                <w:rFonts w:ascii="Calibri" w:eastAsia="Times New Roman" w:hAnsi="Calibri" w:cs="Times New Roman"/>
                <w:color w:val="000000"/>
                <w:sz w:val="20"/>
                <w:szCs w:val="20"/>
                <w:lang w:eastAsia="cs-CZ"/>
              </w:rPr>
              <w:t>přes rekreační areál Dolce do Trutnova</w:t>
            </w:r>
          </w:p>
        </w:tc>
        <w:tc>
          <w:tcPr>
            <w:tcW w:w="407" w:type="pct"/>
            <w:tcBorders>
              <w:top w:val="single" w:sz="8" w:space="0" w:color="auto"/>
              <w:bottom w:val="single" w:sz="8" w:space="0" w:color="auto"/>
            </w:tcBorders>
            <w:shd w:val="clear" w:color="auto" w:fill="F2F2F2"/>
            <w:noWrap/>
            <w:vAlign w:val="center"/>
          </w:tcPr>
          <w:p w14:paraId="7D633408"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top w:val="single" w:sz="8" w:space="0" w:color="auto"/>
              <w:bottom w:val="single" w:sz="8" w:space="0" w:color="auto"/>
            </w:tcBorders>
            <w:shd w:val="clear" w:color="auto" w:fill="F2F2F2"/>
            <w:noWrap/>
            <w:vAlign w:val="center"/>
          </w:tcPr>
          <w:p w14:paraId="61D021BF"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bottom w:val="single" w:sz="8" w:space="0" w:color="auto"/>
            </w:tcBorders>
            <w:shd w:val="clear" w:color="auto" w:fill="F2F2F2"/>
            <w:noWrap/>
            <w:vAlign w:val="center"/>
          </w:tcPr>
          <w:p w14:paraId="08AB8C8F"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3750E1DA" w14:textId="77777777" w:rsidTr="009A7AC2">
        <w:trPr>
          <w:trHeight w:val="60"/>
          <w:jc w:val="center"/>
        </w:trPr>
        <w:tc>
          <w:tcPr>
            <w:tcW w:w="376" w:type="pct"/>
            <w:vMerge/>
            <w:tcBorders>
              <w:bottom w:val="single" w:sz="12" w:space="0" w:color="auto"/>
              <w:right w:val="single" w:sz="12" w:space="0" w:color="auto"/>
            </w:tcBorders>
            <w:shd w:val="clear" w:color="auto" w:fill="F2F2F2"/>
            <w:noWrap/>
            <w:vAlign w:val="center"/>
          </w:tcPr>
          <w:p w14:paraId="6FFA75D4"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top w:val="single" w:sz="8" w:space="0" w:color="auto"/>
              <w:left w:val="single" w:sz="12" w:space="0" w:color="auto"/>
              <w:bottom w:val="single" w:sz="12" w:space="0" w:color="auto"/>
            </w:tcBorders>
            <w:shd w:val="clear" w:color="auto" w:fill="F2F2F2"/>
            <w:noWrap/>
            <w:vAlign w:val="center"/>
          </w:tcPr>
          <w:p w14:paraId="76873728" w14:textId="77777777" w:rsidR="00837905" w:rsidRPr="005129D9"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 xml:space="preserve">Řešit lepší zpřístupnění pro cyklisty a pěší </w:t>
            </w:r>
          </w:p>
          <w:p w14:paraId="3C5BDE29"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ve směru na Pilníkov</w:t>
            </w:r>
          </w:p>
        </w:tc>
        <w:tc>
          <w:tcPr>
            <w:tcW w:w="1721" w:type="pct"/>
            <w:tcBorders>
              <w:top w:val="single" w:sz="8" w:space="0" w:color="auto"/>
              <w:bottom w:val="single" w:sz="12" w:space="0" w:color="auto"/>
            </w:tcBorders>
            <w:shd w:val="clear" w:color="auto" w:fill="F2F2F2"/>
            <w:noWrap/>
            <w:vAlign w:val="center"/>
          </w:tcPr>
          <w:p w14:paraId="2B66A2A3"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Počet uskutečněných aktivit za účelem </w:t>
            </w:r>
            <w:r w:rsidRPr="00F5699F">
              <w:rPr>
                <w:rFonts w:ascii="Calibri" w:eastAsia="Times New Roman" w:hAnsi="Calibri" w:cs="Times New Roman"/>
                <w:color w:val="000000"/>
                <w:sz w:val="20"/>
                <w:szCs w:val="20"/>
                <w:lang w:eastAsia="cs-CZ"/>
              </w:rPr>
              <w:t>lepší</w:t>
            </w:r>
            <w:r>
              <w:rPr>
                <w:rFonts w:ascii="Calibri" w:eastAsia="Times New Roman" w:hAnsi="Calibri" w:cs="Times New Roman"/>
                <w:color w:val="000000"/>
                <w:sz w:val="20"/>
                <w:szCs w:val="20"/>
                <w:lang w:eastAsia="cs-CZ"/>
              </w:rPr>
              <w:t>ho</w:t>
            </w:r>
            <w:r w:rsidRPr="00F5699F">
              <w:rPr>
                <w:rFonts w:ascii="Calibri" w:eastAsia="Times New Roman" w:hAnsi="Calibri" w:cs="Times New Roman"/>
                <w:color w:val="000000"/>
                <w:sz w:val="20"/>
                <w:szCs w:val="20"/>
                <w:lang w:eastAsia="cs-CZ"/>
              </w:rPr>
              <w:t xml:space="preserve"> zpřístupnění ve směru na Pilníkov pro cyklisty a pěší</w:t>
            </w:r>
          </w:p>
        </w:tc>
        <w:tc>
          <w:tcPr>
            <w:tcW w:w="407" w:type="pct"/>
            <w:tcBorders>
              <w:top w:val="single" w:sz="8" w:space="0" w:color="auto"/>
              <w:bottom w:val="single" w:sz="12" w:space="0" w:color="auto"/>
            </w:tcBorders>
            <w:shd w:val="clear" w:color="auto" w:fill="F2F2F2"/>
            <w:noWrap/>
            <w:vAlign w:val="center"/>
          </w:tcPr>
          <w:p w14:paraId="1B7A1598"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406" w:type="pct"/>
            <w:tcBorders>
              <w:top w:val="single" w:sz="8" w:space="0" w:color="auto"/>
              <w:bottom w:val="single" w:sz="12" w:space="0" w:color="auto"/>
            </w:tcBorders>
            <w:shd w:val="clear" w:color="auto" w:fill="F2F2F2"/>
            <w:noWrap/>
            <w:vAlign w:val="center"/>
          </w:tcPr>
          <w:p w14:paraId="359B1B8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bottom w:val="single" w:sz="12" w:space="0" w:color="auto"/>
            </w:tcBorders>
            <w:shd w:val="clear" w:color="auto" w:fill="F2F2F2"/>
            <w:noWrap/>
            <w:vAlign w:val="center"/>
          </w:tcPr>
          <w:p w14:paraId="1A7C8D9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r>
      <w:tr w:rsidR="00837905" w:rsidRPr="00DB41E2" w14:paraId="5A7ACAFB" w14:textId="77777777" w:rsidTr="009A7AC2">
        <w:trPr>
          <w:trHeight w:val="60"/>
          <w:jc w:val="center"/>
        </w:trPr>
        <w:tc>
          <w:tcPr>
            <w:tcW w:w="376" w:type="pct"/>
            <w:tcBorders>
              <w:top w:val="single" w:sz="12" w:space="0" w:color="auto"/>
              <w:bottom w:val="single" w:sz="12" w:space="0" w:color="auto"/>
              <w:right w:val="single" w:sz="12" w:space="0" w:color="auto"/>
            </w:tcBorders>
            <w:shd w:val="clear" w:color="auto" w:fill="D9D9D9"/>
            <w:noWrap/>
            <w:vAlign w:val="center"/>
          </w:tcPr>
          <w:p w14:paraId="34F535AC"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D9D9D9"/>
            <w:noWrap/>
            <w:vAlign w:val="center"/>
          </w:tcPr>
          <w:p w14:paraId="3E18DA48" w14:textId="77777777" w:rsidR="00837905" w:rsidRPr="005129D9" w:rsidRDefault="00837905" w:rsidP="009A7AC2">
            <w:pPr>
              <w:jc w:val="center"/>
              <w:rPr>
                <w:rFonts w:ascii="Calibri" w:eastAsia="Times New Roman" w:hAnsi="Calibri" w:cs="Times New Roman"/>
                <w:b/>
                <w:bCs/>
                <w:color w:val="000000"/>
                <w:sz w:val="20"/>
                <w:szCs w:val="20"/>
                <w:lang w:eastAsia="cs-CZ"/>
              </w:rPr>
            </w:pPr>
            <w:r w:rsidRPr="005129D9">
              <w:rPr>
                <w:rFonts w:ascii="Calibri" w:eastAsia="Times New Roman" w:hAnsi="Calibri" w:cs="Times New Roman"/>
                <w:b/>
                <w:bCs/>
                <w:color w:val="000000"/>
                <w:sz w:val="20"/>
                <w:szCs w:val="20"/>
                <w:lang w:eastAsia="cs-CZ"/>
              </w:rPr>
              <w:t>Rozšířit a posilovat sítě technické infrastruktury</w:t>
            </w:r>
          </w:p>
        </w:tc>
      </w:tr>
      <w:tr w:rsidR="00837905" w:rsidRPr="00DB41E2" w14:paraId="6DFF98FF" w14:textId="77777777" w:rsidTr="009A7AC2">
        <w:trPr>
          <w:trHeight w:val="60"/>
          <w:jc w:val="center"/>
        </w:trPr>
        <w:tc>
          <w:tcPr>
            <w:tcW w:w="376" w:type="pct"/>
            <w:vMerge w:val="restart"/>
            <w:tcBorders>
              <w:top w:val="single" w:sz="12" w:space="0" w:color="auto"/>
              <w:right w:val="single" w:sz="12" w:space="0" w:color="auto"/>
            </w:tcBorders>
            <w:shd w:val="clear" w:color="auto" w:fill="F2F2F2"/>
            <w:noWrap/>
            <w:vAlign w:val="center"/>
          </w:tcPr>
          <w:p w14:paraId="33C9DC52"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653" w:type="pct"/>
            <w:tcBorders>
              <w:top w:val="single" w:sz="12" w:space="0" w:color="auto"/>
              <w:left w:val="single" w:sz="12" w:space="0" w:color="auto"/>
              <w:bottom w:val="single" w:sz="8" w:space="0" w:color="auto"/>
            </w:tcBorders>
            <w:shd w:val="clear" w:color="auto" w:fill="F2F2F2"/>
            <w:noWrap/>
            <w:vAlign w:val="center"/>
          </w:tcPr>
          <w:p w14:paraId="62160729"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Řešit tématiku vodovodu a vodovodní sítě</w:t>
            </w:r>
          </w:p>
        </w:tc>
        <w:tc>
          <w:tcPr>
            <w:tcW w:w="1721" w:type="pct"/>
            <w:tcBorders>
              <w:top w:val="single" w:sz="12" w:space="0" w:color="auto"/>
              <w:bottom w:val="single" w:sz="8" w:space="0" w:color="auto"/>
            </w:tcBorders>
            <w:shd w:val="clear" w:color="auto" w:fill="F2F2F2"/>
            <w:noWrap/>
            <w:vAlign w:val="center"/>
          </w:tcPr>
          <w:p w14:paraId="021D93C7" w14:textId="77777777" w:rsidR="00837905" w:rsidRPr="00DB41E2" w:rsidRDefault="00837905" w:rsidP="009A7AC2">
            <w:pPr>
              <w:jc w:val="center"/>
              <w:rPr>
                <w:rFonts w:ascii="Calibri" w:eastAsia="Times New Roman" w:hAnsi="Calibri" w:cs="Times New Roman"/>
                <w:color w:val="000000"/>
                <w:sz w:val="20"/>
                <w:szCs w:val="20"/>
                <w:lang w:eastAsia="cs-CZ"/>
              </w:rPr>
            </w:pPr>
            <w:r w:rsidRPr="00A14622">
              <w:rPr>
                <w:rFonts w:ascii="Calibri" w:eastAsia="Times New Roman" w:hAnsi="Calibri" w:cs="Times New Roman"/>
                <w:color w:val="000000"/>
                <w:sz w:val="20"/>
                <w:szCs w:val="20"/>
                <w:lang w:eastAsia="cs-CZ"/>
              </w:rPr>
              <w:t>Délka nově vybudované vodovodní sítě</w:t>
            </w:r>
          </w:p>
        </w:tc>
        <w:tc>
          <w:tcPr>
            <w:tcW w:w="407" w:type="pct"/>
            <w:tcBorders>
              <w:top w:val="single" w:sz="12" w:space="0" w:color="auto"/>
              <w:bottom w:val="single" w:sz="8" w:space="0" w:color="auto"/>
            </w:tcBorders>
            <w:shd w:val="clear" w:color="auto" w:fill="F2F2F2"/>
            <w:noWrap/>
            <w:vAlign w:val="center"/>
          </w:tcPr>
          <w:p w14:paraId="43BAF1A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m</w:t>
            </w:r>
          </w:p>
        </w:tc>
        <w:tc>
          <w:tcPr>
            <w:tcW w:w="406" w:type="pct"/>
            <w:tcBorders>
              <w:top w:val="single" w:sz="12" w:space="0" w:color="auto"/>
              <w:bottom w:val="single" w:sz="8" w:space="0" w:color="auto"/>
            </w:tcBorders>
            <w:shd w:val="clear" w:color="auto" w:fill="F2F2F2"/>
            <w:noWrap/>
            <w:vAlign w:val="center"/>
          </w:tcPr>
          <w:p w14:paraId="75D4EAD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12" w:space="0" w:color="auto"/>
              <w:bottom w:val="single" w:sz="8" w:space="0" w:color="auto"/>
            </w:tcBorders>
            <w:shd w:val="clear" w:color="auto" w:fill="F2F2F2"/>
            <w:noWrap/>
            <w:vAlign w:val="center"/>
          </w:tcPr>
          <w:p w14:paraId="0441DE73"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300</w:t>
            </w:r>
          </w:p>
        </w:tc>
      </w:tr>
      <w:tr w:rsidR="00837905" w:rsidRPr="00DB41E2" w14:paraId="62EB8D09" w14:textId="77777777" w:rsidTr="009A7AC2">
        <w:trPr>
          <w:trHeight w:val="60"/>
          <w:jc w:val="center"/>
        </w:trPr>
        <w:tc>
          <w:tcPr>
            <w:tcW w:w="376" w:type="pct"/>
            <w:vMerge/>
            <w:tcBorders>
              <w:right w:val="single" w:sz="12" w:space="0" w:color="auto"/>
            </w:tcBorders>
            <w:shd w:val="clear" w:color="auto" w:fill="F2F2F2"/>
            <w:noWrap/>
            <w:vAlign w:val="center"/>
          </w:tcPr>
          <w:p w14:paraId="019D69D3"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top w:val="single" w:sz="8" w:space="0" w:color="auto"/>
              <w:left w:val="single" w:sz="12" w:space="0" w:color="auto"/>
              <w:bottom w:val="single" w:sz="8" w:space="0" w:color="auto"/>
            </w:tcBorders>
            <w:shd w:val="clear" w:color="auto" w:fill="F2F2F2"/>
            <w:noWrap/>
            <w:vAlign w:val="center"/>
          </w:tcPr>
          <w:p w14:paraId="0EF16872"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Řešit problematiku kanalizace a kanalizační sítě</w:t>
            </w:r>
          </w:p>
        </w:tc>
        <w:tc>
          <w:tcPr>
            <w:tcW w:w="1721" w:type="pct"/>
            <w:tcBorders>
              <w:top w:val="single" w:sz="8" w:space="0" w:color="auto"/>
              <w:bottom w:val="single" w:sz="8" w:space="0" w:color="auto"/>
            </w:tcBorders>
            <w:shd w:val="clear" w:color="auto" w:fill="F2F2F2"/>
            <w:noWrap/>
            <w:vAlign w:val="center"/>
          </w:tcPr>
          <w:p w14:paraId="5E409802"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Počet objektů nově napojených na kanalizační síť </w:t>
            </w:r>
            <w:r>
              <w:rPr>
                <w:rFonts w:ascii="Calibri" w:eastAsia="Times New Roman" w:hAnsi="Calibri" w:cs="Times New Roman"/>
                <w:color w:val="000000"/>
                <w:sz w:val="20"/>
                <w:szCs w:val="20"/>
                <w:lang w:eastAsia="cs-CZ"/>
              </w:rPr>
              <w:br/>
              <w:t>či majících domácí ČOV či septik s biofiltrem</w:t>
            </w:r>
          </w:p>
        </w:tc>
        <w:tc>
          <w:tcPr>
            <w:tcW w:w="407" w:type="pct"/>
            <w:tcBorders>
              <w:top w:val="single" w:sz="8" w:space="0" w:color="auto"/>
              <w:bottom w:val="single" w:sz="8" w:space="0" w:color="auto"/>
            </w:tcBorders>
            <w:shd w:val="clear" w:color="auto" w:fill="F2F2F2"/>
            <w:noWrap/>
            <w:vAlign w:val="center"/>
          </w:tcPr>
          <w:p w14:paraId="6F146BB7"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406" w:type="pct"/>
            <w:tcBorders>
              <w:top w:val="single" w:sz="8" w:space="0" w:color="auto"/>
              <w:bottom w:val="single" w:sz="8" w:space="0" w:color="auto"/>
            </w:tcBorders>
            <w:shd w:val="clear" w:color="auto" w:fill="F2F2F2"/>
            <w:noWrap/>
            <w:vAlign w:val="center"/>
          </w:tcPr>
          <w:p w14:paraId="7D752BAF"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bottom w:val="single" w:sz="8" w:space="0" w:color="auto"/>
            </w:tcBorders>
            <w:shd w:val="clear" w:color="auto" w:fill="F2F2F2"/>
            <w:noWrap/>
            <w:vAlign w:val="center"/>
          </w:tcPr>
          <w:p w14:paraId="1319E17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10</w:t>
            </w:r>
          </w:p>
        </w:tc>
      </w:tr>
      <w:tr w:rsidR="00837905" w:rsidRPr="00DB41E2" w14:paraId="0426BE13" w14:textId="77777777" w:rsidTr="009A7AC2">
        <w:trPr>
          <w:trHeight w:val="60"/>
          <w:jc w:val="center"/>
        </w:trPr>
        <w:tc>
          <w:tcPr>
            <w:tcW w:w="376" w:type="pct"/>
            <w:vMerge/>
            <w:tcBorders>
              <w:bottom w:val="single" w:sz="12" w:space="0" w:color="auto"/>
              <w:right w:val="single" w:sz="12" w:space="0" w:color="auto"/>
            </w:tcBorders>
            <w:shd w:val="clear" w:color="auto" w:fill="F2F2F2"/>
            <w:noWrap/>
            <w:vAlign w:val="center"/>
          </w:tcPr>
          <w:p w14:paraId="018E8750"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top w:val="single" w:sz="8" w:space="0" w:color="auto"/>
              <w:left w:val="single" w:sz="12" w:space="0" w:color="auto"/>
              <w:bottom w:val="single" w:sz="12" w:space="0" w:color="auto"/>
            </w:tcBorders>
            <w:shd w:val="clear" w:color="auto" w:fill="F2F2F2"/>
            <w:noWrap/>
            <w:vAlign w:val="center"/>
          </w:tcPr>
          <w:p w14:paraId="53E9B0E6"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Vybudovat varovný a vyrozumívací systém</w:t>
            </w:r>
          </w:p>
        </w:tc>
        <w:tc>
          <w:tcPr>
            <w:tcW w:w="1721" w:type="pct"/>
            <w:tcBorders>
              <w:top w:val="single" w:sz="8" w:space="0" w:color="auto"/>
              <w:bottom w:val="single" w:sz="12" w:space="0" w:color="auto"/>
            </w:tcBorders>
            <w:shd w:val="clear" w:color="auto" w:fill="F2F2F2"/>
            <w:noWrap/>
            <w:vAlign w:val="center"/>
          </w:tcPr>
          <w:p w14:paraId="4734412C" w14:textId="77777777" w:rsidR="00837905" w:rsidRPr="00DB41E2" w:rsidRDefault="00837905" w:rsidP="009A7AC2">
            <w:pPr>
              <w:jc w:val="center"/>
              <w:rPr>
                <w:rFonts w:ascii="Calibri" w:eastAsia="Times New Roman" w:hAnsi="Calibri" w:cs="Times New Roman"/>
                <w:color w:val="000000"/>
                <w:sz w:val="20"/>
                <w:szCs w:val="20"/>
                <w:lang w:eastAsia="cs-CZ"/>
              </w:rPr>
            </w:pPr>
            <w:r w:rsidRPr="005129D9">
              <w:rPr>
                <w:rFonts w:ascii="Calibri" w:eastAsia="Times New Roman" w:hAnsi="Calibri" w:cs="Times New Roman"/>
                <w:color w:val="000000"/>
                <w:sz w:val="20"/>
                <w:szCs w:val="20"/>
                <w:lang w:eastAsia="cs-CZ"/>
              </w:rPr>
              <w:t>Vybudov</w:t>
            </w:r>
            <w:r>
              <w:rPr>
                <w:rFonts w:ascii="Calibri" w:eastAsia="Times New Roman" w:hAnsi="Calibri" w:cs="Times New Roman"/>
                <w:color w:val="000000"/>
                <w:sz w:val="20"/>
                <w:szCs w:val="20"/>
                <w:lang w:eastAsia="cs-CZ"/>
              </w:rPr>
              <w:t>án</w:t>
            </w:r>
            <w:r w:rsidRPr="005129D9">
              <w:rPr>
                <w:rFonts w:ascii="Calibri" w:eastAsia="Times New Roman" w:hAnsi="Calibri" w:cs="Times New Roman"/>
                <w:color w:val="000000"/>
                <w:sz w:val="20"/>
                <w:szCs w:val="20"/>
                <w:lang w:eastAsia="cs-CZ"/>
              </w:rPr>
              <w:t xml:space="preserve"> varovný a vyrozumívací systém</w:t>
            </w:r>
          </w:p>
        </w:tc>
        <w:tc>
          <w:tcPr>
            <w:tcW w:w="407" w:type="pct"/>
            <w:tcBorders>
              <w:top w:val="single" w:sz="8" w:space="0" w:color="auto"/>
              <w:bottom w:val="single" w:sz="12" w:space="0" w:color="auto"/>
            </w:tcBorders>
            <w:shd w:val="clear" w:color="auto" w:fill="F2F2F2"/>
            <w:noWrap/>
            <w:vAlign w:val="center"/>
          </w:tcPr>
          <w:p w14:paraId="3AB4FD37"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top w:val="single" w:sz="8" w:space="0" w:color="auto"/>
              <w:bottom w:val="single" w:sz="12" w:space="0" w:color="auto"/>
            </w:tcBorders>
            <w:shd w:val="clear" w:color="auto" w:fill="F2F2F2"/>
            <w:noWrap/>
            <w:vAlign w:val="center"/>
          </w:tcPr>
          <w:p w14:paraId="4C6304B7"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bottom w:val="single" w:sz="12" w:space="0" w:color="auto"/>
            </w:tcBorders>
            <w:shd w:val="clear" w:color="auto" w:fill="F2F2F2"/>
            <w:noWrap/>
            <w:vAlign w:val="center"/>
          </w:tcPr>
          <w:p w14:paraId="0DB8C33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741DF402" w14:textId="77777777" w:rsidTr="009A7AC2">
        <w:trPr>
          <w:trHeight w:val="60"/>
          <w:jc w:val="center"/>
        </w:trPr>
        <w:tc>
          <w:tcPr>
            <w:tcW w:w="376" w:type="pct"/>
            <w:tcBorders>
              <w:top w:val="single" w:sz="12" w:space="0" w:color="auto"/>
              <w:bottom w:val="single" w:sz="12" w:space="0" w:color="auto"/>
              <w:right w:val="single" w:sz="12" w:space="0" w:color="auto"/>
            </w:tcBorders>
            <w:shd w:val="clear" w:color="auto" w:fill="BFBFBF"/>
            <w:noWrap/>
            <w:vAlign w:val="center"/>
          </w:tcPr>
          <w:p w14:paraId="5D569A3E" w14:textId="77777777" w:rsidR="00837905" w:rsidRPr="00DB41E2" w:rsidRDefault="00837905" w:rsidP="009A7AC2">
            <w:pPr>
              <w:jc w:val="center"/>
              <w:rPr>
                <w:rFonts w:ascii="Calibri" w:eastAsia="Times New Roman" w:hAnsi="Calibri" w:cs="Times New Roman"/>
                <w:color w:val="000000"/>
                <w:sz w:val="20"/>
                <w:szCs w:val="20"/>
                <w:lang w:eastAsia="cs-CZ"/>
              </w:rPr>
            </w:pPr>
            <w:r>
              <w:br w:type="page"/>
            </w:r>
            <w:r w:rsidRPr="00DB41E2">
              <w:br w:type="page"/>
            </w:r>
            <w:r w:rsidRPr="00DB41E2">
              <w:rPr>
                <w:rFonts w:ascii="Calibri" w:eastAsia="Times New Roman" w:hAnsi="Calibri" w:cs="Times New Roman"/>
                <w:b/>
                <w:color w:val="000000"/>
                <w:sz w:val="20"/>
                <w:szCs w:val="20"/>
                <w:lang w:eastAsia="cs-CZ"/>
              </w:rPr>
              <w:t>Cíl</w:t>
            </w:r>
          </w:p>
        </w:tc>
        <w:tc>
          <w:tcPr>
            <w:tcW w:w="1653" w:type="pct"/>
            <w:tcBorders>
              <w:top w:val="single" w:sz="12" w:space="0" w:color="auto"/>
              <w:left w:val="single" w:sz="12" w:space="0" w:color="auto"/>
              <w:bottom w:val="single" w:sz="12" w:space="0" w:color="auto"/>
            </w:tcBorders>
            <w:shd w:val="clear" w:color="auto" w:fill="BFBFBF"/>
            <w:noWrap/>
            <w:vAlign w:val="center"/>
          </w:tcPr>
          <w:p w14:paraId="5E683754" w14:textId="77777777" w:rsidR="00837905" w:rsidRPr="00DB41E2" w:rsidRDefault="00837905" w:rsidP="009A7AC2">
            <w:pPr>
              <w:contextualSpacing/>
              <w:jc w:val="center"/>
              <w:rPr>
                <w:rFonts w:ascii="Calibri" w:eastAsia="Times New Roman" w:hAnsi="Calibri" w:cs="Times New Roman"/>
                <w:b/>
                <w:color w:val="000000"/>
                <w:sz w:val="20"/>
                <w:szCs w:val="20"/>
                <w:lang w:eastAsia="cs-CZ"/>
              </w:rPr>
            </w:pPr>
            <w:r w:rsidRPr="00FE6910">
              <w:rPr>
                <w:rFonts w:ascii="Calibri" w:eastAsia="Times New Roman" w:hAnsi="Calibri" w:cs="Times New Roman"/>
                <w:b/>
                <w:color w:val="000000"/>
                <w:sz w:val="20"/>
                <w:szCs w:val="20"/>
                <w:lang w:eastAsia="cs-CZ"/>
              </w:rPr>
              <w:t>Zlepšit stav budov a vytipovaných ploch ve</w:t>
            </w:r>
            <w:r>
              <w:rPr>
                <w:rFonts w:ascii="Calibri" w:eastAsia="Times New Roman" w:hAnsi="Calibri" w:cs="Times New Roman"/>
                <w:b/>
                <w:color w:val="000000"/>
                <w:sz w:val="20"/>
                <w:szCs w:val="20"/>
                <w:lang w:eastAsia="cs-CZ"/>
              </w:rPr>
              <w:t xml:space="preserve"> </w:t>
            </w:r>
            <w:r w:rsidRPr="00FE6910">
              <w:rPr>
                <w:rFonts w:ascii="Calibri" w:eastAsia="Times New Roman" w:hAnsi="Calibri" w:cs="Times New Roman"/>
                <w:b/>
                <w:color w:val="000000"/>
                <w:sz w:val="20"/>
                <w:szCs w:val="20"/>
                <w:lang w:eastAsia="cs-CZ"/>
              </w:rPr>
              <w:t>vlastnictví obce či majících charakter veřejné infrastruktury</w:t>
            </w:r>
          </w:p>
        </w:tc>
        <w:tc>
          <w:tcPr>
            <w:tcW w:w="1721" w:type="pct"/>
            <w:tcBorders>
              <w:top w:val="single" w:sz="12" w:space="0" w:color="auto"/>
              <w:bottom w:val="single" w:sz="12" w:space="0" w:color="auto"/>
            </w:tcBorders>
            <w:shd w:val="clear" w:color="auto" w:fill="BFBFBF"/>
            <w:noWrap/>
            <w:vAlign w:val="center"/>
          </w:tcPr>
          <w:p w14:paraId="5F1F868D"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DB41E2">
              <w:rPr>
                <w:rFonts w:ascii="Calibri" w:eastAsia="Times New Roman" w:hAnsi="Calibri" w:cs="Times New Roman"/>
                <w:b/>
                <w:color w:val="000000"/>
                <w:sz w:val="20"/>
                <w:szCs w:val="20"/>
                <w:lang w:eastAsia="cs-CZ"/>
              </w:rPr>
              <w:t xml:space="preserve">Počet nemovitostí s nově </w:t>
            </w:r>
            <w:r>
              <w:rPr>
                <w:rFonts w:ascii="Calibri" w:eastAsia="Times New Roman" w:hAnsi="Calibri" w:cs="Times New Roman"/>
                <w:b/>
                <w:color w:val="000000"/>
                <w:sz w:val="20"/>
                <w:szCs w:val="20"/>
                <w:lang w:eastAsia="cs-CZ"/>
              </w:rPr>
              <w:t xml:space="preserve">zlepšeným </w:t>
            </w:r>
            <w:r w:rsidRPr="00DB41E2">
              <w:rPr>
                <w:rFonts w:ascii="Calibri" w:eastAsia="Times New Roman" w:hAnsi="Calibri" w:cs="Times New Roman"/>
                <w:b/>
                <w:color w:val="000000"/>
                <w:sz w:val="20"/>
                <w:szCs w:val="20"/>
                <w:lang w:eastAsia="cs-CZ"/>
              </w:rPr>
              <w:t>stavem</w:t>
            </w:r>
          </w:p>
        </w:tc>
        <w:tc>
          <w:tcPr>
            <w:tcW w:w="407" w:type="pct"/>
            <w:tcBorders>
              <w:top w:val="single" w:sz="12" w:space="0" w:color="auto"/>
              <w:bottom w:val="single" w:sz="12" w:space="0" w:color="auto"/>
            </w:tcBorders>
            <w:shd w:val="clear" w:color="auto" w:fill="BFBFBF"/>
            <w:noWrap/>
            <w:vAlign w:val="center"/>
          </w:tcPr>
          <w:p w14:paraId="5779C4C9"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počet</w:t>
            </w:r>
          </w:p>
        </w:tc>
        <w:tc>
          <w:tcPr>
            <w:tcW w:w="406" w:type="pct"/>
            <w:tcBorders>
              <w:top w:val="single" w:sz="12" w:space="0" w:color="auto"/>
              <w:bottom w:val="single" w:sz="12" w:space="0" w:color="auto"/>
            </w:tcBorders>
            <w:shd w:val="clear" w:color="auto" w:fill="BFBFBF"/>
            <w:noWrap/>
            <w:vAlign w:val="center"/>
          </w:tcPr>
          <w:p w14:paraId="757F2CA1"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0</w:t>
            </w:r>
          </w:p>
        </w:tc>
        <w:tc>
          <w:tcPr>
            <w:tcW w:w="437" w:type="pct"/>
            <w:tcBorders>
              <w:top w:val="single" w:sz="12" w:space="0" w:color="auto"/>
              <w:bottom w:val="single" w:sz="12" w:space="0" w:color="auto"/>
            </w:tcBorders>
            <w:shd w:val="clear" w:color="auto" w:fill="BFBFBF"/>
            <w:noWrap/>
            <w:vAlign w:val="center"/>
          </w:tcPr>
          <w:p w14:paraId="2AE025FC"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7</w:t>
            </w:r>
          </w:p>
        </w:tc>
      </w:tr>
      <w:tr w:rsidR="00837905" w:rsidRPr="00DB41E2" w14:paraId="0CB153E8" w14:textId="77777777" w:rsidTr="009A7AC2">
        <w:trPr>
          <w:trHeight w:val="50"/>
          <w:jc w:val="center"/>
        </w:trPr>
        <w:tc>
          <w:tcPr>
            <w:tcW w:w="376" w:type="pct"/>
            <w:tcBorders>
              <w:top w:val="single" w:sz="12" w:space="0" w:color="auto"/>
              <w:bottom w:val="single" w:sz="12" w:space="0" w:color="auto"/>
              <w:right w:val="single" w:sz="12" w:space="0" w:color="auto"/>
            </w:tcBorders>
            <w:shd w:val="clear" w:color="auto" w:fill="D9D9D9"/>
            <w:noWrap/>
            <w:vAlign w:val="center"/>
            <w:hideMark/>
          </w:tcPr>
          <w:p w14:paraId="3C26EB29"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DB41E2">
              <w:rPr>
                <w:rFonts w:ascii="Calibri" w:eastAsia="Calibri" w:hAnsi="Calibri" w:cs="Times New Roman"/>
              </w:rPr>
              <w:br w:type="page"/>
            </w:r>
            <w:r w:rsidRPr="00DB41E2">
              <w:rPr>
                <w:rFonts w:ascii="Calibri" w:eastAsia="Times New Roman" w:hAnsi="Calibri" w:cs="Times New Roman"/>
                <w:b/>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D9D9D9"/>
            <w:noWrap/>
            <w:vAlign w:val="center"/>
          </w:tcPr>
          <w:p w14:paraId="3C18563E" w14:textId="77777777" w:rsidR="00837905" w:rsidRPr="00DB41E2" w:rsidRDefault="00837905" w:rsidP="009A7AC2">
            <w:pPr>
              <w:contextualSpacing/>
              <w:jc w:val="center"/>
              <w:rPr>
                <w:rFonts w:ascii="Calibri" w:eastAsia="Times New Roman" w:hAnsi="Calibri" w:cs="Times New Roman"/>
                <w:b/>
                <w:color w:val="000000"/>
                <w:sz w:val="20"/>
                <w:szCs w:val="20"/>
                <w:lang w:eastAsia="cs-CZ"/>
              </w:rPr>
            </w:pPr>
            <w:r w:rsidRPr="00FE6910">
              <w:rPr>
                <w:rFonts w:ascii="Calibri" w:eastAsia="Times New Roman" w:hAnsi="Calibri" w:cs="Times New Roman"/>
                <w:b/>
                <w:color w:val="000000"/>
                <w:sz w:val="20"/>
                <w:szCs w:val="20"/>
                <w:lang w:eastAsia="cs-CZ"/>
              </w:rPr>
              <w:t>Zkvalitnit stav budov ve vlastnictví obce</w:t>
            </w:r>
          </w:p>
        </w:tc>
      </w:tr>
      <w:tr w:rsidR="00837905" w:rsidRPr="00DB41E2" w14:paraId="1E8693E1" w14:textId="77777777" w:rsidTr="009A7AC2">
        <w:trPr>
          <w:trHeight w:val="120"/>
          <w:jc w:val="center"/>
        </w:trPr>
        <w:tc>
          <w:tcPr>
            <w:tcW w:w="376" w:type="pct"/>
            <w:vMerge w:val="restart"/>
            <w:tcBorders>
              <w:right w:val="single" w:sz="12" w:space="0" w:color="auto"/>
            </w:tcBorders>
            <w:shd w:val="clear" w:color="auto" w:fill="F2F2F2"/>
            <w:noWrap/>
            <w:vAlign w:val="center"/>
          </w:tcPr>
          <w:p w14:paraId="09EC946C"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653" w:type="pct"/>
            <w:vMerge w:val="restart"/>
            <w:tcBorders>
              <w:top w:val="single" w:sz="8" w:space="0" w:color="auto"/>
              <w:left w:val="single" w:sz="12" w:space="0" w:color="auto"/>
            </w:tcBorders>
            <w:shd w:val="clear" w:color="auto" w:fill="F2F2F2"/>
            <w:noWrap/>
            <w:vAlign w:val="center"/>
          </w:tcPr>
          <w:p w14:paraId="54069BFF"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FE6910">
              <w:rPr>
                <w:rFonts w:ascii="Calibri" w:eastAsia="Times New Roman" w:hAnsi="Calibri" w:cs="Times New Roman"/>
                <w:color w:val="000000"/>
                <w:sz w:val="20"/>
                <w:szCs w:val="20"/>
                <w:lang w:eastAsia="cs-CZ"/>
              </w:rPr>
              <w:t>Zajistit komplexní rekonstrukci budovy s č. p. 50</w:t>
            </w:r>
          </w:p>
        </w:tc>
        <w:tc>
          <w:tcPr>
            <w:tcW w:w="1721" w:type="pct"/>
            <w:tcBorders>
              <w:top w:val="single" w:sz="8" w:space="0" w:color="auto"/>
              <w:bottom w:val="single" w:sz="8" w:space="0" w:color="auto"/>
            </w:tcBorders>
            <w:shd w:val="clear" w:color="auto" w:fill="F2F2F2"/>
            <w:noWrap/>
            <w:vAlign w:val="center"/>
          </w:tcPr>
          <w:p w14:paraId="1C9B5849"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Zajištěno zateplení budovy</w:t>
            </w:r>
          </w:p>
        </w:tc>
        <w:tc>
          <w:tcPr>
            <w:tcW w:w="407" w:type="pct"/>
            <w:tcBorders>
              <w:top w:val="single" w:sz="8" w:space="0" w:color="auto"/>
            </w:tcBorders>
            <w:shd w:val="clear" w:color="auto" w:fill="F2F2F2"/>
            <w:noWrap/>
            <w:vAlign w:val="center"/>
          </w:tcPr>
          <w:p w14:paraId="0E96A96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top w:val="single" w:sz="8" w:space="0" w:color="auto"/>
            </w:tcBorders>
            <w:shd w:val="clear" w:color="auto" w:fill="F2F2F2"/>
            <w:noWrap/>
            <w:vAlign w:val="center"/>
          </w:tcPr>
          <w:p w14:paraId="44EDE02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tcBorders>
            <w:shd w:val="clear" w:color="auto" w:fill="F2F2F2"/>
            <w:noWrap/>
            <w:vAlign w:val="center"/>
          </w:tcPr>
          <w:p w14:paraId="74BD558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1AE04FAF" w14:textId="77777777" w:rsidTr="009A7AC2">
        <w:trPr>
          <w:trHeight w:val="120"/>
          <w:jc w:val="center"/>
        </w:trPr>
        <w:tc>
          <w:tcPr>
            <w:tcW w:w="376" w:type="pct"/>
            <w:vMerge/>
            <w:tcBorders>
              <w:right w:val="single" w:sz="12" w:space="0" w:color="auto"/>
            </w:tcBorders>
            <w:shd w:val="clear" w:color="auto" w:fill="F2F2F2"/>
            <w:noWrap/>
            <w:vAlign w:val="center"/>
          </w:tcPr>
          <w:p w14:paraId="2BE3DA02"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vMerge/>
            <w:tcBorders>
              <w:left w:val="single" w:sz="12" w:space="0" w:color="auto"/>
              <w:bottom w:val="single" w:sz="8" w:space="0" w:color="auto"/>
            </w:tcBorders>
            <w:shd w:val="clear" w:color="auto" w:fill="F2F2F2"/>
            <w:noWrap/>
            <w:vAlign w:val="center"/>
          </w:tcPr>
          <w:p w14:paraId="5F2F4C33" w14:textId="77777777" w:rsidR="00837905" w:rsidRPr="00FE6910" w:rsidRDefault="00837905" w:rsidP="009A7AC2">
            <w:pPr>
              <w:contextualSpacing/>
              <w:jc w:val="center"/>
              <w:rPr>
                <w:rFonts w:ascii="Calibri" w:eastAsia="Times New Roman" w:hAnsi="Calibri" w:cs="Times New Roman"/>
                <w:color w:val="000000"/>
                <w:sz w:val="20"/>
                <w:szCs w:val="20"/>
                <w:lang w:eastAsia="cs-CZ"/>
              </w:rPr>
            </w:pPr>
          </w:p>
        </w:tc>
        <w:tc>
          <w:tcPr>
            <w:tcW w:w="1721" w:type="pct"/>
            <w:tcBorders>
              <w:top w:val="single" w:sz="8" w:space="0" w:color="auto"/>
              <w:bottom w:val="single" w:sz="8" w:space="0" w:color="auto"/>
            </w:tcBorders>
            <w:shd w:val="clear" w:color="auto" w:fill="F2F2F2"/>
            <w:noWrap/>
            <w:vAlign w:val="center"/>
          </w:tcPr>
          <w:p w14:paraId="348B39B0"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F5699F">
              <w:rPr>
                <w:rFonts w:ascii="Calibri" w:eastAsia="Times New Roman" w:hAnsi="Calibri" w:cs="Times New Roman"/>
                <w:color w:val="000000"/>
                <w:sz w:val="20"/>
                <w:szCs w:val="20"/>
                <w:lang w:eastAsia="cs-CZ"/>
              </w:rPr>
              <w:t>Moderniz</w:t>
            </w:r>
            <w:r>
              <w:rPr>
                <w:rFonts w:ascii="Calibri" w:eastAsia="Times New Roman" w:hAnsi="Calibri" w:cs="Times New Roman"/>
                <w:color w:val="000000"/>
                <w:sz w:val="20"/>
                <w:szCs w:val="20"/>
                <w:lang w:eastAsia="cs-CZ"/>
              </w:rPr>
              <w:t>ován</w:t>
            </w:r>
            <w:r w:rsidRPr="00F5699F">
              <w:rPr>
                <w:rFonts w:ascii="Calibri" w:eastAsia="Times New Roman" w:hAnsi="Calibri" w:cs="Times New Roman"/>
                <w:color w:val="000000"/>
                <w:sz w:val="20"/>
                <w:szCs w:val="20"/>
                <w:lang w:eastAsia="cs-CZ"/>
              </w:rPr>
              <w:t xml:space="preserve"> interiér budovy</w:t>
            </w:r>
          </w:p>
        </w:tc>
        <w:tc>
          <w:tcPr>
            <w:tcW w:w="407" w:type="pct"/>
            <w:tcBorders>
              <w:bottom w:val="single" w:sz="8" w:space="0" w:color="auto"/>
            </w:tcBorders>
            <w:shd w:val="clear" w:color="auto" w:fill="F2F2F2"/>
            <w:noWrap/>
            <w:vAlign w:val="center"/>
          </w:tcPr>
          <w:p w14:paraId="5C30E3C3"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bottom w:val="single" w:sz="8" w:space="0" w:color="auto"/>
            </w:tcBorders>
            <w:shd w:val="clear" w:color="auto" w:fill="F2F2F2"/>
            <w:noWrap/>
            <w:vAlign w:val="center"/>
          </w:tcPr>
          <w:p w14:paraId="5A9E8CF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bottom w:val="single" w:sz="8" w:space="0" w:color="auto"/>
            </w:tcBorders>
            <w:shd w:val="clear" w:color="auto" w:fill="F2F2F2"/>
            <w:noWrap/>
            <w:vAlign w:val="center"/>
          </w:tcPr>
          <w:p w14:paraId="0F932432"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2408038F" w14:textId="77777777" w:rsidTr="009A7AC2">
        <w:trPr>
          <w:trHeight w:val="35"/>
          <w:jc w:val="center"/>
        </w:trPr>
        <w:tc>
          <w:tcPr>
            <w:tcW w:w="376" w:type="pct"/>
            <w:vMerge/>
            <w:tcBorders>
              <w:right w:val="single" w:sz="12" w:space="0" w:color="auto"/>
            </w:tcBorders>
            <w:shd w:val="clear" w:color="auto" w:fill="F2F2F2"/>
            <w:noWrap/>
            <w:vAlign w:val="center"/>
          </w:tcPr>
          <w:p w14:paraId="2A5DA4EC"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top w:val="single" w:sz="8" w:space="0" w:color="auto"/>
              <w:left w:val="single" w:sz="12" w:space="0" w:color="auto"/>
              <w:bottom w:val="single" w:sz="8" w:space="0" w:color="auto"/>
            </w:tcBorders>
            <w:shd w:val="clear" w:color="auto" w:fill="F2F2F2"/>
            <w:noWrap/>
            <w:vAlign w:val="center"/>
          </w:tcPr>
          <w:p w14:paraId="658CBBFD"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FE6910">
              <w:rPr>
                <w:rFonts w:ascii="Calibri" w:eastAsia="Times New Roman" w:hAnsi="Calibri" w:cs="Times New Roman"/>
                <w:color w:val="000000"/>
                <w:sz w:val="20"/>
                <w:szCs w:val="20"/>
                <w:lang w:eastAsia="cs-CZ"/>
              </w:rPr>
              <w:t>Rekonstruovat domek hrobníka</w:t>
            </w:r>
          </w:p>
        </w:tc>
        <w:tc>
          <w:tcPr>
            <w:tcW w:w="1721" w:type="pct"/>
            <w:tcBorders>
              <w:top w:val="single" w:sz="8" w:space="0" w:color="auto"/>
              <w:bottom w:val="single" w:sz="8" w:space="0" w:color="auto"/>
            </w:tcBorders>
            <w:shd w:val="clear" w:color="auto" w:fill="F2F2F2"/>
            <w:noWrap/>
            <w:vAlign w:val="center"/>
          </w:tcPr>
          <w:p w14:paraId="6314B2F9"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FE6910">
              <w:rPr>
                <w:rFonts w:ascii="Calibri" w:eastAsia="Times New Roman" w:hAnsi="Calibri" w:cs="Times New Roman"/>
                <w:color w:val="000000"/>
                <w:sz w:val="20"/>
                <w:szCs w:val="20"/>
                <w:lang w:eastAsia="cs-CZ"/>
              </w:rPr>
              <w:t>Rekonstruov</w:t>
            </w:r>
            <w:r>
              <w:rPr>
                <w:rFonts w:ascii="Calibri" w:eastAsia="Times New Roman" w:hAnsi="Calibri" w:cs="Times New Roman"/>
                <w:color w:val="000000"/>
                <w:sz w:val="20"/>
                <w:szCs w:val="20"/>
                <w:lang w:eastAsia="cs-CZ"/>
              </w:rPr>
              <w:t>án</w:t>
            </w:r>
            <w:r w:rsidRPr="00FE6910">
              <w:rPr>
                <w:rFonts w:ascii="Calibri" w:eastAsia="Times New Roman" w:hAnsi="Calibri" w:cs="Times New Roman"/>
                <w:color w:val="000000"/>
                <w:sz w:val="20"/>
                <w:szCs w:val="20"/>
                <w:lang w:eastAsia="cs-CZ"/>
              </w:rPr>
              <w:t xml:space="preserve"> domek hrobníka</w:t>
            </w:r>
          </w:p>
        </w:tc>
        <w:tc>
          <w:tcPr>
            <w:tcW w:w="407" w:type="pct"/>
            <w:tcBorders>
              <w:top w:val="single" w:sz="8" w:space="0" w:color="auto"/>
              <w:bottom w:val="single" w:sz="8" w:space="0" w:color="auto"/>
            </w:tcBorders>
            <w:shd w:val="clear" w:color="auto" w:fill="F2F2F2"/>
            <w:noWrap/>
            <w:vAlign w:val="center"/>
          </w:tcPr>
          <w:p w14:paraId="2C22E10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top w:val="single" w:sz="8" w:space="0" w:color="auto"/>
              <w:bottom w:val="single" w:sz="8" w:space="0" w:color="auto"/>
            </w:tcBorders>
            <w:shd w:val="clear" w:color="auto" w:fill="F2F2F2"/>
            <w:noWrap/>
            <w:vAlign w:val="center"/>
          </w:tcPr>
          <w:p w14:paraId="511FE34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bottom w:val="single" w:sz="8" w:space="0" w:color="auto"/>
            </w:tcBorders>
            <w:shd w:val="clear" w:color="auto" w:fill="F2F2F2"/>
            <w:noWrap/>
            <w:vAlign w:val="center"/>
          </w:tcPr>
          <w:p w14:paraId="4F5FA9F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72F5ED41" w14:textId="77777777" w:rsidTr="009A7AC2">
        <w:trPr>
          <w:trHeight w:val="35"/>
          <w:jc w:val="center"/>
        </w:trPr>
        <w:tc>
          <w:tcPr>
            <w:tcW w:w="376" w:type="pct"/>
            <w:vMerge/>
            <w:tcBorders>
              <w:right w:val="single" w:sz="12" w:space="0" w:color="auto"/>
            </w:tcBorders>
            <w:shd w:val="clear" w:color="auto" w:fill="F2F2F2"/>
            <w:noWrap/>
            <w:vAlign w:val="center"/>
          </w:tcPr>
          <w:p w14:paraId="627D3979"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top w:val="single" w:sz="8" w:space="0" w:color="auto"/>
              <w:left w:val="single" w:sz="12" w:space="0" w:color="auto"/>
              <w:bottom w:val="single" w:sz="8" w:space="0" w:color="auto"/>
            </w:tcBorders>
            <w:shd w:val="clear" w:color="auto" w:fill="F2F2F2"/>
            <w:noWrap/>
            <w:vAlign w:val="center"/>
          </w:tcPr>
          <w:p w14:paraId="7912BD75"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FE6910">
              <w:rPr>
                <w:rFonts w:ascii="Calibri" w:eastAsia="Times New Roman" w:hAnsi="Calibri" w:cs="Times New Roman"/>
                <w:color w:val="000000"/>
                <w:sz w:val="20"/>
                <w:szCs w:val="20"/>
                <w:lang w:eastAsia="cs-CZ"/>
              </w:rPr>
              <w:t>Zlepšit stav interiéru Kostela sv. Anny</w:t>
            </w:r>
          </w:p>
        </w:tc>
        <w:tc>
          <w:tcPr>
            <w:tcW w:w="1721" w:type="pct"/>
            <w:tcBorders>
              <w:top w:val="single" w:sz="8" w:space="0" w:color="auto"/>
              <w:bottom w:val="single" w:sz="8" w:space="0" w:color="auto"/>
            </w:tcBorders>
            <w:shd w:val="clear" w:color="auto" w:fill="F2F2F2"/>
            <w:noWrap/>
            <w:vAlign w:val="center"/>
          </w:tcPr>
          <w:p w14:paraId="5EFB1DEC"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FE6910">
              <w:rPr>
                <w:rFonts w:ascii="Calibri" w:eastAsia="Times New Roman" w:hAnsi="Calibri" w:cs="Times New Roman"/>
                <w:color w:val="000000"/>
                <w:sz w:val="20"/>
                <w:szCs w:val="20"/>
                <w:lang w:eastAsia="cs-CZ"/>
              </w:rPr>
              <w:t>Zlepš</w:t>
            </w:r>
            <w:r>
              <w:rPr>
                <w:rFonts w:ascii="Calibri" w:eastAsia="Times New Roman" w:hAnsi="Calibri" w:cs="Times New Roman"/>
                <w:color w:val="000000"/>
                <w:sz w:val="20"/>
                <w:szCs w:val="20"/>
                <w:lang w:eastAsia="cs-CZ"/>
              </w:rPr>
              <w:t>en</w:t>
            </w:r>
            <w:r w:rsidRPr="00FE6910">
              <w:rPr>
                <w:rFonts w:ascii="Calibri" w:eastAsia="Times New Roman" w:hAnsi="Calibri" w:cs="Times New Roman"/>
                <w:color w:val="000000"/>
                <w:sz w:val="20"/>
                <w:szCs w:val="20"/>
                <w:lang w:eastAsia="cs-CZ"/>
              </w:rPr>
              <w:t xml:space="preserve"> stav interiéru Kostela sv. Anny</w:t>
            </w:r>
          </w:p>
        </w:tc>
        <w:tc>
          <w:tcPr>
            <w:tcW w:w="407" w:type="pct"/>
            <w:tcBorders>
              <w:top w:val="single" w:sz="8" w:space="0" w:color="auto"/>
              <w:bottom w:val="single" w:sz="8" w:space="0" w:color="auto"/>
            </w:tcBorders>
            <w:shd w:val="clear" w:color="auto" w:fill="F2F2F2"/>
            <w:noWrap/>
            <w:vAlign w:val="center"/>
          </w:tcPr>
          <w:p w14:paraId="62B7E0A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top w:val="single" w:sz="8" w:space="0" w:color="auto"/>
              <w:bottom w:val="single" w:sz="8" w:space="0" w:color="auto"/>
            </w:tcBorders>
            <w:shd w:val="clear" w:color="auto" w:fill="F2F2F2"/>
            <w:noWrap/>
            <w:vAlign w:val="center"/>
          </w:tcPr>
          <w:p w14:paraId="4331E1B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bottom w:val="single" w:sz="8" w:space="0" w:color="auto"/>
            </w:tcBorders>
            <w:shd w:val="clear" w:color="auto" w:fill="F2F2F2"/>
            <w:noWrap/>
            <w:vAlign w:val="center"/>
          </w:tcPr>
          <w:p w14:paraId="6BAD507E"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134F6895" w14:textId="77777777" w:rsidTr="009A7AC2">
        <w:trPr>
          <w:trHeight w:val="68"/>
          <w:jc w:val="center"/>
        </w:trPr>
        <w:tc>
          <w:tcPr>
            <w:tcW w:w="376" w:type="pct"/>
            <w:tcBorders>
              <w:top w:val="single" w:sz="12" w:space="0" w:color="auto"/>
              <w:bottom w:val="single" w:sz="12" w:space="0" w:color="auto"/>
              <w:right w:val="single" w:sz="12" w:space="0" w:color="auto"/>
            </w:tcBorders>
            <w:shd w:val="clear" w:color="auto" w:fill="D9D9D9"/>
            <w:noWrap/>
            <w:vAlign w:val="center"/>
            <w:hideMark/>
          </w:tcPr>
          <w:p w14:paraId="5F9BBDA3"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D9D9D9"/>
            <w:noWrap/>
            <w:vAlign w:val="center"/>
          </w:tcPr>
          <w:p w14:paraId="74C70D20" w14:textId="77777777" w:rsidR="00837905" w:rsidRPr="00DB41E2" w:rsidRDefault="00837905" w:rsidP="009A7AC2">
            <w:pPr>
              <w:contextualSpacing/>
              <w:jc w:val="center"/>
              <w:rPr>
                <w:rFonts w:ascii="Calibri" w:eastAsia="Times New Roman" w:hAnsi="Calibri" w:cs="Times New Roman"/>
                <w:b/>
                <w:color w:val="000000"/>
                <w:sz w:val="20"/>
                <w:szCs w:val="20"/>
                <w:lang w:eastAsia="cs-CZ"/>
              </w:rPr>
            </w:pPr>
            <w:r w:rsidRPr="00FE6910">
              <w:rPr>
                <w:rFonts w:ascii="Calibri" w:eastAsia="Times New Roman" w:hAnsi="Calibri" w:cs="Times New Roman"/>
                <w:b/>
                <w:color w:val="000000"/>
                <w:sz w:val="20"/>
                <w:szCs w:val="20"/>
                <w:lang w:eastAsia="cs-CZ"/>
              </w:rPr>
              <w:t>Usilovat o zlepšení stavu staveb a ploch majících charakter veřejné infrastruktury</w:t>
            </w:r>
          </w:p>
        </w:tc>
      </w:tr>
      <w:tr w:rsidR="00837905" w:rsidRPr="00DB41E2" w14:paraId="43875718" w14:textId="77777777" w:rsidTr="009A7AC2">
        <w:trPr>
          <w:trHeight w:val="38"/>
          <w:jc w:val="center"/>
        </w:trPr>
        <w:tc>
          <w:tcPr>
            <w:tcW w:w="376" w:type="pct"/>
            <w:vMerge w:val="restart"/>
            <w:tcBorders>
              <w:top w:val="single" w:sz="12" w:space="0" w:color="auto"/>
              <w:right w:val="single" w:sz="12" w:space="0" w:color="auto"/>
            </w:tcBorders>
            <w:shd w:val="clear" w:color="auto" w:fill="F2F2F2"/>
            <w:noWrap/>
            <w:vAlign w:val="center"/>
            <w:hideMark/>
          </w:tcPr>
          <w:p w14:paraId="686BDB97"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653" w:type="pct"/>
            <w:tcBorders>
              <w:top w:val="single" w:sz="12" w:space="0" w:color="auto"/>
              <w:left w:val="single" w:sz="12" w:space="0" w:color="auto"/>
              <w:bottom w:val="single" w:sz="8" w:space="0" w:color="auto"/>
            </w:tcBorders>
            <w:shd w:val="clear" w:color="auto" w:fill="F2F2F2"/>
            <w:noWrap/>
            <w:vAlign w:val="center"/>
          </w:tcPr>
          <w:p w14:paraId="0CD42A4B"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FE6910">
              <w:rPr>
                <w:rFonts w:ascii="Calibri" w:eastAsia="Times New Roman" w:hAnsi="Calibri" w:cs="Times New Roman"/>
                <w:color w:val="000000"/>
                <w:sz w:val="20"/>
                <w:szCs w:val="20"/>
                <w:lang w:eastAsia="cs-CZ"/>
              </w:rPr>
              <w:t>Zlepšit stav autobusových zastávek</w:t>
            </w:r>
          </w:p>
        </w:tc>
        <w:tc>
          <w:tcPr>
            <w:tcW w:w="1721" w:type="pct"/>
            <w:tcBorders>
              <w:top w:val="single" w:sz="12" w:space="0" w:color="auto"/>
              <w:bottom w:val="single" w:sz="8" w:space="0" w:color="auto"/>
            </w:tcBorders>
            <w:shd w:val="clear" w:color="auto" w:fill="F2F2F2"/>
            <w:noWrap/>
            <w:vAlign w:val="center"/>
          </w:tcPr>
          <w:p w14:paraId="42672B1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 autobusových zastávek s nově zlepšeným stavem</w:t>
            </w:r>
          </w:p>
        </w:tc>
        <w:tc>
          <w:tcPr>
            <w:tcW w:w="407" w:type="pct"/>
            <w:tcBorders>
              <w:top w:val="single" w:sz="12" w:space="0" w:color="auto"/>
              <w:bottom w:val="single" w:sz="8" w:space="0" w:color="auto"/>
            </w:tcBorders>
            <w:shd w:val="clear" w:color="auto" w:fill="F2F2F2"/>
            <w:noWrap/>
            <w:vAlign w:val="center"/>
          </w:tcPr>
          <w:p w14:paraId="0AEC8213"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406" w:type="pct"/>
            <w:tcBorders>
              <w:top w:val="single" w:sz="12" w:space="0" w:color="auto"/>
              <w:bottom w:val="single" w:sz="8" w:space="0" w:color="auto"/>
            </w:tcBorders>
            <w:shd w:val="clear" w:color="auto" w:fill="F2F2F2"/>
            <w:noWrap/>
            <w:vAlign w:val="center"/>
          </w:tcPr>
          <w:p w14:paraId="2E46C448"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12" w:space="0" w:color="auto"/>
              <w:bottom w:val="single" w:sz="8" w:space="0" w:color="auto"/>
            </w:tcBorders>
            <w:shd w:val="clear" w:color="auto" w:fill="F2F2F2"/>
            <w:noWrap/>
            <w:vAlign w:val="center"/>
          </w:tcPr>
          <w:p w14:paraId="6BE4CC87"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w:t>
            </w:r>
          </w:p>
        </w:tc>
      </w:tr>
      <w:tr w:rsidR="00837905" w:rsidRPr="00DB41E2" w14:paraId="436C2CE2" w14:textId="77777777" w:rsidTr="009A7AC2">
        <w:trPr>
          <w:trHeight w:val="35"/>
          <w:jc w:val="center"/>
        </w:trPr>
        <w:tc>
          <w:tcPr>
            <w:tcW w:w="376" w:type="pct"/>
            <w:vMerge/>
            <w:tcBorders>
              <w:bottom w:val="single" w:sz="12" w:space="0" w:color="auto"/>
              <w:right w:val="single" w:sz="12" w:space="0" w:color="auto"/>
            </w:tcBorders>
            <w:shd w:val="clear" w:color="auto" w:fill="F2F2F2"/>
            <w:noWrap/>
            <w:vAlign w:val="center"/>
          </w:tcPr>
          <w:p w14:paraId="3A251DE5"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53" w:type="pct"/>
            <w:tcBorders>
              <w:top w:val="single" w:sz="8" w:space="0" w:color="auto"/>
              <w:left w:val="single" w:sz="12" w:space="0" w:color="auto"/>
              <w:bottom w:val="single" w:sz="12" w:space="0" w:color="auto"/>
            </w:tcBorders>
            <w:shd w:val="clear" w:color="auto" w:fill="F2F2F2"/>
            <w:noWrap/>
            <w:vAlign w:val="center"/>
          </w:tcPr>
          <w:p w14:paraId="3CF89C6E"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FE6910">
              <w:rPr>
                <w:rFonts w:ascii="Calibri" w:eastAsia="Times New Roman" w:hAnsi="Calibri" w:cs="Times New Roman"/>
                <w:color w:val="000000"/>
                <w:sz w:val="20"/>
                <w:szCs w:val="20"/>
                <w:lang w:eastAsia="cs-CZ"/>
              </w:rPr>
              <w:t>Opravit schody nacházející se poblíž sochy sv. Jana Nepomuckého</w:t>
            </w:r>
          </w:p>
        </w:tc>
        <w:tc>
          <w:tcPr>
            <w:tcW w:w="1721" w:type="pct"/>
            <w:tcBorders>
              <w:top w:val="single" w:sz="8" w:space="0" w:color="auto"/>
              <w:bottom w:val="single" w:sz="12" w:space="0" w:color="auto"/>
            </w:tcBorders>
            <w:shd w:val="clear" w:color="auto" w:fill="F2F2F2"/>
            <w:noWrap/>
            <w:vAlign w:val="center"/>
          </w:tcPr>
          <w:p w14:paraId="2895F151" w14:textId="77777777" w:rsidR="00837905" w:rsidRPr="00DB41E2" w:rsidRDefault="00837905" w:rsidP="009A7AC2">
            <w:pPr>
              <w:jc w:val="center"/>
              <w:rPr>
                <w:rFonts w:ascii="Calibri" w:eastAsia="Times New Roman" w:hAnsi="Calibri" w:cs="Times New Roman"/>
                <w:color w:val="000000"/>
                <w:sz w:val="20"/>
                <w:szCs w:val="20"/>
                <w:lang w:eastAsia="cs-CZ"/>
              </w:rPr>
            </w:pPr>
            <w:r w:rsidRPr="00FE6910">
              <w:rPr>
                <w:rFonts w:ascii="Calibri" w:eastAsia="Times New Roman" w:hAnsi="Calibri" w:cs="Times New Roman"/>
                <w:color w:val="000000"/>
                <w:sz w:val="20"/>
                <w:szCs w:val="20"/>
                <w:lang w:eastAsia="cs-CZ"/>
              </w:rPr>
              <w:t>Oprav</w:t>
            </w:r>
            <w:r>
              <w:rPr>
                <w:rFonts w:ascii="Calibri" w:eastAsia="Times New Roman" w:hAnsi="Calibri" w:cs="Times New Roman"/>
                <w:color w:val="000000"/>
                <w:sz w:val="20"/>
                <w:szCs w:val="20"/>
                <w:lang w:eastAsia="cs-CZ"/>
              </w:rPr>
              <w:t>eny</w:t>
            </w:r>
            <w:r w:rsidRPr="00FE6910">
              <w:rPr>
                <w:rFonts w:ascii="Calibri" w:eastAsia="Times New Roman" w:hAnsi="Calibri" w:cs="Times New Roman"/>
                <w:color w:val="000000"/>
                <w:sz w:val="20"/>
                <w:szCs w:val="20"/>
                <w:lang w:eastAsia="cs-CZ"/>
              </w:rPr>
              <w:t xml:space="preserve"> schody nacházející se poblíž sochy sv. Jana Nepomuckého</w:t>
            </w:r>
          </w:p>
        </w:tc>
        <w:tc>
          <w:tcPr>
            <w:tcW w:w="407" w:type="pct"/>
            <w:tcBorders>
              <w:top w:val="single" w:sz="8" w:space="0" w:color="auto"/>
              <w:bottom w:val="single" w:sz="12" w:space="0" w:color="auto"/>
            </w:tcBorders>
            <w:shd w:val="clear" w:color="auto" w:fill="F2F2F2"/>
            <w:noWrap/>
            <w:vAlign w:val="center"/>
          </w:tcPr>
          <w:p w14:paraId="1B57839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6" w:type="pct"/>
            <w:tcBorders>
              <w:top w:val="single" w:sz="8" w:space="0" w:color="auto"/>
              <w:bottom w:val="single" w:sz="12" w:space="0" w:color="auto"/>
            </w:tcBorders>
            <w:shd w:val="clear" w:color="auto" w:fill="F2F2F2"/>
            <w:noWrap/>
            <w:vAlign w:val="center"/>
          </w:tcPr>
          <w:p w14:paraId="07604FE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437" w:type="pct"/>
            <w:tcBorders>
              <w:top w:val="single" w:sz="8" w:space="0" w:color="auto"/>
              <w:bottom w:val="single" w:sz="12" w:space="0" w:color="auto"/>
            </w:tcBorders>
            <w:shd w:val="clear" w:color="auto" w:fill="F2F2F2"/>
            <w:noWrap/>
            <w:vAlign w:val="center"/>
          </w:tcPr>
          <w:p w14:paraId="14E58000"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bl>
    <w:p w14:paraId="2802AC60" w14:textId="77777777" w:rsidR="00837905" w:rsidRDefault="00837905" w:rsidP="00837905">
      <w:pPr>
        <w:pStyle w:val="TABULKA0"/>
      </w:pPr>
      <w:bookmarkStart w:id="663" w:name="_Toc15326994"/>
      <w:bookmarkStart w:id="664" w:name="_Toc31028249"/>
      <w:r>
        <w:br w:type="page"/>
      </w:r>
    </w:p>
    <w:p w14:paraId="099BA34A" w14:textId="23EA217D" w:rsidR="00837905" w:rsidRDefault="00837905" w:rsidP="00837905">
      <w:pPr>
        <w:pStyle w:val="TABULKA0"/>
      </w:pPr>
      <w:bookmarkStart w:id="665" w:name="_Toc120651959"/>
      <w:r w:rsidRPr="00206731">
        <w:lastRenderedPageBreak/>
        <w:t xml:space="preserve">Tabulka </w:t>
      </w:r>
      <w:r>
        <w:t>3</w:t>
      </w:r>
      <w:r w:rsidR="00041A31">
        <w:t>7</w:t>
      </w:r>
      <w:r w:rsidRPr="00206731">
        <w:t>: Sada</w:t>
      </w:r>
      <w:r w:rsidRPr="00DB41E2" w:rsidDel="00DB49BA">
        <w:t xml:space="preserve"> </w:t>
      </w:r>
      <w:r w:rsidRPr="00DB41E2">
        <w:t>monitorovacích ukazatelů klíčové oblasti rozvoje</w:t>
      </w:r>
      <w:r>
        <w:t xml:space="preserve"> VYBAVENOST A PROSTŘEDÍ OBCE</w:t>
      </w:r>
      <w:bookmarkEnd w:id="665"/>
    </w:p>
    <w:tbl>
      <w:tblPr>
        <w:tblW w:w="4986" w:type="pct"/>
        <w:jc w:val="center"/>
        <w:tblLayout w:type="fixed"/>
        <w:tblCellMar>
          <w:left w:w="70" w:type="dxa"/>
          <w:right w:w="70" w:type="dxa"/>
        </w:tblCellMar>
        <w:tblLook w:val="04A0" w:firstRow="1" w:lastRow="0" w:firstColumn="1" w:lastColumn="0" w:noHBand="0" w:noVBand="1"/>
      </w:tblPr>
      <w:tblGrid>
        <w:gridCol w:w="1067"/>
        <w:gridCol w:w="5221"/>
        <w:gridCol w:w="4753"/>
        <w:gridCol w:w="1148"/>
        <w:gridCol w:w="1004"/>
        <w:gridCol w:w="911"/>
      </w:tblGrid>
      <w:tr w:rsidR="00837905" w:rsidRPr="00DB41E2" w14:paraId="00B39D6A" w14:textId="77777777" w:rsidTr="009A7AC2">
        <w:trPr>
          <w:trHeight w:val="300"/>
          <w:jc w:val="center"/>
        </w:trPr>
        <w:tc>
          <w:tcPr>
            <w:tcW w:w="378" w:type="pct"/>
            <w:tcBorders>
              <w:top w:val="single" w:sz="18" w:space="0" w:color="auto"/>
              <w:left w:val="single" w:sz="18" w:space="0" w:color="auto"/>
              <w:right w:val="single" w:sz="12" w:space="0" w:color="auto"/>
            </w:tcBorders>
            <w:shd w:val="clear" w:color="auto" w:fill="2E75B6"/>
            <w:noWrap/>
            <w:vAlign w:val="center"/>
            <w:hideMark/>
          </w:tcPr>
          <w:p w14:paraId="32D3FB24"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Klíčová oblast</w:t>
            </w:r>
          </w:p>
        </w:tc>
        <w:tc>
          <w:tcPr>
            <w:tcW w:w="1851" w:type="pct"/>
            <w:tcBorders>
              <w:top w:val="single" w:sz="18" w:space="0" w:color="auto"/>
              <w:left w:val="single" w:sz="12" w:space="0" w:color="auto"/>
              <w:bottom w:val="single" w:sz="18" w:space="0" w:color="auto"/>
              <w:right w:val="single" w:sz="4" w:space="0" w:color="auto"/>
            </w:tcBorders>
            <w:shd w:val="clear" w:color="auto" w:fill="2E75B6"/>
            <w:noWrap/>
            <w:vAlign w:val="center"/>
            <w:hideMark/>
          </w:tcPr>
          <w:p w14:paraId="095662D5"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B63E6F">
              <w:rPr>
                <w:rFonts w:ascii="Calibri" w:eastAsia="Times New Roman" w:hAnsi="Calibri" w:cs="Times New Roman"/>
                <w:b/>
                <w:color w:val="000000"/>
                <w:sz w:val="24"/>
                <w:szCs w:val="24"/>
                <w:lang w:eastAsia="cs-CZ"/>
              </w:rPr>
              <w:t xml:space="preserve">VYBAVENOST </w:t>
            </w:r>
            <w:r>
              <w:rPr>
                <w:rFonts w:ascii="Calibri" w:eastAsia="Times New Roman" w:hAnsi="Calibri" w:cs="Times New Roman"/>
                <w:b/>
                <w:color w:val="000000"/>
                <w:sz w:val="24"/>
                <w:szCs w:val="24"/>
                <w:lang w:eastAsia="cs-CZ"/>
              </w:rPr>
              <w:t xml:space="preserve">A </w:t>
            </w:r>
            <w:r w:rsidRPr="0008252E">
              <w:rPr>
                <w:rFonts w:ascii="Calibri" w:eastAsia="Times New Roman" w:hAnsi="Calibri" w:cs="Times New Roman"/>
                <w:b/>
                <w:color w:val="000000"/>
                <w:sz w:val="24"/>
                <w:szCs w:val="24"/>
                <w:lang w:eastAsia="cs-CZ"/>
              </w:rPr>
              <w:t>PROSTŘEDÍ OBCE</w:t>
            </w:r>
          </w:p>
        </w:tc>
        <w:tc>
          <w:tcPr>
            <w:tcW w:w="1685" w:type="pct"/>
            <w:tcBorders>
              <w:top w:val="single" w:sz="18" w:space="0" w:color="auto"/>
              <w:left w:val="nil"/>
              <w:bottom w:val="single" w:sz="18" w:space="0" w:color="auto"/>
              <w:right w:val="single" w:sz="4" w:space="0" w:color="auto"/>
            </w:tcBorders>
            <w:shd w:val="clear" w:color="auto" w:fill="2E75B6"/>
            <w:noWrap/>
            <w:vAlign w:val="center"/>
            <w:hideMark/>
          </w:tcPr>
          <w:p w14:paraId="521A352F"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Monitorovací ukazatel</w:t>
            </w:r>
          </w:p>
        </w:tc>
        <w:tc>
          <w:tcPr>
            <w:tcW w:w="407" w:type="pct"/>
            <w:tcBorders>
              <w:top w:val="single" w:sz="18" w:space="0" w:color="auto"/>
              <w:left w:val="nil"/>
              <w:bottom w:val="single" w:sz="18" w:space="0" w:color="auto"/>
              <w:right w:val="single" w:sz="4" w:space="0" w:color="auto"/>
            </w:tcBorders>
            <w:shd w:val="clear" w:color="auto" w:fill="2E75B6"/>
            <w:noWrap/>
            <w:vAlign w:val="center"/>
            <w:hideMark/>
          </w:tcPr>
          <w:p w14:paraId="52772191"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Jednotka</w:t>
            </w:r>
          </w:p>
        </w:tc>
        <w:tc>
          <w:tcPr>
            <w:tcW w:w="356" w:type="pct"/>
            <w:tcBorders>
              <w:top w:val="single" w:sz="18" w:space="0" w:color="auto"/>
              <w:left w:val="nil"/>
              <w:bottom w:val="single" w:sz="18" w:space="0" w:color="auto"/>
              <w:right w:val="single" w:sz="4" w:space="0" w:color="auto"/>
            </w:tcBorders>
            <w:shd w:val="clear" w:color="auto" w:fill="2E75B6"/>
            <w:vAlign w:val="center"/>
          </w:tcPr>
          <w:p w14:paraId="3F4F9B2E"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Výchozí stav</w:t>
            </w:r>
          </w:p>
        </w:tc>
        <w:tc>
          <w:tcPr>
            <w:tcW w:w="323" w:type="pct"/>
            <w:tcBorders>
              <w:top w:val="single" w:sz="18" w:space="0" w:color="auto"/>
              <w:left w:val="single" w:sz="4" w:space="0" w:color="auto"/>
              <w:bottom w:val="single" w:sz="18" w:space="0" w:color="auto"/>
              <w:right w:val="single" w:sz="18" w:space="0" w:color="auto"/>
            </w:tcBorders>
            <w:shd w:val="clear" w:color="auto" w:fill="2E75B6"/>
            <w:vAlign w:val="center"/>
          </w:tcPr>
          <w:p w14:paraId="6C0115F1"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Cílový stav</w:t>
            </w:r>
          </w:p>
        </w:tc>
      </w:tr>
      <w:tr w:rsidR="00837905" w:rsidRPr="00DB41E2" w14:paraId="7B518AC9" w14:textId="77777777" w:rsidTr="009A7AC2">
        <w:trPr>
          <w:trHeight w:val="54"/>
          <w:jc w:val="center"/>
        </w:trPr>
        <w:tc>
          <w:tcPr>
            <w:tcW w:w="378" w:type="pct"/>
            <w:tcBorders>
              <w:top w:val="single" w:sz="18" w:space="0" w:color="auto"/>
              <w:left w:val="single" w:sz="18" w:space="0" w:color="auto"/>
              <w:right w:val="single" w:sz="12" w:space="0" w:color="auto"/>
            </w:tcBorders>
            <w:shd w:val="clear" w:color="auto" w:fill="9DC3E6"/>
            <w:noWrap/>
            <w:vAlign w:val="center"/>
            <w:hideMark/>
          </w:tcPr>
          <w:p w14:paraId="05AA9D7D"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DB41E2">
              <w:rPr>
                <w:rFonts w:ascii="Calibri" w:eastAsia="Times New Roman" w:hAnsi="Calibri" w:cs="Times New Roman"/>
                <w:b/>
                <w:color w:val="000000"/>
                <w:sz w:val="20"/>
                <w:szCs w:val="20"/>
                <w:lang w:eastAsia="cs-CZ"/>
              </w:rPr>
              <w:t>Cíl</w:t>
            </w:r>
          </w:p>
        </w:tc>
        <w:tc>
          <w:tcPr>
            <w:tcW w:w="1851" w:type="pct"/>
            <w:tcBorders>
              <w:top w:val="single" w:sz="18" w:space="0" w:color="auto"/>
              <w:left w:val="single" w:sz="12" w:space="0" w:color="auto"/>
              <w:bottom w:val="single" w:sz="12" w:space="0" w:color="auto"/>
              <w:right w:val="single" w:sz="4" w:space="0" w:color="auto"/>
            </w:tcBorders>
            <w:shd w:val="clear" w:color="auto" w:fill="9DC3E6"/>
            <w:noWrap/>
            <w:vAlign w:val="center"/>
          </w:tcPr>
          <w:p w14:paraId="7D687DCE" w14:textId="77777777" w:rsidR="00837905" w:rsidRPr="00DB41E2" w:rsidRDefault="00837905" w:rsidP="009A7AC2">
            <w:pPr>
              <w:contextualSpacing/>
              <w:jc w:val="center"/>
              <w:rPr>
                <w:rFonts w:ascii="Calibri" w:eastAsia="Times New Roman" w:hAnsi="Calibri" w:cs="Times New Roman"/>
                <w:b/>
                <w:bCs/>
                <w:color w:val="000000"/>
                <w:sz w:val="20"/>
                <w:szCs w:val="20"/>
                <w:lang w:eastAsia="cs-CZ"/>
              </w:rPr>
            </w:pPr>
            <w:r w:rsidRPr="00B7519A">
              <w:rPr>
                <w:rFonts w:ascii="Calibri" w:eastAsia="Times New Roman" w:hAnsi="Calibri" w:cs="Times New Roman"/>
                <w:b/>
                <w:bCs/>
                <w:color w:val="000000"/>
                <w:sz w:val="20"/>
                <w:szCs w:val="20"/>
                <w:lang w:eastAsia="cs-CZ"/>
              </w:rPr>
              <w:t>Vytvořit a rozvíjet přirozené centrum obce</w:t>
            </w:r>
          </w:p>
        </w:tc>
        <w:tc>
          <w:tcPr>
            <w:tcW w:w="1685" w:type="pct"/>
            <w:tcBorders>
              <w:top w:val="single" w:sz="18" w:space="0" w:color="auto"/>
              <w:left w:val="nil"/>
              <w:bottom w:val="single" w:sz="12" w:space="0" w:color="auto"/>
              <w:right w:val="single" w:sz="4" w:space="0" w:color="auto"/>
            </w:tcBorders>
            <w:shd w:val="clear" w:color="auto" w:fill="9DC3E6"/>
            <w:noWrap/>
            <w:vAlign w:val="center"/>
          </w:tcPr>
          <w:p w14:paraId="2CAF326B" w14:textId="77777777" w:rsidR="00837905" w:rsidRPr="00DB41E2" w:rsidRDefault="00837905" w:rsidP="009A7AC2">
            <w:pPr>
              <w:jc w:val="center"/>
              <w:rPr>
                <w:rFonts w:ascii="Calibri" w:eastAsia="Times New Roman" w:hAnsi="Calibri" w:cs="Times New Roman"/>
                <w:b/>
                <w:bCs/>
                <w:color w:val="000000"/>
                <w:sz w:val="20"/>
                <w:szCs w:val="20"/>
                <w:lang w:eastAsia="cs-CZ"/>
              </w:rPr>
            </w:pPr>
            <w:r>
              <w:rPr>
                <w:rFonts w:ascii="Calibri" w:eastAsia="Times New Roman" w:hAnsi="Calibri" w:cs="Times New Roman"/>
                <w:b/>
                <w:bCs/>
                <w:color w:val="000000"/>
                <w:sz w:val="20"/>
                <w:szCs w:val="20"/>
                <w:lang w:eastAsia="cs-CZ"/>
              </w:rPr>
              <w:t>Počet nově uskutečněných činností za účelem vytvoření a rozvíjení přirozeného centra obce</w:t>
            </w:r>
          </w:p>
        </w:tc>
        <w:tc>
          <w:tcPr>
            <w:tcW w:w="407" w:type="pct"/>
            <w:tcBorders>
              <w:top w:val="single" w:sz="18" w:space="0" w:color="auto"/>
              <w:left w:val="nil"/>
              <w:bottom w:val="single" w:sz="12" w:space="0" w:color="auto"/>
              <w:right w:val="single" w:sz="4" w:space="0" w:color="auto"/>
            </w:tcBorders>
            <w:shd w:val="clear" w:color="auto" w:fill="9DC3E6"/>
            <w:noWrap/>
            <w:vAlign w:val="center"/>
          </w:tcPr>
          <w:p w14:paraId="582E00B8"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počet</w:t>
            </w:r>
          </w:p>
        </w:tc>
        <w:tc>
          <w:tcPr>
            <w:tcW w:w="356" w:type="pct"/>
            <w:tcBorders>
              <w:top w:val="single" w:sz="18" w:space="0" w:color="auto"/>
              <w:left w:val="nil"/>
              <w:bottom w:val="single" w:sz="12" w:space="0" w:color="auto"/>
              <w:right w:val="single" w:sz="4" w:space="0" w:color="auto"/>
            </w:tcBorders>
            <w:shd w:val="clear" w:color="auto" w:fill="9DC3E6"/>
            <w:vAlign w:val="center"/>
          </w:tcPr>
          <w:p w14:paraId="77DE887A"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0</w:t>
            </w:r>
          </w:p>
        </w:tc>
        <w:tc>
          <w:tcPr>
            <w:tcW w:w="323" w:type="pct"/>
            <w:tcBorders>
              <w:top w:val="single" w:sz="18" w:space="0" w:color="auto"/>
              <w:left w:val="single" w:sz="4" w:space="0" w:color="auto"/>
              <w:bottom w:val="single" w:sz="12" w:space="0" w:color="auto"/>
              <w:right w:val="single" w:sz="18" w:space="0" w:color="auto"/>
            </w:tcBorders>
            <w:shd w:val="clear" w:color="auto" w:fill="9DC3E6"/>
            <w:vAlign w:val="center"/>
          </w:tcPr>
          <w:p w14:paraId="2F26B744"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10</w:t>
            </w:r>
          </w:p>
        </w:tc>
      </w:tr>
      <w:tr w:rsidR="00837905" w:rsidRPr="00DB41E2" w14:paraId="6B885D82" w14:textId="77777777" w:rsidTr="009A7AC2">
        <w:trPr>
          <w:trHeight w:val="50"/>
          <w:jc w:val="center"/>
        </w:trPr>
        <w:tc>
          <w:tcPr>
            <w:tcW w:w="378" w:type="pct"/>
            <w:tcBorders>
              <w:top w:val="single" w:sz="12" w:space="0" w:color="auto"/>
              <w:left w:val="single" w:sz="18" w:space="0" w:color="auto"/>
              <w:bottom w:val="single" w:sz="12" w:space="0" w:color="auto"/>
              <w:right w:val="single" w:sz="12" w:space="0" w:color="auto"/>
            </w:tcBorders>
            <w:shd w:val="clear" w:color="auto" w:fill="BDD7EE"/>
            <w:noWrap/>
            <w:vAlign w:val="center"/>
            <w:hideMark/>
          </w:tcPr>
          <w:p w14:paraId="02462E1F"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22" w:type="pct"/>
            <w:gridSpan w:val="5"/>
            <w:tcBorders>
              <w:top w:val="single" w:sz="12" w:space="0" w:color="auto"/>
              <w:left w:val="single" w:sz="12" w:space="0" w:color="auto"/>
              <w:bottom w:val="single" w:sz="12" w:space="0" w:color="auto"/>
              <w:right w:val="single" w:sz="18" w:space="0" w:color="auto"/>
            </w:tcBorders>
            <w:shd w:val="clear" w:color="auto" w:fill="BDD7EE"/>
            <w:noWrap/>
            <w:vAlign w:val="center"/>
          </w:tcPr>
          <w:p w14:paraId="5963FA5B" w14:textId="77777777" w:rsidR="00837905" w:rsidRPr="00DB41E2" w:rsidRDefault="00837905" w:rsidP="009A7AC2">
            <w:pPr>
              <w:contextualSpacing/>
              <w:jc w:val="center"/>
              <w:rPr>
                <w:rFonts w:ascii="Calibri" w:eastAsia="Times New Roman" w:hAnsi="Calibri" w:cs="Times New Roman"/>
                <w:b/>
                <w:color w:val="000000"/>
                <w:sz w:val="20"/>
                <w:szCs w:val="20"/>
                <w:lang w:eastAsia="cs-CZ"/>
              </w:rPr>
            </w:pPr>
            <w:r w:rsidRPr="00B7519A">
              <w:rPr>
                <w:rFonts w:ascii="Calibri" w:eastAsia="Times New Roman" w:hAnsi="Calibri" w:cs="Times New Roman"/>
                <w:b/>
                <w:color w:val="000000"/>
                <w:sz w:val="20"/>
                <w:szCs w:val="20"/>
                <w:lang w:eastAsia="cs-CZ"/>
              </w:rPr>
              <w:t>Využít potenciálu budovy zámečku</w:t>
            </w:r>
          </w:p>
        </w:tc>
      </w:tr>
      <w:tr w:rsidR="00837905" w:rsidRPr="00DB41E2" w14:paraId="3A913196" w14:textId="77777777" w:rsidTr="009A7AC2">
        <w:trPr>
          <w:trHeight w:val="246"/>
          <w:jc w:val="center"/>
        </w:trPr>
        <w:tc>
          <w:tcPr>
            <w:tcW w:w="378" w:type="pct"/>
            <w:vMerge w:val="restart"/>
            <w:tcBorders>
              <w:top w:val="single" w:sz="12" w:space="0" w:color="auto"/>
              <w:left w:val="single" w:sz="18" w:space="0" w:color="auto"/>
              <w:right w:val="single" w:sz="12" w:space="0" w:color="auto"/>
            </w:tcBorders>
            <w:shd w:val="clear" w:color="auto" w:fill="DEEBF7"/>
            <w:noWrap/>
            <w:vAlign w:val="center"/>
            <w:hideMark/>
          </w:tcPr>
          <w:p w14:paraId="69783D02"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851" w:type="pct"/>
            <w:vMerge w:val="restart"/>
            <w:tcBorders>
              <w:top w:val="single" w:sz="12" w:space="0" w:color="auto"/>
              <w:left w:val="single" w:sz="12" w:space="0" w:color="auto"/>
              <w:right w:val="single" w:sz="4" w:space="0" w:color="auto"/>
            </w:tcBorders>
            <w:shd w:val="clear" w:color="auto" w:fill="DEEBF7"/>
            <w:noWrap/>
            <w:vAlign w:val="center"/>
          </w:tcPr>
          <w:p w14:paraId="44C96E70"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 xml:space="preserve">Zajistit možnost existence sociálního </w:t>
            </w:r>
            <w:r>
              <w:rPr>
                <w:rFonts w:ascii="Calibri" w:eastAsia="Times New Roman" w:hAnsi="Calibri" w:cs="Times New Roman"/>
                <w:color w:val="000000"/>
                <w:sz w:val="20"/>
                <w:szCs w:val="20"/>
                <w:lang w:eastAsia="cs-CZ"/>
              </w:rPr>
              <w:br/>
            </w:r>
            <w:r w:rsidRPr="00B7519A">
              <w:rPr>
                <w:rFonts w:ascii="Calibri" w:eastAsia="Times New Roman" w:hAnsi="Calibri" w:cs="Times New Roman"/>
                <w:color w:val="000000"/>
                <w:sz w:val="20"/>
                <w:szCs w:val="20"/>
                <w:lang w:eastAsia="cs-CZ"/>
              </w:rPr>
              <w:t>a startovacího bydlení v obci</w:t>
            </w:r>
          </w:p>
        </w:tc>
        <w:tc>
          <w:tcPr>
            <w:tcW w:w="1685" w:type="pct"/>
            <w:tcBorders>
              <w:top w:val="single" w:sz="12" w:space="0" w:color="auto"/>
              <w:left w:val="nil"/>
              <w:bottom w:val="single" w:sz="8" w:space="0" w:color="auto"/>
              <w:right w:val="single" w:sz="4" w:space="0" w:color="auto"/>
            </w:tcBorders>
            <w:shd w:val="clear" w:color="auto" w:fill="DEEBF7"/>
            <w:noWrap/>
            <w:vAlign w:val="center"/>
          </w:tcPr>
          <w:p w14:paraId="7E9E8A10"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 nově existujících sociálních bytů</w:t>
            </w:r>
          </w:p>
        </w:tc>
        <w:tc>
          <w:tcPr>
            <w:tcW w:w="407" w:type="pct"/>
            <w:tcBorders>
              <w:top w:val="single" w:sz="12" w:space="0" w:color="auto"/>
              <w:left w:val="nil"/>
              <w:bottom w:val="single" w:sz="8" w:space="0" w:color="auto"/>
              <w:right w:val="single" w:sz="4" w:space="0" w:color="auto"/>
            </w:tcBorders>
            <w:shd w:val="clear" w:color="auto" w:fill="DEEBF7"/>
            <w:noWrap/>
            <w:vAlign w:val="center"/>
          </w:tcPr>
          <w:p w14:paraId="23237DA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356" w:type="pct"/>
            <w:tcBorders>
              <w:top w:val="single" w:sz="12" w:space="0" w:color="auto"/>
              <w:left w:val="nil"/>
              <w:bottom w:val="single" w:sz="8" w:space="0" w:color="auto"/>
              <w:right w:val="single" w:sz="4" w:space="0" w:color="auto"/>
            </w:tcBorders>
            <w:shd w:val="clear" w:color="auto" w:fill="DEEBF7"/>
            <w:vAlign w:val="center"/>
          </w:tcPr>
          <w:p w14:paraId="2399250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12" w:space="0" w:color="auto"/>
              <w:left w:val="single" w:sz="4" w:space="0" w:color="auto"/>
              <w:bottom w:val="single" w:sz="8" w:space="0" w:color="auto"/>
              <w:right w:val="single" w:sz="18" w:space="0" w:color="auto"/>
            </w:tcBorders>
            <w:shd w:val="clear" w:color="auto" w:fill="DEEBF7"/>
            <w:vAlign w:val="center"/>
          </w:tcPr>
          <w:p w14:paraId="452F16F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w:t>
            </w:r>
          </w:p>
        </w:tc>
      </w:tr>
      <w:tr w:rsidR="00837905" w:rsidRPr="00DB41E2" w14:paraId="2ACCD9AE" w14:textId="77777777" w:rsidTr="009A7AC2">
        <w:trPr>
          <w:trHeight w:val="246"/>
          <w:jc w:val="center"/>
        </w:trPr>
        <w:tc>
          <w:tcPr>
            <w:tcW w:w="378" w:type="pct"/>
            <w:vMerge/>
            <w:tcBorders>
              <w:left w:val="single" w:sz="18" w:space="0" w:color="auto"/>
              <w:right w:val="single" w:sz="12" w:space="0" w:color="auto"/>
            </w:tcBorders>
            <w:shd w:val="clear" w:color="auto" w:fill="DEEBF7"/>
            <w:noWrap/>
            <w:vAlign w:val="center"/>
          </w:tcPr>
          <w:p w14:paraId="6F282D3E"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vMerge/>
            <w:tcBorders>
              <w:left w:val="single" w:sz="12" w:space="0" w:color="auto"/>
              <w:bottom w:val="single" w:sz="8" w:space="0" w:color="auto"/>
              <w:right w:val="single" w:sz="4" w:space="0" w:color="auto"/>
            </w:tcBorders>
            <w:shd w:val="clear" w:color="auto" w:fill="DEEBF7"/>
            <w:noWrap/>
            <w:vAlign w:val="center"/>
          </w:tcPr>
          <w:p w14:paraId="735C96FC" w14:textId="77777777" w:rsidR="00837905" w:rsidRPr="00B7519A" w:rsidRDefault="00837905" w:rsidP="009A7AC2">
            <w:pPr>
              <w:contextualSpacing/>
              <w:jc w:val="center"/>
              <w:rPr>
                <w:rFonts w:ascii="Calibri" w:eastAsia="Times New Roman" w:hAnsi="Calibri" w:cs="Times New Roman"/>
                <w:color w:val="000000"/>
                <w:sz w:val="20"/>
                <w:szCs w:val="20"/>
                <w:lang w:eastAsia="cs-CZ"/>
              </w:rPr>
            </w:pPr>
          </w:p>
        </w:tc>
        <w:tc>
          <w:tcPr>
            <w:tcW w:w="1685" w:type="pct"/>
            <w:tcBorders>
              <w:top w:val="single" w:sz="8" w:space="0" w:color="auto"/>
              <w:left w:val="nil"/>
              <w:bottom w:val="single" w:sz="8" w:space="0" w:color="auto"/>
              <w:right w:val="single" w:sz="4" w:space="0" w:color="auto"/>
            </w:tcBorders>
            <w:shd w:val="clear" w:color="auto" w:fill="DEEBF7"/>
            <w:noWrap/>
            <w:vAlign w:val="center"/>
          </w:tcPr>
          <w:p w14:paraId="42193E4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 nově existujících</w:t>
            </w:r>
            <w:r w:rsidRPr="00B7519A">
              <w:rPr>
                <w:rFonts w:ascii="Calibri" w:eastAsia="Times New Roman" w:hAnsi="Calibri" w:cs="Times New Roman"/>
                <w:color w:val="000000"/>
                <w:sz w:val="20"/>
                <w:szCs w:val="20"/>
                <w:lang w:eastAsia="cs-CZ"/>
              </w:rPr>
              <w:t xml:space="preserve"> startovací</w:t>
            </w:r>
            <w:r>
              <w:rPr>
                <w:rFonts w:ascii="Calibri" w:eastAsia="Times New Roman" w:hAnsi="Calibri" w:cs="Times New Roman"/>
                <w:color w:val="000000"/>
                <w:sz w:val="20"/>
                <w:szCs w:val="20"/>
                <w:lang w:eastAsia="cs-CZ"/>
              </w:rPr>
              <w:t>ch bytů</w:t>
            </w:r>
          </w:p>
        </w:tc>
        <w:tc>
          <w:tcPr>
            <w:tcW w:w="407" w:type="pct"/>
            <w:tcBorders>
              <w:top w:val="single" w:sz="8" w:space="0" w:color="auto"/>
              <w:left w:val="nil"/>
              <w:bottom w:val="single" w:sz="8" w:space="0" w:color="auto"/>
              <w:right w:val="single" w:sz="4" w:space="0" w:color="auto"/>
            </w:tcBorders>
            <w:shd w:val="clear" w:color="auto" w:fill="DEEBF7"/>
            <w:noWrap/>
            <w:vAlign w:val="center"/>
          </w:tcPr>
          <w:p w14:paraId="5D77FA72"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356" w:type="pct"/>
            <w:tcBorders>
              <w:top w:val="single" w:sz="8" w:space="0" w:color="auto"/>
              <w:left w:val="nil"/>
              <w:bottom w:val="single" w:sz="8" w:space="0" w:color="auto"/>
              <w:right w:val="single" w:sz="4" w:space="0" w:color="auto"/>
            </w:tcBorders>
            <w:shd w:val="clear" w:color="auto" w:fill="DEEBF7"/>
            <w:vAlign w:val="center"/>
          </w:tcPr>
          <w:p w14:paraId="5ECFC586"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8" w:space="0" w:color="auto"/>
              <w:right w:val="single" w:sz="18" w:space="0" w:color="auto"/>
            </w:tcBorders>
            <w:shd w:val="clear" w:color="auto" w:fill="DEEBF7"/>
            <w:vAlign w:val="center"/>
          </w:tcPr>
          <w:p w14:paraId="63D984E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0B1620CB" w14:textId="77777777" w:rsidTr="009A7AC2">
        <w:trPr>
          <w:trHeight w:val="128"/>
          <w:jc w:val="center"/>
        </w:trPr>
        <w:tc>
          <w:tcPr>
            <w:tcW w:w="378" w:type="pct"/>
            <w:vMerge/>
            <w:tcBorders>
              <w:left w:val="single" w:sz="18" w:space="0" w:color="auto"/>
              <w:right w:val="single" w:sz="12" w:space="0" w:color="auto"/>
            </w:tcBorders>
            <w:shd w:val="clear" w:color="auto" w:fill="DEEBF7"/>
            <w:noWrap/>
            <w:vAlign w:val="center"/>
          </w:tcPr>
          <w:p w14:paraId="0FC7A56E"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4" w:space="0" w:color="auto"/>
              <w:right w:val="single" w:sz="4" w:space="0" w:color="auto"/>
            </w:tcBorders>
            <w:shd w:val="clear" w:color="auto" w:fill="DEEBF7"/>
            <w:noWrap/>
            <w:vAlign w:val="center"/>
          </w:tcPr>
          <w:p w14:paraId="79222FCB"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Vybudovat společenské centrum v prostorách zámečku</w:t>
            </w:r>
          </w:p>
        </w:tc>
        <w:tc>
          <w:tcPr>
            <w:tcW w:w="1685" w:type="pct"/>
            <w:tcBorders>
              <w:top w:val="single" w:sz="8" w:space="0" w:color="auto"/>
              <w:left w:val="nil"/>
              <w:bottom w:val="single" w:sz="4" w:space="0" w:color="auto"/>
              <w:right w:val="single" w:sz="4" w:space="0" w:color="auto"/>
            </w:tcBorders>
            <w:shd w:val="clear" w:color="auto" w:fill="DEEBF7"/>
            <w:noWrap/>
            <w:vAlign w:val="center"/>
          </w:tcPr>
          <w:p w14:paraId="2F907FD9" w14:textId="77777777" w:rsidR="00837905" w:rsidRPr="00DB41E2" w:rsidRDefault="00837905" w:rsidP="009A7AC2">
            <w:pPr>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Vybudov</w:t>
            </w:r>
            <w:r>
              <w:rPr>
                <w:rFonts w:ascii="Calibri" w:eastAsia="Times New Roman" w:hAnsi="Calibri" w:cs="Times New Roman"/>
                <w:color w:val="000000"/>
                <w:sz w:val="20"/>
                <w:szCs w:val="20"/>
                <w:lang w:eastAsia="cs-CZ"/>
              </w:rPr>
              <w:t>áno</w:t>
            </w:r>
            <w:r w:rsidRPr="00B7519A">
              <w:rPr>
                <w:rFonts w:ascii="Calibri" w:eastAsia="Times New Roman" w:hAnsi="Calibri" w:cs="Times New Roman"/>
                <w:color w:val="000000"/>
                <w:sz w:val="20"/>
                <w:szCs w:val="20"/>
                <w:lang w:eastAsia="cs-CZ"/>
              </w:rPr>
              <w:t xml:space="preserve"> společenské centrum </w:t>
            </w:r>
            <w:r>
              <w:rPr>
                <w:rFonts w:ascii="Calibri" w:eastAsia="Times New Roman" w:hAnsi="Calibri" w:cs="Times New Roman"/>
                <w:color w:val="000000"/>
                <w:sz w:val="20"/>
                <w:szCs w:val="20"/>
                <w:lang w:eastAsia="cs-CZ"/>
              </w:rPr>
              <w:br/>
            </w:r>
            <w:r w:rsidRPr="00B7519A">
              <w:rPr>
                <w:rFonts w:ascii="Calibri" w:eastAsia="Times New Roman" w:hAnsi="Calibri" w:cs="Times New Roman"/>
                <w:color w:val="000000"/>
                <w:sz w:val="20"/>
                <w:szCs w:val="20"/>
                <w:lang w:eastAsia="cs-CZ"/>
              </w:rPr>
              <w:t>v prostorách zámečku</w:t>
            </w:r>
          </w:p>
        </w:tc>
        <w:tc>
          <w:tcPr>
            <w:tcW w:w="407" w:type="pct"/>
            <w:tcBorders>
              <w:top w:val="single" w:sz="8" w:space="0" w:color="auto"/>
              <w:left w:val="nil"/>
              <w:bottom w:val="single" w:sz="4" w:space="0" w:color="auto"/>
              <w:right w:val="single" w:sz="4" w:space="0" w:color="auto"/>
            </w:tcBorders>
            <w:shd w:val="clear" w:color="auto" w:fill="DEEBF7"/>
            <w:noWrap/>
            <w:vAlign w:val="center"/>
          </w:tcPr>
          <w:p w14:paraId="5585807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356" w:type="pct"/>
            <w:tcBorders>
              <w:top w:val="single" w:sz="8" w:space="0" w:color="auto"/>
              <w:left w:val="nil"/>
              <w:bottom w:val="single" w:sz="4" w:space="0" w:color="auto"/>
              <w:right w:val="single" w:sz="4" w:space="0" w:color="auto"/>
            </w:tcBorders>
            <w:shd w:val="clear" w:color="auto" w:fill="DEEBF7"/>
            <w:vAlign w:val="center"/>
          </w:tcPr>
          <w:p w14:paraId="7D9E773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4" w:space="0" w:color="auto"/>
              <w:right w:val="single" w:sz="18" w:space="0" w:color="auto"/>
            </w:tcBorders>
            <w:shd w:val="clear" w:color="auto" w:fill="DEEBF7"/>
            <w:vAlign w:val="center"/>
          </w:tcPr>
          <w:p w14:paraId="4350BAA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7B16B293" w14:textId="77777777" w:rsidTr="009A7AC2">
        <w:trPr>
          <w:trHeight w:val="128"/>
          <w:jc w:val="center"/>
        </w:trPr>
        <w:tc>
          <w:tcPr>
            <w:tcW w:w="378" w:type="pct"/>
            <w:vMerge/>
            <w:tcBorders>
              <w:left w:val="single" w:sz="18" w:space="0" w:color="auto"/>
              <w:right w:val="single" w:sz="12" w:space="0" w:color="auto"/>
            </w:tcBorders>
            <w:shd w:val="clear" w:color="auto" w:fill="DEEBF7"/>
            <w:noWrap/>
            <w:vAlign w:val="center"/>
          </w:tcPr>
          <w:p w14:paraId="6AF4CA16"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4" w:space="0" w:color="auto"/>
              <w:right w:val="single" w:sz="4" w:space="0" w:color="auto"/>
            </w:tcBorders>
            <w:shd w:val="clear" w:color="auto" w:fill="DEEBF7"/>
            <w:noWrap/>
            <w:vAlign w:val="center"/>
          </w:tcPr>
          <w:p w14:paraId="4BF98CA0"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Podle potřeby využít budovu zámečku i jiným způsobem</w:t>
            </w:r>
          </w:p>
        </w:tc>
        <w:tc>
          <w:tcPr>
            <w:tcW w:w="1685" w:type="pct"/>
            <w:tcBorders>
              <w:top w:val="single" w:sz="8" w:space="0" w:color="auto"/>
              <w:left w:val="nil"/>
              <w:bottom w:val="single" w:sz="4" w:space="0" w:color="auto"/>
              <w:right w:val="single" w:sz="4" w:space="0" w:color="auto"/>
            </w:tcBorders>
            <w:shd w:val="clear" w:color="auto" w:fill="DEEBF7"/>
            <w:noWrap/>
            <w:vAlign w:val="center"/>
          </w:tcPr>
          <w:p w14:paraId="3F94BFD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Počet dalších způsobů využití interiéru </w:t>
            </w:r>
            <w:r w:rsidRPr="00B7519A">
              <w:rPr>
                <w:rFonts w:ascii="Calibri" w:eastAsia="Times New Roman" w:hAnsi="Calibri" w:cs="Times New Roman"/>
                <w:color w:val="000000"/>
                <w:sz w:val="20"/>
                <w:szCs w:val="20"/>
                <w:lang w:eastAsia="cs-CZ"/>
              </w:rPr>
              <w:t>budov</w:t>
            </w:r>
            <w:r>
              <w:rPr>
                <w:rFonts w:ascii="Calibri" w:eastAsia="Times New Roman" w:hAnsi="Calibri" w:cs="Times New Roman"/>
                <w:color w:val="000000"/>
                <w:sz w:val="20"/>
                <w:szCs w:val="20"/>
                <w:lang w:eastAsia="cs-CZ"/>
              </w:rPr>
              <w:t>y</w:t>
            </w:r>
            <w:r w:rsidRPr="00B7519A">
              <w:rPr>
                <w:rFonts w:ascii="Calibri" w:eastAsia="Times New Roman" w:hAnsi="Calibri" w:cs="Times New Roman"/>
                <w:color w:val="000000"/>
                <w:sz w:val="20"/>
                <w:szCs w:val="20"/>
                <w:lang w:eastAsia="cs-CZ"/>
              </w:rPr>
              <w:t xml:space="preserve"> zámečku</w:t>
            </w:r>
          </w:p>
        </w:tc>
        <w:tc>
          <w:tcPr>
            <w:tcW w:w="407" w:type="pct"/>
            <w:tcBorders>
              <w:top w:val="single" w:sz="8" w:space="0" w:color="auto"/>
              <w:left w:val="nil"/>
              <w:bottom w:val="single" w:sz="4" w:space="0" w:color="auto"/>
              <w:right w:val="single" w:sz="4" w:space="0" w:color="auto"/>
            </w:tcBorders>
            <w:shd w:val="clear" w:color="auto" w:fill="DEEBF7"/>
            <w:noWrap/>
            <w:vAlign w:val="center"/>
          </w:tcPr>
          <w:p w14:paraId="4890CCF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356" w:type="pct"/>
            <w:tcBorders>
              <w:top w:val="single" w:sz="8" w:space="0" w:color="auto"/>
              <w:left w:val="nil"/>
              <w:bottom w:val="single" w:sz="4" w:space="0" w:color="auto"/>
              <w:right w:val="single" w:sz="4" w:space="0" w:color="auto"/>
            </w:tcBorders>
            <w:shd w:val="clear" w:color="auto" w:fill="DEEBF7"/>
            <w:vAlign w:val="center"/>
          </w:tcPr>
          <w:p w14:paraId="7614C1A0"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4" w:space="0" w:color="auto"/>
              <w:right w:val="single" w:sz="18" w:space="0" w:color="auto"/>
            </w:tcBorders>
            <w:shd w:val="clear" w:color="auto" w:fill="DEEBF7"/>
            <w:vAlign w:val="center"/>
          </w:tcPr>
          <w:p w14:paraId="15550E6A"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r>
      <w:tr w:rsidR="00837905" w:rsidRPr="00DB41E2" w14:paraId="26F0C91C" w14:textId="77777777" w:rsidTr="009A7AC2">
        <w:trPr>
          <w:trHeight w:val="50"/>
          <w:jc w:val="center"/>
        </w:trPr>
        <w:tc>
          <w:tcPr>
            <w:tcW w:w="378" w:type="pct"/>
            <w:tcBorders>
              <w:top w:val="single" w:sz="12" w:space="0" w:color="auto"/>
              <w:left w:val="single" w:sz="18" w:space="0" w:color="auto"/>
              <w:bottom w:val="single" w:sz="12" w:space="0" w:color="auto"/>
              <w:right w:val="single" w:sz="12" w:space="0" w:color="auto"/>
            </w:tcBorders>
            <w:shd w:val="clear" w:color="auto" w:fill="BDD7EE"/>
            <w:noWrap/>
            <w:vAlign w:val="center"/>
            <w:hideMark/>
          </w:tcPr>
          <w:p w14:paraId="30CDA8D7"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22" w:type="pct"/>
            <w:gridSpan w:val="5"/>
            <w:tcBorders>
              <w:top w:val="single" w:sz="12" w:space="0" w:color="auto"/>
              <w:left w:val="single" w:sz="12" w:space="0" w:color="auto"/>
              <w:bottom w:val="single" w:sz="12" w:space="0" w:color="auto"/>
              <w:right w:val="single" w:sz="18" w:space="0" w:color="auto"/>
            </w:tcBorders>
            <w:shd w:val="clear" w:color="auto" w:fill="BDD7EE"/>
            <w:noWrap/>
            <w:vAlign w:val="center"/>
          </w:tcPr>
          <w:p w14:paraId="5CD30843" w14:textId="77777777" w:rsidR="00837905" w:rsidRPr="00DB41E2" w:rsidRDefault="00837905" w:rsidP="009A7AC2">
            <w:pPr>
              <w:contextualSpacing/>
              <w:jc w:val="center"/>
              <w:rPr>
                <w:rFonts w:ascii="Calibri" w:eastAsia="Times New Roman" w:hAnsi="Calibri" w:cs="Times New Roman"/>
                <w:b/>
                <w:color w:val="000000"/>
                <w:sz w:val="20"/>
                <w:szCs w:val="20"/>
                <w:lang w:eastAsia="cs-CZ"/>
              </w:rPr>
            </w:pPr>
            <w:r w:rsidRPr="00B7519A">
              <w:rPr>
                <w:rFonts w:ascii="Calibri" w:eastAsia="Times New Roman" w:hAnsi="Calibri" w:cs="Times New Roman"/>
                <w:b/>
                <w:color w:val="000000"/>
                <w:sz w:val="20"/>
                <w:szCs w:val="20"/>
                <w:lang w:eastAsia="cs-CZ"/>
              </w:rPr>
              <w:t>Revitalizovat okolí budovy zámečku</w:t>
            </w:r>
          </w:p>
        </w:tc>
      </w:tr>
      <w:tr w:rsidR="00837905" w:rsidRPr="00DB41E2" w14:paraId="4A306D55" w14:textId="77777777" w:rsidTr="009A7AC2">
        <w:trPr>
          <w:trHeight w:val="121"/>
          <w:jc w:val="center"/>
        </w:trPr>
        <w:tc>
          <w:tcPr>
            <w:tcW w:w="378" w:type="pct"/>
            <w:vMerge w:val="restart"/>
            <w:tcBorders>
              <w:top w:val="single" w:sz="12" w:space="0" w:color="auto"/>
              <w:left w:val="single" w:sz="18" w:space="0" w:color="auto"/>
              <w:right w:val="single" w:sz="12" w:space="0" w:color="auto"/>
            </w:tcBorders>
            <w:shd w:val="clear" w:color="auto" w:fill="DEEBF7"/>
            <w:noWrap/>
            <w:vAlign w:val="center"/>
            <w:hideMark/>
          </w:tcPr>
          <w:p w14:paraId="7E5FF7AF"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851" w:type="pct"/>
            <w:tcBorders>
              <w:top w:val="single" w:sz="12" w:space="0" w:color="auto"/>
              <w:left w:val="single" w:sz="12" w:space="0" w:color="auto"/>
              <w:bottom w:val="single" w:sz="8" w:space="0" w:color="auto"/>
              <w:right w:val="single" w:sz="4" w:space="0" w:color="auto"/>
            </w:tcBorders>
            <w:shd w:val="clear" w:color="auto" w:fill="DEEBF7"/>
            <w:noWrap/>
            <w:vAlign w:val="center"/>
          </w:tcPr>
          <w:p w14:paraId="42ADDD79"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Zpracovat architektonickou studii areálu „Zámeček“</w:t>
            </w:r>
          </w:p>
        </w:tc>
        <w:tc>
          <w:tcPr>
            <w:tcW w:w="1685" w:type="pct"/>
            <w:tcBorders>
              <w:top w:val="single" w:sz="12" w:space="0" w:color="auto"/>
              <w:left w:val="nil"/>
              <w:bottom w:val="single" w:sz="8" w:space="0" w:color="auto"/>
              <w:right w:val="single" w:sz="4" w:space="0" w:color="auto"/>
            </w:tcBorders>
            <w:shd w:val="clear" w:color="auto" w:fill="DEEBF7"/>
            <w:noWrap/>
            <w:vAlign w:val="center"/>
          </w:tcPr>
          <w:p w14:paraId="23165030" w14:textId="77777777" w:rsidR="00837905" w:rsidRPr="00DB41E2" w:rsidRDefault="00837905" w:rsidP="009A7AC2">
            <w:pPr>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Zpracov</w:t>
            </w:r>
            <w:r>
              <w:rPr>
                <w:rFonts w:ascii="Calibri" w:eastAsia="Times New Roman" w:hAnsi="Calibri" w:cs="Times New Roman"/>
                <w:color w:val="000000"/>
                <w:sz w:val="20"/>
                <w:szCs w:val="20"/>
                <w:lang w:eastAsia="cs-CZ"/>
              </w:rPr>
              <w:t>ána</w:t>
            </w:r>
            <w:r w:rsidRPr="00B7519A">
              <w:rPr>
                <w:rFonts w:ascii="Calibri" w:eastAsia="Times New Roman" w:hAnsi="Calibri" w:cs="Times New Roman"/>
                <w:color w:val="000000"/>
                <w:sz w:val="20"/>
                <w:szCs w:val="20"/>
                <w:lang w:eastAsia="cs-CZ"/>
              </w:rPr>
              <w:t xml:space="preserve"> architektonick</w:t>
            </w:r>
            <w:r>
              <w:rPr>
                <w:rFonts w:ascii="Calibri" w:eastAsia="Times New Roman" w:hAnsi="Calibri" w:cs="Times New Roman"/>
                <w:color w:val="000000"/>
                <w:sz w:val="20"/>
                <w:szCs w:val="20"/>
                <w:lang w:eastAsia="cs-CZ"/>
              </w:rPr>
              <w:t>á</w:t>
            </w:r>
            <w:r w:rsidRPr="00B7519A">
              <w:rPr>
                <w:rFonts w:ascii="Calibri" w:eastAsia="Times New Roman" w:hAnsi="Calibri" w:cs="Times New Roman"/>
                <w:color w:val="000000"/>
                <w:sz w:val="20"/>
                <w:szCs w:val="20"/>
                <w:lang w:eastAsia="cs-CZ"/>
              </w:rPr>
              <w:t xml:space="preserve"> studi</w:t>
            </w:r>
            <w:r>
              <w:rPr>
                <w:rFonts w:ascii="Calibri" w:eastAsia="Times New Roman" w:hAnsi="Calibri" w:cs="Times New Roman"/>
                <w:color w:val="000000"/>
                <w:sz w:val="20"/>
                <w:szCs w:val="20"/>
                <w:lang w:eastAsia="cs-CZ"/>
              </w:rPr>
              <w:t>e</w:t>
            </w:r>
            <w:r w:rsidRPr="00B7519A">
              <w:rPr>
                <w:rFonts w:ascii="Calibri" w:eastAsia="Times New Roman" w:hAnsi="Calibri" w:cs="Times New Roman"/>
                <w:color w:val="000000"/>
                <w:sz w:val="20"/>
                <w:szCs w:val="20"/>
                <w:lang w:eastAsia="cs-CZ"/>
              </w:rPr>
              <w:t xml:space="preserve"> areálu „Zámeček“</w:t>
            </w:r>
          </w:p>
        </w:tc>
        <w:tc>
          <w:tcPr>
            <w:tcW w:w="407" w:type="pct"/>
            <w:tcBorders>
              <w:top w:val="single" w:sz="12" w:space="0" w:color="auto"/>
              <w:left w:val="nil"/>
              <w:bottom w:val="single" w:sz="8" w:space="0" w:color="auto"/>
              <w:right w:val="single" w:sz="4" w:space="0" w:color="auto"/>
            </w:tcBorders>
            <w:shd w:val="clear" w:color="auto" w:fill="DEEBF7"/>
            <w:noWrap/>
            <w:vAlign w:val="center"/>
          </w:tcPr>
          <w:p w14:paraId="2A0F0420"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356" w:type="pct"/>
            <w:tcBorders>
              <w:top w:val="single" w:sz="12" w:space="0" w:color="auto"/>
              <w:left w:val="nil"/>
              <w:right w:val="single" w:sz="4" w:space="0" w:color="auto"/>
            </w:tcBorders>
            <w:shd w:val="clear" w:color="auto" w:fill="DEEBF7"/>
            <w:vAlign w:val="center"/>
          </w:tcPr>
          <w:p w14:paraId="1D1E0C6E"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12" w:space="0" w:color="auto"/>
              <w:left w:val="single" w:sz="4" w:space="0" w:color="auto"/>
              <w:right w:val="single" w:sz="18" w:space="0" w:color="auto"/>
            </w:tcBorders>
            <w:shd w:val="clear" w:color="auto" w:fill="DEEBF7"/>
            <w:vAlign w:val="center"/>
          </w:tcPr>
          <w:p w14:paraId="24CF9268"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15E77110" w14:textId="77777777" w:rsidTr="009A7AC2">
        <w:trPr>
          <w:trHeight w:val="120"/>
          <w:jc w:val="center"/>
        </w:trPr>
        <w:tc>
          <w:tcPr>
            <w:tcW w:w="378" w:type="pct"/>
            <w:vMerge/>
            <w:tcBorders>
              <w:left w:val="single" w:sz="18" w:space="0" w:color="auto"/>
              <w:right w:val="single" w:sz="12" w:space="0" w:color="auto"/>
            </w:tcBorders>
            <w:shd w:val="clear" w:color="auto" w:fill="DEEBF7"/>
            <w:noWrap/>
            <w:vAlign w:val="center"/>
            <w:hideMark/>
          </w:tcPr>
          <w:p w14:paraId="3EDF2FA5"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vMerge w:val="restart"/>
            <w:tcBorders>
              <w:top w:val="single" w:sz="8" w:space="0" w:color="auto"/>
              <w:left w:val="single" w:sz="12" w:space="0" w:color="auto"/>
              <w:right w:val="single" w:sz="4" w:space="0" w:color="auto"/>
            </w:tcBorders>
            <w:shd w:val="clear" w:color="auto" w:fill="DEEBF7"/>
            <w:noWrap/>
            <w:vAlign w:val="center"/>
          </w:tcPr>
          <w:p w14:paraId="133397A6"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Revitalizovat park v okolí budovy zámečku</w:t>
            </w:r>
          </w:p>
        </w:tc>
        <w:tc>
          <w:tcPr>
            <w:tcW w:w="1685" w:type="pct"/>
            <w:tcBorders>
              <w:top w:val="single" w:sz="8" w:space="0" w:color="auto"/>
              <w:left w:val="nil"/>
              <w:bottom w:val="single" w:sz="4" w:space="0" w:color="auto"/>
              <w:right w:val="single" w:sz="4" w:space="0" w:color="auto"/>
            </w:tcBorders>
            <w:shd w:val="clear" w:color="auto" w:fill="DEEBF7"/>
            <w:noWrap/>
            <w:vAlign w:val="center"/>
          </w:tcPr>
          <w:p w14:paraId="3D4D7274" w14:textId="77777777" w:rsidR="00837905" w:rsidRPr="00DB41E2" w:rsidRDefault="00837905" w:rsidP="009A7AC2">
            <w:pPr>
              <w:jc w:val="center"/>
              <w:rPr>
                <w:rFonts w:ascii="Calibri" w:eastAsia="Times New Roman" w:hAnsi="Calibri" w:cs="Times New Roman"/>
                <w:color w:val="000000"/>
                <w:sz w:val="20"/>
                <w:szCs w:val="20"/>
                <w:lang w:eastAsia="cs-CZ"/>
              </w:rPr>
            </w:pPr>
            <w:r w:rsidRPr="006373D3">
              <w:rPr>
                <w:rFonts w:ascii="Calibri" w:eastAsia="Times New Roman" w:hAnsi="Calibri" w:cs="Times New Roman"/>
                <w:color w:val="000000"/>
                <w:sz w:val="20"/>
                <w:szCs w:val="20"/>
                <w:lang w:eastAsia="cs-CZ"/>
              </w:rPr>
              <w:t>Vytvoř</w:t>
            </w:r>
            <w:r>
              <w:rPr>
                <w:rFonts w:ascii="Calibri" w:eastAsia="Times New Roman" w:hAnsi="Calibri" w:cs="Times New Roman"/>
                <w:color w:val="000000"/>
                <w:sz w:val="20"/>
                <w:szCs w:val="20"/>
                <w:lang w:eastAsia="cs-CZ"/>
              </w:rPr>
              <w:t>ena</w:t>
            </w:r>
            <w:r w:rsidRPr="006373D3">
              <w:rPr>
                <w:rFonts w:ascii="Calibri" w:eastAsia="Times New Roman" w:hAnsi="Calibri" w:cs="Times New Roman"/>
                <w:color w:val="000000"/>
                <w:sz w:val="20"/>
                <w:szCs w:val="20"/>
                <w:lang w:eastAsia="cs-CZ"/>
              </w:rPr>
              <w:t xml:space="preserve"> projektov</w:t>
            </w:r>
            <w:r>
              <w:rPr>
                <w:rFonts w:ascii="Calibri" w:eastAsia="Times New Roman" w:hAnsi="Calibri" w:cs="Times New Roman"/>
                <w:color w:val="000000"/>
                <w:sz w:val="20"/>
                <w:szCs w:val="20"/>
                <w:lang w:eastAsia="cs-CZ"/>
              </w:rPr>
              <w:t>á</w:t>
            </w:r>
            <w:r w:rsidRPr="006373D3">
              <w:rPr>
                <w:rFonts w:ascii="Calibri" w:eastAsia="Times New Roman" w:hAnsi="Calibri" w:cs="Times New Roman"/>
                <w:color w:val="000000"/>
                <w:sz w:val="20"/>
                <w:szCs w:val="20"/>
                <w:lang w:eastAsia="cs-CZ"/>
              </w:rPr>
              <w:t xml:space="preserve"> dokumentac</w:t>
            </w:r>
            <w:r>
              <w:rPr>
                <w:rFonts w:ascii="Calibri" w:eastAsia="Times New Roman" w:hAnsi="Calibri" w:cs="Times New Roman"/>
                <w:color w:val="000000"/>
                <w:sz w:val="20"/>
                <w:szCs w:val="20"/>
                <w:lang w:eastAsia="cs-CZ"/>
              </w:rPr>
              <w:t>e</w:t>
            </w:r>
            <w:r w:rsidRPr="006373D3">
              <w:rPr>
                <w:rFonts w:ascii="Calibri" w:eastAsia="Times New Roman" w:hAnsi="Calibri" w:cs="Times New Roman"/>
                <w:color w:val="000000"/>
                <w:sz w:val="20"/>
                <w:szCs w:val="20"/>
                <w:lang w:eastAsia="cs-CZ"/>
              </w:rPr>
              <w:t xml:space="preserve"> </w:t>
            </w:r>
            <w:r>
              <w:rPr>
                <w:rFonts w:ascii="Calibri" w:eastAsia="Times New Roman" w:hAnsi="Calibri" w:cs="Times New Roman"/>
                <w:color w:val="000000"/>
                <w:sz w:val="20"/>
                <w:szCs w:val="20"/>
                <w:lang w:eastAsia="cs-CZ"/>
              </w:rPr>
              <w:br/>
            </w:r>
            <w:r w:rsidRPr="006373D3">
              <w:rPr>
                <w:rFonts w:ascii="Calibri" w:eastAsia="Times New Roman" w:hAnsi="Calibri" w:cs="Times New Roman"/>
                <w:color w:val="000000"/>
                <w:sz w:val="20"/>
                <w:szCs w:val="20"/>
                <w:lang w:eastAsia="cs-CZ"/>
              </w:rPr>
              <w:t>na revitalizaci parku v okolí budovy zámečku</w:t>
            </w:r>
          </w:p>
        </w:tc>
        <w:tc>
          <w:tcPr>
            <w:tcW w:w="407" w:type="pct"/>
            <w:tcBorders>
              <w:top w:val="single" w:sz="8" w:space="0" w:color="auto"/>
              <w:left w:val="nil"/>
              <w:bottom w:val="single" w:sz="4" w:space="0" w:color="auto"/>
              <w:right w:val="single" w:sz="4" w:space="0" w:color="auto"/>
            </w:tcBorders>
            <w:shd w:val="clear" w:color="auto" w:fill="DEEBF7"/>
            <w:noWrap/>
            <w:vAlign w:val="center"/>
          </w:tcPr>
          <w:p w14:paraId="5F2C99F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356" w:type="pct"/>
            <w:tcBorders>
              <w:top w:val="single" w:sz="4" w:space="0" w:color="auto"/>
              <w:left w:val="nil"/>
              <w:bottom w:val="single" w:sz="4" w:space="0" w:color="auto"/>
              <w:right w:val="single" w:sz="4" w:space="0" w:color="auto"/>
            </w:tcBorders>
            <w:shd w:val="clear" w:color="auto" w:fill="DEEBF7"/>
            <w:vAlign w:val="center"/>
          </w:tcPr>
          <w:p w14:paraId="4D1C748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4" w:space="0" w:color="auto"/>
              <w:left w:val="single" w:sz="4" w:space="0" w:color="auto"/>
              <w:bottom w:val="single" w:sz="4" w:space="0" w:color="auto"/>
              <w:right w:val="single" w:sz="18" w:space="0" w:color="auto"/>
            </w:tcBorders>
            <w:shd w:val="clear" w:color="auto" w:fill="DEEBF7"/>
            <w:vAlign w:val="center"/>
          </w:tcPr>
          <w:p w14:paraId="57AFFF71"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4EB2AD8A" w14:textId="77777777" w:rsidTr="009A7AC2">
        <w:trPr>
          <w:trHeight w:val="120"/>
          <w:jc w:val="center"/>
        </w:trPr>
        <w:tc>
          <w:tcPr>
            <w:tcW w:w="378" w:type="pct"/>
            <w:vMerge/>
            <w:tcBorders>
              <w:left w:val="single" w:sz="18" w:space="0" w:color="auto"/>
              <w:bottom w:val="single" w:sz="12" w:space="0" w:color="auto"/>
              <w:right w:val="single" w:sz="12" w:space="0" w:color="auto"/>
            </w:tcBorders>
            <w:shd w:val="clear" w:color="auto" w:fill="DEEBF7"/>
            <w:noWrap/>
            <w:vAlign w:val="center"/>
          </w:tcPr>
          <w:p w14:paraId="6AE93293"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vMerge/>
            <w:tcBorders>
              <w:left w:val="single" w:sz="12" w:space="0" w:color="auto"/>
              <w:bottom w:val="single" w:sz="12" w:space="0" w:color="auto"/>
              <w:right w:val="single" w:sz="4" w:space="0" w:color="auto"/>
            </w:tcBorders>
            <w:shd w:val="clear" w:color="auto" w:fill="DEEBF7"/>
            <w:noWrap/>
            <w:vAlign w:val="center"/>
          </w:tcPr>
          <w:p w14:paraId="0F462159" w14:textId="77777777" w:rsidR="00837905" w:rsidRPr="00B7519A" w:rsidRDefault="00837905" w:rsidP="009A7AC2">
            <w:pPr>
              <w:contextualSpacing/>
              <w:jc w:val="center"/>
              <w:rPr>
                <w:rFonts w:ascii="Calibri" w:eastAsia="Times New Roman" w:hAnsi="Calibri" w:cs="Times New Roman"/>
                <w:color w:val="000000"/>
                <w:sz w:val="20"/>
                <w:szCs w:val="20"/>
                <w:lang w:eastAsia="cs-CZ"/>
              </w:rPr>
            </w:pPr>
          </w:p>
        </w:tc>
        <w:tc>
          <w:tcPr>
            <w:tcW w:w="1685" w:type="pct"/>
            <w:tcBorders>
              <w:top w:val="single" w:sz="4" w:space="0" w:color="auto"/>
              <w:left w:val="nil"/>
              <w:bottom w:val="single" w:sz="12" w:space="0" w:color="auto"/>
              <w:right w:val="single" w:sz="4" w:space="0" w:color="auto"/>
            </w:tcBorders>
            <w:shd w:val="clear" w:color="auto" w:fill="DEEBF7"/>
            <w:noWrap/>
            <w:vAlign w:val="center"/>
          </w:tcPr>
          <w:p w14:paraId="107A1532" w14:textId="77777777" w:rsidR="00837905" w:rsidRPr="00DB41E2" w:rsidRDefault="00837905" w:rsidP="009A7AC2">
            <w:pPr>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Revitalizov</w:t>
            </w:r>
            <w:r>
              <w:rPr>
                <w:rFonts w:ascii="Calibri" w:eastAsia="Times New Roman" w:hAnsi="Calibri" w:cs="Times New Roman"/>
                <w:color w:val="000000"/>
                <w:sz w:val="20"/>
                <w:szCs w:val="20"/>
                <w:lang w:eastAsia="cs-CZ"/>
              </w:rPr>
              <w:t>án</w:t>
            </w:r>
            <w:r w:rsidRPr="00B7519A">
              <w:rPr>
                <w:rFonts w:ascii="Calibri" w:eastAsia="Times New Roman" w:hAnsi="Calibri" w:cs="Times New Roman"/>
                <w:color w:val="000000"/>
                <w:sz w:val="20"/>
                <w:szCs w:val="20"/>
                <w:lang w:eastAsia="cs-CZ"/>
              </w:rPr>
              <w:t xml:space="preserve"> park v okolí budovy zámečku</w:t>
            </w:r>
          </w:p>
        </w:tc>
        <w:tc>
          <w:tcPr>
            <w:tcW w:w="407" w:type="pct"/>
            <w:tcBorders>
              <w:top w:val="single" w:sz="4" w:space="0" w:color="auto"/>
              <w:left w:val="nil"/>
              <w:bottom w:val="single" w:sz="12" w:space="0" w:color="auto"/>
              <w:right w:val="single" w:sz="4" w:space="0" w:color="auto"/>
            </w:tcBorders>
            <w:shd w:val="clear" w:color="auto" w:fill="DEEBF7"/>
            <w:noWrap/>
            <w:vAlign w:val="center"/>
          </w:tcPr>
          <w:p w14:paraId="368BEC0B"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356" w:type="pct"/>
            <w:tcBorders>
              <w:top w:val="single" w:sz="4" w:space="0" w:color="auto"/>
              <w:left w:val="nil"/>
              <w:bottom w:val="single" w:sz="12" w:space="0" w:color="auto"/>
              <w:right w:val="single" w:sz="4" w:space="0" w:color="auto"/>
            </w:tcBorders>
            <w:shd w:val="clear" w:color="auto" w:fill="DEEBF7"/>
            <w:vAlign w:val="center"/>
          </w:tcPr>
          <w:p w14:paraId="30EB236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4" w:space="0" w:color="auto"/>
              <w:left w:val="single" w:sz="4" w:space="0" w:color="auto"/>
              <w:bottom w:val="single" w:sz="12" w:space="0" w:color="auto"/>
              <w:right w:val="single" w:sz="18" w:space="0" w:color="auto"/>
            </w:tcBorders>
            <w:shd w:val="clear" w:color="auto" w:fill="DEEBF7"/>
            <w:vAlign w:val="center"/>
          </w:tcPr>
          <w:p w14:paraId="47BA3C93"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2B52F8ED" w14:textId="77777777" w:rsidTr="009A7AC2">
        <w:trPr>
          <w:trHeight w:val="52"/>
          <w:jc w:val="center"/>
        </w:trPr>
        <w:tc>
          <w:tcPr>
            <w:tcW w:w="378" w:type="pct"/>
            <w:tcBorders>
              <w:top w:val="single" w:sz="12" w:space="0" w:color="auto"/>
              <w:left w:val="single" w:sz="18" w:space="0" w:color="auto"/>
              <w:right w:val="single" w:sz="12" w:space="0" w:color="auto"/>
            </w:tcBorders>
            <w:shd w:val="clear" w:color="auto" w:fill="9DC3E6"/>
            <w:noWrap/>
            <w:vAlign w:val="center"/>
            <w:hideMark/>
          </w:tcPr>
          <w:p w14:paraId="37B874AE" w14:textId="77777777" w:rsidR="00837905" w:rsidRPr="00DB41E2" w:rsidRDefault="00837905" w:rsidP="009A7AC2">
            <w:pPr>
              <w:jc w:val="center"/>
              <w:rPr>
                <w:rFonts w:ascii="Calibri" w:eastAsia="Times New Roman" w:hAnsi="Calibri" w:cs="Times New Roman"/>
                <w:b/>
                <w:color w:val="000000"/>
                <w:sz w:val="20"/>
                <w:szCs w:val="20"/>
                <w:lang w:eastAsia="cs-CZ"/>
              </w:rPr>
            </w:pPr>
            <w:r>
              <w:br w:type="page"/>
            </w:r>
            <w:r w:rsidRPr="00DB41E2">
              <w:rPr>
                <w:rFonts w:ascii="Calibri" w:eastAsia="Calibri" w:hAnsi="Calibri" w:cs="Times New Roman"/>
              </w:rPr>
              <w:br w:type="page"/>
            </w:r>
            <w:r w:rsidRPr="00DB41E2">
              <w:rPr>
                <w:rFonts w:ascii="Calibri" w:eastAsia="Times New Roman" w:hAnsi="Calibri" w:cs="Times New Roman"/>
                <w:b/>
                <w:color w:val="000000"/>
                <w:sz w:val="20"/>
                <w:szCs w:val="20"/>
                <w:lang w:eastAsia="cs-CZ"/>
              </w:rPr>
              <w:t>Cíl</w:t>
            </w:r>
          </w:p>
        </w:tc>
        <w:tc>
          <w:tcPr>
            <w:tcW w:w="1851" w:type="pct"/>
            <w:tcBorders>
              <w:top w:val="single" w:sz="12" w:space="0" w:color="auto"/>
              <w:left w:val="single" w:sz="12" w:space="0" w:color="auto"/>
              <w:bottom w:val="single" w:sz="12" w:space="0" w:color="auto"/>
              <w:right w:val="single" w:sz="4" w:space="0" w:color="auto"/>
            </w:tcBorders>
            <w:shd w:val="clear" w:color="auto" w:fill="9DC3E6"/>
            <w:noWrap/>
            <w:vAlign w:val="center"/>
          </w:tcPr>
          <w:p w14:paraId="3A61001E" w14:textId="77777777" w:rsidR="00837905" w:rsidRPr="00DB41E2" w:rsidRDefault="00837905" w:rsidP="009A7AC2">
            <w:pPr>
              <w:contextualSpacing/>
              <w:jc w:val="center"/>
              <w:rPr>
                <w:rFonts w:ascii="Calibri" w:eastAsia="Times New Roman" w:hAnsi="Calibri" w:cs="Times New Roman"/>
                <w:b/>
                <w:bCs/>
                <w:color w:val="000000"/>
                <w:sz w:val="20"/>
                <w:szCs w:val="20"/>
                <w:lang w:eastAsia="cs-CZ"/>
              </w:rPr>
            </w:pPr>
            <w:r w:rsidRPr="00B7519A">
              <w:rPr>
                <w:rFonts w:ascii="Calibri" w:eastAsia="Times New Roman" w:hAnsi="Calibri" w:cs="Times New Roman"/>
                <w:b/>
                <w:bCs/>
                <w:color w:val="000000"/>
                <w:sz w:val="20"/>
                <w:szCs w:val="20"/>
                <w:lang w:eastAsia="cs-CZ"/>
              </w:rPr>
              <w:t xml:space="preserve">Zlepšovat prostředí obce prostřednictvím </w:t>
            </w:r>
            <w:r>
              <w:rPr>
                <w:rFonts w:ascii="Calibri" w:eastAsia="Times New Roman" w:hAnsi="Calibri" w:cs="Times New Roman"/>
                <w:b/>
                <w:bCs/>
                <w:color w:val="000000"/>
                <w:sz w:val="20"/>
                <w:szCs w:val="20"/>
                <w:lang w:eastAsia="cs-CZ"/>
              </w:rPr>
              <w:br/>
            </w:r>
            <w:r w:rsidRPr="00B7519A">
              <w:rPr>
                <w:rFonts w:ascii="Calibri" w:eastAsia="Times New Roman" w:hAnsi="Calibri" w:cs="Times New Roman"/>
                <w:b/>
                <w:bCs/>
                <w:color w:val="000000"/>
                <w:sz w:val="20"/>
                <w:szCs w:val="20"/>
                <w:lang w:eastAsia="cs-CZ"/>
              </w:rPr>
              <w:t>činností majících pozitivní vliv na něj</w:t>
            </w:r>
          </w:p>
        </w:tc>
        <w:tc>
          <w:tcPr>
            <w:tcW w:w="1685" w:type="pct"/>
            <w:tcBorders>
              <w:top w:val="single" w:sz="12" w:space="0" w:color="auto"/>
              <w:left w:val="nil"/>
              <w:bottom w:val="single" w:sz="12" w:space="0" w:color="auto"/>
              <w:right w:val="single" w:sz="4" w:space="0" w:color="auto"/>
            </w:tcBorders>
            <w:shd w:val="clear" w:color="auto" w:fill="9DC3E6"/>
            <w:noWrap/>
            <w:vAlign w:val="center"/>
          </w:tcPr>
          <w:p w14:paraId="364E4EA0" w14:textId="77777777" w:rsidR="00837905" w:rsidRPr="00DB41E2" w:rsidRDefault="00837905" w:rsidP="009A7AC2">
            <w:pPr>
              <w:jc w:val="center"/>
              <w:rPr>
                <w:rFonts w:ascii="Calibri" w:eastAsia="Times New Roman" w:hAnsi="Calibri" w:cs="Times New Roman"/>
                <w:b/>
                <w:bCs/>
                <w:color w:val="000000"/>
                <w:sz w:val="20"/>
                <w:szCs w:val="20"/>
                <w:lang w:eastAsia="cs-CZ"/>
              </w:rPr>
            </w:pPr>
            <w:r w:rsidRPr="00B454CD">
              <w:rPr>
                <w:rFonts w:ascii="Calibri" w:eastAsia="Times New Roman" w:hAnsi="Calibri" w:cs="Times New Roman"/>
                <w:b/>
                <w:bCs/>
                <w:color w:val="000000"/>
                <w:sz w:val="20"/>
                <w:szCs w:val="20"/>
                <w:lang w:eastAsia="cs-CZ"/>
              </w:rPr>
              <w:t>Počet nově realizovaných činností</w:t>
            </w:r>
            <w:r>
              <w:rPr>
                <w:rFonts w:ascii="Calibri" w:eastAsia="Times New Roman" w:hAnsi="Calibri" w:cs="Times New Roman"/>
                <w:b/>
                <w:bCs/>
                <w:color w:val="000000"/>
                <w:sz w:val="20"/>
                <w:szCs w:val="20"/>
                <w:lang w:eastAsia="cs-CZ"/>
              </w:rPr>
              <w:t xml:space="preserve"> </w:t>
            </w:r>
            <w:r>
              <w:rPr>
                <w:rFonts w:ascii="Calibri" w:eastAsia="Times New Roman" w:hAnsi="Calibri" w:cs="Times New Roman"/>
                <w:b/>
                <w:bCs/>
                <w:color w:val="000000"/>
                <w:sz w:val="20"/>
                <w:szCs w:val="20"/>
                <w:lang w:eastAsia="cs-CZ"/>
              </w:rPr>
              <w:br/>
              <w:t>za účelem z</w:t>
            </w:r>
            <w:r w:rsidRPr="00B7519A">
              <w:rPr>
                <w:rFonts w:ascii="Calibri" w:eastAsia="Times New Roman" w:hAnsi="Calibri" w:cs="Times New Roman"/>
                <w:b/>
                <w:bCs/>
                <w:color w:val="000000"/>
                <w:sz w:val="20"/>
                <w:szCs w:val="20"/>
                <w:lang w:eastAsia="cs-CZ"/>
              </w:rPr>
              <w:t>lepšov</w:t>
            </w:r>
            <w:r>
              <w:rPr>
                <w:rFonts w:ascii="Calibri" w:eastAsia="Times New Roman" w:hAnsi="Calibri" w:cs="Times New Roman"/>
                <w:b/>
                <w:bCs/>
                <w:color w:val="000000"/>
                <w:sz w:val="20"/>
                <w:szCs w:val="20"/>
                <w:lang w:eastAsia="cs-CZ"/>
              </w:rPr>
              <w:t>ání</w:t>
            </w:r>
            <w:r w:rsidRPr="00B7519A">
              <w:rPr>
                <w:rFonts w:ascii="Calibri" w:eastAsia="Times New Roman" w:hAnsi="Calibri" w:cs="Times New Roman"/>
                <w:b/>
                <w:bCs/>
                <w:color w:val="000000"/>
                <w:sz w:val="20"/>
                <w:szCs w:val="20"/>
                <w:lang w:eastAsia="cs-CZ"/>
              </w:rPr>
              <w:t xml:space="preserve"> prostředí obce</w:t>
            </w:r>
          </w:p>
        </w:tc>
        <w:tc>
          <w:tcPr>
            <w:tcW w:w="407" w:type="pct"/>
            <w:tcBorders>
              <w:top w:val="single" w:sz="12" w:space="0" w:color="auto"/>
              <w:left w:val="nil"/>
              <w:bottom w:val="single" w:sz="12" w:space="0" w:color="auto"/>
              <w:right w:val="single" w:sz="4" w:space="0" w:color="auto"/>
            </w:tcBorders>
            <w:shd w:val="clear" w:color="auto" w:fill="9DC3E6"/>
            <w:noWrap/>
            <w:vAlign w:val="center"/>
          </w:tcPr>
          <w:p w14:paraId="752B0DCA"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počet</w:t>
            </w:r>
          </w:p>
        </w:tc>
        <w:tc>
          <w:tcPr>
            <w:tcW w:w="356" w:type="pct"/>
            <w:tcBorders>
              <w:top w:val="single" w:sz="12" w:space="0" w:color="auto"/>
              <w:left w:val="nil"/>
              <w:bottom w:val="single" w:sz="12" w:space="0" w:color="auto"/>
              <w:right w:val="single" w:sz="4" w:space="0" w:color="auto"/>
            </w:tcBorders>
            <w:shd w:val="clear" w:color="auto" w:fill="9DC3E6"/>
            <w:vAlign w:val="center"/>
          </w:tcPr>
          <w:p w14:paraId="0FBCEB08"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0</w:t>
            </w:r>
          </w:p>
        </w:tc>
        <w:tc>
          <w:tcPr>
            <w:tcW w:w="323" w:type="pct"/>
            <w:tcBorders>
              <w:top w:val="single" w:sz="12" w:space="0" w:color="auto"/>
              <w:left w:val="single" w:sz="4" w:space="0" w:color="auto"/>
              <w:bottom w:val="single" w:sz="12" w:space="0" w:color="auto"/>
              <w:right w:val="single" w:sz="18" w:space="0" w:color="auto"/>
            </w:tcBorders>
            <w:shd w:val="clear" w:color="auto" w:fill="9DC3E6"/>
            <w:vAlign w:val="center"/>
          </w:tcPr>
          <w:p w14:paraId="5D915411"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14</w:t>
            </w:r>
          </w:p>
        </w:tc>
      </w:tr>
      <w:tr w:rsidR="00837905" w:rsidRPr="00DB41E2" w14:paraId="173D4608" w14:textId="77777777" w:rsidTr="009A7AC2">
        <w:trPr>
          <w:trHeight w:val="50"/>
          <w:jc w:val="center"/>
        </w:trPr>
        <w:tc>
          <w:tcPr>
            <w:tcW w:w="378" w:type="pct"/>
            <w:tcBorders>
              <w:top w:val="single" w:sz="12" w:space="0" w:color="auto"/>
              <w:left w:val="single" w:sz="18" w:space="0" w:color="auto"/>
              <w:bottom w:val="single" w:sz="12" w:space="0" w:color="auto"/>
              <w:right w:val="single" w:sz="12" w:space="0" w:color="auto"/>
            </w:tcBorders>
            <w:shd w:val="clear" w:color="auto" w:fill="BDD7EE"/>
            <w:noWrap/>
            <w:vAlign w:val="center"/>
            <w:hideMark/>
          </w:tcPr>
          <w:p w14:paraId="29247364"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22" w:type="pct"/>
            <w:gridSpan w:val="5"/>
            <w:tcBorders>
              <w:top w:val="single" w:sz="12" w:space="0" w:color="auto"/>
              <w:left w:val="single" w:sz="12" w:space="0" w:color="auto"/>
              <w:bottom w:val="single" w:sz="12" w:space="0" w:color="auto"/>
              <w:right w:val="single" w:sz="18" w:space="0" w:color="auto"/>
            </w:tcBorders>
            <w:shd w:val="clear" w:color="auto" w:fill="BDD7EE"/>
            <w:noWrap/>
            <w:vAlign w:val="center"/>
          </w:tcPr>
          <w:p w14:paraId="766B8E41" w14:textId="77777777" w:rsidR="00837905" w:rsidRPr="00DB41E2" w:rsidRDefault="00837905" w:rsidP="009A7AC2">
            <w:pPr>
              <w:contextualSpacing/>
              <w:jc w:val="center"/>
              <w:rPr>
                <w:rFonts w:ascii="Calibri" w:eastAsia="Times New Roman" w:hAnsi="Calibri" w:cs="Times New Roman"/>
                <w:b/>
                <w:color w:val="000000"/>
                <w:sz w:val="20"/>
                <w:szCs w:val="20"/>
                <w:lang w:eastAsia="cs-CZ"/>
              </w:rPr>
            </w:pPr>
            <w:r w:rsidRPr="00B7519A">
              <w:rPr>
                <w:rFonts w:ascii="Calibri" w:eastAsia="Times New Roman" w:hAnsi="Calibri" w:cs="Times New Roman"/>
                <w:b/>
                <w:color w:val="000000"/>
                <w:sz w:val="20"/>
                <w:szCs w:val="20"/>
                <w:lang w:eastAsia="cs-CZ"/>
              </w:rPr>
              <w:t>Zdokonalovat systém odpadového hospodářství</w:t>
            </w:r>
          </w:p>
        </w:tc>
      </w:tr>
      <w:tr w:rsidR="00837905" w:rsidRPr="00DB41E2" w14:paraId="18260E65" w14:textId="77777777" w:rsidTr="009A7AC2">
        <w:trPr>
          <w:trHeight w:val="248"/>
          <w:jc w:val="center"/>
        </w:trPr>
        <w:tc>
          <w:tcPr>
            <w:tcW w:w="378" w:type="pct"/>
            <w:vMerge w:val="restart"/>
            <w:tcBorders>
              <w:top w:val="single" w:sz="12" w:space="0" w:color="auto"/>
              <w:left w:val="single" w:sz="18" w:space="0" w:color="auto"/>
              <w:right w:val="single" w:sz="12" w:space="0" w:color="auto"/>
            </w:tcBorders>
            <w:shd w:val="clear" w:color="auto" w:fill="DEEBF7"/>
            <w:noWrap/>
            <w:vAlign w:val="center"/>
            <w:hideMark/>
          </w:tcPr>
          <w:p w14:paraId="24B46278"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851" w:type="pct"/>
            <w:tcBorders>
              <w:top w:val="single" w:sz="12" w:space="0" w:color="auto"/>
              <w:left w:val="single" w:sz="12" w:space="0" w:color="auto"/>
              <w:bottom w:val="single" w:sz="8" w:space="0" w:color="auto"/>
              <w:right w:val="single" w:sz="4" w:space="0" w:color="auto"/>
            </w:tcBorders>
            <w:shd w:val="clear" w:color="auto" w:fill="DEEBF7"/>
            <w:noWrap/>
            <w:vAlign w:val="center"/>
          </w:tcPr>
          <w:p w14:paraId="37326CF6"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Optimalizovat síť sběrných nádob na tříděný odpad</w:t>
            </w:r>
          </w:p>
        </w:tc>
        <w:tc>
          <w:tcPr>
            <w:tcW w:w="1685" w:type="pct"/>
            <w:tcBorders>
              <w:top w:val="single" w:sz="12" w:space="0" w:color="auto"/>
              <w:left w:val="nil"/>
              <w:bottom w:val="single" w:sz="8" w:space="0" w:color="auto"/>
              <w:right w:val="single" w:sz="4" w:space="0" w:color="auto"/>
            </w:tcBorders>
            <w:shd w:val="clear" w:color="auto" w:fill="DEEBF7"/>
            <w:noWrap/>
            <w:vAlign w:val="center"/>
          </w:tcPr>
          <w:p w14:paraId="248AEB4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Proveden </w:t>
            </w:r>
            <w:r w:rsidRPr="00233B7C">
              <w:rPr>
                <w:rFonts w:ascii="Calibri" w:eastAsia="Times New Roman" w:hAnsi="Calibri" w:cs="Times New Roman"/>
                <w:color w:val="000000"/>
                <w:sz w:val="20"/>
                <w:szCs w:val="20"/>
                <w:lang w:eastAsia="cs-CZ"/>
              </w:rPr>
              <w:t>průzkum dostupnosti a naplněnosti jednotlivých typů kontejnerů na tříděný odpad</w:t>
            </w:r>
          </w:p>
        </w:tc>
        <w:tc>
          <w:tcPr>
            <w:tcW w:w="407" w:type="pct"/>
            <w:tcBorders>
              <w:top w:val="single" w:sz="12" w:space="0" w:color="auto"/>
              <w:left w:val="nil"/>
              <w:bottom w:val="single" w:sz="8" w:space="0" w:color="auto"/>
              <w:right w:val="single" w:sz="4" w:space="0" w:color="auto"/>
            </w:tcBorders>
            <w:shd w:val="clear" w:color="auto" w:fill="DEEBF7"/>
            <w:noWrap/>
            <w:vAlign w:val="center"/>
          </w:tcPr>
          <w:p w14:paraId="007057A3"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356" w:type="pct"/>
            <w:tcBorders>
              <w:top w:val="single" w:sz="12" w:space="0" w:color="auto"/>
              <w:left w:val="nil"/>
              <w:bottom w:val="single" w:sz="8" w:space="0" w:color="auto"/>
              <w:right w:val="single" w:sz="4" w:space="0" w:color="auto"/>
            </w:tcBorders>
            <w:shd w:val="clear" w:color="auto" w:fill="DEEBF7"/>
            <w:vAlign w:val="center"/>
          </w:tcPr>
          <w:p w14:paraId="70DECA13"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12" w:space="0" w:color="auto"/>
              <w:left w:val="single" w:sz="4" w:space="0" w:color="auto"/>
              <w:bottom w:val="single" w:sz="8" w:space="0" w:color="auto"/>
              <w:right w:val="single" w:sz="18" w:space="0" w:color="auto"/>
            </w:tcBorders>
            <w:shd w:val="clear" w:color="auto" w:fill="DEEBF7"/>
            <w:vAlign w:val="center"/>
          </w:tcPr>
          <w:p w14:paraId="2DFB2E2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54F3738A" w14:textId="77777777" w:rsidTr="009A7AC2">
        <w:trPr>
          <w:trHeight w:val="48"/>
          <w:jc w:val="center"/>
        </w:trPr>
        <w:tc>
          <w:tcPr>
            <w:tcW w:w="378" w:type="pct"/>
            <w:vMerge/>
            <w:tcBorders>
              <w:left w:val="single" w:sz="18" w:space="0" w:color="auto"/>
              <w:right w:val="single" w:sz="12" w:space="0" w:color="auto"/>
            </w:tcBorders>
            <w:shd w:val="clear" w:color="auto" w:fill="DEEBF7"/>
            <w:noWrap/>
            <w:vAlign w:val="center"/>
          </w:tcPr>
          <w:p w14:paraId="07030113"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8" w:space="0" w:color="auto"/>
              <w:right w:val="single" w:sz="4" w:space="0" w:color="auto"/>
            </w:tcBorders>
            <w:shd w:val="clear" w:color="auto" w:fill="DEEBF7"/>
            <w:noWrap/>
            <w:vAlign w:val="center"/>
          </w:tcPr>
          <w:p w14:paraId="194CFB37"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Uvažovat o zavedení tzv. systému „door to door“</w:t>
            </w:r>
          </w:p>
        </w:tc>
        <w:tc>
          <w:tcPr>
            <w:tcW w:w="1685" w:type="pct"/>
            <w:tcBorders>
              <w:top w:val="single" w:sz="8" w:space="0" w:color="auto"/>
              <w:left w:val="nil"/>
              <w:bottom w:val="single" w:sz="8" w:space="0" w:color="auto"/>
              <w:right w:val="single" w:sz="4" w:space="0" w:color="auto"/>
            </w:tcBorders>
            <w:shd w:val="clear" w:color="auto" w:fill="DEEBF7"/>
            <w:noWrap/>
            <w:vAlign w:val="center"/>
          </w:tcPr>
          <w:p w14:paraId="394E2122"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Z</w:t>
            </w:r>
            <w:r w:rsidRPr="00426374">
              <w:rPr>
                <w:rFonts w:ascii="Calibri" w:eastAsia="Times New Roman" w:hAnsi="Calibri" w:cs="Times New Roman"/>
                <w:color w:val="000000"/>
                <w:sz w:val="20"/>
                <w:szCs w:val="20"/>
                <w:lang w:eastAsia="cs-CZ"/>
              </w:rPr>
              <w:t>avede</w:t>
            </w:r>
            <w:r>
              <w:rPr>
                <w:rFonts w:ascii="Calibri" w:eastAsia="Times New Roman" w:hAnsi="Calibri" w:cs="Times New Roman"/>
                <w:color w:val="000000"/>
                <w:sz w:val="20"/>
                <w:szCs w:val="20"/>
                <w:lang w:eastAsia="cs-CZ"/>
              </w:rPr>
              <w:t xml:space="preserve">n </w:t>
            </w:r>
            <w:r w:rsidRPr="00426374">
              <w:rPr>
                <w:rFonts w:ascii="Calibri" w:eastAsia="Times New Roman" w:hAnsi="Calibri" w:cs="Times New Roman"/>
                <w:color w:val="000000"/>
                <w:sz w:val="20"/>
                <w:szCs w:val="20"/>
                <w:lang w:eastAsia="cs-CZ"/>
              </w:rPr>
              <w:t>tzv. systém „door to door“</w:t>
            </w:r>
          </w:p>
        </w:tc>
        <w:tc>
          <w:tcPr>
            <w:tcW w:w="407" w:type="pct"/>
            <w:tcBorders>
              <w:top w:val="single" w:sz="8" w:space="0" w:color="auto"/>
              <w:left w:val="nil"/>
              <w:bottom w:val="single" w:sz="8" w:space="0" w:color="auto"/>
              <w:right w:val="single" w:sz="4" w:space="0" w:color="auto"/>
            </w:tcBorders>
            <w:shd w:val="clear" w:color="auto" w:fill="DEEBF7"/>
            <w:noWrap/>
            <w:vAlign w:val="center"/>
          </w:tcPr>
          <w:p w14:paraId="0559D90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356" w:type="pct"/>
            <w:tcBorders>
              <w:top w:val="single" w:sz="8" w:space="0" w:color="auto"/>
              <w:left w:val="nil"/>
              <w:bottom w:val="single" w:sz="8" w:space="0" w:color="auto"/>
              <w:right w:val="single" w:sz="4" w:space="0" w:color="auto"/>
            </w:tcBorders>
            <w:shd w:val="clear" w:color="auto" w:fill="DEEBF7"/>
            <w:vAlign w:val="center"/>
          </w:tcPr>
          <w:p w14:paraId="62E722C0"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8" w:space="0" w:color="auto"/>
              <w:right w:val="single" w:sz="18" w:space="0" w:color="auto"/>
            </w:tcBorders>
            <w:shd w:val="clear" w:color="auto" w:fill="DEEBF7"/>
            <w:vAlign w:val="center"/>
          </w:tcPr>
          <w:p w14:paraId="582D17B6"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4929F285" w14:textId="77777777" w:rsidTr="009A7AC2">
        <w:trPr>
          <w:trHeight w:val="126"/>
          <w:jc w:val="center"/>
        </w:trPr>
        <w:tc>
          <w:tcPr>
            <w:tcW w:w="378" w:type="pct"/>
            <w:vMerge/>
            <w:tcBorders>
              <w:left w:val="single" w:sz="18" w:space="0" w:color="auto"/>
              <w:right w:val="single" w:sz="12" w:space="0" w:color="auto"/>
            </w:tcBorders>
            <w:shd w:val="clear" w:color="auto" w:fill="DEEBF7"/>
            <w:noWrap/>
            <w:vAlign w:val="center"/>
          </w:tcPr>
          <w:p w14:paraId="1AA4477B"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8" w:space="0" w:color="auto"/>
              <w:right w:val="single" w:sz="4" w:space="0" w:color="auto"/>
            </w:tcBorders>
            <w:shd w:val="clear" w:color="auto" w:fill="DEEBF7"/>
            <w:noWrap/>
            <w:vAlign w:val="center"/>
          </w:tcPr>
          <w:p w14:paraId="2B570510" w14:textId="77777777" w:rsidR="00837905" w:rsidRPr="00EA243B"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Podporovat aktivity prevence vzniku odpadů</w:t>
            </w:r>
          </w:p>
        </w:tc>
        <w:tc>
          <w:tcPr>
            <w:tcW w:w="1685" w:type="pct"/>
            <w:tcBorders>
              <w:top w:val="single" w:sz="8" w:space="0" w:color="auto"/>
              <w:left w:val="nil"/>
              <w:bottom w:val="single" w:sz="8" w:space="0" w:color="auto"/>
              <w:right w:val="single" w:sz="4" w:space="0" w:color="auto"/>
            </w:tcBorders>
            <w:shd w:val="clear" w:color="auto" w:fill="DEEBF7"/>
            <w:noWrap/>
            <w:vAlign w:val="center"/>
          </w:tcPr>
          <w:p w14:paraId="446A0650" w14:textId="77777777" w:rsidR="00837905" w:rsidRPr="00233B7C" w:rsidRDefault="00837905" w:rsidP="009A7AC2">
            <w:pPr>
              <w:jc w:val="center"/>
              <w:rPr>
                <w:rFonts w:ascii="Calibri" w:eastAsia="Times New Roman" w:hAnsi="Calibri" w:cs="Times New Roman"/>
                <w:color w:val="000000"/>
                <w:sz w:val="20"/>
                <w:szCs w:val="20"/>
                <w:lang w:eastAsia="cs-CZ"/>
              </w:rPr>
            </w:pPr>
            <w:r w:rsidRPr="00233B7C">
              <w:rPr>
                <w:rFonts w:ascii="Calibri" w:eastAsia="Times New Roman" w:hAnsi="Calibri" w:cs="Times New Roman"/>
                <w:color w:val="000000"/>
                <w:sz w:val="20"/>
                <w:szCs w:val="20"/>
                <w:lang w:eastAsia="cs-CZ"/>
              </w:rPr>
              <w:t xml:space="preserve">Počet uskutečněných aktivit </w:t>
            </w:r>
          </w:p>
          <w:p w14:paraId="3280FA30" w14:textId="77777777" w:rsidR="00837905" w:rsidRPr="00DB41E2" w:rsidRDefault="00837905" w:rsidP="009A7AC2">
            <w:pPr>
              <w:jc w:val="center"/>
              <w:rPr>
                <w:rFonts w:ascii="Calibri" w:eastAsia="Times New Roman" w:hAnsi="Calibri" w:cs="Times New Roman"/>
                <w:color w:val="000000"/>
                <w:sz w:val="20"/>
                <w:szCs w:val="20"/>
                <w:lang w:eastAsia="cs-CZ"/>
              </w:rPr>
            </w:pPr>
            <w:r w:rsidRPr="00233B7C">
              <w:rPr>
                <w:rFonts w:ascii="Calibri" w:eastAsia="Times New Roman" w:hAnsi="Calibri" w:cs="Times New Roman"/>
                <w:color w:val="000000"/>
                <w:sz w:val="20"/>
                <w:szCs w:val="20"/>
                <w:lang w:eastAsia="cs-CZ"/>
              </w:rPr>
              <w:t>za účelem podpory</w:t>
            </w:r>
            <w:r w:rsidRPr="00B7519A">
              <w:rPr>
                <w:rFonts w:ascii="Calibri" w:eastAsia="Times New Roman" w:hAnsi="Calibri" w:cs="Times New Roman"/>
                <w:color w:val="000000"/>
                <w:sz w:val="20"/>
                <w:szCs w:val="20"/>
                <w:lang w:eastAsia="cs-CZ"/>
              </w:rPr>
              <w:t xml:space="preserve"> prevence vzniku odpadů</w:t>
            </w:r>
          </w:p>
        </w:tc>
        <w:tc>
          <w:tcPr>
            <w:tcW w:w="407" w:type="pct"/>
            <w:tcBorders>
              <w:top w:val="single" w:sz="8" w:space="0" w:color="auto"/>
              <w:left w:val="nil"/>
              <w:bottom w:val="single" w:sz="8" w:space="0" w:color="auto"/>
              <w:right w:val="single" w:sz="4" w:space="0" w:color="auto"/>
            </w:tcBorders>
            <w:shd w:val="clear" w:color="auto" w:fill="DEEBF7"/>
            <w:noWrap/>
            <w:vAlign w:val="center"/>
          </w:tcPr>
          <w:p w14:paraId="190AD616"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356" w:type="pct"/>
            <w:tcBorders>
              <w:top w:val="single" w:sz="8" w:space="0" w:color="auto"/>
              <w:left w:val="nil"/>
              <w:bottom w:val="single" w:sz="8" w:space="0" w:color="auto"/>
              <w:right w:val="single" w:sz="4" w:space="0" w:color="auto"/>
            </w:tcBorders>
            <w:shd w:val="clear" w:color="auto" w:fill="DEEBF7"/>
            <w:vAlign w:val="center"/>
          </w:tcPr>
          <w:p w14:paraId="4FC3CAE1"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8" w:space="0" w:color="auto"/>
              <w:right w:val="single" w:sz="18" w:space="0" w:color="auto"/>
            </w:tcBorders>
            <w:shd w:val="clear" w:color="auto" w:fill="DEEBF7"/>
            <w:vAlign w:val="center"/>
          </w:tcPr>
          <w:p w14:paraId="254AFF1E"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w:t>
            </w:r>
          </w:p>
        </w:tc>
      </w:tr>
      <w:tr w:rsidR="00837905" w:rsidRPr="00DB41E2" w14:paraId="6209115E" w14:textId="77777777" w:rsidTr="009A7AC2">
        <w:trPr>
          <w:trHeight w:val="126"/>
          <w:jc w:val="center"/>
        </w:trPr>
        <w:tc>
          <w:tcPr>
            <w:tcW w:w="378" w:type="pct"/>
            <w:vMerge/>
            <w:tcBorders>
              <w:left w:val="single" w:sz="18" w:space="0" w:color="auto"/>
              <w:right w:val="single" w:sz="12" w:space="0" w:color="auto"/>
            </w:tcBorders>
            <w:shd w:val="clear" w:color="auto" w:fill="DEEBF7"/>
            <w:noWrap/>
            <w:vAlign w:val="center"/>
          </w:tcPr>
          <w:p w14:paraId="6949C33D"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8" w:space="0" w:color="auto"/>
              <w:right w:val="single" w:sz="4" w:space="0" w:color="auto"/>
            </w:tcBorders>
            <w:shd w:val="clear" w:color="auto" w:fill="DEEBF7"/>
            <w:noWrap/>
            <w:vAlign w:val="center"/>
          </w:tcPr>
          <w:p w14:paraId="4DD3DCB7" w14:textId="77777777" w:rsidR="00837905" w:rsidRPr="00EA243B"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Uvažovat o vzniku sběrného místa v obci</w:t>
            </w:r>
          </w:p>
        </w:tc>
        <w:tc>
          <w:tcPr>
            <w:tcW w:w="1685" w:type="pct"/>
            <w:tcBorders>
              <w:top w:val="single" w:sz="8" w:space="0" w:color="auto"/>
              <w:left w:val="nil"/>
              <w:bottom w:val="single" w:sz="8" w:space="0" w:color="auto"/>
              <w:right w:val="single" w:sz="4" w:space="0" w:color="auto"/>
            </w:tcBorders>
            <w:shd w:val="clear" w:color="auto" w:fill="DEEBF7"/>
            <w:noWrap/>
            <w:vAlign w:val="center"/>
          </w:tcPr>
          <w:p w14:paraId="53C7455A"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Existence </w:t>
            </w:r>
            <w:r w:rsidRPr="00B7519A">
              <w:rPr>
                <w:rFonts w:ascii="Calibri" w:eastAsia="Times New Roman" w:hAnsi="Calibri" w:cs="Times New Roman"/>
                <w:color w:val="000000"/>
                <w:sz w:val="20"/>
                <w:szCs w:val="20"/>
                <w:lang w:eastAsia="cs-CZ"/>
              </w:rPr>
              <w:t>sběrného místa v obci</w:t>
            </w:r>
          </w:p>
        </w:tc>
        <w:tc>
          <w:tcPr>
            <w:tcW w:w="407" w:type="pct"/>
            <w:tcBorders>
              <w:top w:val="single" w:sz="8" w:space="0" w:color="auto"/>
              <w:left w:val="nil"/>
              <w:bottom w:val="single" w:sz="8" w:space="0" w:color="auto"/>
              <w:right w:val="single" w:sz="4" w:space="0" w:color="auto"/>
            </w:tcBorders>
            <w:shd w:val="clear" w:color="auto" w:fill="DEEBF7"/>
            <w:noWrap/>
            <w:vAlign w:val="center"/>
          </w:tcPr>
          <w:p w14:paraId="1EBC649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356" w:type="pct"/>
            <w:tcBorders>
              <w:top w:val="single" w:sz="8" w:space="0" w:color="auto"/>
              <w:left w:val="nil"/>
              <w:bottom w:val="single" w:sz="8" w:space="0" w:color="auto"/>
              <w:right w:val="single" w:sz="4" w:space="0" w:color="auto"/>
            </w:tcBorders>
            <w:shd w:val="clear" w:color="auto" w:fill="DEEBF7"/>
            <w:vAlign w:val="center"/>
          </w:tcPr>
          <w:p w14:paraId="3C6CA97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8" w:space="0" w:color="auto"/>
              <w:right w:val="single" w:sz="18" w:space="0" w:color="auto"/>
            </w:tcBorders>
            <w:shd w:val="clear" w:color="auto" w:fill="DEEBF7"/>
            <w:vAlign w:val="center"/>
          </w:tcPr>
          <w:p w14:paraId="2FAEDAB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2BFCA7AE" w14:textId="77777777" w:rsidTr="009A7AC2">
        <w:trPr>
          <w:trHeight w:val="246"/>
          <w:jc w:val="center"/>
        </w:trPr>
        <w:tc>
          <w:tcPr>
            <w:tcW w:w="378" w:type="pct"/>
            <w:vMerge/>
            <w:tcBorders>
              <w:left w:val="single" w:sz="18" w:space="0" w:color="auto"/>
              <w:bottom w:val="single" w:sz="12" w:space="0" w:color="auto"/>
              <w:right w:val="single" w:sz="12" w:space="0" w:color="auto"/>
            </w:tcBorders>
            <w:shd w:val="clear" w:color="auto" w:fill="DEEBF7"/>
            <w:noWrap/>
            <w:vAlign w:val="center"/>
          </w:tcPr>
          <w:p w14:paraId="10EC2528"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left w:val="single" w:sz="12" w:space="0" w:color="auto"/>
              <w:bottom w:val="single" w:sz="12" w:space="0" w:color="auto"/>
              <w:right w:val="single" w:sz="4" w:space="0" w:color="auto"/>
            </w:tcBorders>
            <w:shd w:val="clear" w:color="auto" w:fill="DEEBF7"/>
            <w:noWrap/>
            <w:vAlign w:val="center"/>
          </w:tcPr>
          <w:p w14:paraId="4E5A397C" w14:textId="77777777" w:rsidR="00837905" w:rsidRPr="007109D8"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Uvažovat o vzniku kompostárny</w:t>
            </w:r>
          </w:p>
        </w:tc>
        <w:tc>
          <w:tcPr>
            <w:tcW w:w="1685" w:type="pct"/>
            <w:tcBorders>
              <w:top w:val="single" w:sz="8" w:space="0" w:color="auto"/>
              <w:left w:val="nil"/>
              <w:bottom w:val="single" w:sz="12" w:space="0" w:color="auto"/>
              <w:right w:val="single" w:sz="4" w:space="0" w:color="auto"/>
            </w:tcBorders>
            <w:shd w:val="clear" w:color="auto" w:fill="DEEBF7"/>
            <w:noWrap/>
            <w:vAlign w:val="center"/>
          </w:tcPr>
          <w:p w14:paraId="765C2E9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Existence</w:t>
            </w:r>
            <w:r w:rsidRPr="00B7519A">
              <w:rPr>
                <w:rFonts w:ascii="Calibri" w:eastAsia="Times New Roman" w:hAnsi="Calibri" w:cs="Times New Roman"/>
                <w:color w:val="000000"/>
                <w:sz w:val="20"/>
                <w:szCs w:val="20"/>
                <w:lang w:eastAsia="cs-CZ"/>
              </w:rPr>
              <w:t xml:space="preserve"> kompostárny</w:t>
            </w:r>
            <w:r>
              <w:rPr>
                <w:rFonts w:ascii="Calibri" w:eastAsia="Times New Roman" w:hAnsi="Calibri" w:cs="Times New Roman"/>
                <w:color w:val="000000"/>
                <w:sz w:val="20"/>
                <w:szCs w:val="20"/>
                <w:lang w:eastAsia="cs-CZ"/>
              </w:rPr>
              <w:t xml:space="preserve"> v obci</w:t>
            </w:r>
          </w:p>
        </w:tc>
        <w:tc>
          <w:tcPr>
            <w:tcW w:w="407" w:type="pct"/>
            <w:tcBorders>
              <w:top w:val="single" w:sz="8" w:space="0" w:color="auto"/>
              <w:left w:val="nil"/>
              <w:bottom w:val="single" w:sz="12" w:space="0" w:color="auto"/>
              <w:right w:val="single" w:sz="4" w:space="0" w:color="auto"/>
            </w:tcBorders>
            <w:shd w:val="clear" w:color="auto" w:fill="DEEBF7"/>
            <w:noWrap/>
            <w:vAlign w:val="center"/>
          </w:tcPr>
          <w:p w14:paraId="49749AA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356" w:type="pct"/>
            <w:tcBorders>
              <w:top w:val="single" w:sz="8" w:space="0" w:color="auto"/>
              <w:left w:val="nil"/>
              <w:bottom w:val="single" w:sz="12" w:space="0" w:color="auto"/>
              <w:right w:val="single" w:sz="4" w:space="0" w:color="auto"/>
            </w:tcBorders>
            <w:shd w:val="clear" w:color="auto" w:fill="DEEBF7"/>
            <w:vAlign w:val="center"/>
          </w:tcPr>
          <w:p w14:paraId="195D778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12" w:space="0" w:color="auto"/>
              <w:right w:val="single" w:sz="18" w:space="0" w:color="auto"/>
            </w:tcBorders>
            <w:shd w:val="clear" w:color="auto" w:fill="DEEBF7"/>
            <w:vAlign w:val="center"/>
          </w:tcPr>
          <w:p w14:paraId="31BFF3E7"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bl>
    <w:p w14:paraId="16B991FC" w14:textId="77777777" w:rsidR="00837905" w:rsidRDefault="00837905" w:rsidP="00837905">
      <w:r>
        <w:br w:type="page"/>
      </w:r>
    </w:p>
    <w:tbl>
      <w:tblPr>
        <w:tblW w:w="4986" w:type="pct"/>
        <w:jc w:val="center"/>
        <w:tblLayout w:type="fixed"/>
        <w:tblCellMar>
          <w:left w:w="70" w:type="dxa"/>
          <w:right w:w="70" w:type="dxa"/>
        </w:tblCellMar>
        <w:tblLook w:val="04A0" w:firstRow="1" w:lastRow="0" w:firstColumn="1" w:lastColumn="0" w:noHBand="0" w:noVBand="1"/>
      </w:tblPr>
      <w:tblGrid>
        <w:gridCol w:w="1067"/>
        <w:gridCol w:w="5221"/>
        <w:gridCol w:w="4753"/>
        <w:gridCol w:w="1148"/>
        <w:gridCol w:w="1004"/>
        <w:gridCol w:w="911"/>
      </w:tblGrid>
      <w:tr w:rsidR="00837905" w:rsidRPr="00DB41E2" w14:paraId="2A28FB6E" w14:textId="77777777" w:rsidTr="009A7AC2">
        <w:trPr>
          <w:trHeight w:val="248"/>
          <w:jc w:val="center"/>
        </w:trPr>
        <w:tc>
          <w:tcPr>
            <w:tcW w:w="378" w:type="pct"/>
            <w:tcBorders>
              <w:top w:val="single" w:sz="12" w:space="0" w:color="auto"/>
              <w:left w:val="single" w:sz="18" w:space="0" w:color="auto"/>
              <w:bottom w:val="single" w:sz="12" w:space="0" w:color="auto"/>
              <w:right w:val="single" w:sz="12" w:space="0" w:color="auto"/>
            </w:tcBorders>
            <w:shd w:val="clear" w:color="auto" w:fill="BDD7EE"/>
            <w:noWrap/>
            <w:vAlign w:val="center"/>
            <w:hideMark/>
          </w:tcPr>
          <w:p w14:paraId="682226DE" w14:textId="77777777" w:rsidR="00837905" w:rsidRPr="00DB41E2" w:rsidRDefault="00837905" w:rsidP="009A7AC2">
            <w:pPr>
              <w:jc w:val="center"/>
              <w:rPr>
                <w:rFonts w:ascii="Calibri" w:eastAsia="Times New Roman" w:hAnsi="Calibri" w:cs="Times New Roman"/>
                <w:b/>
                <w:color w:val="000000"/>
                <w:sz w:val="20"/>
                <w:szCs w:val="20"/>
                <w:lang w:eastAsia="cs-CZ"/>
              </w:rPr>
            </w:pPr>
            <w:r>
              <w:lastRenderedPageBreak/>
              <w:br w:type="page"/>
            </w:r>
            <w:r w:rsidRPr="00DB41E2">
              <w:rPr>
                <w:rFonts w:ascii="Calibri" w:eastAsia="Times New Roman" w:hAnsi="Calibri" w:cs="Times New Roman"/>
                <w:b/>
                <w:color w:val="000000"/>
                <w:sz w:val="20"/>
                <w:szCs w:val="20"/>
                <w:lang w:eastAsia="cs-CZ"/>
              </w:rPr>
              <w:t>Opatření</w:t>
            </w:r>
          </w:p>
        </w:tc>
        <w:tc>
          <w:tcPr>
            <w:tcW w:w="4622" w:type="pct"/>
            <w:gridSpan w:val="5"/>
            <w:tcBorders>
              <w:top w:val="single" w:sz="12" w:space="0" w:color="auto"/>
              <w:left w:val="single" w:sz="12" w:space="0" w:color="auto"/>
              <w:bottom w:val="single" w:sz="12" w:space="0" w:color="auto"/>
              <w:right w:val="single" w:sz="18" w:space="0" w:color="auto"/>
            </w:tcBorders>
            <w:shd w:val="clear" w:color="auto" w:fill="BDD7EE"/>
            <w:noWrap/>
            <w:vAlign w:val="center"/>
          </w:tcPr>
          <w:p w14:paraId="013A06F1"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B7519A">
              <w:rPr>
                <w:rFonts w:ascii="Calibri" w:eastAsia="Times New Roman" w:hAnsi="Calibri" w:cs="Times New Roman"/>
                <w:b/>
                <w:color w:val="000000"/>
                <w:sz w:val="20"/>
                <w:szCs w:val="20"/>
                <w:lang w:eastAsia="cs-CZ"/>
              </w:rPr>
              <w:t>Usilovat o realizaci dalších aktivit vedoucích ke zlepšení prostředí obce</w:t>
            </w:r>
          </w:p>
        </w:tc>
      </w:tr>
      <w:tr w:rsidR="00837905" w:rsidRPr="00DB41E2" w14:paraId="2C751AE1" w14:textId="77777777" w:rsidTr="009A7AC2">
        <w:trPr>
          <w:trHeight w:val="246"/>
          <w:jc w:val="center"/>
        </w:trPr>
        <w:tc>
          <w:tcPr>
            <w:tcW w:w="378" w:type="pct"/>
            <w:vMerge w:val="restart"/>
            <w:tcBorders>
              <w:left w:val="single" w:sz="18" w:space="0" w:color="auto"/>
              <w:right w:val="single" w:sz="12" w:space="0" w:color="auto"/>
            </w:tcBorders>
            <w:shd w:val="clear" w:color="auto" w:fill="DEEBF7"/>
            <w:noWrap/>
            <w:vAlign w:val="center"/>
          </w:tcPr>
          <w:p w14:paraId="0142876E"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851" w:type="pct"/>
            <w:tcBorders>
              <w:top w:val="single" w:sz="8" w:space="0" w:color="auto"/>
              <w:left w:val="single" w:sz="12" w:space="0" w:color="auto"/>
              <w:bottom w:val="single" w:sz="8" w:space="0" w:color="auto"/>
              <w:right w:val="single" w:sz="4" w:space="0" w:color="auto"/>
            </w:tcBorders>
            <w:shd w:val="clear" w:color="auto" w:fill="DEEBF7"/>
            <w:noWrap/>
            <w:vAlign w:val="center"/>
          </w:tcPr>
          <w:p w14:paraId="7052251E"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Usilovat o realizaci komplexních pozemkových úprav</w:t>
            </w:r>
          </w:p>
        </w:tc>
        <w:tc>
          <w:tcPr>
            <w:tcW w:w="1685" w:type="pct"/>
            <w:tcBorders>
              <w:top w:val="single" w:sz="8" w:space="0" w:color="auto"/>
              <w:left w:val="nil"/>
              <w:bottom w:val="single" w:sz="8" w:space="0" w:color="auto"/>
              <w:right w:val="single" w:sz="4" w:space="0" w:color="auto"/>
            </w:tcBorders>
            <w:shd w:val="clear" w:color="auto" w:fill="DEEBF7"/>
            <w:noWrap/>
            <w:vAlign w:val="center"/>
          </w:tcPr>
          <w:p w14:paraId="1A66E128"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Počet zahájených komplexních pozemkových úprav v katastrálních územích obce</w:t>
            </w:r>
          </w:p>
        </w:tc>
        <w:tc>
          <w:tcPr>
            <w:tcW w:w="407" w:type="pct"/>
            <w:tcBorders>
              <w:top w:val="single" w:sz="8" w:space="0" w:color="auto"/>
              <w:left w:val="nil"/>
              <w:bottom w:val="single" w:sz="8" w:space="0" w:color="auto"/>
              <w:right w:val="single" w:sz="4" w:space="0" w:color="auto"/>
            </w:tcBorders>
            <w:shd w:val="clear" w:color="auto" w:fill="DEEBF7"/>
            <w:noWrap/>
            <w:vAlign w:val="center"/>
          </w:tcPr>
          <w:p w14:paraId="77D87C7E"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počet</w:t>
            </w:r>
          </w:p>
        </w:tc>
        <w:tc>
          <w:tcPr>
            <w:tcW w:w="356" w:type="pct"/>
            <w:tcBorders>
              <w:top w:val="single" w:sz="8" w:space="0" w:color="auto"/>
              <w:left w:val="nil"/>
              <w:bottom w:val="single" w:sz="8" w:space="0" w:color="auto"/>
              <w:right w:val="single" w:sz="4" w:space="0" w:color="auto"/>
            </w:tcBorders>
            <w:shd w:val="clear" w:color="auto" w:fill="DEEBF7"/>
            <w:vAlign w:val="center"/>
          </w:tcPr>
          <w:p w14:paraId="472CDA1F"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8" w:space="0" w:color="auto"/>
              <w:right w:val="single" w:sz="18" w:space="0" w:color="auto"/>
            </w:tcBorders>
            <w:shd w:val="clear" w:color="auto" w:fill="DEEBF7"/>
            <w:vAlign w:val="center"/>
          </w:tcPr>
          <w:p w14:paraId="1EB8A3EA"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1</w:t>
            </w:r>
          </w:p>
        </w:tc>
      </w:tr>
      <w:tr w:rsidR="00837905" w:rsidRPr="00DB41E2" w14:paraId="0DCC195D" w14:textId="77777777" w:rsidTr="009A7AC2">
        <w:trPr>
          <w:trHeight w:val="246"/>
          <w:jc w:val="center"/>
        </w:trPr>
        <w:tc>
          <w:tcPr>
            <w:tcW w:w="378" w:type="pct"/>
            <w:vMerge/>
            <w:tcBorders>
              <w:left w:val="single" w:sz="18" w:space="0" w:color="auto"/>
              <w:right w:val="single" w:sz="12" w:space="0" w:color="auto"/>
            </w:tcBorders>
            <w:shd w:val="clear" w:color="auto" w:fill="DEEBF7"/>
            <w:noWrap/>
            <w:vAlign w:val="center"/>
          </w:tcPr>
          <w:p w14:paraId="2394FF89"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8" w:space="0" w:color="auto"/>
              <w:right w:val="single" w:sz="4" w:space="0" w:color="auto"/>
            </w:tcBorders>
            <w:shd w:val="clear" w:color="auto" w:fill="DEEBF7"/>
            <w:noWrap/>
            <w:vAlign w:val="center"/>
          </w:tcPr>
          <w:p w14:paraId="261BDD6C" w14:textId="77777777" w:rsidR="00837905" w:rsidRPr="007109D8"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Regulovat novou výstavbu v lokalitě Dolníky</w:t>
            </w:r>
          </w:p>
        </w:tc>
        <w:tc>
          <w:tcPr>
            <w:tcW w:w="1685" w:type="pct"/>
            <w:tcBorders>
              <w:top w:val="single" w:sz="8" w:space="0" w:color="auto"/>
              <w:left w:val="nil"/>
              <w:bottom w:val="single" w:sz="8" w:space="0" w:color="auto"/>
              <w:right w:val="single" w:sz="4" w:space="0" w:color="auto"/>
            </w:tcBorders>
            <w:shd w:val="clear" w:color="auto" w:fill="DEEBF7"/>
            <w:noWrap/>
            <w:vAlign w:val="center"/>
          </w:tcPr>
          <w:p w14:paraId="160A49F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Zrealizovány činnosti vedoucí k regulaci </w:t>
            </w:r>
            <w:r>
              <w:rPr>
                <w:rFonts w:ascii="Calibri" w:eastAsia="Times New Roman" w:hAnsi="Calibri" w:cs="Times New Roman"/>
                <w:color w:val="000000"/>
                <w:sz w:val="20"/>
                <w:szCs w:val="20"/>
                <w:lang w:eastAsia="cs-CZ"/>
              </w:rPr>
              <w:br/>
              <w:t>nové výstavby v lokalitě Dolníky</w:t>
            </w:r>
          </w:p>
        </w:tc>
        <w:tc>
          <w:tcPr>
            <w:tcW w:w="407" w:type="pct"/>
            <w:tcBorders>
              <w:top w:val="single" w:sz="8" w:space="0" w:color="auto"/>
              <w:left w:val="nil"/>
              <w:bottom w:val="single" w:sz="8" w:space="0" w:color="auto"/>
              <w:right w:val="single" w:sz="4" w:space="0" w:color="auto"/>
            </w:tcBorders>
            <w:shd w:val="clear" w:color="auto" w:fill="DEEBF7"/>
            <w:noWrap/>
            <w:vAlign w:val="center"/>
          </w:tcPr>
          <w:p w14:paraId="23C5028B"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356" w:type="pct"/>
            <w:tcBorders>
              <w:top w:val="single" w:sz="8" w:space="0" w:color="auto"/>
              <w:left w:val="nil"/>
              <w:bottom w:val="single" w:sz="8" w:space="0" w:color="auto"/>
              <w:right w:val="single" w:sz="4" w:space="0" w:color="auto"/>
            </w:tcBorders>
            <w:shd w:val="clear" w:color="auto" w:fill="DEEBF7"/>
            <w:vAlign w:val="center"/>
          </w:tcPr>
          <w:p w14:paraId="57FF589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8" w:space="0" w:color="auto"/>
              <w:right w:val="single" w:sz="18" w:space="0" w:color="auto"/>
            </w:tcBorders>
            <w:shd w:val="clear" w:color="auto" w:fill="DEEBF7"/>
            <w:vAlign w:val="center"/>
          </w:tcPr>
          <w:p w14:paraId="79F6D812"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3EC05AFD" w14:textId="77777777" w:rsidTr="009A7AC2">
        <w:trPr>
          <w:trHeight w:val="142"/>
          <w:jc w:val="center"/>
        </w:trPr>
        <w:tc>
          <w:tcPr>
            <w:tcW w:w="378" w:type="pct"/>
            <w:vMerge/>
            <w:tcBorders>
              <w:left w:val="single" w:sz="18" w:space="0" w:color="auto"/>
              <w:right w:val="single" w:sz="12" w:space="0" w:color="auto"/>
            </w:tcBorders>
            <w:shd w:val="clear" w:color="auto" w:fill="DEEBF7"/>
            <w:noWrap/>
            <w:vAlign w:val="center"/>
          </w:tcPr>
          <w:p w14:paraId="69F5AAC6"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8" w:space="0" w:color="auto"/>
              <w:right w:val="single" w:sz="4" w:space="0" w:color="auto"/>
            </w:tcBorders>
            <w:shd w:val="clear" w:color="auto" w:fill="DEEBF7"/>
            <w:noWrap/>
            <w:vAlign w:val="center"/>
          </w:tcPr>
          <w:p w14:paraId="10A54B4B"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Usilovat o obnovu historických cest</w:t>
            </w:r>
          </w:p>
        </w:tc>
        <w:tc>
          <w:tcPr>
            <w:tcW w:w="1685" w:type="pct"/>
            <w:tcBorders>
              <w:top w:val="single" w:sz="8" w:space="0" w:color="auto"/>
              <w:left w:val="nil"/>
              <w:bottom w:val="single" w:sz="8" w:space="0" w:color="auto"/>
              <w:right w:val="single" w:sz="4" w:space="0" w:color="auto"/>
            </w:tcBorders>
            <w:shd w:val="clear" w:color="auto" w:fill="DEEBF7"/>
            <w:noWrap/>
            <w:vAlign w:val="center"/>
          </w:tcPr>
          <w:p w14:paraId="30463C2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 nově obnovených historických cest</w:t>
            </w:r>
          </w:p>
        </w:tc>
        <w:tc>
          <w:tcPr>
            <w:tcW w:w="407" w:type="pct"/>
            <w:tcBorders>
              <w:top w:val="single" w:sz="8" w:space="0" w:color="auto"/>
              <w:left w:val="nil"/>
              <w:bottom w:val="single" w:sz="8" w:space="0" w:color="auto"/>
              <w:right w:val="single" w:sz="4" w:space="0" w:color="auto"/>
            </w:tcBorders>
            <w:shd w:val="clear" w:color="auto" w:fill="DEEBF7"/>
            <w:noWrap/>
            <w:vAlign w:val="center"/>
          </w:tcPr>
          <w:p w14:paraId="117EC86A"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počet</w:t>
            </w:r>
          </w:p>
        </w:tc>
        <w:tc>
          <w:tcPr>
            <w:tcW w:w="356" w:type="pct"/>
            <w:tcBorders>
              <w:top w:val="single" w:sz="8" w:space="0" w:color="auto"/>
              <w:left w:val="nil"/>
              <w:bottom w:val="single" w:sz="8" w:space="0" w:color="auto"/>
              <w:right w:val="single" w:sz="4" w:space="0" w:color="auto"/>
            </w:tcBorders>
            <w:shd w:val="clear" w:color="auto" w:fill="DEEBF7"/>
            <w:vAlign w:val="center"/>
          </w:tcPr>
          <w:p w14:paraId="47DB43FA"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8" w:space="0" w:color="auto"/>
              <w:right w:val="single" w:sz="18" w:space="0" w:color="auto"/>
            </w:tcBorders>
            <w:shd w:val="clear" w:color="auto" w:fill="DEEBF7"/>
            <w:vAlign w:val="center"/>
          </w:tcPr>
          <w:p w14:paraId="41CBB3DF"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1</w:t>
            </w:r>
          </w:p>
        </w:tc>
      </w:tr>
      <w:tr w:rsidR="00837905" w:rsidRPr="00DB41E2" w14:paraId="726A4653" w14:textId="77777777" w:rsidTr="009A7AC2">
        <w:trPr>
          <w:trHeight w:val="142"/>
          <w:jc w:val="center"/>
        </w:trPr>
        <w:tc>
          <w:tcPr>
            <w:tcW w:w="378" w:type="pct"/>
            <w:vMerge/>
            <w:tcBorders>
              <w:left w:val="single" w:sz="18" w:space="0" w:color="auto"/>
              <w:right w:val="single" w:sz="12" w:space="0" w:color="auto"/>
            </w:tcBorders>
            <w:shd w:val="clear" w:color="auto" w:fill="DEEBF7"/>
            <w:noWrap/>
            <w:vAlign w:val="center"/>
          </w:tcPr>
          <w:p w14:paraId="746F61BE"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8" w:space="0" w:color="auto"/>
              <w:right w:val="single" w:sz="4" w:space="0" w:color="auto"/>
            </w:tcBorders>
            <w:shd w:val="clear" w:color="auto" w:fill="DEEBF7"/>
            <w:noWrap/>
            <w:vAlign w:val="center"/>
          </w:tcPr>
          <w:p w14:paraId="70059AF3"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Podporovat aktivity vedoucí k zadržování vody v krajině</w:t>
            </w:r>
          </w:p>
        </w:tc>
        <w:tc>
          <w:tcPr>
            <w:tcW w:w="1685" w:type="pct"/>
            <w:tcBorders>
              <w:top w:val="single" w:sz="8" w:space="0" w:color="auto"/>
              <w:left w:val="nil"/>
              <w:bottom w:val="single" w:sz="8" w:space="0" w:color="auto"/>
              <w:right w:val="single" w:sz="4" w:space="0" w:color="auto"/>
            </w:tcBorders>
            <w:shd w:val="clear" w:color="auto" w:fill="DEEBF7"/>
            <w:noWrap/>
            <w:vAlign w:val="center"/>
          </w:tcPr>
          <w:p w14:paraId="22164FE5"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 xml:space="preserve">Počet nově zrealizovaných činností za účelem </w:t>
            </w:r>
            <w:r>
              <w:rPr>
                <w:rFonts w:ascii="Calibri" w:eastAsia="Times New Roman" w:hAnsi="Calibri" w:cs="Times New Roman"/>
                <w:color w:val="000000"/>
                <w:sz w:val="20"/>
                <w:szCs w:val="20"/>
                <w:lang w:eastAsia="cs-CZ"/>
              </w:rPr>
              <w:br/>
            </w:r>
            <w:r w:rsidRPr="00DB41E2">
              <w:rPr>
                <w:rFonts w:ascii="Calibri" w:eastAsia="Times New Roman" w:hAnsi="Calibri" w:cs="Times New Roman"/>
                <w:color w:val="000000"/>
                <w:sz w:val="20"/>
                <w:szCs w:val="20"/>
                <w:lang w:eastAsia="cs-CZ"/>
              </w:rPr>
              <w:t>lepšího zadržování vody v krajině</w:t>
            </w:r>
          </w:p>
        </w:tc>
        <w:tc>
          <w:tcPr>
            <w:tcW w:w="407" w:type="pct"/>
            <w:tcBorders>
              <w:top w:val="single" w:sz="8" w:space="0" w:color="auto"/>
              <w:left w:val="nil"/>
              <w:bottom w:val="single" w:sz="8" w:space="0" w:color="auto"/>
              <w:right w:val="single" w:sz="4" w:space="0" w:color="auto"/>
            </w:tcBorders>
            <w:shd w:val="clear" w:color="auto" w:fill="DEEBF7"/>
            <w:noWrap/>
            <w:vAlign w:val="center"/>
          </w:tcPr>
          <w:p w14:paraId="4D03C228"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počet</w:t>
            </w:r>
          </w:p>
        </w:tc>
        <w:tc>
          <w:tcPr>
            <w:tcW w:w="356" w:type="pct"/>
            <w:tcBorders>
              <w:top w:val="single" w:sz="8" w:space="0" w:color="auto"/>
              <w:left w:val="nil"/>
              <w:bottom w:val="single" w:sz="8" w:space="0" w:color="auto"/>
              <w:right w:val="single" w:sz="4" w:space="0" w:color="auto"/>
            </w:tcBorders>
            <w:shd w:val="clear" w:color="auto" w:fill="DEEBF7"/>
            <w:vAlign w:val="center"/>
          </w:tcPr>
          <w:p w14:paraId="243C5AB0"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8" w:space="0" w:color="auto"/>
              <w:right w:val="single" w:sz="18" w:space="0" w:color="auto"/>
            </w:tcBorders>
            <w:shd w:val="clear" w:color="auto" w:fill="DEEBF7"/>
            <w:vAlign w:val="center"/>
          </w:tcPr>
          <w:p w14:paraId="3A6FE9D4"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2</w:t>
            </w:r>
          </w:p>
        </w:tc>
      </w:tr>
      <w:tr w:rsidR="00837905" w:rsidRPr="00DB41E2" w14:paraId="0424B81D" w14:textId="77777777" w:rsidTr="009A7AC2">
        <w:trPr>
          <w:trHeight w:val="247"/>
          <w:jc w:val="center"/>
        </w:trPr>
        <w:tc>
          <w:tcPr>
            <w:tcW w:w="378" w:type="pct"/>
            <w:vMerge/>
            <w:tcBorders>
              <w:left w:val="single" w:sz="18" w:space="0" w:color="auto"/>
              <w:bottom w:val="single" w:sz="12" w:space="0" w:color="auto"/>
              <w:right w:val="single" w:sz="12" w:space="0" w:color="auto"/>
            </w:tcBorders>
            <w:shd w:val="clear" w:color="auto" w:fill="DEEBF7"/>
            <w:noWrap/>
            <w:vAlign w:val="center"/>
          </w:tcPr>
          <w:p w14:paraId="7218D5F6"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12" w:space="0" w:color="auto"/>
              <w:right w:val="single" w:sz="4" w:space="0" w:color="auto"/>
            </w:tcBorders>
            <w:shd w:val="clear" w:color="auto" w:fill="DEEBF7"/>
            <w:noWrap/>
            <w:vAlign w:val="center"/>
          </w:tcPr>
          <w:p w14:paraId="3DD5294A"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Zlepšit údržbu Starobuckého potoka</w:t>
            </w:r>
          </w:p>
        </w:tc>
        <w:tc>
          <w:tcPr>
            <w:tcW w:w="1685" w:type="pct"/>
            <w:tcBorders>
              <w:top w:val="single" w:sz="8" w:space="0" w:color="auto"/>
              <w:left w:val="nil"/>
              <w:bottom w:val="single" w:sz="12" w:space="0" w:color="auto"/>
              <w:right w:val="single" w:sz="4" w:space="0" w:color="auto"/>
            </w:tcBorders>
            <w:shd w:val="clear" w:color="auto" w:fill="DEEBF7"/>
            <w:noWrap/>
            <w:vAlign w:val="center"/>
          </w:tcPr>
          <w:p w14:paraId="359DDD8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Počet nově uskutečněných aktivit za účelem </w:t>
            </w:r>
            <w:r>
              <w:rPr>
                <w:rFonts w:ascii="Calibri" w:eastAsia="Times New Roman" w:hAnsi="Calibri" w:cs="Times New Roman"/>
                <w:color w:val="000000"/>
                <w:sz w:val="20"/>
                <w:szCs w:val="20"/>
                <w:lang w:eastAsia="cs-CZ"/>
              </w:rPr>
              <w:br/>
              <w:t xml:space="preserve">zlepšení údržby </w:t>
            </w:r>
            <w:r w:rsidRPr="00B7519A">
              <w:rPr>
                <w:rFonts w:ascii="Calibri" w:eastAsia="Times New Roman" w:hAnsi="Calibri" w:cs="Times New Roman"/>
                <w:color w:val="000000"/>
                <w:sz w:val="20"/>
                <w:szCs w:val="20"/>
                <w:lang w:eastAsia="cs-CZ"/>
              </w:rPr>
              <w:t>Starobuckého potoka</w:t>
            </w:r>
          </w:p>
        </w:tc>
        <w:tc>
          <w:tcPr>
            <w:tcW w:w="407" w:type="pct"/>
            <w:tcBorders>
              <w:top w:val="single" w:sz="8" w:space="0" w:color="auto"/>
              <w:left w:val="nil"/>
              <w:bottom w:val="single" w:sz="12" w:space="0" w:color="auto"/>
              <w:right w:val="single" w:sz="4" w:space="0" w:color="auto"/>
            </w:tcBorders>
            <w:shd w:val="clear" w:color="auto" w:fill="DEEBF7"/>
            <w:noWrap/>
            <w:vAlign w:val="center"/>
          </w:tcPr>
          <w:p w14:paraId="0447DE6F"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356" w:type="pct"/>
            <w:tcBorders>
              <w:top w:val="single" w:sz="8" w:space="0" w:color="auto"/>
              <w:left w:val="nil"/>
              <w:bottom w:val="single" w:sz="12" w:space="0" w:color="auto"/>
              <w:right w:val="single" w:sz="4" w:space="0" w:color="auto"/>
            </w:tcBorders>
            <w:shd w:val="clear" w:color="auto" w:fill="DEEBF7"/>
            <w:vAlign w:val="center"/>
          </w:tcPr>
          <w:p w14:paraId="542CF4C1"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12" w:space="0" w:color="auto"/>
              <w:right w:val="single" w:sz="18" w:space="0" w:color="auto"/>
            </w:tcBorders>
            <w:shd w:val="clear" w:color="auto" w:fill="DEEBF7"/>
            <w:vAlign w:val="center"/>
          </w:tcPr>
          <w:p w14:paraId="5BB6854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r>
      <w:tr w:rsidR="00837905" w:rsidRPr="00DB41E2" w14:paraId="11BA34D9" w14:textId="77777777" w:rsidTr="009A7AC2">
        <w:trPr>
          <w:trHeight w:val="155"/>
          <w:jc w:val="center"/>
        </w:trPr>
        <w:tc>
          <w:tcPr>
            <w:tcW w:w="378" w:type="pct"/>
            <w:tcBorders>
              <w:top w:val="single" w:sz="12" w:space="0" w:color="auto"/>
              <w:left w:val="single" w:sz="18" w:space="0" w:color="auto"/>
              <w:bottom w:val="single" w:sz="12" w:space="0" w:color="auto"/>
              <w:right w:val="single" w:sz="12" w:space="0" w:color="auto"/>
            </w:tcBorders>
            <w:shd w:val="clear" w:color="auto" w:fill="9DC3E6"/>
            <w:noWrap/>
            <w:vAlign w:val="center"/>
          </w:tcPr>
          <w:p w14:paraId="0FB7DB8C"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b/>
                <w:color w:val="000000"/>
                <w:sz w:val="20"/>
                <w:szCs w:val="20"/>
                <w:lang w:eastAsia="cs-CZ"/>
              </w:rPr>
              <w:t>Cíl</w:t>
            </w:r>
          </w:p>
        </w:tc>
        <w:tc>
          <w:tcPr>
            <w:tcW w:w="1851" w:type="pct"/>
            <w:tcBorders>
              <w:top w:val="single" w:sz="12" w:space="0" w:color="auto"/>
              <w:left w:val="single" w:sz="12" w:space="0" w:color="auto"/>
              <w:bottom w:val="single" w:sz="12" w:space="0" w:color="auto"/>
              <w:right w:val="single" w:sz="4" w:space="0" w:color="auto"/>
            </w:tcBorders>
            <w:shd w:val="clear" w:color="auto" w:fill="9DC3E6"/>
            <w:noWrap/>
            <w:vAlign w:val="center"/>
          </w:tcPr>
          <w:p w14:paraId="1B6E4761" w14:textId="77777777" w:rsidR="00837905" w:rsidRPr="00B7519A" w:rsidRDefault="00837905" w:rsidP="009A7AC2">
            <w:pPr>
              <w:contextualSpacing/>
              <w:jc w:val="center"/>
              <w:rPr>
                <w:rFonts w:ascii="Calibri" w:eastAsia="Times New Roman" w:hAnsi="Calibri" w:cs="Times New Roman"/>
                <w:b/>
                <w:bCs/>
                <w:color w:val="000000"/>
                <w:sz w:val="20"/>
                <w:szCs w:val="20"/>
                <w:lang w:eastAsia="cs-CZ"/>
              </w:rPr>
            </w:pPr>
            <w:r w:rsidRPr="00B7519A">
              <w:rPr>
                <w:rFonts w:ascii="Calibri" w:eastAsia="Times New Roman" w:hAnsi="Calibri" w:cs="Times New Roman"/>
                <w:b/>
                <w:bCs/>
                <w:color w:val="000000"/>
                <w:sz w:val="20"/>
                <w:szCs w:val="20"/>
                <w:lang w:eastAsia="cs-CZ"/>
              </w:rPr>
              <w:t xml:space="preserve">Usilovat o zlepšení vybavenosti obce </w:t>
            </w:r>
            <w:r>
              <w:rPr>
                <w:rFonts w:ascii="Calibri" w:eastAsia="Times New Roman" w:hAnsi="Calibri" w:cs="Times New Roman"/>
                <w:b/>
                <w:bCs/>
                <w:color w:val="000000"/>
                <w:sz w:val="20"/>
                <w:szCs w:val="20"/>
                <w:lang w:eastAsia="cs-CZ"/>
              </w:rPr>
              <w:br/>
            </w:r>
            <w:r w:rsidRPr="00B7519A">
              <w:rPr>
                <w:rFonts w:ascii="Calibri" w:eastAsia="Times New Roman" w:hAnsi="Calibri" w:cs="Times New Roman"/>
                <w:b/>
                <w:bCs/>
                <w:color w:val="000000"/>
                <w:sz w:val="20"/>
                <w:szCs w:val="20"/>
                <w:lang w:eastAsia="cs-CZ"/>
              </w:rPr>
              <w:t>a dostupných služeb v obci</w:t>
            </w:r>
          </w:p>
        </w:tc>
        <w:tc>
          <w:tcPr>
            <w:tcW w:w="1685" w:type="pct"/>
            <w:tcBorders>
              <w:top w:val="single" w:sz="12" w:space="0" w:color="auto"/>
              <w:left w:val="nil"/>
              <w:bottom w:val="single" w:sz="12" w:space="0" w:color="auto"/>
              <w:right w:val="single" w:sz="4" w:space="0" w:color="auto"/>
            </w:tcBorders>
            <w:shd w:val="clear" w:color="auto" w:fill="9DC3E6"/>
            <w:noWrap/>
            <w:vAlign w:val="center"/>
          </w:tcPr>
          <w:p w14:paraId="70B50C9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b/>
                <w:color w:val="000000"/>
                <w:sz w:val="20"/>
                <w:szCs w:val="20"/>
                <w:lang w:eastAsia="cs-CZ"/>
              </w:rPr>
              <w:t xml:space="preserve">Počet nově dostupných služeb v obci </w:t>
            </w:r>
            <w:r>
              <w:rPr>
                <w:rFonts w:ascii="Calibri" w:eastAsia="Times New Roman" w:hAnsi="Calibri" w:cs="Times New Roman"/>
                <w:b/>
                <w:color w:val="000000"/>
                <w:sz w:val="20"/>
                <w:szCs w:val="20"/>
                <w:lang w:eastAsia="cs-CZ"/>
              </w:rPr>
              <w:br/>
              <w:t xml:space="preserve">a nově zrealizovaných aktivit za účelem </w:t>
            </w:r>
            <w:r>
              <w:rPr>
                <w:rFonts w:ascii="Calibri" w:eastAsia="Times New Roman" w:hAnsi="Calibri" w:cs="Times New Roman"/>
                <w:b/>
                <w:color w:val="000000"/>
                <w:sz w:val="20"/>
                <w:szCs w:val="20"/>
                <w:lang w:eastAsia="cs-CZ"/>
              </w:rPr>
              <w:br/>
              <w:t>zlepšení vybavenosti obce</w:t>
            </w:r>
          </w:p>
        </w:tc>
        <w:tc>
          <w:tcPr>
            <w:tcW w:w="407" w:type="pct"/>
            <w:tcBorders>
              <w:top w:val="single" w:sz="12" w:space="0" w:color="auto"/>
              <w:left w:val="nil"/>
              <w:bottom w:val="single" w:sz="12" w:space="0" w:color="auto"/>
              <w:right w:val="single" w:sz="4" w:space="0" w:color="auto"/>
            </w:tcBorders>
            <w:shd w:val="clear" w:color="auto" w:fill="9DC3E6"/>
            <w:noWrap/>
            <w:vAlign w:val="center"/>
          </w:tcPr>
          <w:p w14:paraId="6CB0A0BE" w14:textId="77777777" w:rsidR="00837905" w:rsidRPr="00BF4920" w:rsidRDefault="00837905" w:rsidP="009A7AC2">
            <w:pPr>
              <w:jc w:val="center"/>
              <w:rPr>
                <w:rFonts w:ascii="Calibri" w:eastAsia="Times New Roman" w:hAnsi="Calibri" w:cs="Times New Roman"/>
                <w:b/>
                <w:bCs/>
                <w:color w:val="000000"/>
                <w:sz w:val="20"/>
                <w:szCs w:val="20"/>
                <w:lang w:eastAsia="cs-CZ"/>
              </w:rPr>
            </w:pPr>
            <w:r w:rsidRPr="00BF4920">
              <w:rPr>
                <w:rFonts w:ascii="Calibri" w:eastAsia="Times New Roman" w:hAnsi="Calibri" w:cs="Times New Roman"/>
                <w:b/>
                <w:bCs/>
                <w:color w:val="000000"/>
                <w:sz w:val="20"/>
                <w:szCs w:val="20"/>
                <w:lang w:eastAsia="cs-CZ"/>
              </w:rPr>
              <w:t>počet</w:t>
            </w:r>
          </w:p>
        </w:tc>
        <w:tc>
          <w:tcPr>
            <w:tcW w:w="356" w:type="pct"/>
            <w:tcBorders>
              <w:top w:val="single" w:sz="12" w:space="0" w:color="auto"/>
              <w:left w:val="nil"/>
              <w:bottom w:val="single" w:sz="12" w:space="0" w:color="auto"/>
              <w:right w:val="single" w:sz="4" w:space="0" w:color="auto"/>
            </w:tcBorders>
            <w:shd w:val="clear" w:color="auto" w:fill="9DC3E6"/>
            <w:vAlign w:val="center"/>
          </w:tcPr>
          <w:p w14:paraId="4F139986" w14:textId="77777777" w:rsidR="00837905" w:rsidRPr="00BF4920" w:rsidRDefault="00837905" w:rsidP="009A7AC2">
            <w:pPr>
              <w:jc w:val="center"/>
              <w:rPr>
                <w:rFonts w:ascii="Calibri" w:eastAsia="Times New Roman" w:hAnsi="Calibri" w:cs="Times New Roman"/>
                <w:b/>
                <w:bCs/>
                <w:color w:val="000000"/>
                <w:sz w:val="20"/>
                <w:szCs w:val="20"/>
                <w:lang w:eastAsia="cs-CZ"/>
              </w:rPr>
            </w:pPr>
            <w:r w:rsidRPr="00BF4920">
              <w:rPr>
                <w:rFonts w:ascii="Calibri" w:eastAsia="Times New Roman" w:hAnsi="Calibri" w:cs="Times New Roman"/>
                <w:b/>
                <w:bCs/>
                <w:color w:val="000000"/>
                <w:sz w:val="20"/>
                <w:szCs w:val="20"/>
                <w:lang w:eastAsia="cs-CZ"/>
              </w:rPr>
              <w:t>0</w:t>
            </w:r>
          </w:p>
        </w:tc>
        <w:tc>
          <w:tcPr>
            <w:tcW w:w="323" w:type="pct"/>
            <w:tcBorders>
              <w:top w:val="single" w:sz="12" w:space="0" w:color="auto"/>
              <w:left w:val="single" w:sz="4" w:space="0" w:color="auto"/>
              <w:bottom w:val="single" w:sz="12" w:space="0" w:color="auto"/>
              <w:right w:val="single" w:sz="18" w:space="0" w:color="auto"/>
            </w:tcBorders>
            <w:shd w:val="clear" w:color="auto" w:fill="9DC3E6"/>
            <w:vAlign w:val="center"/>
          </w:tcPr>
          <w:p w14:paraId="3DF5974D" w14:textId="77777777" w:rsidR="00837905" w:rsidRPr="00BF4920" w:rsidRDefault="00837905" w:rsidP="009A7AC2">
            <w:pPr>
              <w:jc w:val="center"/>
              <w:rPr>
                <w:rFonts w:ascii="Calibri" w:eastAsia="Times New Roman" w:hAnsi="Calibri" w:cs="Times New Roman"/>
                <w:b/>
                <w:bCs/>
                <w:color w:val="000000"/>
                <w:sz w:val="20"/>
                <w:szCs w:val="20"/>
                <w:lang w:eastAsia="cs-CZ"/>
              </w:rPr>
            </w:pPr>
            <w:r>
              <w:rPr>
                <w:rFonts w:ascii="Calibri" w:eastAsia="Times New Roman" w:hAnsi="Calibri" w:cs="Times New Roman"/>
                <w:b/>
                <w:bCs/>
                <w:color w:val="000000"/>
                <w:sz w:val="20"/>
                <w:szCs w:val="20"/>
                <w:lang w:eastAsia="cs-CZ"/>
              </w:rPr>
              <w:t>12</w:t>
            </w:r>
          </w:p>
        </w:tc>
      </w:tr>
      <w:tr w:rsidR="00837905" w:rsidRPr="00DB41E2" w14:paraId="7EAD4AB1" w14:textId="77777777" w:rsidTr="009A7AC2">
        <w:trPr>
          <w:trHeight w:val="247"/>
          <w:jc w:val="center"/>
        </w:trPr>
        <w:tc>
          <w:tcPr>
            <w:tcW w:w="378" w:type="pct"/>
            <w:tcBorders>
              <w:top w:val="single" w:sz="12" w:space="0" w:color="auto"/>
              <w:left w:val="single" w:sz="18" w:space="0" w:color="auto"/>
              <w:bottom w:val="single" w:sz="12" w:space="0" w:color="auto"/>
              <w:right w:val="single" w:sz="12" w:space="0" w:color="auto"/>
            </w:tcBorders>
            <w:shd w:val="clear" w:color="auto" w:fill="BDD7EE"/>
            <w:noWrap/>
            <w:vAlign w:val="center"/>
          </w:tcPr>
          <w:p w14:paraId="2F8A3470"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22" w:type="pct"/>
            <w:gridSpan w:val="5"/>
            <w:tcBorders>
              <w:top w:val="single" w:sz="12" w:space="0" w:color="auto"/>
              <w:left w:val="single" w:sz="12" w:space="0" w:color="auto"/>
              <w:bottom w:val="single" w:sz="12" w:space="0" w:color="auto"/>
              <w:right w:val="single" w:sz="18" w:space="0" w:color="auto"/>
            </w:tcBorders>
            <w:shd w:val="clear" w:color="auto" w:fill="BDD7EE"/>
            <w:noWrap/>
            <w:vAlign w:val="center"/>
          </w:tcPr>
          <w:p w14:paraId="640A6ABA" w14:textId="77777777" w:rsidR="00837905" w:rsidRPr="00B7519A" w:rsidRDefault="00837905" w:rsidP="009A7AC2">
            <w:pPr>
              <w:jc w:val="center"/>
              <w:rPr>
                <w:rFonts w:ascii="Calibri" w:eastAsia="Times New Roman" w:hAnsi="Calibri" w:cs="Times New Roman"/>
                <w:b/>
                <w:bCs/>
                <w:color w:val="000000"/>
                <w:sz w:val="20"/>
                <w:szCs w:val="20"/>
                <w:lang w:eastAsia="cs-CZ"/>
              </w:rPr>
            </w:pPr>
            <w:r w:rsidRPr="00B7519A">
              <w:rPr>
                <w:rFonts w:ascii="Calibri" w:eastAsia="Times New Roman" w:hAnsi="Calibri" w:cs="Times New Roman"/>
                <w:b/>
                <w:bCs/>
                <w:color w:val="000000"/>
                <w:sz w:val="20"/>
                <w:szCs w:val="20"/>
                <w:lang w:eastAsia="cs-CZ"/>
              </w:rPr>
              <w:t>Snažit se o zvýšení počtu dostupných služeb v obci</w:t>
            </w:r>
          </w:p>
        </w:tc>
      </w:tr>
      <w:tr w:rsidR="00837905" w:rsidRPr="00DB41E2" w14:paraId="7A3B8D0F" w14:textId="77777777" w:rsidTr="009A7AC2">
        <w:trPr>
          <w:trHeight w:val="247"/>
          <w:jc w:val="center"/>
        </w:trPr>
        <w:tc>
          <w:tcPr>
            <w:tcW w:w="378" w:type="pct"/>
            <w:vMerge w:val="restart"/>
            <w:tcBorders>
              <w:top w:val="single" w:sz="12" w:space="0" w:color="auto"/>
              <w:left w:val="single" w:sz="18" w:space="0" w:color="auto"/>
              <w:right w:val="single" w:sz="12" w:space="0" w:color="auto"/>
            </w:tcBorders>
            <w:shd w:val="clear" w:color="auto" w:fill="DEEBF7"/>
            <w:noWrap/>
            <w:vAlign w:val="center"/>
          </w:tcPr>
          <w:p w14:paraId="5917626F"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851" w:type="pct"/>
            <w:tcBorders>
              <w:top w:val="single" w:sz="12" w:space="0" w:color="auto"/>
              <w:left w:val="single" w:sz="12" w:space="0" w:color="auto"/>
              <w:bottom w:val="single" w:sz="8" w:space="0" w:color="auto"/>
              <w:right w:val="single" w:sz="4" w:space="0" w:color="auto"/>
            </w:tcBorders>
            <w:shd w:val="clear" w:color="auto" w:fill="DEEBF7"/>
            <w:noWrap/>
            <w:vAlign w:val="center"/>
          </w:tcPr>
          <w:p w14:paraId="71281928"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Podpořit vznik existence obchodu s potravinami v obci</w:t>
            </w:r>
          </w:p>
        </w:tc>
        <w:tc>
          <w:tcPr>
            <w:tcW w:w="1685" w:type="pct"/>
            <w:tcBorders>
              <w:top w:val="single" w:sz="12" w:space="0" w:color="auto"/>
              <w:left w:val="nil"/>
              <w:bottom w:val="single" w:sz="8" w:space="0" w:color="auto"/>
              <w:right w:val="single" w:sz="4" w:space="0" w:color="auto"/>
            </w:tcBorders>
            <w:shd w:val="clear" w:color="auto" w:fill="DEEBF7"/>
            <w:noWrap/>
            <w:vAlign w:val="center"/>
          </w:tcPr>
          <w:p w14:paraId="2A5A15C2" w14:textId="77777777" w:rsidR="00837905" w:rsidRPr="00DB41E2" w:rsidRDefault="00837905" w:rsidP="009A7AC2">
            <w:pPr>
              <w:jc w:val="center"/>
              <w:rPr>
                <w:rFonts w:ascii="Calibri" w:eastAsia="Times New Roman" w:hAnsi="Calibri" w:cs="Times New Roman"/>
                <w:color w:val="000000"/>
                <w:sz w:val="20"/>
                <w:szCs w:val="20"/>
                <w:lang w:eastAsia="cs-CZ"/>
              </w:rPr>
            </w:pPr>
            <w:r w:rsidRPr="00EF2D30">
              <w:rPr>
                <w:rFonts w:ascii="Calibri" w:eastAsia="Times New Roman" w:hAnsi="Calibri" w:cs="Times New Roman"/>
                <w:color w:val="000000"/>
                <w:sz w:val="20"/>
                <w:szCs w:val="20"/>
                <w:lang w:eastAsia="cs-CZ"/>
              </w:rPr>
              <w:t xml:space="preserve">Počet </w:t>
            </w:r>
            <w:r>
              <w:rPr>
                <w:rFonts w:ascii="Calibri" w:eastAsia="Times New Roman" w:hAnsi="Calibri" w:cs="Times New Roman"/>
                <w:color w:val="000000"/>
                <w:sz w:val="20"/>
                <w:szCs w:val="20"/>
                <w:lang w:eastAsia="cs-CZ"/>
              </w:rPr>
              <w:t xml:space="preserve">nově </w:t>
            </w:r>
            <w:r w:rsidRPr="00EF2D30">
              <w:rPr>
                <w:rFonts w:ascii="Calibri" w:eastAsia="Times New Roman" w:hAnsi="Calibri" w:cs="Times New Roman"/>
                <w:color w:val="000000"/>
                <w:sz w:val="20"/>
                <w:szCs w:val="20"/>
                <w:lang w:eastAsia="cs-CZ"/>
              </w:rPr>
              <w:t>uskutečněných aktivit podporujících</w:t>
            </w:r>
            <w:r>
              <w:rPr>
                <w:rFonts w:ascii="Calibri" w:eastAsia="Times New Roman" w:hAnsi="Calibri" w:cs="Times New Roman"/>
                <w:color w:val="000000"/>
                <w:sz w:val="20"/>
                <w:szCs w:val="20"/>
                <w:lang w:eastAsia="cs-CZ"/>
              </w:rPr>
              <w:t xml:space="preserve"> </w:t>
            </w:r>
            <w:r>
              <w:rPr>
                <w:rFonts w:ascii="Calibri" w:eastAsia="Times New Roman" w:hAnsi="Calibri" w:cs="Times New Roman"/>
                <w:color w:val="000000"/>
                <w:sz w:val="20"/>
                <w:szCs w:val="20"/>
                <w:lang w:eastAsia="cs-CZ"/>
              </w:rPr>
              <w:br/>
            </w:r>
            <w:r w:rsidRPr="00036452">
              <w:rPr>
                <w:rFonts w:eastAsia="Times New Roman" w:cs="Times New Roman"/>
                <w:color w:val="000000"/>
                <w:sz w:val="20"/>
                <w:szCs w:val="20"/>
                <w:lang w:eastAsia="cs-CZ"/>
              </w:rPr>
              <w:t>vznik existence obchodu s potravinami v obci</w:t>
            </w:r>
          </w:p>
        </w:tc>
        <w:tc>
          <w:tcPr>
            <w:tcW w:w="407" w:type="pct"/>
            <w:tcBorders>
              <w:top w:val="single" w:sz="12" w:space="0" w:color="auto"/>
              <w:left w:val="nil"/>
              <w:bottom w:val="single" w:sz="8" w:space="0" w:color="auto"/>
              <w:right w:val="single" w:sz="4" w:space="0" w:color="auto"/>
            </w:tcBorders>
            <w:shd w:val="clear" w:color="auto" w:fill="DEEBF7"/>
            <w:noWrap/>
            <w:vAlign w:val="center"/>
          </w:tcPr>
          <w:p w14:paraId="5D0181A0" w14:textId="77777777" w:rsidR="00837905"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r>
              <w:rPr>
                <w:rFonts w:ascii="Calibri" w:eastAsia="Times New Roman" w:hAnsi="Calibri" w:cs="Times New Roman"/>
                <w:color w:val="000000"/>
                <w:sz w:val="20"/>
                <w:szCs w:val="20"/>
                <w:lang w:eastAsia="cs-CZ"/>
              </w:rPr>
              <w:br/>
              <w:t>/</w:t>
            </w:r>
          </w:p>
          <w:p w14:paraId="1DD6C246"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 roky</w:t>
            </w:r>
          </w:p>
        </w:tc>
        <w:tc>
          <w:tcPr>
            <w:tcW w:w="356" w:type="pct"/>
            <w:tcBorders>
              <w:top w:val="single" w:sz="12" w:space="0" w:color="auto"/>
              <w:left w:val="nil"/>
              <w:bottom w:val="single" w:sz="8" w:space="0" w:color="auto"/>
              <w:right w:val="single" w:sz="4" w:space="0" w:color="auto"/>
            </w:tcBorders>
            <w:shd w:val="clear" w:color="auto" w:fill="DEEBF7"/>
            <w:vAlign w:val="center"/>
          </w:tcPr>
          <w:p w14:paraId="52E7C787"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eastAsia="Times New Roman" w:cs="Times New Roman"/>
                <w:color w:val="000000"/>
                <w:sz w:val="20"/>
                <w:szCs w:val="20"/>
                <w:lang w:eastAsia="cs-CZ"/>
              </w:rPr>
              <w:t>0</w:t>
            </w:r>
          </w:p>
        </w:tc>
        <w:tc>
          <w:tcPr>
            <w:tcW w:w="323" w:type="pct"/>
            <w:tcBorders>
              <w:top w:val="single" w:sz="12" w:space="0" w:color="auto"/>
              <w:left w:val="single" w:sz="4" w:space="0" w:color="auto"/>
              <w:bottom w:val="single" w:sz="8" w:space="0" w:color="auto"/>
              <w:right w:val="single" w:sz="18" w:space="0" w:color="auto"/>
            </w:tcBorders>
            <w:shd w:val="clear" w:color="auto" w:fill="DEEBF7"/>
            <w:vAlign w:val="center"/>
          </w:tcPr>
          <w:p w14:paraId="20DE668E" w14:textId="77777777" w:rsidR="00837905" w:rsidRDefault="00837905" w:rsidP="009A7AC2">
            <w:pPr>
              <w:jc w:val="center"/>
              <w:rPr>
                <w:rFonts w:eastAsia="Times New Roman" w:cs="Times New Roman"/>
                <w:color w:val="000000"/>
                <w:sz w:val="20"/>
                <w:szCs w:val="20"/>
                <w:lang w:eastAsia="cs-CZ"/>
              </w:rPr>
            </w:pPr>
            <w:r>
              <w:rPr>
                <w:rFonts w:eastAsia="Times New Roman" w:cs="Times New Roman"/>
                <w:color w:val="000000"/>
                <w:sz w:val="20"/>
                <w:szCs w:val="20"/>
                <w:lang w:eastAsia="cs-CZ"/>
              </w:rPr>
              <w:t>1</w:t>
            </w:r>
          </w:p>
          <w:p w14:paraId="0F110744" w14:textId="77777777" w:rsidR="00837905" w:rsidRDefault="00837905" w:rsidP="009A7AC2">
            <w:pPr>
              <w:jc w:val="center"/>
              <w:rPr>
                <w:rFonts w:eastAsia="Times New Roman" w:cs="Times New Roman"/>
                <w:color w:val="000000"/>
                <w:sz w:val="20"/>
                <w:szCs w:val="20"/>
                <w:lang w:eastAsia="cs-CZ"/>
              </w:rPr>
            </w:pPr>
            <w:r>
              <w:rPr>
                <w:rFonts w:eastAsia="Times New Roman" w:cs="Times New Roman"/>
                <w:color w:val="000000"/>
                <w:sz w:val="20"/>
                <w:szCs w:val="20"/>
                <w:lang w:eastAsia="cs-CZ"/>
              </w:rPr>
              <w:t>/</w:t>
            </w:r>
          </w:p>
          <w:p w14:paraId="1B507F97"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eastAsia="Times New Roman" w:cs="Times New Roman"/>
                <w:color w:val="000000"/>
                <w:sz w:val="20"/>
                <w:szCs w:val="20"/>
                <w:lang w:eastAsia="cs-CZ"/>
              </w:rPr>
              <w:t>2 roky</w:t>
            </w:r>
          </w:p>
        </w:tc>
      </w:tr>
      <w:tr w:rsidR="00837905" w:rsidRPr="00DB41E2" w14:paraId="76EFBF7A" w14:textId="77777777" w:rsidTr="009A7AC2">
        <w:trPr>
          <w:trHeight w:val="247"/>
          <w:jc w:val="center"/>
        </w:trPr>
        <w:tc>
          <w:tcPr>
            <w:tcW w:w="378" w:type="pct"/>
            <w:vMerge/>
            <w:tcBorders>
              <w:left w:val="single" w:sz="18" w:space="0" w:color="auto"/>
              <w:right w:val="single" w:sz="12" w:space="0" w:color="auto"/>
            </w:tcBorders>
            <w:shd w:val="clear" w:color="auto" w:fill="DEEBF7"/>
            <w:noWrap/>
            <w:vAlign w:val="center"/>
          </w:tcPr>
          <w:p w14:paraId="599F640C"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8" w:space="0" w:color="auto"/>
              <w:right w:val="single" w:sz="4" w:space="0" w:color="auto"/>
            </w:tcBorders>
            <w:shd w:val="clear" w:color="auto" w:fill="DEEBF7"/>
            <w:noWrap/>
            <w:vAlign w:val="center"/>
          </w:tcPr>
          <w:p w14:paraId="52CDF3E7"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Podpořit založení dětské skupiny v obci</w:t>
            </w:r>
          </w:p>
        </w:tc>
        <w:tc>
          <w:tcPr>
            <w:tcW w:w="1685" w:type="pct"/>
            <w:tcBorders>
              <w:top w:val="single" w:sz="8" w:space="0" w:color="auto"/>
              <w:left w:val="nil"/>
              <w:bottom w:val="single" w:sz="8" w:space="0" w:color="auto"/>
              <w:right w:val="single" w:sz="4" w:space="0" w:color="auto"/>
            </w:tcBorders>
            <w:shd w:val="clear" w:color="auto" w:fill="DEEBF7"/>
            <w:noWrap/>
            <w:vAlign w:val="center"/>
          </w:tcPr>
          <w:p w14:paraId="4212D310" w14:textId="77777777" w:rsidR="00837905" w:rsidRPr="00DB41E2" w:rsidRDefault="00837905" w:rsidP="009A7AC2">
            <w:pPr>
              <w:jc w:val="center"/>
              <w:rPr>
                <w:rFonts w:ascii="Calibri" w:eastAsia="Times New Roman" w:hAnsi="Calibri" w:cs="Times New Roman"/>
                <w:color w:val="000000"/>
                <w:sz w:val="20"/>
                <w:szCs w:val="20"/>
                <w:lang w:eastAsia="cs-CZ"/>
              </w:rPr>
            </w:pPr>
            <w:r w:rsidRPr="00EF2D30">
              <w:rPr>
                <w:rFonts w:ascii="Calibri" w:eastAsia="Times New Roman" w:hAnsi="Calibri" w:cs="Times New Roman"/>
                <w:color w:val="000000"/>
                <w:sz w:val="20"/>
                <w:szCs w:val="20"/>
                <w:lang w:eastAsia="cs-CZ"/>
              </w:rPr>
              <w:t xml:space="preserve">Počet </w:t>
            </w:r>
            <w:r>
              <w:rPr>
                <w:rFonts w:ascii="Calibri" w:eastAsia="Times New Roman" w:hAnsi="Calibri" w:cs="Times New Roman"/>
                <w:color w:val="000000"/>
                <w:sz w:val="20"/>
                <w:szCs w:val="20"/>
                <w:lang w:eastAsia="cs-CZ"/>
              </w:rPr>
              <w:t xml:space="preserve">nově </w:t>
            </w:r>
            <w:r w:rsidRPr="00EF2D30">
              <w:rPr>
                <w:rFonts w:ascii="Calibri" w:eastAsia="Times New Roman" w:hAnsi="Calibri" w:cs="Times New Roman"/>
                <w:color w:val="000000"/>
                <w:sz w:val="20"/>
                <w:szCs w:val="20"/>
                <w:lang w:eastAsia="cs-CZ"/>
              </w:rPr>
              <w:t>uskutečněných aktivit podporujících</w:t>
            </w:r>
            <w:r>
              <w:rPr>
                <w:rFonts w:ascii="Calibri" w:eastAsia="Times New Roman" w:hAnsi="Calibri" w:cs="Times New Roman"/>
                <w:color w:val="000000"/>
                <w:sz w:val="20"/>
                <w:szCs w:val="20"/>
                <w:lang w:eastAsia="cs-CZ"/>
              </w:rPr>
              <w:t xml:space="preserve"> </w:t>
            </w:r>
            <w:r>
              <w:rPr>
                <w:rFonts w:ascii="Calibri" w:eastAsia="Times New Roman" w:hAnsi="Calibri" w:cs="Times New Roman"/>
                <w:color w:val="000000"/>
                <w:sz w:val="20"/>
                <w:szCs w:val="20"/>
                <w:lang w:eastAsia="cs-CZ"/>
              </w:rPr>
              <w:br/>
            </w:r>
            <w:r w:rsidRPr="00B7519A">
              <w:rPr>
                <w:rFonts w:ascii="Calibri" w:eastAsia="Times New Roman" w:hAnsi="Calibri" w:cs="Times New Roman"/>
                <w:color w:val="000000"/>
                <w:sz w:val="20"/>
                <w:szCs w:val="20"/>
                <w:lang w:eastAsia="cs-CZ"/>
              </w:rPr>
              <w:t>založení dětské skupiny v obci</w:t>
            </w:r>
          </w:p>
        </w:tc>
        <w:tc>
          <w:tcPr>
            <w:tcW w:w="407" w:type="pct"/>
            <w:tcBorders>
              <w:top w:val="single" w:sz="8" w:space="0" w:color="auto"/>
              <w:left w:val="nil"/>
              <w:bottom w:val="single" w:sz="8" w:space="0" w:color="auto"/>
              <w:right w:val="single" w:sz="4" w:space="0" w:color="auto"/>
            </w:tcBorders>
            <w:shd w:val="clear" w:color="auto" w:fill="DEEBF7"/>
            <w:noWrap/>
            <w:vAlign w:val="center"/>
          </w:tcPr>
          <w:p w14:paraId="6737E719" w14:textId="77777777" w:rsidR="00837905"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r>
              <w:rPr>
                <w:rFonts w:ascii="Calibri" w:eastAsia="Times New Roman" w:hAnsi="Calibri" w:cs="Times New Roman"/>
                <w:color w:val="000000"/>
                <w:sz w:val="20"/>
                <w:szCs w:val="20"/>
                <w:lang w:eastAsia="cs-CZ"/>
              </w:rPr>
              <w:br/>
              <w:t>/</w:t>
            </w:r>
          </w:p>
          <w:p w14:paraId="66A9A590"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 roky</w:t>
            </w:r>
          </w:p>
        </w:tc>
        <w:tc>
          <w:tcPr>
            <w:tcW w:w="356" w:type="pct"/>
            <w:tcBorders>
              <w:top w:val="single" w:sz="8" w:space="0" w:color="auto"/>
              <w:left w:val="nil"/>
              <w:bottom w:val="single" w:sz="8" w:space="0" w:color="auto"/>
              <w:right w:val="single" w:sz="4" w:space="0" w:color="auto"/>
            </w:tcBorders>
            <w:shd w:val="clear" w:color="auto" w:fill="DEEBF7"/>
            <w:vAlign w:val="center"/>
          </w:tcPr>
          <w:p w14:paraId="15416C58"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eastAsia="Times New Roman" w:cs="Times New Roman"/>
                <w:color w:val="000000"/>
                <w:sz w:val="20"/>
                <w:szCs w:val="20"/>
                <w:lang w:eastAsia="cs-CZ"/>
              </w:rPr>
              <w:t>0</w:t>
            </w:r>
          </w:p>
        </w:tc>
        <w:tc>
          <w:tcPr>
            <w:tcW w:w="323" w:type="pct"/>
            <w:tcBorders>
              <w:top w:val="single" w:sz="8" w:space="0" w:color="auto"/>
              <w:left w:val="single" w:sz="4" w:space="0" w:color="auto"/>
              <w:bottom w:val="single" w:sz="8" w:space="0" w:color="auto"/>
              <w:right w:val="single" w:sz="18" w:space="0" w:color="auto"/>
            </w:tcBorders>
            <w:shd w:val="clear" w:color="auto" w:fill="DEEBF7"/>
            <w:vAlign w:val="center"/>
          </w:tcPr>
          <w:p w14:paraId="09E61615" w14:textId="77777777" w:rsidR="00837905" w:rsidRDefault="00837905" w:rsidP="009A7AC2">
            <w:pPr>
              <w:jc w:val="center"/>
              <w:rPr>
                <w:rFonts w:eastAsia="Times New Roman" w:cs="Times New Roman"/>
                <w:color w:val="000000"/>
                <w:sz w:val="20"/>
                <w:szCs w:val="20"/>
                <w:lang w:eastAsia="cs-CZ"/>
              </w:rPr>
            </w:pPr>
            <w:r>
              <w:rPr>
                <w:rFonts w:eastAsia="Times New Roman" w:cs="Times New Roman"/>
                <w:color w:val="000000"/>
                <w:sz w:val="20"/>
                <w:szCs w:val="20"/>
                <w:lang w:eastAsia="cs-CZ"/>
              </w:rPr>
              <w:t>1</w:t>
            </w:r>
          </w:p>
          <w:p w14:paraId="5AE9DA40" w14:textId="77777777" w:rsidR="00837905" w:rsidRDefault="00837905" w:rsidP="009A7AC2">
            <w:pPr>
              <w:jc w:val="center"/>
              <w:rPr>
                <w:rFonts w:eastAsia="Times New Roman" w:cs="Times New Roman"/>
                <w:color w:val="000000"/>
                <w:sz w:val="20"/>
                <w:szCs w:val="20"/>
                <w:lang w:eastAsia="cs-CZ"/>
              </w:rPr>
            </w:pPr>
            <w:r>
              <w:rPr>
                <w:rFonts w:eastAsia="Times New Roman" w:cs="Times New Roman"/>
                <w:color w:val="000000"/>
                <w:sz w:val="20"/>
                <w:szCs w:val="20"/>
                <w:lang w:eastAsia="cs-CZ"/>
              </w:rPr>
              <w:t>/</w:t>
            </w:r>
          </w:p>
          <w:p w14:paraId="5866B30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eastAsia="Times New Roman" w:cs="Times New Roman"/>
                <w:color w:val="000000"/>
                <w:sz w:val="20"/>
                <w:szCs w:val="20"/>
                <w:lang w:eastAsia="cs-CZ"/>
              </w:rPr>
              <w:t>2 roky</w:t>
            </w:r>
          </w:p>
        </w:tc>
      </w:tr>
      <w:tr w:rsidR="00837905" w:rsidRPr="00DB41E2" w14:paraId="78E2170B" w14:textId="77777777" w:rsidTr="009A7AC2">
        <w:trPr>
          <w:trHeight w:val="247"/>
          <w:jc w:val="center"/>
        </w:trPr>
        <w:tc>
          <w:tcPr>
            <w:tcW w:w="378" w:type="pct"/>
            <w:vMerge/>
            <w:tcBorders>
              <w:left w:val="single" w:sz="18" w:space="0" w:color="auto"/>
              <w:bottom w:val="single" w:sz="12" w:space="0" w:color="auto"/>
              <w:right w:val="single" w:sz="12" w:space="0" w:color="auto"/>
            </w:tcBorders>
            <w:shd w:val="clear" w:color="auto" w:fill="DEEBF7"/>
            <w:noWrap/>
            <w:vAlign w:val="center"/>
          </w:tcPr>
          <w:p w14:paraId="6691AFA4"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12" w:space="0" w:color="auto"/>
              <w:right w:val="single" w:sz="4" w:space="0" w:color="auto"/>
            </w:tcBorders>
            <w:shd w:val="clear" w:color="auto" w:fill="DEEBF7"/>
            <w:noWrap/>
            <w:vAlign w:val="center"/>
          </w:tcPr>
          <w:p w14:paraId="7E0C1E63"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Instalovat nabíjecí stanici pro elektrokola</w:t>
            </w:r>
          </w:p>
        </w:tc>
        <w:tc>
          <w:tcPr>
            <w:tcW w:w="1685" w:type="pct"/>
            <w:tcBorders>
              <w:top w:val="single" w:sz="8" w:space="0" w:color="auto"/>
              <w:left w:val="nil"/>
              <w:bottom w:val="single" w:sz="12" w:space="0" w:color="auto"/>
              <w:right w:val="single" w:sz="4" w:space="0" w:color="auto"/>
            </w:tcBorders>
            <w:shd w:val="clear" w:color="auto" w:fill="DEEBF7"/>
            <w:noWrap/>
            <w:vAlign w:val="center"/>
          </w:tcPr>
          <w:p w14:paraId="31F6A6D0"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Existence nabíjecí stanice pro elektrokola v obci</w:t>
            </w:r>
          </w:p>
        </w:tc>
        <w:tc>
          <w:tcPr>
            <w:tcW w:w="407" w:type="pct"/>
            <w:tcBorders>
              <w:top w:val="single" w:sz="8" w:space="0" w:color="auto"/>
              <w:left w:val="nil"/>
              <w:bottom w:val="single" w:sz="12" w:space="0" w:color="auto"/>
              <w:right w:val="single" w:sz="4" w:space="0" w:color="auto"/>
            </w:tcBorders>
            <w:shd w:val="clear" w:color="auto" w:fill="DEEBF7"/>
            <w:noWrap/>
            <w:vAlign w:val="center"/>
          </w:tcPr>
          <w:p w14:paraId="5E6A544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356" w:type="pct"/>
            <w:tcBorders>
              <w:top w:val="single" w:sz="8" w:space="0" w:color="auto"/>
              <w:left w:val="nil"/>
              <w:bottom w:val="single" w:sz="12" w:space="0" w:color="auto"/>
              <w:right w:val="single" w:sz="4" w:space="0" w:color="auto"/>
            </w:tcBorders>
            <w:shd w:val="clear" w:color="auto" w:fill="DEEBF7"/>
            <w:vAlign w:val="center"/>
          </w:tcPr>
          <w:p w14:paraId="3030E68A"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12" w:space="0" w:color="auto"/>
              <w:right w:val="single" w:sz="18" w:space="0" w:color="auto"/>
            </w:tcBorders>
            <w:shd w:val="clear" w:color="auto" w:fill="DEEBF7"/>
            <w:vAlign w:val="center"/>
          </w:tcPr>
          <w:p w14:paraId="5F090A6E"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7577BF06" w14:textId="77777777" w:rsidTr="009A7AC2">
        <w:trPr>
          <w:trHeight w:val="247"/>
          <w:jc w:val="center"/>
        </w:trPr>
        <w:tc>
          <w:tcPr>
            <w:tcW w:w="378" w:type="pct"/>
            <w:tcBorders>
              <w:top w:val="single" w:sz="12" w:space="0" w:color="auto"/>
              <w:left w:val="single" w:sz="18" w:space="0" w:color="auto"/>
              <w:bottom w:val="single" w:sz="12" w:space="0" w:color="auto"/>
              <w:right w:val="single" w:sz="12" w:space="0" w:color="auto"/>
            </w:tcBorders>
            <w:shd w:val="clear" w:color="auto" w:fill="BDD7EE"/>
            <w:noWrap/>
            <w:vAlign w:val="center"/>
          </w:tcPr>
          <w:p w14:paraId="149AEF38"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22" w:type="pct"/>
            <w:gridSpan w:val="5"/>
            <w:tcBorders>
              <w:top w:val="single" w:sz="12" w:space="0" w:color="auto"/>
              <w:left w:val="single" w:sz="12" w:space="0" w:color="auto"/>
              <w:bottom w:val="single" w:sz="12" w:space="0" w:color="auto"/>
              <w:right w:val="single" w:sz="18" w:space="0" w:color="auto"/>
            </w:tcBorders>
            <w:shd w:val="clear" w:color="auto" w:fill="BDD7EE"/>
            <w:noWrap/>
            <w:vAlign w:val="center"/>
          </w:tcPr>
          <w:p w14:paraId="16D7F251" w14:textId="77777777" w:rsidR="00837905" w:rsidRPr="00B7519A" w:rsidRDefault="00837905" w:rsidP="009A7AC2">
            <w:pPr>
              <w:jc w:val="center"/>
              <w:rPr>
                <w:rFonts w:ascii="Calibri" w:eastAsia="Times New Roman" w:hAnsi="Calibri" w:cs="Times New Roman"/>
                <w:b/>
                <w:bCs/>
                <w:color w:val="000000"/>
                <w:sz w:val="20"/>
                <w:szCs w:val="20"/>
                <w:lang w:eastAsia="cs-CZ"/>
              </w:rPr>
            </w:pPr>
            <w:r w:rsidRPr="00B7519A">
              <w:rPr>
                <w:rFonts w:ascii="Calibri" w:eastAsia="Times New Roman" w:hAnsi="Calibri" w:cs="Times New Roman"/>
                <w:b/>
                <w:bCs/>
                <w:color w:val="000000"/>
                <w:sz w:val="20"/>
                <w:szCs w:val="20"/>
                <w:lang w:eastAsia="cs-CZ"/>
              </w:rPr>
              <w:t>Realizovat další aktivity související se službami a vybaveností obce</w:t>
            </w:r>
          </w:p>
        </w:tc>
      </w:tr>
      <w:tr w:rsidR="00837905" w:rsidRPr="00DB41E2" w14:paraId="57A8A92F" w14:textId="77777777" w:rsidTr="009A7AC2">
        <w:trPr>
          <w:trHeight w:val="247"/>
          <w:jc w:val="center"/>
        </w:trPr>
        <w:tc>
          <w:tcPr>
            <w:tcW w:w="378" w:type="pct"/>
            <w:vMerge w:val="restart"/>
            <w:tcBorders>
              <w:top w:val="single" w:sz="12" w:space="0" w:color="auto"/>
              <w:left w:val="single" w:sz="18" w:space="0" w:color="auto"/>
              <w:right w:val="single" w:sz="12" w:space="0" w:color="auto"/>
            </w:tcBorders>
            <w:shd w:val="clear" w:color="auto" w:fill="DEEBF7"/>
            <w:noWrap/>
            <w:vAlign w:val="center"/>
          </w:tcPr>
          <w:p w14:paraId="0DE852D4"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851" w:type="pct"/>
            <w:tcBorders>
              <w:top w:val="single" w:sz="12" w:space="0" w:color="auto"/>
              <w:left w:val="single" w:sz="12" w:space="0" w:color="auto"/>
              <w:bottom w:val="single" w:sz="8" w:space="0" w:color="auto"/>
              <w:right w:val="single" w:sz="4" w:space="0" w:color="auto"/>
            </w:tcBorders>
            <w:shd w:val="clear" w:color="auto" w:fill="DEEBF7"/>
            <w:noWrap/>
            <w:vAlign w:val="center"/>
          </w:tcPr>
          <w:p w14:paraId="24BE360E"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Řešit obecní hřiště</w:t>
            </w:r>
          </w:p>
        </w:tc>
        <w:tc>
          <w:tcPr>
            <w:tcW w:w="1685" w:type="pct"/>
            <w:tcBorders>
              <w:top w:val="single" w:sz="12" w:space="0" w:color="auto"/>
              <w:left w:val="nil"/>
              <w:bottom w:val="single" w:sz="8" w:space="0" w:color="auto"/>
              <w:right w:val="single" w:sz="4" w:space="0" w:color="auto"/>
            </w:tcBorders>
            <w:shd w:val="clear" w:color="auto" w:fill="DEEBF7"/>
            <w:noWrap/>
            <w:vAlign w:val="center"/>
          </w:tcPr>
          <w:p w14:paraId="302C82EA" w14:textId="77777777" w:rsidR="00837905" w:rsidRPr="00DB41E2" w:rsidRDefault="00837905" w:rsidP="009A7AC2">
            <w:pPr>
              <w:jc w:val="center"/>
              <w:rPr>
                <w:rFonts w:ascii="Calibri" w:eastAsia="Times New Roman" w:hAnsi="Calibri" w:cs="Times New Roman"/>
                <w:color w:val="000000"/>
                <w:sz w:val="20"/>
                <w:szCs w:val="20"/>
                <w:lang w:eastAsia="cs-CZ"/>
              </w:rPr>
            </w:pPr>
            <w:r w:rsidRPr="00EF2D30">
              <w:rPr>
                <w:rFonts w:ascii="Calibri" w:eastAsia="Times New Roman" w:hAnsi="Calibri" w:cs="Times New Roman"/>
                <w:color w:val="000000"/>
                <w:sz w:val="20"/>
                <w:szCs w:val="20"/>
                <w:lang w:eastAsia="cs-CZ"/>
              </w:rPr>
              <w:t xml:space="preserve">Počet </w:t>
            </w:r>
            <w:r>
              <w:rPr>
                <w:rFonts w:ascii="Calibri" w:eastAsia="Times New Roman" w:hAnsi="Calibri" w:cs="Times New Roman"/>
                <w:color w:val="000000"/>
                <w:sz w:val="20"/>
                <w:szCs w:val="20"/>
                <w:lang w:eastAsia="cs-CZ"/>
              </w:rPr>
              <w:t xml:space="preserve">nově </w:t>
            </w:r>
            <w:r w:rsidRPr="00EF2D30">
              <w:rPr>
                <w:rFonts w:ascii="Calibri" w:eastAsia="Times New Roman" w:hAnsi="Calibri" w:cs="Times New Roman"/>
                <w:color w:val="000000"/>
                <w:sz w:val="20"/>
                <w:szCs w:val="20"/>
                <w:lang w:eastAsia="cs-CZ"/>
              </w:rPr>
              <w:t>uskutečněných aktivit</w:t>
            </w:r>
            <w:r>
              <w:rPr>
                <w:rFonts w:ascii="Calibri" w:eastAsia="Times New Roman" w:hAnsi="Calibri" w:cs="Times New Roman"/>
                <w:color w:val="000000"/>
                <w:sz w:val="20"/>
                <w:szCs w:val="20"/>
                <w:lang w:eastAsia="cs-CZ"/>
              </w:rPr>
              <w:t xml:space="preserve"> </w:t>
            </w:r>
            <w:r>
              <w:rPr>
                <w:rFonts w:ascii="Calibri" w:eastAsia="Times New Roman" w:hAnsi="Calibri" w:cs="Times New Roman"/>
                <w:color w:val="000000"/>
                <w:sz w:val="20"/>
                <w:szCs w:val="20"/>
                <w:lang w:eastAsia="cs-CZ"/>
              </w:rPr>
              <w:br/>
              <w:t>za účelem řešení</w:t>
            </w:r>
            <w:r w:rsidRPr="00B7519A">
              <w:rPr>
                <w:rFonts w:ascii="Calibri" w:eastAsia="Times New Roman" w:hAnsi="Calibri" w:cs="Times New Roman"/>
                <w:color w:val="000000"/>
                <w:sz w:val="20"/>
                <w:szCs w:val="20"/>
                <w:lang w:eastAsia="cs-CZ"/>
              </w:rPr>
              <w:t xml:space="preserve"> obecní</w:t>
            </w:r>
            <w:r>
              <w:rPr>
                <w:rFonts w:ascii="Calibri" w:eastAsia="Times New Roman" w:hAnsi="Calibri" w:cs="Times New Roman"/>
                <w:color w:val="000000"/>
                <w:sz w:val="20"/>
                <w:szCs w:val="20"/>
                <w:lang w:eastAsia="cs-CZ"/>
              </w:rPr>
              <w:t>ho</w:t>
            </w:r>
            <w:r w:rsidRPr="00B7519A">
              <w:rPr>
                <w:rFonts w:ascii="Calibri" w:eastAsia="Times New Roman" w:hAnsi="Calibri" w:cs="Times New Roman"/>
                <w:color w:val="000000"/>
                <w:sz w:val="20"/>
                <w:szCs w:val="20"/>
                <w:lang w:eastAsia="cs-CZ"/>
              </w:rPr>
              <w:t xml:space="preserve"> hřiště</w:t>
            </w:r>
            <w:r>
              <w:rPr>
                <w:rFonts w:ascii="Calibri" w:eastAsia="Times New Roman" w:hAnsi="Calibri" w:cs="Times New Roman"/>
                <w:color w:val="000000"/>
                <w:sz w:val="20"/>
                <w:szCs w:val="20"/>
                <w:lang w:eastAsia="cs-CZ"/>
              </w:rPr>
              <w:t xml:space="preserve"> </w:t>
            </w:r>
          </w:p>
        </w:tc>
        <w:tc>
          <w:tcPr>
            <w:tcW w:w="407" w:type="pct"/>
            <w:tcBorders>
              <w:top w:val="single" w:sz="12" w:space="0" w:color="auto"/>
              <w:left w:val="nil"/>
              <w:bottom w:val="single" w:sz="8" w:space="0" w:color="auto"/>
              <w:right w:val="single" w:sz="4" w:space="0" w:color="auto"/>
            </w:tcBorders>
            <w:shd w:val="clear" w:color="auto" w:fill="DEEBF7"/>
            <w:noWrap/>
            <w:vAlign w:val="center"/>
          </w:tcPr>
          <w:p w14:paraId="36A71DF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356" w:type="pct"/>
            <w:tcBorders>
              <w:top w:val="single" w:sz="12" w:space="0" w:color="auto"/>
              <w:left w:val="nil"/>
              <w:bottom w:val="single" w:sz="8" w:space="0" w:color="auto"/>
              <w:right w:val="single" w:sz="4" w:space="0" w:color="auto"/>
            </w:tcBorders>
            <w:shd w:val="clear" w:color="auto" w:fill="DEEBF7"/>
            <w:vAlign w:val="center"/>
          </w:tcPr>
          <w:p w14:paraId="4434F667"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12" w:space="0" w:color="auto"/>
              <w:left w:val="single" w:sz="4" w:space="0" w:color="auto"/>
              <w:bottom w:val="single" w:sz="8" w:space="0" w:color="auto"/>
              <w:right w:val="single" w:sz="18" w:space="0" w:color="auto"/>
            </w:tcBorders>
            <w:shd w:val="clear" w:color="auto" w:fill="DEEBF7"/>
            <w:vAlign w:val="center"/>
          </w:tcPr>
          <w:p w14:paraId="3EDDA250"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r>
      <w:tr w:rsidR="00837905" w:rsidRPr="00DB41E2" w14:paraId="65D11503" w14:textId="77777777" w:rsidTr="009A7AC2">
        <w:trPr>
          <w:trHeight w:val="247"/>
          <w:jc w:val="center"/>
        </w:trPr>
        <w:tc>
          <w:tcPr>
            <w:tcW w:w="378" w:type="pct"/>
            <w:vMerge/>
            <w:tcBorders>
              <w:left w:val="single" w:sz="18" w:space="0" w:color="auto"/>
              <w:right w:val="single" w:sz="12" w:space="0" w:color="auto"/>
            </w:tcBorders>
            <w:shd w:val="clear" w:color="auto" w:fill="DEEBF7"/>
            <w:noWrap/>
            <w:vAlign w:val="center"/>
          </w:tcPr>
          <w:p w14:paraId="7C6F4CE8"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8" w:space="0" w:color="auto"/>
              <w:right w:val="single" w:sz="4" w:space="0" w:color="auto"/>
            </w:tcBorders>
            <w:shd w:val="clear" w:color="auto" w:fill="DEEBF7"/>
            <w:noWrap/>
            <w:vAlign w:val="center"/>
          </w:tcPr>
          <w:p w14:paraId="54E66281"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Usilovat o častější kontrolu rychlosti motorových vozidel</w:t>
            </w:r>
          </w:p>
        </w:tc>
        <w:tc>
          <w:tcPr>
            <w:tcW w:w="1685" w:type="pct"/>
            <w:tcBorders>
              <w:top w:val="single" w:sz="8" w:space="0" w:color="auto"/>
              <w:left w:val="nil"/>
              <w:bottom w:val="single" w:sz="8" w:space="0" w:color="auto"/>
              <w:right w:val="single" w:sz="4" w:space="0" w:color="auto"/>
            </w:tcBorders>
            <w:shd w:val="clear" w:color="auto" w:fill="DEEBF7"/>
            <w:noWrap/>
            <w:vAlign w:val="center"/>
          </w:tcPr>
          <w:p w14:paraId="255DE361"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 nově uskutečněných kontrol</w:t>
            </w:r>
            <w:r w:rsidRPr="00B7519A">
              <w:rPr>
                <w:rFonts w:ascii="Calibri" w:eastAsia="Times New Roman" w:hAnsi="Calibri" w:cs="Times New Roman"/>
                <w:color w:val="000000"/>
                <w:sz w:val="20"/>
                <w:szCs w:val="20"/>
                <w:lang w:eastAsia="cs-CZ"/>
              </w:rPr>
              <w:t xml:space="preserve"> rychlosti </w:t>
            </w:r>
            <w:r>
              <w:rPr>
                <w:rFonts w:ascii="Calibri" w:eastAsia="Times New Roman" w:hAnsi="Calibri" w:cs="Times New Roman"/>
                <w:color w:val="000000"/>
                <w:sz w:val="20"/>
                <w:szCs w:val="20"/>
                <w:lang w:eastAsia="cs-CZ"/>
              </w:rPr>
              <w:br/>
            </w:r>
            <w:r w:rsidRPr="00B7519A">
              <w:rPr>
                <w:rFonts w:ascii="Calibri" w:eastAsia="Times New Roman" w:hAnsi="Calibri" w:cs="Times New Roman"/>
                <w:color w:val="000000"/>
                <w:sz w:val="20"/>
                <w:szCs w:val="20"/>
                <w:lang w:eastAsia="cs-CZ"/>
              </w:rPr>
              <w:t>motorových vozidel</w:t>
            </w:r>
            <w:r>
              <w:rPr>
                <w:rFonts w:ascii="Calibri" w:eastAsia="Times New Roman" w:hAnsi="Calibri" w:cs="Times New Roman"/>
                <w:color w:val="000000"/>
                <w:sz w:val="20"/>
                <w:szCs w:val="20"/>
                <w:lang w:eastAsia="cs-CZ"/>
              </w:rPr>
              <w:t xml:space="preserve"> oproti stávajícímu stavu</w:t>
            </w:r>
          </w:p>
        </w:tc>
        <w:tc>
          <w:tcPr>
            <w:tcW w:w="407" w:type="pct"/>
            <w:tcBorders>
              <w:top w:val="single" w:sz="8" w:space="0" w:color="auto"/>
              <w:left w:val="nil"/>
              <w:bottom w:val="single" w:sz="8" w:space="0" w:color="auto"/>
              <w:right w:val="single" w:sz="4" w:space="0" w:color="auto"/>
            </w:tcBorders>
            <w:shd w:val="clear" w:color="auto" w:fill="DEEBF7"/>
            <w:noWrap/>
            <w:vAlign w:val="center"/>
          </w:tcPr>
          <w:p w14:paraId="1DE8C506"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počet/rok</w:t>
            </w:r>
          </w:p>
        </w:tc>
        <w:tc>
          <w:tcPr>
            <w:tcW w:w="356" w:type="pct"/>
            <w:tcBorders>
              <w:top w:val="single" w:sz="8" w:space="0" w:color="auto"/>
              <w:left w:val="nil"/>
              <w:bottom w:val="single" w:sz="8" w:space="0" w:color="auto"/>
              <w:right w:val="single" w:sz="4" w:space="0" w:color="auto"/>
            </w:tcBorders>
            <w:shd w:val="clear" w:color="auto" w:fill="DEEBF7"/>
            <w:vAlign w:val="center"/>
          </w:tcPr>
          <w:p w14:paraId="05DB4748"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8" w:space="0" w:color="auto"/>
              <w:right w:val="single" w:sz="18" w:space="0" w:color="auto"/>
            </w:tcBorders>
            <w:shd w:val="clear" w:color="auto" w:fill="DEEBF7"/>
            <w:vAlign w:val="center"/>
          </w:tcPr>
          <w:p w14:paraId="484A4F4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56EF8735" w14:textId="77777777" w:rsidTr="009A7AC2">
        <w:trPr>
          <w:trHeight w:val="247"/>
          <w:jc w:val="center"/>
        </w:trPr>
        <w:tc>
          <w:tcPr>
            <w:tcW w:w="378" w:type="pct"/>
            <w:vMerge/>
            <w:tcBorders>
              <w:left w:val="single" w:sz="18" w:space="0" w:color="auto"/>
              <w:right w:val="single" w:sz="12" w:space="0" w:color="auto"/>
            </w:tcBorders>
            <w:shd w:val="clear" w:color="auto" w:fill="DEEBF7"/>
            <w:noWrap/>
            <w:vAlign w:val="center"/>
          </w:tcPr>
          <w:p w14:paraId="211FFE57"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8" w:space="0" w:color="auto"/>
              <w:right w:val="single" w:sz="4" w:space="0" w:color="auto"/>
            </w:tcBorders>
            <w:shd w:val="clear" w:color="auto" w:fill="DEEBF7"/>
            <w:noWrap/>
            <w:vAlign w:val="center"/>
          </w:tcPr>
          <w:p w14:paraId="636D18CF"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Intenzivněji spolupracovat s okolními obcemi</w:t>
            </w:r>
          </w:p>
        </w:tc>
        <w:tc>
          <w:tcPr>
            <w:tcW w:w="1685" w:type="pct"/>
            <w:tcBorders>
              <w:top w:val="single" w:sz="8" w:space="0" w:color="auto"/>
              <w:left w:val="nil"/>
              <w:bottom w:val="single" w:sz="8" w:space="0" w:color="auto"/>
              <w:right w:val="single" w:sz="4" w:space="0" w:color="auto"/>
            </w:tcBorders>
            <w:shd w:val="clear" w:color="auto" w:fill="DEEBF7"/>
            <w:noWrap/>
            <w:vAlign w:val="center"/>
          </w:tcPr>
          <w:p w14:paraId="6B5DA8CB"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Počet nově uskutečněných aktivit </w:t>
            </w:r>
            <w:r>
              <w:rPr>
                <w:rFonts w:ascii="Calibri" w:eastAsia="Times New Roman" w:hAnsi="Calibri" w:cs="Times New Roman"/>
                <w:color w:val="000000"/>
                <w:sz w:val="20"/>
                <w:szCs w:val="20"/>
                <w:lang w:eastAsia="cs-CZ"/>
              </w:rPr>
              <w:br/>
              <w:t>ve spolupráci s okolními obcemi</w:t>
            </w:r>
          </w:p>
        </w:tc>
        <w:tc>
          <w:tcPr>
            <w:tcW w:w="407" w:type="pct"/>
            <w:tcBorders>
              <w:top w:val="single" w:sz="8" w:space="0" w:color="auto"/>
              <w:left w:val="nil"/>
              <w:bottom w:val="single" w:sz="8" w:space="0" w:color="auto"/>
              <w:right w:val="single" w:sz="4" w:space="0" w:color="auto"/>
            </w:tcBorders>
            <w:shd w:val="clear" w:color="auto" w:fill="DEEBF7"/>
            <w:noWrap/>
            <w:vAlign w:val="center"/>
          </w:tcPr>
          <w:p w14:paraId="03216DA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356" w:type="pct"/>
            <w:tcBorders>
              <w:top w:val="single" w:sz="8" w:space="0" w:color="auto"/>
              <w:left w:val="nil"/>
              <w:bottom w:val="single" w:sz="8" w:space="0" w:color="auto"/>
              <w:right w:val="single" w:sz="4" w:space="0" w:color="auto"/>
            </w:tcBorders>
            <w:shd w:val="clear" w:color="auto" w:fill="DEEBF7"/>
            <w:vAlign w:val="center"/>
          </w:tcPr>
          <w:p w14:paraId="34788DE3"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8" w:space="0" w:color="auto"/>
              <w:right w:val="single" w:sz="18" w:space="0" w:color="auto"/>
            </w:tcBorders>
            <w:shd w:val="clear" w:color="auto" w:fill="DEEBF7"/>
            <w:vAlign w:val="center"/>
          </w:tcPr>
          <w:p w14:paraId="0FE81EBA"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r>
      <w:tr w:rsidR="00837905" w:rsidRPr="00DB41E2" w14:paraId="3E827A02" w14:textId="77777777" w:rsidTr="009A7AC2">
        <w:trPr>
          <w:trHeight w:val="247"/>
          <w:jc w:val="center"/>
        </w:trPr>
        <w:tc>
          <w:tcPr>
            <w:tcW w:w="378" w:type="pct"/>
            <w:vMerge/>
            <w:tcBorders>
              <w:left w:val="single" w:sz="18" w:space="0" w:color="auto"/>
              <w:right w:val="single" w:sz="12" w:space="0" w:color="auto"/>
            </w:tcBorders>
            <w:shd w:val="clear" w:color="auto" w:fill="DEEBF7"/>
            <w:noWrap/>
            <w:vAlign w:val="center"/>
          </w:tcPr>
          <w:p w14:paraId="3E22DA97"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8" w:space="0" w:color="auto"/>
              <w:right w:val="single" w:sz="4" w:space="0" w:color="auto"/>
            </w:tcBorders>
            <w:shd w:val="clear" w:color="auto" w:fill="DEEBF7"/>
            <w:noWrap/>
            <w:vAlign w:val="center"/>
          </w:tcPr>
          <w:p w14:paraId="5A28A0A1"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 xml:space="preserve">Využít znalostí a dovedností živnostníků </w:t>
            </w:r>
            <w:r>
              <w:rPr>
                <w:rFonts w:ascii="Calibri" w:eastAsia="Times New Roman" w:hAnsi="Calibri" w:cs="Times New Roman"/>
                <w:color w:val="000000"/>
                <w:sz w:val="20"/>
                <w:szCs w:val="20"/>
                <w:lang w:eastAsia="cs-CZ"/>
              </w:rPr>
              <w:br/>
            </w:r>
            <w:r w:rsidRPr="00B7519A">
              <w:rPr>
                <w:rFonts w:ascii="Calibri" w:eastAsia="Times New Roman" w:hAnsi="Calibri" w:cs="Times New Roman"/>
                <w:color w:val="000000"/>
                <w:sz w:val="20"/>
                <w:szCs w:val="20"/>
                <w:lang w:eastAsia="cs-CZ"/>
              </w:rPr>
              <w:t>působících v obci za účelem rozvoje obce</w:t>
            </w:r>
          </w:p>
        </w:tc>
        <w:tc>
          <w:tcPr>
            <w:tcW w:w="1685" w:type="pct"/>
            <w:tcBorders>
              <w:top w:val="single" w:sz="8" w:space="0" w:color="auto"/>
              <w:left w:val="nil"/>
              <w:bottom w:val="single" w:sz="8" w:space="0" w:color="auto"/>
              <w:right w:val="single" w:sz="4" w:space="0" w:color="auto"/>
            </w:tcBorders>
            <w:shd w:val="clear" w:color="auto" w:fill="DEEBF7"/>
            <w:noWrap/>
            <w:vAlign w:val="center"/>
          </w:tcPr>
          <w:p w14:paraId="63A72F28"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 nově uskutečněných aktivit s v</w:t>
            </w:r>
            <w:r w:rsidRPr="00B7519A">
              <w:rPr>
                <w:rFonts w:ascii="Calibri" w:eastAsia="Times New Roman" w:hAnsi="Calibri" w:cs="Times New Roman"/>
                <w:color w:val="000000"/>
                <w:sz w:val="20"/>
                <w:szCs w:val="20"/>
                <w:lang w:eastAsia="cs-CZ"/>
              </w:rPr>
              <w:t>yuž</w:t>
            </w:r>
            <w:r>
              <w:rPr>
                <w:rFonts w:ascii="Calibri" w:eastAsia="Times New Roman" w:hAnsi="Calibri" w:cs="Times New Roman"/>
                <w:color w:val="000000"/>
                <w:sz w:val="20"/>
                <w:szCs w:val="20"/>
                <w:lang w:eastAsia="cs-CZ"/>
              </w:rPr>
              <w:t>i</w:t>
            </w:r>
            <w:r w:rsidRPr="00B7519A">
              <w:rPr>
                <w:rFonts w:ascii="Calibri" w:eastAsia="Times New Roman" w:hAnsi="Calibri" w:cs="Times New Roman"/>
                <w:color w:val="000000"/>
                <w:sz w:val="20"/>
                <w:szCs w:val="20"/>
                <w:lang w:eastAsia="cs-CZ"/>
              </w:rPr>
              <w:t>t</w:t>
            </w:r>
            <w:r>
              <w:rPr>
                <w:rFonts w:ascii="Calibri" w:eastAsia="Times New Roman" w:hAnsi="Calibri" w:cs="Times New Roman"/>
                <w:color w:val="000000"/>
                <w:sz w:val="20"/>
                <w:szCs w:val="20"/>
                <w:lang w:eastAsia="cs-CZ"/>
              </w:rPr>
              <w:t>ím</w:t>
            </w:r>
            <w:r w:rsidRPr="00B7519A">
              <w:rPr>
                <w:rFonts w:ascii="Calibri" w:eastAsia="Times New Roman" w:hAnsi="Calibri" w:cs="Times New Roman"/>
                <w:color w:val="000000"/>
                <w:sz w:val="20"/>
                <w:szCs w:val="20"/>
                <w:lang w:eastAsia="cs-CZ"/>
              </w:rPr>
              <w:t xml:space="preserve"> </w:t>
            </w:r>
            <w:r>
              <w:rPr>
                <w:rFonts w:ascii="Calibri" w:eastAsia="Times New Roman" w:hAnsi="Calibri" w:cs="Times New Roman"/>
                <w:color w:val="000000"/>
                <w:sz w:val="20"/>
                <w:szCs w:val="20"/>
                <w:lang w:eastAsia="cs-CZ"/>
              </w:rPr>
              <w:br/>
            </w:r>
            <w:r w:rsidRPr="00B7519A">
              <w:rPr>
                <w:rFonts w:ascii="Calibri" w:eastAsia="Times New Roman" w:hAnsi="Calibri" w:cs="Times New Roman"/>
                <w:color w:val="000000"/>
                <w:sz w:val="20"/>
                <w:szCs w:val="20"/>
                <w:lang w:eastAsia="cs-CZ"/>
              </w:rPr>
              <w:t xml:space="preserve">znalostí a dovedností živnostníků působících v obci </w:t>
            </w:r>
            <w:r>
              <w:rPr>
                <w:rFonts w:ascii="Calibri" w:eastAsia="Times New Roman" w:hAnsi="Calibri" w:cs="Times New Roman"/>
                <w:color w:val="000000"/>
                <w:sz w:val="20"/>
                <w:szCs w:val="20"/>
                <w:lang w:eastAsia="cs-CZ"/>
              </w:rPr>
              <w:br/>
            </w:r>
            <w:r w:rsidRPr="00B7519A">
              <w:rPr>
                <w:rFonts w:ascii="Calibri" w:eastAsia="Times New Roman" w:hAnsi="Calibri" w:cs="Times New Roman"/>
                <w:color w:val="000000"/>
                <w:sz w:val="20"/>
                <w:szCs w:val="20"/>
                <w:lang w:eastAsia="cs-CZ"/>
              </w:rPr>
              <w:t>za účelem rozvoje obce</w:t>
            </w:r>
          </w:p>
        </w:tc>
        <w:tc>
          <w:tcPr>
            <w:tcW w:w="407" w:type="pct"/>
            <w:tcBorders>
              <w:top w:val="single" w:sz="8" w:space="0" w:color="auto"/>
              <w:left w:val="nil"/>
              <w:bottom w:val="single" w:sz="8" w:space="0" w:color="auto"/>
              <w:right w:val="single" w:sz="4" w:space="0" w:color="auto"/>
            </w:tcBorders>
            <w:shd w:val="clear" w:color="auto" w:fill="DEEBF7"/>
            <w:noWrap/>
            <w:vAlign w:val="center"/>
          </w:tcPr>
          <w:p w14:paraId="1FC8F63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356" w:type="pct"/>
            <w:tcBorders>
              <w:top w:val="single" w:sz="8" w:space="0" w:color="auto"/>
              <w:left w:val="nil"/>
              <w:bottom w:val="single" w:sz="8" w:space="0" w:color="auto"/>
              <w:right w:val="single" w:sz="4" w:space="0" w:color="auto"/>
            </w:tcBorders>
            <w:shd w:val="clear" w:color="auto" w:fill="DEEBF7"/>
            <w:vAlign w:val="center"/>
          </w:tcPr>
          <w:p w14:paraId="7B9B3A6E"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8" w:space="0" w:color="auto"/>
              <w:right w:val="single" w:sz="18" w:space="0" w:color="auto"/>
            </w:tcBorders>
            <w:shd w:val="clear" w:color="auto" w:fill="DEEBF7"/>
            <w:vAlign w:val="center"/>
          </w:tcPr>
          <w:p w14:paraId="0D1D779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w:t>
            </w:r>
          </w:p>
        </w:tc>
      </w:tr>
      <w:tr w:rsidR="00837905" w:rsidRPr="00DB41E2" w14:paraId="11198548" w14:textId="77777777" w:rsidTr="009A7AC2">
        <w:trPr>
          <w:trHeight w:val="247"/>
          <w:jc w:val="center"/>
        </w:trPr>
        <w:tc>
          <w:tcPr>
            <w:tcW w:w="378" w:type="pct"/>
            <w:vMerge/>
            <w:tcBorders>
              <w:left w:val="single" w:sz="18" w:space="0" w:color="auto"/>
              <w:bottom w:val="single" w:sz="18" w:space="0" w:color="auto"/>
              <w:right w:val="single" w:sz="12" w:space="0" w:color="auto"/>
            </w:tcBorders>
            <w:shd w:val="clear" w:color="auto" w:fill="DEEBF7"/>
            <w:noWrap/>
            <w:vAlign w:val="center"/>
          </w:tcPr>
          <w:p w14:paraId="2E8F6C81"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851" w:type="pct"/>
            <w:tcBorders>
              <w:top w:val="single" w:sz="8" w:space="0" w:color="auto"/>
              <w:left w:val="single" w:sz="12" w:space="0" w:color="auto"/>
              <w:bottom w:val="single" w:sz="18" w:space="0" w:color="auto"/>
              <w:right w:val="single" w:sz="4" w:space="0" w:color="auto"/>
            </w:tcBorders>
            <w:shd w:val="clear" w:color="auto" w:fill="DEEBF7"/>
            <w:noWrap/>
            <w:vAlign w:val="center"/>
          </w:tcPr>
          <w:p w14:paraId="4F42592B"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7519A">
              <w:rPr>
                <w:rFonts w:ascii="Calibri" w:eastAsia="Times New Roman" w:hAnsi="Calibri" w:cs="Times New Roman"/>
                <w:color w:val="000000"/>
                <w:sz w:val="20"/>
                <w:szCs w:val="20"/>
                <w:lang w:eastAsia="cs-CZ"/>
              </w:rPr>
              <w:t>Podporovat další rozvoj moderních technologií</w:t>
            </w:r>
          </w:p>
        </w:tc>
        <w:tc>
          <w:tcPr>
            <w:tcW w:w="1685" w:type="pct"/>
            <w:tcBorders>
              <w:top w:val="single" w:sz="8" w:space="0" w:color="auto"/>
              <w:left w:val="nil"/>
              <w:bottom w:val="single" w:sz="18" w:space="0" w:color="auto"/>
              <w:right w:val="single" w:sz="4" w:space="0" w:color="auto"/>
            </w:tcBorders>
            <w:shd w:val="clear" w:color="auto" w:fill="DEEBF7"/>
            <w:noWrap/>
            <w:vAlign w:val="center"/>
          </w:tcPr>
          <w:p w14:paraId="3F63AB53"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Počet nově zavedených </w:t>
            </w:r>
            <w:r w:rsidRPr="00837663">
              <w:rPr>
                <w:rFonts w:ascii="Calibri" w:eastAsia="Times New Roman" w:hAnsi="Calibri" w:cs="Times New Roman"/>
                <w:color w:val="000000"/>
                <w:sz w:val="20"/>
                <w:szCs w:val="20"/>
                <w:lang w:eastAsia="cs-CZ"/>
              </w:rPr>
              <w:t>prvk</w:t>
            </w:r>
            <w:r>
              <w:rPr>
                <w:rFonts w:ascii="Calibri" w:eastAsia="Times New Roman" w:hAnsi="Calibri" w:cs="Times New Roman"/>
                <w:color w:val="000000"/>
                <w:sz w:val="20"/>
                <w:szCs w:val="20"/>
                <w:lang w:eastAsia="cs-CZ"/>
              </w:rPr>
              <w:t>ů či služeb</w:t>
            </w:r>
            <w:r w:rsidRPr="00837663">
              <w:rPr>
                <w:rFonts w:ascii="Calibri" w:eastAsia="Times New Roman" w:hAnsi="Calibri" w:cs="Times New Roman"/>
                <w:color w:val="000000"/>
                <w:sz w:val="20"/>
                <w:szCs w:val="20"/>
                <w:lang w:eastAsia="cs-CZ"/>
              </w:rPr>
              <w:t xml:space="preserve"> </w:t>
            </w:r>
            <w:r>
              <w:rPr>
                <w:rFonts w:ascii="Calibri" w:eastAsia="Times New Roman" w:hAnsi="Calibri" w:cs="Times New Roman"/>
                <w:color w:val="000000"/>
                <w:sz w:val="20"/>
                <w:szCs w:val="20"/>
                <w:lang w:eastAsia="cs-CZ"/>
              </w:rPr>
              <w:br/>
              <w:t xml:space="preserve">v oblasti </w:t>
            </w:r>
            <w:r w:rsidRPr="00B7519A">
              <w:rPr>
                <w:rFonts w:ascii="Calibri" w:eastAsia="Times New Roman" w:hAnsi="Calibri" w:cs="Times New Roman"/>
                <w:color w:val="000000"/>
                <w:sz w:val="20"/>
                <w:szCs w:val="20"/>
                <w:lang w:eastAsia="cs-CZ"/>
              </w:rPr>
              <w:t>moderních technologií</w:t>
            </w:r>
          </w:p>
        </w:tc>
        <w:tc>
          <w:tcPr>
            <w:tcW w:w="407" w:type="pct"/>
            <w:tcBorders>
              <w:top w:val="single" w:sz="8" w:space="0" w:color="auto"/>
              <w:left w:val="nil"/>
              <w:bottom w:val="single" w:sz="18" w:space="0" w:color="auto"/>
              <w:right w:val="single" w:sz="4" w:space="0" w:color="auto"/>
            </w:tcBorders>
            <w:shd w:val="clear" w:color="auto" w:fill="DEEBF7"/>
            <w:noWrap/>
            <w:vAlign w:val="center"/>
          </w:tcPr>
          <w:p w14:paraId="6DB06DC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356" w:type="pct"/>
            <w:tcBorders>
              <w:top w:val="single" w:sz="8" w:space="0" w:color="auto"/>
              <w:left w:val="nil"/>
              <w:bottom w:val="single" w:sz="18" w:space="0" w:color="auto"/>
              <w:right w:val="single" w:sz="4" w:space="0" w:color="auto"/>
            </w:tcBorders>
            <w:shd w:val="clear" w:color="auto" w:fill="DEEBF7"/>
            <w:vAlign w:val="center"/>
          </w:tcPr>
          <w:p w14:paraId="2470A1A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23" w:type="pct"/>
            <w:tcBorders>
              <w:top w:val="single" w:sz="8" w:space="0" w:color="auto"/>
              <w:left w:val="single" w:sz="4" w:space="0" w:color="auto"/>
              <w:bottom w:val="single" w:sz="18" w:space="0" w:color="auto"/>
              <w:right w:val="single" w:sz="18" w:space="0" w:color="auto"/>
            </w:tcBorders>
            <w:shd w:val="clear" w:color="auto" w:fill="DEEBF7"/>
            <w:vAlign w:val="center"/>
          </w:tcPr>
          <w:p w14:paraId="0FF6FB76"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bl>
    <w:p w14:paraId="71950A91" w14:textId="50FE3D02" w:rsidR="00837905" w:rsidRPr="00DB41E2" w:rsidRDefault="00837905" w:rsidP="00837905">
      <w:pPr>
        <w:pStyle w:val="TABULKA0"/>
      </w:pPr>
      <w:bookmarkStart w:id="666" w:name="_Toc32577820"/>
      <w:bookmarkStart w:id="667" w:name="_Toc120651960"/>
      <w:r w:rsidRPr="00206731">
        <w:lastRenderedPageBreak/>
        <w:t xml:space="preserve">Tabulka </w:t>
      </w:r>
      <w:r>
        <w:t>3</w:t>
      </w:r>
      <w:r w:rsidR="00041A31">
        <w:t>8</w:t>
      </w:r>
      <w:r w:rsidRPr="00206731">
        <w:t>: Sada</w:t>
      </w:r>
      <w:r w:rsidRPr="00DB41E2" w:rsidDel="00DB49BA">
        <w:t xml:space="preserve"> </w:t>
      </w:r>
      <w:r w:rsidRPr="00DB41E2">
        <w:t xml:space="preserve">monitorovacích ukazatelů klíčové oblasti rozvoje </w:t>
      </w:r>
      <w:bookmarkEnd w:id="663"/>
      <w:bookmarkEnd w:id="664"/>
      <w:bookmarkEnd w:id="666"/>
      <w:r>
        <w:t>VOLNÝ ČAS</w:t>
      </w:r>
      <w:bookmarkEnd w:id="667"/>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9"/>
        <w:gridCol w:w="4631"/>
        <w:gridCol w:w="4682"/>
        <w:gridCol w:w="1134"/>
        <w:gridCol w:w="1134"/>
        <w:gridCol w:w="1454"/>
      </w:tblGrid>
      <w:tr w:rsidR="00837905" w:rsidRPr="00DB41E2" w14:paraId="507A0E61" w14:textId="77777777" w:rsidTr="009A7AC2">
        <w:trPr>
          <w:trHeight w:val="345"/>
          <w:jc w:val="center"/>
        </w:trPr>
        <w:tc>
          <w:tcPr>
            <w:tcW w:w="392" w:type="pct"/>
            <w:tcBorders>
              <w:top w:val="single" w:sz="18" w:space="0" w:color="auto"/>
              <w:bottom w:val="single" w:sz="4" w:space="0" w:color="auto"/>
              <w:right w:val="single" w:sz="12" w:space="0" w:color="auto"/>
            </w:tcBorders>
            <w:shd w:val="clear" w:color="auto" w:fill="BF9000"/>
            <w:noWrap/>
            <w:vAlign w:val="center"/>
            <w:hideMark/>
          </w:tcPr>
          <w:p w14:paraId="7DC361AC"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Klíčová oblast</w:t>
            </w:r>
          </w:p>
        </w:tc>
        <w:tc>
          <w:tcPr>
            <w:tcW w:w="1637" w:type="pct"/>
            <w:tcBorders>
              <w:top w:val="single" w:sz="18" w:space="0" w:color="auto"/>
              <w:left w:val="single" w:sz="12" w:space="0" w:color="auto"/>
              <w:bottom w:val="single" w:sz="18" w:space="0" w:color="auto"/>
            </w:tcBorders>
            <w:shd w:val="clear" w:color="auto" w:fill="BF9000"/>
            <w:noWrap/>
            <w:vAlign w:val="center"/>
            <w:hideMark/>
          </w:tcPr>
          <w:p w14:paraId="4B86ED35" w14:textId="77777777" w:rsidR="00837905" w:rsidRPr="00DB41E2" w:rsidRDefault="00837905" w:rsidP="009A7AC2">
            <w:pPr>
              <w:jc w:val="center"/>
              <w:rPr>
                <w:rFonts w:ascii="Calibri" w:eastAsia="Times New Roman" w:hAnsi="Calibri" w:cs="Times New Roman"/>
                <w:b/>
                <w:bCs/>
                <w:color w:val="000000"/>
                <w:sz w:val="24"/>
                <w:szCs w:val="24"/>
                <w:lang w:eastAsia="cs-CZ"/>
              </w:rPr>
            </w:pPr>
            <w:r>
              <w:rPr>
                <w:rFonts w:ascii="Calibri" w:eastAsia="Times New Roman" w:hAnsi="Calibri" w:cs="Times New Roman"/>
                <w:b/>
                <w:bCs/>
                <w:color w:val="000000"/>
                <w:sz w:val="24"/>
                <w:szCs w:val="24"/>
                <w:lang w:eastAsia="cs-CZ"/>
              </w:rPr>
              <w:t>VOLNÝ ČAS</w:t>
            </w:r>
          </w:p>
        </w:tc>
        <w:tc>
          <w:tcPr>
            <w:tcW w:w="1655" w:type="pct"/>
            <w:tcBorders>
              <w:top w:val="single" w:sz="18" w:space="0" w:color="auto"/>
              <w:bottom w:val="single" w:sz="18" w:space="0" w:color="auto"/>
            </w:tcBorders>
            <w:shd w:val="clear" w:color="auto" w:fill="BF9000"/>
            <w:noWrap/>
            <w:vAlign w:val="center"/>
            <w:hideMark/>
          </w:tcPr>
          <w:p w14:paraId="1246EF7C"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Monitorovací ukazatel</w:t>
            </w:r>
          </w:p>
        </w:tc>
        <w:tc>
          <w:tcPr>
            <w:tcW w:w="401" w:type="pct"/>
            <w:tcBorders>
              <w:top w:val="single" w:sz="18" w:space="0" w:color="auto"/>
              <w:bottom w:val="single" w:sz="18" w:space="0" w:color="auto"/>
            </w:tcBorders>
            <w:shd w:val="clear" w:color="auto" w:fill="BF9000"/>
            <w:noWrap/>
            <w:vAlign w:val="center"/>
            <w:hideMark/>
          </w:tcPr>
          <w:p w14:paraId="465E2ABC"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Jednotka</w:t>
            </w:r>
          </w:p>
        </w:tc>
        <w:tc>
          <w:tcPr>
            <w:tcW w:w="401" w:type="pct"/>
            <w:tcBorders>
              <w:top w:val="single" w:sz="18" w:space="0" w:color="auto"/>
              <w:bottom w:val="single" w:sz="18" w:space="0" w:color="auto"/>
            </w:tcBorders>
            <w:shd w:val="clear" w:color="auto" w:fill="BF9000"/>
            <w:noWrap/>
            <w:vAlign w:val="center"/>
            <w:hideMark/>
          </w:tcPr>
          <w:p w14:paraId="259A3B1A"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Výchozí stav</w:t>
            </w:r>
          </w:p>
        </w:tc>
        <w:tc>
          <w:tcPr>
            <w:tcW w:w="514" w:type="pct"/>
            <w:tcBorders>
              <w:top w:val="single" w:sz="18" w:space="0" w:color="auto"/>
              <w:bottom w:val="single" w:sz="18" w:space="0" w:color="auto"/>
            </w:tcBorders>
            <w:shd w:val="clear" w:color="auto" w:fill="BF9000"/>
            <w:noWrap/>
            <w:vAlign w:val="center"/>
            <w:hideMark/>
          </w:tcPr>
          <w:p w14:paraId="28DA0EE4" w14:textId="77777777" w:rsidR="00837905" w:rsidRPr="00DB41E2" w:rsidRDefault="00837905" w:rsidP="009A7AC2">
            <w:pPr>
              <w:jc w:val="center"/>
              <w:rPr>
                <w:rFonts w:ascii="Calibri" w:eastAsia="Times New Roman" w:hAnsi="Calibri" w:cs="Times New Roman"/>
                <w:b/>
                <w:color w:val="000000"/>
                <w:sz w:val="24"/>
                <w:szCs w:val="24"/>
                <w:lang w:eastAsia="cs-CZ"/>
              </w:rPr>
            </w:pPr>
            <w:r w:rsidRPr="00DB41E2">
              <w:rPr>
                <w:rFonts w:ascii="Calibri" w:eastAsia="Times New Roman" w:hAnsi="Calibri" w:cs="Times New Roman"/>
                <w:b/>
                <w:color w:val="000000"/>
                <w:sz w:val="24"/>
                <w:szCs w:val="24"/>
                <w:lang w:eastAsia="cs-CZ"/>
              </w:rPr>
              <w:t>Cílový stav</w:t>
            </w:r>
          </w:p>
        </w:tc>
      </w:tr>
      <w:tr w:rsidR="00837905" w:rsidRPr="00DB41E2" w14:paraId="4B45326A" w14:textId="77777777" w:rsidTr="009A7AC2">
        <w:trPr>
          <w:trHeight w:val="332"/>
          <w:jc w:val="center"/>
        </w:trPr>
        <w:tc>
          <w:tcPr>
            <w:tcW w:w="392" w:type="pct"/>
            <w:tcBorders>
              <w:top w:val="single" w:sz="18" w:space="0" w:color="auto"/>
              <w:bottom w:val="single" w:sz="4" w:space="0" w:color="auto"/>
              <w:right w:val="single" w:sz="12" w:space="0" w:color="auto"/>
            </w:tcBorders>
            <w:shd w:val="clear" w:color="auto" w:fill="FFD966"/>
            <w:noWrap/>
            <w:vAlign w:val="center"/>
            <w:hideMark/>
          </w:tcPr>
          <w:p w14:paraId="75867900"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DB41E2">
              <w:rPr>
                <w:rFonts w:ascii="Calibri" w:eastAsia="Times New Roman" w:hAnsi="Calibri" w:cs="Times New Roman"/>
                <w:b/>
                <w:color w:val="000000"/>
                <w:sz w:val="20"/>
                <w:szCs w:val="20"/>
                <w:lang w:eastAsia="cs-CZ"/>
              </w:rPr>
              <w:t>Cíl</w:t>
            </w:r>
          </w:p>
        </w:tc>
        <w:tc>
          <w:tcPr>
            <w:tcW w:w="1637" w:type="pct"/>
            <w:tcBorders>
              <w:top w:val="single" w:sz="18" w:space="0" w:color="auto"/>
              <w:left w:val="single" w:sz="12" w:space="0" w:color="auto"/>
              <w:bottom w:val="single" w:sz="12" w:space="0" w:color="auto"/>
            </w:tcBorders>
            <w:shd w:val="clear" w:color="auto" w:fill="FFD966"/>
            <w:noWrap/>
            <w:vAlign w:val="center"/>
          </w:tcPr>
          <w:p w14:paraId="42DCE611" w14:textId="77777777" w:rsidR="00837905" w:rsidRPr="00DB41E2" w:rsidRDefault="00837905" w:rsidP="009A7AC2">
            <w:pPr>
              <w:contextualSpacing/>
              <w:jc w:val="center"/>
              <w:rPr>
                <w:rFonts w:ascii="Calibri" w:eastAsia="Times New Roman" w:hAnsi="Calibri" w:cs="Times New Roman"/>
                <w:b/>
                <w:bCs/>
                <w:color w:val="000000"/>
                <w:sz w:val="20"/>
                <w:szCs w:val="20"/>
                <w:lang w:eastAsia="cs-CZ"/>
              </w:rPr>
            </w:pPr>
            <w:r w:rsidRPr="00B02FFE">
              <w:rPr>
                <w:rFonts w:ascii="Calibri" w:eastAsia="Times New Roman" w:hAnsi="Calibri" w:cs="Times New Roman"/>
                <w:b/>
                <w:bCs/>
                <w:color w:val="000000"/>
                <w:sz w:val="20"/>
                <w:szCs w:val="20"/>
                <w:lang w:eastAsia="cs-CZ"/>
              </w:rPr>
              <w:t xml:space="preserve">Zvýšit nabídku možností souvisejících </w:t>
            </w:r>
            <w:r>
              <w:rPr>
                <w:rFonts w:ascii="Calibri" w:eastAsia="Times New Roman" w:hAnsi="Calibri" w:cs="Times New Roman"/>
                <w:b/>
                <w:bCs/>
                <w:color w:val="000000"/>
                <w:sz w:val="20"/>
                <w:szCs w:val="20"/>
                <w:lang w:eastAsia="cs-CZ"/>
              </w:rPr>
              <w:br/>
            </w:r>
            <w:r w:rsidRPr="00B02FFE">
              <w:rPr>
                <w:rFonts w:ascii="Calibri" w:eastAsia="Times New Roman" w:hAnsi="Calibri" w:cs="Times New Roman"/>
                <w:b/>
                <w:bCs/>
                <w:color w:val="000000"/>
                <w:sz w:val="20"/>
                <w:szCs w:val="20"/>
                <w:lang w:eastAsia="cs-CZ"/>
              </w:rPr>
              <w:t>s trávením volného času</w:t>
            </w:r>
          </w:p>
        </w:tc>
        <w:tc>
          <w:tcPr>
            <w:tcW w:w="1655" w:type="pct"/>
            <w:tcBorders>
              <w:top w:val="single" w:sz="18" w:space="0" w:color="auto"/>
              <w:bottom w:val="single" w:sz="12" w:space="0" w:color="auto"/>
            </w:tcBorders>
            <w:shd w:val="clear" w:color="auto" w:fill="FFD966"/>
            <w:noWrap/>
            <w:vAlign w:val="center"/>
          </w:tcPr>
          <w:p w14:paraId="2F72F7C3" w14:textId="77777777" w:rsidR="00837905" w:rsidRPr="00DB41E2" w:rsidRDefault="00837905" w:rsidP="009A7AC2">
            <w:pPr>
              <w:jc w:val="center"/>
              <w:rPr>
                <w:rFonts w:ascii="Calibri" w:eastAsia="Times New Roman" w:hAnsi="Calibri" w:cs="Times New Roman"/>
                <w:b/>
                <w:bCs/>
                <w:color w:val="000000"/>
                <w:sz w:val="20"/>
                <w:szCs w:val="20"/>
                <w:lang w:eastAsia="cs-CZ"/>
              </w:rPr>
            </w:pPr>
            <w:r>
              <w:rPr>
                <w:rFonts w:ascii="Calibri" w:eastAsia="Times New Roman" w:hAnsi="Calibri" w:cs="Times New Roman"/>
                <w:b/>
                <w:bCs/>
                <w:color w:val="000000"/>
                <w:sz w:val="20"/>
                <w:szCs w:val="20"/>
                <w:lang w:eastAsia="cs-CZ"/>
              </w:rPr>
              <w:t xml:space="preserve">Počet nově dostupných možností </w:t>
            </w:r>
            <w:r>
              <w:rPr>
                <w:rFonts w:ascii="Calibri" w:eastAsia="Times New Roman" w:hAnsi="Calibri" w:cs="Times New Roman"/>
                <w:b/>
                <w:bCs/>
                <w:color w:val="000000"/>
                <w:sz w:val="20"/>
                <w:szCs w:val="20"/>
                <w:lang w:eastAsia="cs-CZ"/>
              </w:rPr>
              <w:br/>
              <w:t>trávení volného času v obci</w:t>
            </w:r>
          </w:p>
        </w:tc>
        <w:tc>
          <w:tcPr>
            <w:tcW w:w="401" w:type="pct"/>
            <w:tcBorders>
              <w:top w:val="single" w:sz="18" w:space="0" w:color="auto"/>
              <w:bottom w:val="single" w:sz="12" w:space="0" w:color="auto"/>
            </w:tcBorders>
            <w:shd w:val="clear" w:color="auto" w:fill="FFD966"/>
            <w:noWrap/>
            <w:vAlign w:val="center"/>
          </w:tcPr>
          <w:p w14:paraId="6897C8A8"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počet</w:t>
            </w:r>
          </w:p>
        </w:tc>
        <w:tc>
          <w:tcPr>
            <w:tcW w:w="401" w:type="pct"/>
            <w:tcBorders>
              <w:top w:val="single" w:sz="18" w:space="0" w:color="auto"/>
              <w:bottom w:val="single" w:sz="12" w:space="0" w:color="auto"/>
            </w:tcBorders>
            <w:shd w:val="clear" w:color="auto" w:fill="FFD966"/>
            <w:noWrap/>
            <w:vAlign w:val="center"/>
          </w:tcPr>
          <w:p w14:paraId="21F9C68D" w14:textId="77777777" w:rsidR="00837905" w:rsidRPr="00DB41E2" w:rsidRDefault="00837905" w:rsidP="009A7AC2">
            <w:pPr>
              <w:jc w:val="center"/>
              <w:rPr>
                <w:rFonts w:ascii="Calibri" w:eastAsia="Times New Roman" w:hAnsi="Calibri" w:cs="Times New Roman"/>
                <w:b/>
                <w:sz w:val="20"/>
                <w:szCs w:val="20"/>
                <w:lang w:eastAsia="cs-CZ"/>
              </w:rPr>
            </w:pPr>
            <w:r>
              <w:rPr>
                <w:rFonts w:ascii="Calibri" w:eastAsia="Times New Roman" w:hAnsi="Calibri" w:cs="Times New Roman"/>
                <w:b/>
                <w:sz w:val="20"/>
                <w:szCs w:val="20"/>
                <w:lang w:eastAsia="cs-CZ"/>
              </w:rPr>
              <w:t>0</w:t>
            </w:r>
          </w:p>
        </w:tc>
        <w:tc>
          <w:tcPr>
            <w:tcW w:w="514" w:type="pct"/>
            <w:tcBorders>
              <w:top w:val="single" w:sz="18" w:space="0" w:color="auto"/>
              <w:bottom w:val="single" w:sz="12" w:space="0" w:color="auto"/>
            </w:tcBorders>
            <w:shd w:val="clear" w:color="auto" w:fill="FFD966"/>
            <w:noWrap/>
            <w:vAlign w:val="center"/>
          </w:tcPr>
          <w:p w14:paraId="0642C9D2" w14:textId="77777777" w:rsidR="00837905" w:rsidRPr="00DB41E2" w:rsidRDefault="00837905" w:rsidP="009A7AC2">
            <w:pPr>
              <w:jc w:val="center"/>
              <w:rPr>
                <w:rFonts w:ascii="Calibri" w:eastAsia="Times New Roman" w:hAnsi="Calibri" w:cs="Times New Roman"/>
                <w:b/>
                <w:sz w:val="20"/>
                <w:szCs w:val="20"/>
                <w:lang w:eastAsia="cs-CZ"/>
              </w:rPr>
            </w:pPr>
            <w:r>
              <w:rPr>
                <w:rFonts w:ascii="Calibri" w:eastAsia="Times New Roman" w:hAnsi="Calibri" w:cs="Times New Roman"/>
                <w:b/>
                <w:sz w:val="20"/>
                <w:szCs w:val="20"/>
                <w:lang w:eastAsia="cs-CZ"/>
              </w:rPr>
              <w:t>6</w:t>
            </w:r>
          </w:p>
        </w:tc>
      </w:tr>
      <w:tr w:rsidR="00837905" w:rsidRPr="00DB41E2" w14:paraId="06BB33E5" w14:textId="77777777" w:rsidTr="009A7AC2">
        <w:trPr>
          <w:trHeight w:val="99"/>
          <w:jc w:val="center"/>
        </w:trPr>
        <w:tc>
          <w:tcPr>
            <w:tcW w:w="392" w:type="pct"/>
            <w:tcBorders>
              <w:top w:val="single" w:sz="12" w:space="0" w:color="auto"/>
              <w:bottom w:val="single" w:sz="4" w:space="0" w:color="auto"/>
              <w:right w:val="single" w:sz="12" w:space="0" w:color="auto"/>
            </w:tcBorders>
            <w:shd w:val="clear" w:color="auto" w:fill="FFE699"/>
            <w:noWrap/>
            <w:vAlign w:val="center"/>
            <w:hideMark/>
          </w:tcPr>
          <w:p w14:paraId="38ABDE08"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08" w:type="pct"/>
            <w:gridSpan w:val="5"/>
            <w:tcBorders>
              <w:top w:val="single" w:sz="12" w:space="0" w:color="auto"/>
              <w:left w:val="single" w:sz="12" w:space="0" w:color="auto"/>
              <w:bottom w:val="single" w:sz="12" w:space="0" w:color="auto"/>
            </w:tcBorders>
            <w:shd w:val="clear" w:color="auto" w:fill="FFE699"/>
            <w:noWrap/>
            <w:vAlign w:val="center"/>
          </w:tcPr>
          <w:p w14:paraId="3471A45C" w14:textId="77777777" w:rsidR="00837905" w:rsidRPr="00DB41E2" w:rsidRDefault="00837905" w:rsidP="009A7AC2">
            <w:pPr>
              <w:contextualSpacing/>
              <w:jc w:val="center"/>
              <w:rPr>
                <w:rFonts w:ascii="Calibri" w:eastAsia="Times New Roman" w:hAnsi="Calibri" w:cs="Times New Roman"/>
                <w:b/>
                <w:color w:val="000000"/>
                <w:sz w:val="20"/>
                <w:szCs w:val="20"/>
                <w:lang w:eastAsia="cs-CZ"/>
              </w:rPr>
            </w:pPr>
            <w:r w:rsidRPr="00B02FFE">
              <w:rPr>
                <w:rFonts w:ascii="Calibri" w:eastAsia="Times New Roman" w:hAnsi="Calibri" w:cs="Times New Roman"/>
                <w:b/>
                <w:color w:val="000000"/>
                <w:sz w:val="20"/>
                <w:szCs w:val="20"/>
                <w:lang w:eastAsia="cs-CZ"/>
              </w:rPr>
              <w:t>Zvýšit variabilitu kulturně-společenského vyžití v obci</w:t>
            </w:r>
          </w:p>
        </w:tc>
      </w:tr>
      <w:tr w:rsidR="00837905" w:rsidRPr="00DB41E2" w14:paraId="5B644DA3" w14:textId="77777777" w:rsidTr="009A7AC2">
        <w:trPr>
          <w:trHeight w:val="50"/>
          <w:jc w:val="center"/>
        </w:trPr>
        <w:tc>
          <w:tcPr>
            <w:tcW w:w="392" w:type="pct"/>
            <w:vMerge w:val="restart"/>
            <w:tcBorders>
              <w:top w:val="single" w:sz="12" w:space="0" w:color="auto"/>
              <w:right w:val="single" w:sz="12" w:space="0" w:color="auto"/>
            </w:tcBorders>
            <w:shd w:val="clear" w:color="auto" w:fill="FFF2CC"/>
            <w:noWrap/>
            <w:vAlign w:val="center"/>
            <w:hideMark/>
          </w:tcPr>
          <w:p w14:paraId="56C27CD5"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637" w:type="pct"/>
            <w:tcBorders>
              <w:top w:val="single" w:sz="12" w:space="0" w:color="auto"/>
              <w:left w:val="single" w:sz="12" w:space="0" w:color="auto"/>
              <w:bottom w:val="single" w:sz="8" w:space="0" w:color="auto"/>
            </w:tcBorders>
            <w:shd w:val="clear" w:color="auto" w:fill="FFF2CC"/>
            <w:noWrap/>
            <w:vAlign w:val="center"/>
          </w:tcPr>
          <w:p w14:paraId="7E3BCA65"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02FFE">
              <w:rPr>
                <w:rFonts w:ascii="Calibri" w:eastAsia="Times New Roman" w:hAnsi="Calibri" w:cs="Times New Roman"/>
                <w:color w:val="000000"/>
                <w:sz w:val="20"/>
                <w:szCs w:val="20"/>
                <w:lang w:eastAsia="cs-CZ"/>
              </w:rPr>
              <w:t>Pořádat každoročně Den obce</w:t>
            </w:r>
          </w:p>
        </w:tc>
        <w:tc>
          <w:tcPr>
            <w:tcW w:w="1655" w:type="pct"/>
            <w:tcBorders>
              <w:top w:val="single" w:sz="12" w:space="0" w:color="auto"/>
              <w:bottom w:val="single" w:sz="8" w:space="0" w:color="auto"/>
            </w:tcBorders>
            <w:shd w:val="clear" w:color="auto" w:fill="FFF2CC"/>
            <w:noWrap/>
            <w:vAlign w:val="center"/>
          </w:tcPr>
          <w:p w14:paraId="56D08EC8"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Pořádán každoročně Den obce</w:t>
            </w:r>
          </w:p>
        </w:tc>
        <w:tc>
          <w:tcPr>
            <w:tcW w:w="401" w:type="pct"/>
            <w:tcBorders>
              <w:top w:val="single" w:sz="12" w:space="0" w:color="auto"/>
              <w:bottom w:val="single" w:sz="8" w:space="0" w:color="auto"/>
            </w:tcBorders>
            <w:shd w:val="clear" w:color="auto" w:fill="FFF2CC"/>
            <w:noWrap/>
            <w:vAlign w:val="center"/>
          </w:tcPr>
          <w:p w14:paraId="1A0285DF"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1" w:type="pct"/>
            <w:tcBorders>
              <w:top w:val="single" w:sz="12" w:space="0" w:color="auto"/>
              <w:bottom w:val="single" w:sz="8" w:space="0" w:color="auto"/>
            </w:tcBorders>
            <w:shd w:val="clear" w:color="auto" w:fill="FFF2CC"/>
            <w:noWrap/>
            <w:vAlign w:val="center"/>
          </w:tcPr>
          <w:p w14:paraId="6DD66F1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514" w:type="pct"/>
            <w:tcBorders>
              <w:top w:val="single" w:sz="12" w:space="0" w:color="auto"/>
              <w:bottom w:val="single" w:sz="8" w:space="0" w:color="auto"/>
            </w:tcBorders>
            <w:shd w:val="clear" w:color="auto" w:fill="FFF2CC"/>
            <w:noWrap/>
            <w:vAlign w:val="center"/>
          </w:tcPr>
          <w:p w14:paraId="567180BA"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76E8AB41" w14:textId="77777777" w:rsidTr="009A7AC2">
        <w:trPr>
          <w:trHeight w:val="70"/>
          <w:jc w:val="center"/>
        </w:trPr>
        <w:tc>
          <w:tcPr>
            <w:tcW w:w="392" w:type="pct"/>
            <w:vMerge/>
            <w:tcBorders>
              <w:right w:val="single" w:sz="12" w:space="0" w:color="auto"/>
            </w:tcBorders>
            <w:shd w:val="clear" w:color="auto" w:fill="FFF2CC"/>
            <w:noWrap/>
            <w:vAlign w:val="center"/>
          </w:tcPr>
          <w:p w14:paraId="32035FE6"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37" w:type="pct"/>
            <w:tcBorders>
              <w:top w:val="single" w:sz="8" w:space="0" w:color="auto"/>
              <w:left w:val="single" w:sz="12" w:space="0" w:color="auto"/>
              <w:bottom w:val="single" w:sz="8" w:space="0" w:color="auto"/>
            </w:tcBorders>
            <w:shd w:val="clear" w:color="auto" w:fill="FFF2CC"/>
            <w:noWrap/>
            <w:vAlign w:val="center"/>
          </w:tcPr>
          <w:p w14:paraId="4682D3CB"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02FFE">
              <w:rPr>
                <w:rFonts w:ascii="Calibri" w:eastAsia="Times New Roman" w:hAnsi="Calibri" w:cs="Times New Roman"/>
                <w:color w:val="000000"/>
                <w:sz w:val="20"/>
                <w:szCs w:val="20"/>
                <w:lang w:eastAsia="cs-CZ"/>
              </w:rPr>
              <w:t>Pořádat více kulturně-společenských aktivit v obci</w:t>
            </w:r>
          </w:p>
        </w:tc>
        <w:tc>
          <w:tcPr>
            <w:tcW w:w="1655" w:type="pct"/>
            <w:tcBorders>
              <w:top w:val="single" w:sz="8" w:space="0" w:color="auto"/>
              <w:bottom w:val="single" w:sz="8" w:space="0" w:color="auto"/>
            </w:tcBorders>
            <w:shd w:val="clear" w:color="auto" w:fill="FFF2CC"/>
            <w:noWrap/>
            <w:vAlign w:val="center"/>
          </w:tcPr>
          <w:p w14:paraId="2403F966"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Počet nově dostupných </w:t>
            </w:r>
            <w:r>
              <w:rPr>
                <w:rFonts w:ascii="Calibri" w:eastAsia="Times New Roman" w:hAnsi="Calibri" w:cs="Times New Roman"/>
                <w:color w:val="000000"/>
                <w:sz w:val="20"/>
                <w:szCs w:val="20"/>
                <w:lang w:eastAsia="cs-CZ"/>
              </w:rPr>
              <w:br/>
            </w:r>
            <w:r w:rsidRPr="00B02FFE">
              <w:rPr>
                <w:rFonts w:ascii="Calibri" w:eastAsia="Times New Roman" w:hAnsi="Calibri" w:cs="Times New Roman"/>
                <w:color w:val="000000"/>
                <w:sz w:val="20"/>
                <w:szCs w:val="20"/>
                <w:lang w:eastAsia="cs-CZ"/>
              </w:rPr>
              <w:t>kulturně-společenských aktivit v obci</w:t>
            </w:r>
          </w:p>
        </w:tc>
        <w:tc>
          <w:tcPr>
            <w:tcW w:w="401" w:type="pct"/>
            <w:tcBorders>
              <w:top w:val="single" w:sz="8" w:space="0" w:color="auto"/>
              <w:bottom w:val="single" w:sz="8" w:space="0" w:color="auto"/>
            </w:tcBorders>
            <w:shd w:val="clear" w:color="auto" w:fill="FFF2CC"/>
            <w:noWrap/>
            <w:vAlign w:val="center"/>
          </w:tcPr>
          <w:p w14:paraId="4783920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401" w:type="pct"/>
            <w:tcBorders>
              <w:top w:val="single" w:sz="8" w:space="0" w:color="auto"/>
              <w:bottom w:val="single" w:sz="8" w:space="0" w:color="auto"/>
            </w:tcBorders>
            <w:shd w:val="clear" w:color="auto" w:fill="FFF2CC"/>
            <w:noWrap/>
            <w:vAlign w:val="center"/>
          </w:tcPr>
          <w:p w14:paraId="1D86C7F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514" w:type="pct"/>
            <w:tcBorders>
              <w:top w:val="single" w:sz="8" w:space="0" w:color="auto"/>
              <w:bottom w:val="single" w:sz="8" w:space="0" w:color="auto"/>
            </w:tcBorders>
            <w:shd w:val="clear" w:color="auto" w:fill="FFF2CC"/>
            <w:noWrap/>
            <w:vAlign w:val="center"/>
          </w:tcPr>
          <w:p w14:paraId="56B19D3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42CA9C15" w14:textId="77777777" w:rsidTr="009A7AC2">
        <w:trPr>
          <w:trHeight w:val="70"/>
          <w:jc w:val="center"/>
        </w:trPr>
        <w:tc>
          <w:tcPr>
            <w:tcW w:w="392" w:type="pct"/>
            <w:vMerge/>
            <w:tcBorders>
              <w:bottom w:val="single" w:sz="12" w:space="0" w:color="auto"/>
              <w:right w:val="single" w:sz="12" w:space="0" w:color="auto"/>
            </w:tcBorders>
            <w:shd w:val="clear" w:color="auto" w:fill="FFF2CC"/>
            <w:noWrap/>
            <w:vAlign w:val="center"/>
          </w:tcPr>
          <w:p w14:paraId="56FED4DF"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37" w:type="pct"/>
            <w:tcBorders>
              <w:top w:val="single" w:sz="8" w:space="0" w:color="auto"/>
              <w:left w:val="single" w:sz="12" w:space="0" w:color="auto"/>
              <w:bottom w:val="single" w:sz="12" w:space="0" w:color="auto"/>
            </w:tcBorders>
            <w:shd w:val="clear" w:color="auto" w:fill="FFF2CC"/>
            <w:noWrap/>
            <w:vAlign w:val="center"/>
          </w:tcPr>
          <w:p w14:paraId="09395D62"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02FFE">
              <w:rPr>
                <w:rFonts w:ascii="Calibri" w:eastAsia="Times New Roman" w:hAnsi="Calibri" w:cs="Times New Roman"/>
                <w:color w:val="000000"/>
                <w:sz w:val="20"/>
                <w:szCs w:val="20"/>
                <w:lang w:eastAsia="cs-CZ"/>
              </w:rPr>
              <w:t>Podporovat činnosti ze strany zájmových spolků formou snahy existence více aktivit a akcí pro mládež</w:t>
            </w:r>
          </w:p>
        </w:tc>
        <w:tc>
          <w:tcPr>
            <w:tcW w:w="1655" w:type="pct"/>
            <w:tcBorders>
              <w:top w:val="single" w:sz="8" w:space="0" w:color="auto"/>
              <w:bottom w:val="single" w:sz="12" w:space="0" w:color="auto"/>
            </w:tcBorders>
            <w:shd w:val="clear" w:color="auto" w:fill="FFF2CC"/>
            <w:noWrap/>
            <w:vAlign w:val="center"/>
          </w:tcPr>
          <w:p w14:paraId="78C0416E"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Počet nově dostupných aktivit </w:t>
            </w:r>
            <w:r w:rsidRPr="00411D9D">
              <w:rPr>
                <w:rFonts w:ascii="Calibri" w:eastAsia="Times New Roman" w:hAnsi="Calibri" w:cs="Times New Roman"/>
                <w:color w:val="000000"/>
                <w:sz w:val="20"/>
                <w:szCs w:val="20"/>
                <w:lang w:eastAsia="cs-CZ"/>
              </w:rPr>
              <w:t>a akcí pro děti a mládež</w:t>
            </w:r>
          </w:p>
        </w:tc>
        <w:tc>
          <w:tcPr>
            <w:tcW w:w="401" w:type="pct"/>
            <w:tcBorders>
              <w:top w:val="single" w:sz="8" w:space="0" w:color="auto"/>
              <w:bottom w:val="single" w:sz="12" w:space="0" w:color="auto"/>
            </w:tcBorders>
            <w:shd w:val="clear" w:color="auto" w:fill="FFF2CC"/>
            <w:noWrap/>
            <w:vAlign w:val="center"/>
          </w:tcPr>
          <w:p w14:paraId="029B081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401" w:type="pct"/>
            <w:tcBorders>
              <w:top w:val="single" w:sz="8" w:space="0" w:color="auto"/>
              <w:bottom w:val="single" w:sz="12" w:space="0" w:color="auto"/>
            </w:tcBorders>
            <w:shd w:val="clear" w:color="auto" w:fill="FFF2CC"/>
            <w:noWrap/>
            <w:vAlign w:val="center"/>
          </w:tcPr>
          <w:p w14:paraId="1091CF7E"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514" w:type="pct"/>
            <w:tcBorders>
              <w:top w:val="single" w:sz="8" w:space="0" w:color="auto"/>
              <w:bottom w:val="single" w:sz="12" w:space="0" w:color="auto"/>
            </w:tcBorders>
            <w:shd w:val="clear" w:color="auto" w:fill="FFF2CC"/>
            <w:noWrap/>
            <w:vAlign w:val="center"/>
          </w:tcPr>
          <w:p w14:paraId="44D1E1A7"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r>
      <w:tr w:rsidR="00837905" w:rsidRPr="00DB41E2" w14:paraId="1AABEB70" w14:textId="77777777" w:rsidTr="009A7AC2">
        <w:trPr>
          <w:trHeight w:val="70"/>
          <w:jc w:val="center"/>
        </w:trPr>
        <w:tc>
          <w:tcPr>
            <w:tcW w:w="392" w:type="pct"/>
            <w:tcBorders>
              <w:top w:val="single" w:sz="12" w:space="0" w:color="auto"/>
              <w:bottom w:val="single" w:sz="12" w:space="0" w:color="auto"/>
              <w:right w:val="single" w:sz="12" w:space="0" w:color="auto"/>
            </w:tcBorders>
            <w:shd w:val="clear" w:color="auto" w:fill="FFE699"/>
            <w:noWrap/>
            <w:vAlign w:val="center"/>
          </w:tcPr>
          <w:p w14:paraId="71D2B85A"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08" w:type="pct"/>
            <w:gridSpan w:val="5"/>
            <w:tcBorders>
              <w:top w:val="single" w:sz="12" w:space="0" w:color="auto"/>
              <w:left w:val="single" w:sz="12" w:space="0" w:color="auto"/>
              <w:bottom w:val="single" w:sz="12" w:space="0" w:color="auto"/>
            </w:tcBorders>
            <w:shd w:val="clear" w:color="auto" w:fill="FFE699"/>
            <w:noWrap/>
            <w:vAlign w:val="center"/>
          </w:tcPr>
          <w:p w14:paraId="3BF75606" w14:textId="77777777" w:rsidR="00837905" w:rsidRPr="00A95F75" w:rsidRDefault="00837905" w:rsidP="009A7AC2">
            <w:pPr>
              <w:jc w:val="center"/>
              <w:rPr>
                <w:rFonts w:ascii="Calibri" w:eastAsia="Times New Roman" w:hAnsi="Calibri" w:cs="Times New Roman"/>
                <w:b/>
                <w:bCs/>
                <w:color w:val="000000"/>
                <w:sz w:val="20"/>
                <w:szCs w:val="20"/>
                <w:lang w:eastAsia="cs-CZ"/>
              </w:rPr>
            </w:pPr>
            <w:r w:rsidRPr="00B02FFE">
              <w:rPr>
                <w:rFonts w:ascii="Calibri" w:eastAsia="Times New Roman" w:hAnsi="Calibri" w:cs="Times New Roman"/>
                <w:b/>
                <w:bCs/>
                <w:color w:val="000000"/>
                <w:sz w:val="20"/>
                <w:szCs w:val="20"/>
                <w:lang w:eastAsia="cs-CZ"/>
              </w:rPr>
              <w:t>Zvyšovat variabilitu dostupné volnočasové infrastruktury</w:t>
            </w:r>
          </w:p>
        </w:tc>
      </w:tr>
      <w:tr w:rsidR="00837905" w:rsidRPr="00DB41E2" w14:paraId="35C009E3" w14:textId="77777777" w:rsidTr="009A7AC2">
        <w:trPr>
          <w:trHeight w:val="70"/>
          <w:jc w:val="center"/>
        </w:trPr>
        <w:tc>
          <w:tcPr>
            <w:tcW w:w="392" w:type="pct"/>
            <w:vMerge w:val="restart"/>
            <w:tcBorders>
              <w:top w:val="single" w:sz="12" w:space="0" w:color="auto"/>
              <w:right w:val="single" w:sz="12" w:space="0" w:color="auto"/>
            </w:tcBorders>
            <w:shd w:val="clear" w:color="auto" w:fill="FFF2CC"/>
            <w:noWrap/>
            <w:vAlign w:val="center"/>
          </w:tcPr>
          <w:p w14:paraId="5073F78F"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637" w:type="pct"/>
            <w:tcBorders>
              <w:top w:val="single" w:sz="12" w:space="0" w:color="auto"/>
              <w:left w:val="single" w:sz="12" w:space="0" w:color="auto"/>
              <w:bottom w:val="single" w:sz="8" w:space="0" w:color="auto"/>
            </w:tcBorders>
            <w:shd w:val="clear" w:color="auto" w:fill="FFF2CC"/>
            <w:noWrap/>
            <w:vAlign w:val="center"/>
          </w:tcPr>
          <w:p w14:paraId="0BED1AEB"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02FFE">
              <w:rPr>
                <w:rFonts w:ascii="Calibri" w:eastAsia="Times New Roman" w:hAnsi="Calibri" w:cs="Times New Roman"/>
                <w:color w:val="000000"/>
                <w:sz w:val="20"/>
                <w:szCs w:val="20"/>
                <w:lang w:eastAsia="cs-CZ"/>
              </w:rPr>
              <w:t>Vybudovat trailové či pumptrackové hřiště</w:t>
            </w:r>
          </w:p>
        </w:tc>
        <w:tc>
          <w:tcPr>
            <w:tcW w:w="1655" w:type="pct"/>
            <w:tcBorders>
              <w:top w:val="single" w:sz="12" w:space="0" w:color="auto"/>
              <w:bottom w:val="single" w:sz="8" w:space="0" w:color="auto"/>
            </w:tcBorders>
            <w:shd w:val="clear" w:color="auto" w:fill="FFF2CC"/>
            <w:noWrap/>
            <w:vAlign w:val="center"/>
          </w:tcPr>
          <w:p w14:paraId="222E676A"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Vybudováno </w:t>
            </w:r>
            <w:r w:rsidRPr="00B02FFE">
              <w:rPr>
                <w:rFonts w:ascii="Calibri" w:eastAsia="Times New Roman" w:hAnsi="Calibri" w:cs="Times New Roman"/>
                <w:color w:val="000000"/>
                <w:sz w:val="20"/>
                <w:szCs w:val="20"/>
                <w:lang w:eastAsia="cs-CZ"/>
              </w:rPr>
              <w:t>trailové či pumptrackové hřiště</w:t>
            </w:r>
          </w:p>
        </w:tc>
        <w:tc>
          <w:tcPr>
            <w:tcW w:w="401" w:type="pct"/>
            <w:tcBorders>
              <w:top w:val="single" w:sz="12" w:space="0" w:color="auto"/>
              <w:bottom w:val="single" w:sz="8" w:space="0" w:color="auto"/>
            </w:tcBorders>
            <w:shd w:val="clear" w:color="auto" w:fill="FFF2CC"/>
            <w:noWrap/>
            <w:vAlign w:val="center"/>
          </w:tcPr>
          <w:p w14:paraId="69421044"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1" w:type="pct"/>
            <w:tcBorders>
              <w:top w:val="single" w:sz="12" w:space="0" w:color="auto"/>
              <w:bottom w:val="single" w:sz="8" w:space="0" w:color="auto"/>
            </w:tcBorders>
            <w:shd w:val="clear" w:color="auto" w:fill="FFF2CC"/>
            <w:noWrap/>
            <w:vAlign w:val="center"/>
          </w:tcPr>
          <w:p w14:paraId="2676FAD7"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514" w:type="pct"/>
            <w:tcBorders>
              <w:top w:val="single" w:sz="12" w:space="0" w:color="auto"/>
              <w:bottom w:val="single" w:sz="8" w:space="0" w:color="auto"/>
            </w:tcBorders>
            <w:shd w:val="clear" w:color="auto" w:fill="FFF2CC"/>
            <w:noWrap/>
            <w:vAlign w:val="center"/>
          </w:tcPr>
          <w:p w14:paraId="3D81C06E"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262FD373" w14:textId="77777777" w:rsidTr="009A7AC2">
        <w:trPr>
          <w:trHeight w:val="70"/>
          <w:jc w:val="center"/>
        </w:trPr>
        <w:tc>
          <w:tcPr>
            <w:tcW w:w="392" w:type="pct"/>
            <w:vMerge/>
            <w:tcBorders>
              <w:bottom w:val="single" w:sz="12" w:space="0" w:color="auto"/>
              <w:right w:val="single" w:sz="12" w:space="0" w:color="auto"/>
            </w:tcBorders>
            <w:shd w:val="clear" w:color="auto" w:fill="FFF2CC"/>
            <w:noWrap/>
            <w:vAlign w:val="center"/>
          </w:tcPr>
          <w:p w14:paraId="23481FB6"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37" w:type="pct"/>
            <w:tcBorders>
              <w:top w:val="single" w:sz="8" w:space="0" w:color="auto"/>
              <w:left w:val="single" w:sz="12" w:space="0" w:color="auto"/>
              <w:bottom w:val="single" w:sz="12" w:space="0" w:color="auto"/>
            </w:tcBorders>
            <w:shd w:val="clear" w:color="auto" w:fill="FFF2CC"/>
            <w:noWrap/>
            <w:vAlign w:val="center"/>
          </w:tcPr>
          <w:p w14:paraId="20F53F38"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02FFE">
              <w:rPr>
                <w:rFonts w:ascii="Calibri" w:eastAsia="Times New Roman" w:hAnsi="Calibri" w:cs="Times New Roman"/>
                <w:color w:val="000000"/>
                <w:sz w:val="20"/>
                <w:szCs w:val="20"/>
                <w:lang w:eastAsia="cs-CZ"/>
              </w:rPr>
              <w:t>Uvažovat o vytvoření workoutového hřiště</w:t>
            </w:r>
          </w:p>
        </w:tc>
        <w:tc>
          <w:tcPr>
            <w:tcW w:w="1655" w:type="pct"/>
            <w:tcBorders>
              <w:top w:val="single" w:sz="8" w:space="0" w:color="auto"/>
              <w:bottom w:val="single" w:sz="12" w:space="0" w:color="auto"/>
            </w:tcBorders>
            <w:shd w:val="clear" w:color="auto" w:fill="FFF2CC"/>
            <w:noWrap/>
            <w:vAlign w:val="center"/>
          </w:tcPr>
          <w:p w14:paraId="7B87005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Vytvořeno </w:t>
            </w:r>
            <w:r w:rsidRPr="00B02FFE">
              <w:rPr>
                <w:rFonts w:ascii="Calibri" w:eastAsia="Times New Roman" w:hAnsi="Calibri" w:cs="Times New Roman"/>
                <w:color w:val="000000"/>
                <w:sz w:val="20"/>
                <w:szCs w:val="20"/>
                <w:lang w:eastAsia="cs-CZ"/>
              </w:rPr>
              <w:t>workoutové hřiště</w:t>
            </w:r>
          </w:p>
        </w:tc>
        <w:tc>
          <w:tcPr>
            <w:tcW w:w="401" w:type="pct"/>
            <w:tcBorders>
              <w:top w:val="single" w:sz="8" w:space="0" w:color="auto"/>
              <w:bottom w:val="single" w:sz="12" w:space="0" w:color="auto"/>
            </w:tcBorders>
            <w:shd w:val="clear" w:color="auto" w:fill="FFF2CC"/>
            <w:noWrap/>
            <w:vAlign w:val="center"/>
          </w:tcPr>
          <w:p w14:paraId="0525D26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1" w:type="pct"/>
            <w:tcBorders>
              <w:top w:val="single" w:sz="8" w:space="0" w:color="auto"/>
              <w:bottom w:val="single" w:sz="12" w:space="0" w:color="auto"/>
            </w:tcBorders>
            <w:shd w:val="clear" w:color="auto" w:fill="FFF2CC"/>
            <w:noWrap/>
            <w:vAlign w:val="center"/>
          </w:tcPr>
          <w:p w14:paraId="170521AB"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514" w:type="pct"/>
            <w:tcBorders>
              <w:top w:val="single" w:sz="8" w:space="0" w:color="auto"/>
              <w:bottom w:val="single" w:sz="12" w:space="0" w:color="auto"/>
            </w:tcBorders>
            <w:shd w:val="clear" w:color="auto" w:fill="FFF2CC"/>
            <w:noWrap/>
            <w:vAlign w:val="center"/>
          </w:tcPr>
          <w:p w14:paraId="3AE960B5"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58FD8B2E" w14:textId="77777777" w:rsidTr="009A7AC2">
        <w:trPr>
          <w:trHeight w:val="300"/>
          <w:jc w:val="center"/>
        </w:trPr>
        <w:tc>
          <w:tcPr>
            <w:tcW w:w="392" w:type="pct"/>
            <w:tcBorders>
              <w:top w:val="single" w:sz="12" w:space="0" w:color="auto"/>
              <w:bottom w:val="single" w:sz="12" w:space="0" w:color="auto"/>
              <w:right w:val="single" w:sz="12" w:space="0" w:color="auto"/>
            </w:tcBorders>
            <w:shd w:val="clear" w:color="auto" w:fill="FFD966"/>
            <w:noWrap/>
            <w:vAlign w:val="center"/>
            <w:hideMark/>
          </w:tcPr>
          <w:p w14:paraId="13CFB880" w14:textId="77777777" w:rsidR="00837905" w:rsidRPr="00DB41E2" w:rsidRDefault="00837905" w:rsidP="009A7AC2">
            <w:pPr>
              <w:jc w:val="center"/>
              <w:rPr>
                <w:rFonts w:ascii="Calibri" w:eastAsia="Times New Roman" w:hAnsi="Calibri" w:cs="Times New Roman"/>
                <w:b/>
                <w:color w:val="000000"/>
                <w:sz w:val="20"/>
                <w:szCs w:val="20"/>
                <w:lang w:eastAsia="cs-CZ"/>
              </w:rPr>
            </w:pPr>
            <w:r>
              <w:br w:type="page"/>
            </w:r>
            <w:r w:rsidRPr="00DB41E2">
              <w:br w:type="page"/>
            </w:r>
            <w:r w:rsidRPr="00DB41E2">
              <w:rPr>
                <w:rFonts w:ascii="Calibri" w:eastAsia="Times New Roman" w:hAnsi="Calibri" w:cs="Times New Roman"/>
                <w:b/>
                <w:color w:val="000000"/>
                <w:sz w:val="20"/>
                <w:szCs w:val="20"/>
                <w:lang w:eastAsia="cs-CZ"/>
              </w:rPr>
              <w:t>Cíl</w:t>
            </w:r>
          </w:p>
        </w:tc>
        <w:tc>
          <w:tcPr>
            <w:tcW w:w="1637" w:type="pct"/>
            <w:tcBorders>
              <w:top w:val="single" w:sz="12" w:space="0" w:color="auto"/>
              <w:left w:val="single" w:sz="12" w:space="0" w:color="auto"/>
              <w:bottom w:val="single" w:sz="12" w:space="0" w:color="auto"/>
            </w:tcBorders>
            <w:shd w:val="clear" w:color="auto" w:fill="FFD966"/>
            <w:noWrap/>
            <w:vAlign w:val="center"/>
          </w:tcPr>
          <w:p w14:paraId="22E5B22F" w14:textId="77777777" w:rsidR="00837905" w:rsidRPr="00DB41E2" w:rsidRDefault="00837905" w:rsidP="009A7AC2">
            <w:pPr>
              <w:contextualSpacing/>
              <w:jc w:val="center"/>
              <w:rPr>
                <w:rFonts w:ascii="Calibri" w:eastAsia="Times New Roman" w:hAnsi="Calibri" w:cs="Times New Roman"/>
                <w:b/>
                <w:bCs/>
                <w:color w:val="000000"/>
                <w:sz w:val="20"/>
                <w:szCs w:val="20"/>
                <w:lang w:eastAsia="cs-CZ"/>
              </w:rPr>
            </w:pPr>
            <w:r w:rsidRPr="00B02FFE">
              <w:rPr>
                <w:rFonts w:ascii="Calibri" w:eastAsia="Times New Roman" w:hAnsi="Calibri" w:cs="Times New Roman"/>
                <w:b/>
                <w:bCs/>
                <w:color w:val="000000"/>
                <w:sz w:val="20"/>
                <w:szCs w:val="20"/>
                <w:lang w:eastAsia="cs-CZ"/>
              </w:rPr>
              <w:t xml:space="preserve">Rozvíjet komunitní život v obci </w:t>
            </w:r>
            <w:r>
              <w:rPr>
                <w:rFonts w:ascii="Calibri" w:eastAsia="Times New Roman" w:hAnsi="Calibri" w:cs="Times New Roman"/>
                <w:b/>
                <w:bCs/>
                <w:color w:val="000000"/>
                <w:sz w:val="20"/>
                <w:szCs w:val="20"/>
                <w:lang w:eastAsia="cs-CZ"/>
              </w:rPr>
              <w:br/>
            </w:r>
            <w:r w:rsidRPr="00B02FFE">
              <w:rPr>
                <w:rFonts w:ascii="Calibri" w:eastAsia="Times New Roman" w:hAnsi="Calibri" w:cs="Times New Roman"/>
                <w:b/>
                <w:bCs/>
                <w:color w:val="000000"/>
                <w:sz w:val="20"/>
                <w:szCs w:val="20"/>
                <w:lang w:eastAsia="cs-CZ"/>
              </w:rPr>
              <w:t xml:space="preserve">formou podpory aktivního trávení </w:t>
            </w:r>
            <w:r>
              <w:rPr>
                <w:rFonts w:ascii="Calibri" w:eastAsia="Times New Roman" w:hAnsi="Calibri" w:cs="Times New Roman"/>
                <w:b/>
                <w:bCs/>
                <w:color w:val="000000"/>
                <w:sz w:val="20"/>
                <w:szCs w:val="20"/>
                <w:lang w:eastAsia="cs-CZ"/>
              </w:rPr>
              <w:br/>
            </w:r>
            <w:r w:rsidRPr="00B02FFE">
              <w:rPr>
                <w:rFonts w:ascii="Calibri" w:eastAsia="Times New Roman" w:hAnsi="Calibri" w:cs="Times New Roman"/>
                <w:b/>
                <w:bCs/>
                <w:color w:val="000000"/>
                <w:sz w:val="20"/>
                <w:szCs w:val="20"/>
                <w:lang w:eastAsia="cs-CZ"/>
              </w:rPr>
              <w:t>volného času a zapojení do dění v obci</w:t>
            </w:r>
          </w:p>
        </w:tc>
        <w:tc>
          <w:tcPr>
            <w:tcW w:w="1655" w:type="pct"/>
            <w:tcBorders>
              <w:top w:val="single" w:sz="12" w:space="0" w:color="auto"/>
              <w:bottom w:val="single" w:sz="12" w:space="0" w:color="auto"/>
            </w:tcBorders>
            <w:shd w:val="clear" w:color="auto" w:fill="FFD966"/>
            <w:noWrap/>
            <w:vAlign w:val="center"/>
          </w:tcPr>
          <w:p w14:paraId="60F18AF1" w14:textId="77777777" w:rsidR="00837905" w:rsidRPr="00DB41E2" w:rsidRDefault="00837905" w:rsidP="009A7AC2">
            <w:pPr>
              <w:contextualSpacing/>
              <w:jc w:val="center"/>
              <w:rPr>
                <w:rFonts w:ascii="Calibri" w:eastAsia="Times New Roman" w:hAnsi="Calibri" w:cs="Times New Roman"/>
                <w:b/>
                <w:bCs/>
                <w:color w:val="000000"/>
                <w:sz w:val="20"/>
                <w:szCs w:val="20"/>
                <w:lang w:eastAsia="cs-CZ"/>
              </w:rPr>
            </w:pPr>
            <w:r>
              <w:rPr>
                <w:rFonts w:ascii="Calibri" w:eastAsia="Times New Roman" w:hAnsi="Calibri" w:cs="Times New Roman"/>
                <w:b/>
                <w:bCs/>
                <w:color w:val="000000"/>
                <w:sz w:val="20"/>
                <w:szCs w:val="20"/>
                <w:lang w:eastAsia="cs-CZ"/>
              </w:rPr>
              <w:t>Počet nově uskutečněných aktivit za účelem r</w:t>
            </w:r>
            <w:r w:rsidRPr="00B02FFE">
              <w:rPr>
                <w:rFonts w:ascii="Calibri" w:eastAsia="Times New Roman" w:hAnsi="Calibri" w:cs="Times New Roman"/>
                <w:b/>
                <w:bCs/>
                <w:color w:val="000000"/>
                <w:sz w:val="20"/>
                <w:szCs w:val="20"/>
                <w:lang w:eastAsia="cs-CZ"/>
              </w:rPr>
              <w:t>ozv</w:t>
            </w:r>
            <w:r>
              <w:rPr>
                <w:rFonts w:ascii="Calibri" w:eastAsia="Times New Roman" w:hAnsi="Calibri" w:cs="Times New Roman"/>
                <w:b/>
                <w:bCs/>
                <w:color w:val="000000"/>
                <w:sz w:val="20"/>
                <w:szCs w:val="20"/>
                <w:lang w:eastAsia="cs-CZ"/>
              </w:rPr>
              <w:t>oje</w:t>
            </w:r>
            <w:r w:rsidRPr="00B02FFE">
              <w:rPr>
                <w:rFonts w:ascii="Calibri" w:eastAsia="Times New Roman" w:hAnsi="Calibri" w:cs="Times New Roman"/>
                <w:b/>
                <w:bCs/>
                <w:color w:val="000000"/>
                <w:sz w:val="20"/>
                <w:szCs w:val="20"/>
                <w:lang w:eastAsia="cs-CZ"/>
              </w:rPr>
              <w:t xml:space="preserve"> komunitní</w:t>
            </w:r>
            <w:r>
              <w:rPr>
                <w:rFonts w:ascii="Calibri" w:eastAsia="Times New Roman" w:hAnsi="Calibri" w:cs="Times New Roman"/>
                <w:b/>
                <w:bCs/>
                <w:color w:val="000000"/>
                <w:sz w:val="20"/>
                <w:szCs w:val="20"/>
                <w:lang w:eastAsia="cs-CZ"/>
              </w:rPr>
              <w:t>ho</w:t>
            </w:r>
            <w:r w:rsidRPr="00B02FFE">
              <w:rPr>
                <w:rFonts w:ascii="Calibri" w:eastAsia="Times New Roman" w:hAnsi="Calibri" w:cs="Times New Roman"/>
                <w:b/>
                <w:bCs/>
                <w:color w:val="000000"/>
                <w:sz w:val="20"/>
                <w:szCs w:val="20"/>
                <w:lang w:eastAsia="cs-CZ"/>
              </w:rPr>
              <w:t xml:space="preserve"> život</w:t>
            </w:r>
            <w:r>
              <w:rPr>
                <w:rFonts w:ascii="Calibri" w:eastAsia="Times New Roman" w:hAnsi="Calibri" w:cs="Times New Roman"/>
                <w:b/>
                <w:bCs/>
                <w:color w:val="000000"/>
                <w:sz w:val="20"/>
                <w:szCs w:val="20"/>
                <w:lang w:eastAsia="cs-CZ"/>
              </w:rPr>
              <w:t>a</w:t>
            </w:r>
            <w:r w:rsidRPr="00B02FFE">
              <w:rPr>
                <w:rFonts w:ascii="Calibri" w:eastAsia="Times New Roman" w:hAnsi="Calibri" w:cs="Times New Roman"/>
                <w:b/>
                <w:bCs/>
                <w:color w:val="000000"/>
                <w:sz w:val="20"/>
                <w:szCs w:val="20"/>
                <w:lang w:eastAsia="cs-CZ"/>
              </w:rPr>
              <w:t xml:space="preserve"> v obci</w:t>
            </w:r>
          </w:p>
        </w:tc>
        <w:tc>
          <w:tcPr>
            <w:tcW w:w="401" w:type="pct"/>
            <w:tcBorders>
              <w:top w:val="single" w:sz="12" w:space="0" w:color="auto"/>
              <w:bottom w:val="single" w:sz="12" w:space="0" w:color="auto"/>
            </w:tcBorders>
            <w:shd w:val="clear" w:color="auto" w:fill="FFD966"/>
            <w:noWrap/>
            <w:vAlign w:val="center"/>
          </w:tcPr>
          <w:p w14:paraId="2D6C1F89"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počet</w:t>
            </w:r>
          </w:p>
        </w:tc>
        <w:tc>
          <w:tcPr>
            <w:tcW w:w="401" w:type="pct"/>
            <w:tcBorders>
              <w:top w:val="single" w:sz="12" w:space="0" w:color="auto"/>
              <w:bottom w:val="single" w:sz="12" w:space="0" w:color="auto"/>
            </w:tcBorders>
            <w:shd w:val="clear" w:color="auto" w:fill="FFD966"/>
            <w:noWrap/>
            <w:vAlign w:val="center"/>
          </w:tcPr>
          <w:p w14:paraId="28029866"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0</w:t>
            </w:r>
          </w:p>
        </w:tc>
        <w:tc>
          <w:tcPr>
            <w:tcW w:w="514" w:type="pct"/>
            <w:tcBorders>
              <w:top w:val="single" w:sz="12" w:space="0" w:color="auto"/>
              <w:bottom w:val="single" w:sz="12" w:space="0" w:color="auto"/>
            </w:tcBorders>
            <w:shd w:val="clear" w:color="auto" w:fill="FFD966"/>
            <w:noWrap/>
            <w:vAlign w:val="center"/>
          </w:tcPr>
          <w:p w14:paraId="069D3B6D" w14:textId="77777777" w:rsidR="00837905" w:rsidRPr="00DB41E2" w:rsidRDefault="00837905" w:rsidP="009A7AC2">
            <w:pPr>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20</w:t>
            </w:r>
          </w:p>
        </w:tc>
      </w:tr>
      <w:tr w:rsidR="00837905" w:rsidRPr="00DB41E2" w14:paraId="3D9C4FAD" w14:textId="77777777" w:rsidTr="009A7AC2">
        <w:trPr>
          <w:trHeight w:val="50"/>
          <w:jc w:val="center"/>
        </w:trPr>
        <w:tc>
          <w:tcPr>
            <w:tcW w:w="392" w:type="pct"/>
            <w:tcBorders>
              <w:top w:val="single" w:sz="12" w:space="0" w:color="auto"/>
              <w:bottom w:val="single" w:sz="12" w:space="0" w:color="auto"/>
              <w:right w:val="single" w:sz="12" w:space="0" w:color="auto"/>
            </w:tcBorders>
            <w:shd w:val="clear" w:color="auto" w:fill="FFE699"/>
            <w:noWrap/>
            <w:vAlign w:val="center"/>
            <w:hideMark/>
          </w:tcPr>
          <w:p w14:paraId="11D14199" w14:textId="77777777" w:rsidR="00837905" w:rsidRPr="00DB41E2" w:rsidRDefault="00837905" w:rsidP="009A7AC2">
            <w:pPr>
              <w:jc w:val="center"/>
              <w:rPr>
                <w:rFonts w:ascii="Calibri" w:eastAsia="Times New Roman" w:hAnsi="Calibri" w:cs="Times New Roman"/>
                <w:b/>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08" w:type="pct"/>
            <w:gridSpan w:val="5"/>
            <w:tcBorders>
              <w:top w:val="single" w:sz="12" w:space="0" w:color="auto"/>
              <w:left w:val="single" w:sz="12" w:space="0" w:color="auto"/>
              <w:bottom w:val="single" w:sz="12" w:space="0" w:color="auto"/>
            </w:tcBorders>
            <w:shd w:val="clear" w:color="auto" w:fill="FFE699"/>
            <w:noWrap/>
            <w:vAlign w:val="center"/>
          </w:tcPr>
          <w:p w14:paraId="23CE54EA" w14:textId="77777777" w:rsidR="00837905" w:rsidRPr="00DB41E2" w:rsidRDefault="00837905" w:rsidP="009A7AC2">
            <w:pPr>
              <w:contextualSpacing/>
              <w:jc w:val="center"/>
              <w:rPr>
                <w:rFonts w:ascii="Calibri" w:eastAsia="Times New Roman" w:hAnsi="Calibri" w:cs="Times New Roman"/>
                <w:b/>
                <w:color w:val="000000"/>
                <w:sz w:val="20"/>
                <w:szCs w:val="20"/>
                <w:lang w:eastAsia="cs-CZ"/>
              </w:rPr>
            </w:pPr>
            <w:r w:rsidRPr="00B02FFE">
              <w:rPr>
                <w:rFonts w:ascii="Calibri" w:eastAsia="Times New Roman" w:hAnsi="Calibri" w:cs="Times New Roman"/>
                <w:b/>
                <w:color w:val="000000"/>
                <w:sz w:val="20"/>
                <w:szCs w:val="20"/>
                <w:lang w:eastAsia="cs-CZ"/>
              </w:rPr>
              <w:t>Usilovat o posílení sepjetí a soudržnosti místních obyvatel</w:t>
            </w:r>
          </w:p>
        </w:tc>
      </w:tr>
      <w:tr w:rsidR="00837905" w:rsidRPr="00DB41E2" w14:paraId="5047A616" w14:textId="77777777" w:rsidTr="009A7AC2">
        <w:trPr>
          <w:trHeight w:val="38"/>
          <w:jc w:val="center"/>
        </w:trPr>
        <w:tc>
          <w:tcPr>
            <w:tcW w:w="392" w:type="pct"/>
            <w:vMerge w:val="restart"/>
            <w:tcBorders>
              <w:top w:val="single" w:sz="12" w:space="0" w:color="auto"/>
              <w:right w:val="single" w:sz="12" w:space="0" w:color="auto"/>
            </w:tcBorders>
            <w:shd w:val="clear" w:color="auto" w:fill="FFF2CC"/>
            <w:noWrap/>
            <w:vAlign w:val="center"/>
            <w:hideMark/>
          </w:tcPr>
          <w:p w14:paraId="30A9824E"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637" w:type="pct"/>
            <w:tcBorders>
              <w:top w:val="single" w:sz="12" w:space="0" w:color="auto"/>
              <w:left w:val="single" w:sz="12" w:space="0" w:color="auto"/>
              <w:bottom w:val="single" w:sz="8" w:space="0" w:color="auto"/>
            </w:tcBorders>
            <w:shd w:val="clear" w:color="auto" w:fill="FFF2CC"/>
            <w:noWrap/>
            <w:vAlign w:val="center"/>
          </w:tcPr>
          <w:p w14:paraId="71F8B7BC"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02FFE">
              <w:rPr>
                <w:rFonts w:ascii="Calibri" w:eastAsia="Times New Roman" w:hAnsi="Calibri" w:cs="Times New Roman"/>
                <w:color w:val="000000"/>
                <w:sz w:val="20"/>
                <w:szCs w:val="20"/>
                <w:lang w:eastAsia="cs-CZ"/>
              </w:rPr>
              <w:t>Podporovat aktivní spolky/osoby pořádající různorodé společenské aktivity</w:t>
            </w:r>
          </w:p>
        </w:tc>
        <w:tc>
          <w:tcPr>
            <w:tcW w:w="1655" w:type="pct"/>
            <w:tcBorders>
              <w:top w:val="single" w:sz="12" w:space="0" w:color="auto"/>
              <w:bottom w:val="single" w:sz="8" w:space="0" w:color="auto"/>
            </w:tcBorders>
            <w:shd w:val="clear" w:color="auto" w:fill="FFF2CC"/>
            <w:noWrap/>
            <w:vAlign w:val="center"/>
          </w:tcPr>
          <w:p w14:paraId="6DAD997C"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 xml:space="preserve">Pokračující podpora </w:t>
            </w:r>
            <w:r w:rsidRPr="00B02FFE">
              <w:rPr>
                <w:rFonts w:ascii="Calibri" w:eastAsia="Times New Roman" w:hAnsi="Calibri" w:cs="Times New Roman"/>
                <w:color w:val="000000"/>
                <w:sz w:val="20"/>
                <w:szCs w:val="20"/>
                <w:lang w:eastAsia="cs-CZ"/>
              </w:rPr>
              <w:t>aktivní</w:t>
            </w:r>
            <w:r>
              <w:rPr>
                <w:rFonts w:ascii="Calibri" w:eastAsia="Times New Roman" w:hAnsi="Calibri" w:cs="Times New Roman"/>
                <w:color w:val="000000"/>
                <w:sz w:val="20"/>
                <w:szCs w:val="20"/>
                <w:lang w:eastAsia="cs-CZ"/>
              </w:rPr>
              <w:t>ch</w:t>
            </w:r>
            <w:r w:rsidRPr="00B02FFE">
              <w:rPr>
                <w:rFonts w:ascii="Calibri" w:eastAsia="Times New Roman" w:hAnsi="Calibri" w:cs="Times New Roman"/>
                <w:color w:val="000000"/>
                <w:sz w:val="20"/>
                <w:szCs w:val="20"/>
                <w:lang w:eastAsia="cs-CZ"/>
              </w:rPr>
              <w:t xml:space="preserve"> spolk</w:t>
            </w:r>
            <w:r>
              <w:rPr>
                <w:rFonts w:ascii="Calibri" w:eastAsia="Times New Roman" w:hAnsi="Calibri" w:cs="Times New Roman"/>
                <w:color w:val="000000"/>
                <w:sz w:val="20"/>
                <w:szCs w:val="20"/>
                <w:lang w:eastAsia="cs-CZ"/>
              </w:rPr>
              <w:t>ů</w:t>
            </w:r>
            <w:r w:rsidRPr="00B02FFE">
              <w:rPr>
                <w:rFonts w:ascii="Calibri" w:eastAsia="Times New Roman" w:hAnsi="Calibri" w:cs="Times New Roman"/>
                <w:color w:val="000000"/>
                <w:sz w:val="20"/>
                <w:szCs w:val="20"/>
                <w:lang w:eastAsia="cs-CZ"/>
              </w:rPr>
              <w:t>/osob pořádající</w:t>
            </w:r>
            <w:r>
              <w:rPr>
                <w:rFonts w:ascii="Calibri" w:eastAsia="Times New Roman" w:hAnsi="Calibri" w:cs="Times New Roman"/>
                <w:color w:val="000000"/>
                <w:sz w:val="20"/>
                <w:szCs w:val="20"/>
                <w:lang w:eastAsia="cs-CZ"/>
              </w:rPr>
              <w:t>ch</w:t>
            </w:r>
            <w:r w:rsidRPr="00B02FFE">
              <w:rPr>
                <w:rFonts w:ascii="Calibri" w:eastAsia="Times New Roman" w:hAnsi="Calibri" w:cs="Times New Roman"/>
                <w:color w:val="000000"/>
                <w:sz w:val="20"/>
                <w:szCs w:val="20"/>
                <w:lang w:eastAsia="cs-CZ"/>
              </w:rPr>
              <w:t xml:space="preserve"> různorodé společenské aktivity</w:t>
            </w:r>
          </w:p>
        </w:tc>
        <w:tc>
          <w:tcPr>
            <w:tcW w:w="401" w:type="pct"/>
            <w:tcBorders>
              <w:top w:val="single" w:sz="12" w:space="0" w:color="auto"/>
              <w:bottom w:val="single" w:sz="8" w:space="0" w:color="auto"/>
            </w:tcBorders>
            <w:shd w:val="clear" w:color="auto" w:fill="FFF2CC"/>
            <w:noWrap/>
            <w:vAlign w:val="center"/>
          </w:tcPr>
          <w:p w14:paraId="37E6235B"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1" w:type="pct"/>
            <w:tcBorders>
              <w:top w:val="single" w:sz="12" w:space="0" w:color="auto"/>
              <w:bottom w:val="single" w:sz="8" w:space="0" w:color="auto"/>
            </w:tcBorders>
            <w:shd w:val="clear" w:color="auto" w:fill="FFF2CC"/>
            <w:noWrap/>
            <w:vAlign w:val="center"/>
          </w:tcPr>
          <w:p w14:paraId="12E736E6"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514" w:type="pct"/>
            <w:tcBorders>
              <w:top w:val="single" w:sz="12" w:space="0" w:color="auto"/>
              <w:bottom w:val="single" w:sz="8" w:space="0" w:color="auto"/>
            </w:tcBorders>
            <w:shd w:val="clear" w:color="auto" w:fill="FFF2CC"/>
            <w:noWrap/>
            <w:vAlign w:val="center"/>
          </w:tcPr>
          <w:p w14:paraId="4B31CB0E"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278D2F00" w14:textId="77777777" w:rsidTr="009A7AC2">
        <w:trPr>
          <w:trHeight w:val="70"/>
          <w:jc w:val="center"/>
        </w:trPr>
        <w:tc>
          <w:tcPr>
            <w:tcW w:w="392" w:type="pct"/>
            <w:vMerge/>
            <w:tcBorders>
              <w:right w:val="single" w:sz="12" w:space="0" w:color="auto"/>
            </w:tcBorders>
            <w:shd w:val="clear" w:color="auto" w:fill="FFF2CC"/>
            <w:noWrap/>
            <w:vAlign w:val="center"/>
          </w:tcPr>
          <w:p w14:paraId="67BB7733"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37" w:type="pct"/>
            <w:tcBorders>
              <w:top w:val="single" w:sz="4" w:space="0" w:color="auto"/>
              <w:left w:val="single" w:sz="12" w:space="0" w:color="auto"/>
            </w:tcBorders>
            <w:shd w:val="clear" w:color="auto" w:fill="FFF2CC"/>
            <w:noWrap/>
            <w:vAlign w:val="center"/>
          </w:tcPr>
          <w:p w14:paraId="1DD8DE3C"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02FFE">
              <w:rPr>
                <w:rFonts w:ascii="Calibri" w:eastAsia="Times New Roman" w:hAnsi="Calibri" w:cs="Times New Roman"/>
                <w:color w:val="000000"/>
                <w:sz w:val="20"/>
                <w:szCs w:val="20"/>
                <w:lang w:eastAsia="cs-CZ"/>
              </w:rPr>
              <w:t>Vyhlašovat dobrovolnické brigády</w:t>
            </w:r>
          </w:p>
        </w:tc>
        <w:tc>
          <w:tcPr>
            <w:tcW w:w="1655" w:type="pct"/>
            <w:tcBorders>
              <w:top w:val="single" w:sz="4" w:space="0" w:color="auto"/>
            </w:tcBorders>
            <w:shd w:val="clear" w:color="auto" w:fill="FFF2CC"/>
            <w:noWrap/>
            <w:vAlign w:val="center"/>
          </w:tcPr>
          <w:p w14:paraId="23D25D32"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 nově vyhlášených</w:t>
            </w:r>
            <w:r w:rsidRPr="00B02FFE">
              <w:rPr>
                <w:rFonts w:ascii="Calibri" w:eastAsia="Times New Roman" w:hAnsi="Calibri" w:cs="Times New Roman"/>
                <w:color w:val="000000"/>
                <w:sz w:val="20"/>
                <w:szCs w:val="20"/>
                <w:lang w:eastAsia="cs-CZ"/>
              </w:rPr>
              <w:t xml:space="preserve"> dobrovolnick</w:t>
            </w:r>
            <w:r>
              <w:rPr>
                <w:rFonts w:ascii="Calibri" w:eastAsia="Times New Roman" w:hAnsi="Calibri" w:cs="Times New Roman"/>
                <w:color w:val="000000"/>
                <w:sz w:val="20"/>
                <w:szCs w:val="20"/>
                <w:lang w:eastAsia="cs-CZ"/>
              </w:rPr>
              <w:t>ých</w:t>
            </w:r>
            <w:r w:rsidRPr="00B02FFE">
              <w:rPr>
                <w:rFonts w:ascii="Calibri" w:eastAsia="Times New Roman" w:hAnsi="Calibri" w:cs="Times New Roman"/>
                <w:color w:val="000000"/>
                <w:sz w:val="20"/>
                <w:szCs w:val="20"/>
                <w:lang w:eastAsia="cs-CZ"/>
              </w:rPr>
              <w:t xml:space="preserve"> brigád</w:t>
            </w:r>
          </w:p>
        </w:tc>
        <w:tc>
          <w:tcPr>
            <w:tcW w:w="401" w:type="pct"/>
            <w:tcBorders>
              <w:top w:val="single" w:sz="4" w:space="0" w:color="auto"/>
            </w:tcBorders>
            <w:shd w:val="clear" w:color="auto" w:fill="FFF2CC"/>
            <w:noWrap/>
            <w:vAlign w:val="center"/>
          </w:tcPr>
          <w:p w14:paraId="584DFFE2"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počet/rok</w:t>
            </w:r>
          </w:p>
        </w:tc>
        <w:tc>
          <w:tcPr>
            <w:tcW w:w="401" w:type="pct"/>
            <w:tcBorders>
              <w:top w:val="single" w:sz="4" w:space="0" w:color="auto"/>
            </w:tcBorders>
            <w:shd w:val="clear" w:color="auto" w:fill="FFF2CC"/>
            <w:noWrap/>
            <w:vAlign w:val="center"/>
          </w:tcPr>
          <w:p w14:paraId="435E6E33"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514" w:type="pct"/>
            <w:tcBorders>
              <w:top w:val="single" w:sz="4" w:space="0" w:color="auto"/>
            </w:tcBorders>
            <w:shd w:val="clear" w:color="auto" w:fill="FFF2CC"/>
            <w:noWrap/>
            <w:vAlign w:val="center"/>
          </w:tcPr>
          <w:p w14:paraId="18B65FF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1/rok</w:t>
            </w:r>
          </w:p>
        </w:tc>
      </w:tr>
      <w:tr w:rsidR="00837905" w:rsidRPr="00DB41E2" w14:paraId="5EF31A88" w14:textId="77777777" w:rsidTr="009A7AC2">
        <w:trPr>
          <w:trHeight w:val="70"/>
          <w:jc w:val="center"/>
        </w:trPr>
        <w:tc>
          <w:tcPr>
            <w:tcW w:w="392" w:type="pct"/>
            <w:vMerge/>
            <w:tcBorders>
              <w:right w:val="single" w:sz="12" w:space="0" w:color="auto"/>
            </w:tcBorders>
            <w:shd w:val="clear" w:color="auto" w:fill="FFF2CC"/>
            <w:noWrap/>
            <w:vAlign w:val="center"/>
          </w:tcPr>
          <w:p w14:paraId="6E50CE6A"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37" w:type="pct"/>
            <w:tcBorders>
              <w:top w:val="single" w:sz="4" w:space="0" w:color="auto"/>
              <w:left w:val="single" w:sz="12" w:space="0" w:color="auto"/>
            </w:tcBorders>
            <w:shd w:val="clear" w:color="auto" w:fill="FFF2CC"/>
            <w:noWrap/>
            <w:vAlign w:val="center"/>
          </w:tcPr>
          <w:p w14:paraId="2D0BBA49" w14:textId="77777777" w:rsidR="00837905" w:rsidRPr="00DB41E2" w:rsidRDefault="00837905" w:rsidP="009A7AC2">
            <w:pPr>
              <w:contextualSpacing/>
              <w:jc w:val="center"/>
              <w:rPr>
                <w:rFonts w:ascii="Calibri" w:eastAsia="Times New Roman" w:hAnsi="Calibri" w:cs="Times New Roman"/>
                <w:color w:val="000000"/>
                <w:sz w:val="20"/>
                <w:szCs w:val="20"/>
                <w:lang w:eastAsia="cs-CZ"/>
              </w:rPr>
            </w:pPr>
            <w:r w:rsidRPr="00B02FFE">
              <w:rPr>
                <w:rFonts w:ascii="Calibri" w:eastAsia="Times New Roman" w:hAnsi="Calibri" w:cs="Times New Roman"/>
                <w:color w:val="000000"/>
                <w:sz w:val="20"/>
                <w:szCs w:val="20"/>
                <w:lang w:eastAsia="cs-CZ"/>
              </w:rPr>
              <w:t>Uvažovat o pořízení obecního mikrobusu či tranzitu</w:t>
            </w:r>
          </w:p>
        </w:tc>
        <w:tc>
          <w:tcPr>
            <w:tcW w:w="1655" w:type="pct"/>
            <w:tcBorders>
              <w:top w:val="single" w:sz="4" w:space="0" w:color="auto"/>
            </w:tcBorders>
            <w:shd w:val="clear" w:color="auto" w:fill="FFF2CC"/>
            <w:noWrap/>
            <w:vAlign w:val="center"/>
          </w:tcPr>
          <w:p w14:paraId="35F64D13" w14:textId="77777777" w:rsidR="00837905" w:rsidRPr="004C7EF3" w:rsidRDefault="00837905" w:rsidP="009A7AC2">
            <w:pPr>
              <w:contextualSpacing/>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w:t>
            </w:r>
            <w:r w:rsidRPr="00B02FFE">
              <w:rPr>
                <w:rFonts w:ascii="Calibri" w:eastAsia="Times New Roman" w:hAnsi="Calibri" w:cs="Times New Roman"/>
                <w:color w:val="000000"/>
                <w:sz w:val="20"/>
                <w:szCs w:val="20"/>
                <w:lang w:eastAsia="cs-CZ"/>
              </w:rPr>
              <w:t>ořízen obecní mikrobus či tranzit</w:t>
            </w:r>
          </w:p>
        </w:tc>
        <w:tc>
          <w:tcPr>
            <w:tcW w:w="401" w:type="pct"/>
            <w:tcBorders>
              <w:top w:val="single" w:sz="4" w:space="0" w:color="auto"/>
            </w:tcBorders>
            <w:shd w:val="clear" w:color="auto" w:fill="FFF2CC"/>
            <w:noWrap/>
            <w:vAlign w:val="center"/>
          </w:tcPr>
          <w:p w14:paraId="44F7A17A"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ANO/NE</w:t>
            </w:r>
          </w:p>
        </w:tc>
        <w:tc>
          <w:tcPr>
            <w:tcW w:w="401" w:type="pct"/>
            <w:tcBorders>
              <w:top w:val="single" w:sz="4" w:space="0" w:color="auto"/>
            </w:tcBorders>
            <w:shd w:val="clear" w:color="auto" w:fill="FFF2CC"/>
            <w:noWrap/>
            <w:vAlign w:val="center"/>
          </w:tcPr>
          <w:p w14:paraId="6AFA9B6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514" w:type="pct"/>
            <w:tcBorders>
              <w:top w:val="single" w:sz="4" w:space="0" w:color="auto"/>
            </w:tcBorders>
            <w:shd w:val="clear" w:color="auto" w:fill="FFF2CC"/>
            <w:noWrap/>
            <w:vAlign w:val="center"/>
          </w:tcPr>
          <w:p w14:paraId="2B290009"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837905" w:rsidRPr="00DB41E2" w14:paraId="672858A3" w14:textId="77777777" w:rsidTr="009A7AC2">
        <w:trPr>
          <w:trHeight w:val="120"/>
          <w:jc w:val="center"/>
        </w:trPr>
        <w:tc>
          <w:tcPr>
            <w:tcW w:w="392" w:type="pct"/>
            <w:tcBorders>
              <w:top w:val="single" w:sz="12" w:space="0" w:color="auto"/>
              <w:bottom w:val="single" w:sz="12" w:space="0" w:color="auto"/>
              <w:right w:val="single" w:sz="12" w:space="0" w:color="auto"/>
            </w:tcBorders>
            <w:shd w:val="clear" w:color="auto" w:fill="FFE699"/>
            <w:noWrap/>
            <w:vAlign w:val="center"/>
          </w:tcPr>
          <w:p w14:paraId="2F4DB544"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b/>
                <w:color w:val="000000"/>
                <w:sz w:val="20"/>
                <w:szCs w:val="20"/>
                <w:lang w:eastAsia="cs-CZ"/>
              </w:rPr>
              <w:t>Opatření</w:t>
            </w:r>
          </w:p>
        </w:tc>
        <w:tc>
          <w:tcPr>
            <w:tcW w:w="4608" w:type="pct"/>
            <w:gridSpan w:val="5"/>
            <w:tcBorders>
              <w:top w:val="single" w:sz="12" w:space="0" w:color="auto"/>
              <w:left w:val="single" w:sz="12" w:space="0" w:color="auto"/>
              <w:bottom w:val="single" w:sz="12" w:space="0" w:color="auto"/>
            </w:tcBorders>
            <w:shd w:val="clear" w:color="auto" w:fill="FFE699"/>
            <w:noWrap/>
            <w:vAlign w:val="center"/>
          </w:tcPr>
          <w:p w14:paraId="532FADB8" w14:textId="77777777" w:rsidR="00837905" w:rsidRPr="00EC516C" w:rsidRDefault="00837905" w:rsidP="009A7AC2">
            <w:pPr>
              <w:jc w:val="center"/>
              <w:rPr>
                <w:rFonts w:ascii="Calibri" w:eastAsia="Times New Roman" w:hAnsi="Calibri" w:cs="Times New Roman"/>
                <w:b/>
                <w:bCs/>
                <w:color w:val="000000"/>
                <w:sz w:val="20"/>
                <w:szCs w:val="20"/>
                <w:lang w:eastAsia="cs-CZ"/>
              </w:rPr>
            </w:pPr>
            <w:r w:rsidRPr="00B02FFE">
              <w:rPr>
                <w:rFonts w:ascii="Calibri" w:eastAsia="Times New Roman" w:hAnsi="Calibri" w:cs="Times New Roman"/>
                <w:b/>
                <w:bCs/>
                <w:color w:val="000000"/>
                <w:sz w:val="20"/>
                <w:szCs w:val="20"/>
                <w:lang w:eastAsia="cs-CZ"/>
              </w:rPr>
              <w:t>Podporovat a usilovat o zvýšení zapojení obyvatel do dění v obci</w:t>
            </w:r>
          </w:p>
        </w:tc>
      </w:tr>
      <w:tr w:rsidR="00837905" w:rsidRPr="00DB41E2" w14:paraId="4E091B82" w14:textId="77777777" w:rsidTr="009A7AC2">
        <w:trPr>
          <w:trHeight w:val="120"/>
          <w:jc w:val="center"/>
        </w:trPr>
        <w:tc>
          <w:tcPr>
            <w:tcW w:w="392" w:type="pct"/>
            <w:vMerge w:val="restart"/>
            <w:tcBorders>
              <w:top w:val="single" w:sz="12" w:space="0" w:color="auto"/>
              <w:right w:val="single" w:sz="12" w:space="0" w:color="auto"/>
            </w:tcBorders>
            <w:shd w:val="clear" w:color="auto" w:fill="FFF2CC"/>
            <w:noWrap/>
            <w:vAlign w:val="center"/>
          </w:tcPr>
          <w:p w14:paraId="11DD5B88" w14:textId="77777777" w:rsidR="00837905" w:rsidRPr="00DB41E2" w:rsidRDefault="00837905" w:rsidP="009A7AC2">
            <w:pPr>
              <w:jc w:val="center"/>
              <w:rPr>
                <w:rFonts w:ascii="Calibri" w:eastAsia="Times New Roman" w:hAnsi="Calibri" w:cs="Times New Roman"/>
                <w:color w:val="000000"/>
                <w:sz w:val="20"/>
                <w:szCs w:val="20"/>
                <w:lang w:eastAsia="cs-CZ"/>
              </w:rPr>
            </w:pPr>
            <w:r w:rsidRPr="00DB41E2">
              <w:rPr>
                <w:rFonts w:ascii="Calibri" w:eastAsia="Times New Roman" w:hAnsi="Calibri" w:cs="Times New Roman"/>
                <w:color w:val="000000"/>
                <w:sz w:val="20"/>
                <w:szCs w:val="20"/>
                <w:lang w:eastAsia="cs-CZ"/>
              </w:rPr>
              <w:t>Aktivity</w:t>
            </w:r>
          </w:p>
        </w:tc>
        <w:tc>
          <w:tcPr>
            <w:tcW w:w="1637" w:type="pct"/>
            <w:tcBorders>
              <w:top w:val="single" w:sz="12" w:space="0" w:color="auto"/>
              <w:left w:val="single" w:sz="12" w:space="0" w:color="auto"/>
            </w:tcBorders>
            <w:shd w:val="clear" w:color="auto" w:fill="FFF2CC"/>
            <w:noWrap/>
            <w:vAlign w:val="center"/>
          </w:tcPr>
          <w:p w14:paraId="740D1C9C" w14:textId="77777777" w:rsidR="00837905" w:rsidRPr="004D32A7" w:rsidRDefault="00837905" w:rsidP="009A7AC2">
            <w:pPr>
              <w:contextualSpacing/>
              <w:jc w:val="center"/>
              <w:rPr>
                <w:rFonts w:ascii="Calibri" w:eastAsia="Times New Roman" w:hAnsi="Calibri" w:cs="Times New Roman"/>
                <w:color w:val="000000"/>
                <w:sz w:val="20"/>
                <w:szCs w:val="20"/>
                <w:lang w:eastAsia="cs-CZ"/>
              </w:rPr>
            </w:pPr>
            <w:r w:rsidRPr="00B02FFE">
              <w:rPr>
                <w:rFonts w:ascii="Calibri" w:eastAsia="Times New Roman" w:hAnsi="Calibri" w:cs="Times New Roman"/>
                <w:color w:val="000000"/>
                <w:sz w:val="20"/>
                <w:szCs w:val="20"/>
                <w:lang w:eastAsia="cs-CZ"/>
              </w:rPr>
              <w:t>Zavést průběžné vyhodnocování plnění dlouhodobých plánů týkajících se rozvoje a správy obce</w:t>
            </w:r>
          </w:p>
        </w:tc>
        <w:tc>
          <w:tcPr>
            <w:tcW w:w="1655" w:type="pct"/>
            <w:tcBorders>
              <w:top w:val="single" w:sz="12" w:space="0" w:color="auto"/>
              <w:bottom w:val="single" w:sz="8" w:space="0" w:color="auto"/>
            </w:tcBorders>
            <w:shd w:val="clear" w:color="auto" w:fill="FFF2CC"/>
            <w:noWrap/>
            <w:vAlign w:val="center"/>
          </w:tcPr>
          <w:p w14:paraId="360F9352" w14:textId="77777777" w:rsidR="00837905" w:rsidRDefault="00837905" w:rsidP="009A7AC2">
            <w:pPr>
              <w:jc w:val="center"/>
              <w:rPr>
                <w:rFonts w:eastAsia="Times New Roman" w:cs="Times New Roman"/>
                <w:color w:val="000000"/>
                <w:sz w:val="20"/>
                <w:szCs w:val="20"/>
                <w:lang w:eastAsia="cs-CZ"/>
              </w:rPr>
            </w:pPr>
            <w:r w:rsidRPr="00EF2D30">
              <w:rPr>
                <w:rFonts w:eastAsia="Times New Roman" w:cs="Times New Roman"/>
                <w:color w:val="000000"/>
                <w:sz w:val="20"/>
                <w:szCs w:val="20"/>
                <w:lang w:eastAsia="cs-CZ"/>
              </w:rPr>
              <w:t>Počet uskutečněných setkání za účelem vyhodnocování plnění dlouhodobých plánů týkajících se rozvoje a správy obce</w:t>
            </w:r>
          </w:p>
        </w:tc>
        <w:tc>
          <w:tcPr>
            <w:tcW w:w="401" w:type="pct"/>
            <w:tcBorders>
              <w:top w:val="single" w:sz="12" w:space="0" w:color="auto"/>
              <w:bottom w:val="single" w:sz="8" w:space="0" w:color="auto"/>
            </w:tcBorders>
            <w:shd w:val="clear" w:color="auto" w:fill="FFF2CC"/>
            <w:noWrap/>
            <w:vAlign w:val="center"/>
          </w:tcPr>
          <w:p w14:paraId="0E937401" w14:textId="77777777" w:rsidR="00837905" w:rsidRPr="00DB41E2" w:rsidRDefault="00837905" w:rsidP="009A7AC2">
            <w:pPr>
              <w:jc w:val="center"/>
              <w:rPr>
                <w:rFonts w:ascii="Calibri" w:eastAsia="Times New Roman" w:hAnsi="Calibri" w:cs="Times New Roman"/>
                <w:color w:val="000000"/>
                <w:sz w:val="20"/>
                <w:szCs w:val="20"/>
                <w:lang w:eastAsia="cs-CZ"/>
              </w:rPr>
            </w:pPr>
            <w:r w:rsidRPr="00EF2D30">
              <w:rPr>
                <w:rFonts w:eastAsia="Times New Roman" w:cs="Times New Roman"/>
                <w:color w:val="000000"/>
                <w:sz w:val="20"/>
                <w:szCs w:val="20"/>
                <w:lang w:eastAsia="cs-CZ"/>
              </w:rPr>
              <w:t>počet/rok</w:t>
            </w:r>
          </w:p>
        </w:tc>
        <w:tc>
          <w:tcPr>
            <w:tcW w:w="401" w:type="pct"/>
            <w:tcBorders>
              <w:top w:val="single" w:sz="12" w:space="0" w:color="auto"/>
              <w:bottom w:val="single" w:sz="8" w:space="0" w:color="auto"/>
            </w:tcBorders>
            <w:shd w:val="clear" w:color="auto" w:fill="FFF2CC"/>
            <w:noWrap/>
            <w:vAlign w:val="center"/>
          </w:tcPr>
          <w:p w14:paraId="49D5FB37" w14:textId="77777777" w:rsidR="00837905" w:rsidRPr="00DB41E2" w:rsidRDefault="00837905" w:rsidP="009A7AC2">
            <w:pPr>
              <w:jc w:val="center"/>
              <w:rPr>
                <w:rFonts w:ascii="Calibri" w:eastAsia="Times New Roman" w:hAnsi="Calibri" w:cs="Times New Roman"/>
                <w:color w:val="000000"/>
                <w:sz w:val="20"/>
                <w:szCs w:val="20"/>
                <w:lang w:eastAsia="cs-CZ"/>
              </w:rPr>
            </w:pPr>
            <w:r w:rsidRPr="00EF2D30">
              <w:rPr>
                <w:rFonts w:eastAsia="Times New Roman" w:cs="Times New Roman"/>
                <w:color w:val="000000"/>
                <w:sz w:val="20"/>
                <w:szCs w:val="20"/>
                <w:lang w:eastAsia="cs-CZ"/>
              </w:rPr>
              <w:t>0</w:t>
            </w:r>
          </w:p>
        </w:tc>
        <w:tc>
          <w:tcPr>
            <w:tcW w:w="514" w:type="pct"/>
            <w:tcBorders>
              <w:top w:val="single" w:sz="12" w:space="0" w:color="auto"/>
              <w:bottom w:val="single" w:sz="8" w:space="0" w:color="auto"/>
            </w:tcBorders>
            <w:shd w:val="clear" w:color="auto" w:fill="FFF2CC"/>
            <w:noWrap/>
            <w:vAlign w:val="center"/>
          </w:tcPr>
          <w:p w14:paraId="3113574E" w14:textId="77777777" w:rsidR="00837905" w:rsidRPr="00DB41E2" w:rsidRDefault="00837905" w:rsidP="009A7AC2">
            <w:pPr>
              <w:jc w:val="center"/>
              <w:rPr>
                <w:rFonts w:ascii="Calibri" w:eastAsia="Times New Roman" w:hAnsi="Calibri" w:cs="Times New Roman"/>
                <w:color w:val="000000"/>
                <w:sz w:val="20"/>
                <w:szCs w:val="20"/>
                <w:lang w:eastAsia="cs-CZ"/>
              </w:rPr>
            </w:pPr>
            <w:r w:rsidRPr="00EF2D30">
              <w:rPr>
                <w:rFonts w:eastAsia="Times New Roman" w:cs="Times New Roman"/>
                <w:color w:val="000000"/>
                <w:sz w:val="20"/>
                <w:szCs w:val="20"/>
                <w:lang w:eastAsia="cs-CZ"/>
              </w:rPr>
              <w:t>1/rok</w:t>
            </w:r>
          </w:p>
        </w:tc>
      </w:tr>
      <w:tr w:rsidR="00837905" w:rsidRPr="00DB41E2" w14:paraId="0BC2FA05" w14:textId="77777777" w:rsidTr="009A7AC2">
        <w:trPr>
          <w:trHeight w:val="246"/>
          <w:jc w:val="center"/>
        </w:trPr>
        <w:tc>
          <w:tcPr>
            <w:tcW w:w="392" w:type="pct"/>
            <w:vMerge/>
            <w:tcBorders>
              <w:bottom w:val="single" w:sz="18" w:space="0" w:color="auto"/>
              <w:right w:val="single" w:sz="12" w:space="0" w:color="auto"/>
            </w:tcBorders>
            <w:shd w:val="clear" w:color="auto" w:fill="FFF2CC"/>
            <w:noWrap/>
            <w:vAlign w:val="center"/>
          </w:tcPr>
          <w:p w14:paraId="4E7131B4" w14:textId="77777777" w:rsidR="00837905" w:rsidRPr="00DB41E2" w:rsidRDefault="00837905" w:rsidP="009A7AC2">
            <w:pPr>
              <w:jc w:val="center"/>
              <w:rPr>
                <w:rFonts w:ascii="Calibri" w:eastAsia="Times New Roman" w:hAnsi="Calibri" w:cs="Times New Roman"/>
                <w:color w:val="000000"/>
                <w:sz w:val="20"/>
                <w:szCs w:val="20"/>
                <w:lang w:eastAsia="cs-CZ"/>
              </w:rPr>
            </w:pPr>
          </w:p>
        </w:tc>
        <w:tc>
          <w:tcPr>
            <w:tcW w:w="1637" w:type="pct"/>
            <w:tcBorders>
              <w:left w:val="single" w:sz="12" w:space="0" w:color="auto"/>
              <w:bottom w:val="single" w:sz="18" w:space="0" w:color="auto"/>
            </w:tcBorders>
            <w:shd w:val="clear" w:color="auto" w:fill="FFF2CC"/>
            <w:noWrap/>
            <w:vAlign w:val="center"/>
          </w:tcPr>
          <w:p w14:paraId="678C9A4F" w14:textId="77777777" w:rsidR="00837905" w:rsidRPr="00A66818" w:rsidRDefault="00837905" w:rsidP="009A7AC2">
            <w:pPr>
              <w:contextualSpacing/>
              <w:jc w:val="center"/>
              <w:rPr>
                <w:rFonts w:ascii="Calibri" w:eastAsia="Times New Roman" w:hAnsi="Calibri" w:cs="Times New Roman"/>
                <w:color w:val="000000"/>
                <w:sz w:val="20"/>
                <w:szCs w:val="20"/>
                <w:lang w:eastAsia="cs-CZ"/>
              </w:rPr>
            </w:pPr>
            <w:r w:rsidRPr="00B02FFE">
              <w:rPr>
                <w:rFonts w:ascii="Calibri" w:eastAsia="Times New Roman" w:hAnsi="Calibri" w:cs="Times New Roman"/>
                <w:color w:val="000000"/>
                <w:sz w:val="20"/>
                <w:szCs w:val="20"/>
                <w:lang w:eastAsia="cs-CZ"/>
              </w:rPr>
              <w:t>Usilovat o větší zapojení mladších skupin obyvatel do rozhodovacích mechanismů obce</w:t>
            </w:r>
          </w:p>
        </w:tc>
        <w:tc>
          <w:tcPr>
            <w:tcW w:w="1655" w:type="pct"/>
            <w:tcBorders>
              <w:top w:val="single" w:sz="4" w:space="0" w:color="auto"/>
              <w:bottom w:val="single" w:sz="18" w:space="0" w:color="auto"/>
            </w:tcBorders>
            <w:shd w:val="clear" w:color="auto" w:fill="FFF2CC"/>
            <w:noWrap/>
            <w:vAlign w:val="center"/>
          </w:tcPr>
          <w:p w14:paraId="1808B353" w14:textId="77777777" w:rsidR="00837905" w:rsidRDefault="00837905" w:rsidP="009A7AC2">
            <w:pPr>
              <w:jc w:val="center"/>
              <w:rPr>
                <w:rFonts w:eastAsia="Times New Roman" w:cs="Times New Roman"/>
                <w:color w:val="000000"/>
                <w:sz w:val="20"/>
                <w:szCs w:val="20"/>
                <w:lang w:eastAsia="cs-CZ"/>
              </w:rPr>
            </w:pPr>
            <w:r>
              <w:rPr>
                <w:rFonts w:eastAsia="Times New Roman" w:cs="Times New Roman"/>
                <w:color w:val="000000"/>
                <w:sz w:val="20"/>
                <w:szCs w:val="20"/>
                <w:lang w:eastAsia="cs-CZ"/>
              </w:rPr>
              <w:t xml:space="preserve">Počet nově zapojených osob do 50 let </w:t>
            </w:r>
            <w:r>
              <w:rPr>
                <w:rFonts w:eastAsia="Times New Roman" w:cs="Times New Roman"/>
                <w:color w:val="000000"/>
                <w:sz w:val="20"/>
                <w:szCs w:val="20"/>
                <w:lang w:eastAsia="cs-CZ"/>
              </w:rPr>
              <w:br/>
            </w:r>
            <w:r w:rsidRPr="00B02FFE">
              <w:rPr>
                <w:rFonts w:ascii="Calibri" w:eastAsia="Times New Roman" w:hAnsi="Calibri" w:cs="Times New Roman"/>
                <w:color w:val="000000"/>
                <w:sz w:val="20"/>
                <w:szCs w:val="20"/>
                <w:lang w:eastAsia="cs-CZ"/>
              </w:rPr>
              <w:t>do rozhodovacích mechanismů obce</w:t>
            </w:r>
          </w:p>
        </w:tc>
        <w:tc>
          <w:tcPr>
            <w:tcW w:w="401" w:type="pct"/>
            <w:tcBorders>
              <w:bottom w:val="single" w:sz="18" w:space="0" w:color="auto"/>
            </w:tcBorders>
            <w:shd w:val="clear" w:color="auto" w:fill="FFF2CC"/>
            <w:noWrap/>
            <w:vAlign w:val="center"/>
          </w:tcPr>
          <w:p w14:paraId="20D43CD6"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počet</w:t>
            </w:r>
          </w:p>
        </w:tc>
        <w:tc>
          <w:tcPr>
            <w:tcW w:w="401" w:type="pct"/>
            <w:tcBorders>
              <w:bottom w:val="single" w:sz="18" w:space="0" w:color="auto"/>
            </w:tcBorders>
            <w:shd w:val="clear" w:color="auto" w:fill="FFF2CC"/>
            <w:noWrap/>
            <w:vAlign w:val="center"/>
          </w:tcPr>
          <w:p w14:paraId="092EB4BD"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514" w:type="pct"/>
            <w:tcBorders>
              <w:bottom w:val="single" w:sz="18" w:space="0" w:color="auto"/>
            </w:tcBorders>
            <w:shd w:val="clear" w:color="auto" w:fill="FFF2CC"/>
            <w:noWrap/>
            <w:vAlign w:val="center"/>
          </w:tcPr>
          <w:p w14:paraId="5FD865B7" w14:textId="77777777" w:rsidR="00837905" w:rsidRPr="00DB41E2" w:rsidRDefault="00837905" w:rsidP="009A7AC2">
            <w:pPr>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r>
    </w:tbl>
    <w:p w14:paraId="51FE51CE" w14:textId="2B12989B" w:rsidR="00837905" w:rsidRDefault="00837905" w:rsidP="00837905">
      <w:pPr>
        <w:spacing w:after="160" w:line="259" w:lineRule="auto"/>
      </w:pPr>
    </w:p>
    <w:p w14:paraId="4ADAA20B" w14:textId="77777777" w:rsidR="00837905" w:rsidRDefault="00837905" w:rsidP="00837905">
      <w:pPr>
        <w:spacing w:after="160" w:line="259" w:lineRule="auto"/>
        <w:sectPr w:rsidR="00837905" w:rsidSect="00837905">
          <w:footerReference w:type="default" r:id="rId174"/>
          <w:pgSz w:w="16838" w:h="11906" w:orient="landscape"/>
          <w:pgMar w:top="1417" w:right="1417" w:bottom="1417" w:left="1417" w:header="708" w:footer="708" w:gutter="0"/>
          <w:cols w:space="708"/>
          <w:docGrid w:linePitch="360"/>
        </w:sectPr>
      </w:pPr>
    </w:p>
    <w:p w14:paraId="0375446F" w14:textId="4A072802" w:rsidR="00837905" w:rsidRDefault="00364201" w:rsidP="00364201">
      <w:pPr>
        <w:pStyle w:val="Nadpis1"/>
      </w:pPr>
      <w:bookmarkStart w:id="668" w:name="_Toc120652182"/>
      <w:r>
        <w:lastRenderedPageBreak/>
        <w:t>6 Přílohy</w:t>
      </w:r>
      <w:bookmarkEnd w:id="668"/>
    </w:p>
    <w:p w14:paraId="0F96B0AB" w14:textId="2D173392" w:rsidR="00364201" w:rsidRDefault="00364201" w:rsidP="00364201">
      <w:pPr>
        <w:pStyle w:val="Nadpis2"/>
      </w:pPr>
      <w:bookmarkStart w:id="669" w:name="_Toc120652183"/>
      <w:r>
        <w:t>6.1 Použité zdroje dat</w:t>
      </w:r>
      <w:bookmarkEnd w:id="669"/>
    </w:p>
    <w:p w14:paraId="1049B40C" w14:textId="77777777" w:rsidR="003A2255" w:rsidRPr="00E96E38" w:rsidRDefault="003A2255" w:rsidP="003A2255">
      <w:pPr>
        <w:spacing w:after="240"/>
        <w:jc w:val="both"/>
        <w:rPr>
          <w:rFonts w:cstheme="minorHAnsi"/>
        </w:rPr>
      </w:pPr>
      <w:r w:rsidRPr="00E96E38">
        <w:rPr>
          <w:rFonts w:cstheme="minorHAnsi"/>
        </w:rPr>
        <w:t xml:space="preserve">Administrativní registr ekonomických subjektů </w:t>
      </w:r>
      <w:hyperlink r:id="rId175" w:history="1">
        <w:r w:rsidRPr="00E96E38">
          <w:rPr>
            <w:rStyle w:val="Hypertextovodkaz"/>
            <w:rFonts w:cstheme="minorHAnsi"/>
          </w:rPr>
          <w:t>https://wwwinfo.mfcr.cz/ares/ares_es.html.cz</w:t>
        </w:r>
      </w:hyperlink>
      <w:r w:rsidRPr="00E96E38">
        <w:rPr>
          <w:rFonts w:cstheme="minorHAnsi"/>
        </w:rPr>
        <w:t xml:space="preserve"> </w:t>
      </w:r>
    </w:p>
    <w:p w14:paraId="768CE9AD" w14:textId="77777777" w:rsidR="003A2255" w:rsidRPr="00570618" w:rsidRDefault="003A2255" w:rsidP="003A2255">
      <w:pPr>
        <w:spacing w:after="240"/>
        <w:jc w:val="both"/>
        <w:rPr>
          <w:rFonts w:cstheme="minorHAnsi"/>
        </w:rPr>
      </w:pPr>
      <w:r w:rsidRPr="00570618">
        <w:rPr>
          <w:rFonts w:cstheme="minorHAnsi"/>
        </w:rPr>
        <w:t xml:space="preserve">Aplikace Českého úřadu zeměměřického a katastrálního „Nahlížení do katastru nemovitostí“ </w:t>
      </w:r>
      <w:hyperlink r:id="rId176" w:history="1">
        <w:r w:rsidRPr="00570618">
          <w:rPr>
            <w:rStyle w:val="Hypertextovodkaz"/>
            <w:rFonts w:cstheme="minorHAnsi"/>
          </w:rPr>
          <w:t>https://nahlizenidokn.cuzk.cz/</w:t>
        </w:r>
      </w:hyperlink>
      <w:r w:rsidRPr="00570618">
        <w:rPr>
          <w:rFonts w:cstheme="minorHAnsi"/>
        </w:rPr>
        <w:t xml:space="preserve"> </w:t>
      </w:r>
    </w:p>
    <w:p w14:paraId="16ED9054" w14:textId="77777777" w:rsidR="003A2255" w:rsidRPr="008A226C" w:rsidRDefault="003A2255" w:rsidP="003A2255">
      <w:pPr>
        <w:spacing w:after="240"/>
        <w:jc w:val="both"/>
        <w:rPr>
          <w:rFonts w:cstheme="minorHAnsi"/>
          <w:highlight w:val="yellow"/>
        </w:rPr>
      </w:pPr>
      <w:r w:rsidRPr="00523408">
        <w:rPr>
          <w:rFonts w:cstheme="minorHAnsi"/>
        </w:rPr>
        <w:t xml:space="preserve">Celostátní sčítání dopravy </w:t>
      </w:r>
      <w:hyperlink r:id="rId177" w:history="1">
        <w:r w:rsidRPr="0071584A">
          <w:rPr>
            <w:rStyle w:val="Hypertextovodkaz"/>
            <w:rFonts w:cstheme="minorHAnsi"/>
          </w:rPr>
          <w:t>https://www.rsd.cz/cs/silnice-a-dalnice/scitani-dopravy</w:t>
        </w:r>
      </w:hyperlink>
      <w:r>
        <w:rPr>
          <w:rFonts w:cstheme="minorHAnsi"/>
        </w:rPr>
        <w:t xml:space="preserve"> </w:t>
      </w:r>
    </w:p>
    <w:p w14:paraId="32C6B15F" w14:textId="77777777" w:rsidR="003A2255" w:rsidRPr="00C91DB9" w:rsidRDefault="003A2255" w:rsidP="003A2255">
      <w:pPr>
        <w:spacing w:after="240"/>
        <w:rPr>
          <w:rFonts w:cstheme="minorHAnsi"/>
        </w:rPr>
      </w:pPr>
      <w:r w:rsidRPr="00C91DB9">
        <w:t xml:space="preserve">Centrální evidence vodních toků, dostupná z: </w:t>
      </w:r>
      <w:hyperlink r:id="rId178" w:history="1">
        <w:r w:rsidRPr="00C91DB9">
          <w:rPr>
            <w:rStyle w:val="Hypertextovodkaz"/>
          </w:rPr>
          <w:t>https://eagri.cz/public/web/mze/voda/aplikace/cevt.html</w:t>
        </w:r>
      </w:hyperlink>
    </w:p>
    <w:p w14:paraId="0B8F4E99" w14:textId="77777777" w:rsidR="003A2255" w:rsidRPr="00A70F81" w:rsidRDefault="003A2255" w:rsidP="003A2255">
      <w:pPr>
        <w:spacing w:after="240"/>
        <w:jc w:val="both"/>
        <w:rPr>
          <w:rFonts w:cstheme="minorHAnsi"/>
        </w:rPr>
      </w:pPr>
      <w:bookmarkStart w:id="670" w:name="_Hlk31121095"/>
      <w:r w:rsidRPr="00A70F81">
        <w:rPr>
          <w:rFonts w:eastAsia="Calibri" w:cs="Calibri"/>
        </w:rPr>
        <w:t xml:space="preserve">Digitální registr Ústředního seznamu ochrany přírody </w:t>
      </w:r>
      <w:hyperlink r:id="rId179" w:history="1">
        <w:r w:rsidRPr="00A70F81">
          <w:rPr>
            <w:rStyle w:val="Hypertextovodkaz"/>
            <w:rFonts w:eastAsia="Calibri" w:cs="Calibri"/>
          </w:rPr>
          <w:t>https://drusop.nature.cz/mapa/drusop/</w:t>
        </w:r>
      </w:hyperlink>
    </w:p>
    <w:bookmarkEnd w:id="670"/>
    <w:p w14:paraId="13C70932" w14:textId="77777777" w:rsidR="003A2255" w:rsidRDefault="003A2255" w:rsidP="003A2255">
      <w:pPr>
        <w:spacing w:after="240"/>
        <w:jc w:val="both"/>
        <w:rPr>
          <w:rFonts w:cstheme="minorHAnsi"/>
          <w:highlight w:val="yellow"/>
        </w:rPr>
      </w:pPr>
      <w:r w:rsidRPr="00A70F81">
        <w:rPr>
          <w:rFonts w:cstheme="minorHAnsi"/>
        </w:rPr>
        <w:t xml:space="preserve">Dotazníkové šetření realizované pro potřeby tvorby </w:t>
      </w:r>
      <w:r>
        <w:rPr>
          <w:rFonts w:cstheme="minorHAnsi"/>
        </w:rPr>
        <w:t>Programu</w:t>
      </w:r>
      <w:r w:rsidRPr="00A70F81">
        <w:rPr>
          <w:rFonts w:cstheme="minorHAnsi"/>
        </w:rPr>
        <w:t xml:space="preserve"> rozvoje </w:t>
      </w:r>
      <w:r>
        <w:rPr>
          <w:rFonts w:cstheme="minorHAnsi"/>
        </w:rPr>
        <w:t>obce Staré Buky</w:t>
      </w:r>
      <w:r w:rsidRPr="00A70F81">
        <w:rPr>
          <w:rFonts w:cstheme="minorHAnsi"/>
        </w:rPr>
        <w:t xml:space="preserve"> na období let 202</w:t>
      </w:r>
      <w:r>
        <w:rPr>
          <w:rFonts w:cstheme="minorHAnsi"/>
        </w:rPr>
        <w:t>2-</w:t>
      </w:r>
      <w:r w:rsidRPr="00A70F81">
        <w:rPr>
          <w:rFonts w:cstheme="minorHAnsi"/>
        </w:rPr>
        <w:t>20</w:t>
      </w:r>
      <w:r>
        <w:rPr>
          <w:rFonts w:cstheme="minorHAnsi"/>
        </w:rPr>
        <w:t>31</w:t>
      </w:r>
    </w:p>
    <w:p w14:paraId="55B86CD3" w14:textId="77777777" w:rsidR="003A2255" w:rsidRPr="00570618" w:rsidRDefault="003A2255" w:rsidP="003A2255">
      <w:pPr>
        <w:spacing w:after="240"/>
        <w:jc w:val="both"/>
        <w:rPr>
          <w:rFonts w:cstheme="minorHAnsi"/>
        </w:rPr>
      </w:pPr>
      <w:r w:rsidRPr="00570618">
        <w:rPr>
          <w:rFonts w:cstheme="minorHAnsi"/>
        </w:rPr>
        <w:t xml:space="preserve">Elektronický taxonomický klasifikační systém půd ČR </w:t>
      </w:r>
      <w:hyperlink r:id="rId180" w:history="1">
        <w:r w:rsidRPr="00570618">
          <w:rPr>
            <w:rStyle w:val="Hypertextovodkaz"/>
            <w:rFonts w:cstheme="minorHAnsi"/>
          </w:rPr>
          <w:t>https://klasifikace.pedologie.czu.cz/</w:t>
        </w:r>
      </w:hyperlink>
      <w:r w:rsidRPr="00570618">
        <w:rPr>
          <w:rFonts w:cstheme="minorHAnsi"/>
        </w:rPr>
        <w:t xml:space="preserve"> </w:t>
      </w:r>
      <w:r w:rsidRPr="00570618">
        <w:rPr>
          <w:rStyle w:val="Hypertextovodkaz"/>
          <w:rFonts w:cstheme="minorHAnsi"/>
        </w:rPr>
        <w:t xml:space="preserve"> </w:t>
      </w:r>
    </w:p>
    <w:p w14:paraId="1F33B432" w14:textId="77777777" w:rsidR="003A2255" w:rsidRPr="00B42AC8" w:rsidRDefault="003A2255" w:rsidP="003A2255">
      <w:pPr>
        <w:spacing w:after="240"/>
        <w:rPr>
          <w:rFonts w:cstheme="minorHAnsi"/>
        </w:rPr>
      </w:pPr>
      <w:r w:rsidRPr="00B42AC8">
        <w:t xml:space="preserve">Evidence územně plánovací činnosti obcí – Lokální aktualizační systém – iLAS </w:t>
      </w:r>
      <w:hyperlink r:id="rId181" w:history="1">
        <w:r w:rsidRPr="0071584A">
          <w:rPr>
            <w:rStyle w:val="Hypertextovodkaz"/>
          </w:rPr>
          <w:t>https://www.uur.cz/eupc/ilas</w:t>
        </w:r>
      </w:hyperlink>
      <w:r>
        <w:t xml:space="preserve"> </w:t>
      </w:r>
    </w:p>
    <w:p w14:paraId="1D9497F7" w14:textId="77777777" w:rsidR="003A2255" w:rsidRDefault="003A2255" w:rsidP="003A2255">
      <w:pPr>
        <w:spacing w:after="240"/>
        <w:jc w:val="both"/>
        <w:rPr>
          <w:rFonts w:cstheme="minorHAnsi"/>
          <w:highlight w:val="yellow"/>
        </w:rPr>
      </w:pPr>
      <w:r w:rsidRPr="00E96E38">
        <w:rPr>
          <w:rFonts w:cstheme="minorHAnsi"/>
        </w:rPr>
        <w:t xml:space="preserve">Facebookový profil obce Staré Buky </w:t>
      </w:r>
      <w:hyperlink r:id="rId182" w:history="1">
        <w:r w:rsidRPr="0071584A">
          <w:rPr>
            <w:rStyle w:val="Hypertextovodkaz"/>
            <w:rFonts w:cstheme="minorHAnsi"/>
          </w:rPr>
          <w:t>https://www.facebook.com/groups/494089651113464</w:t>
        </w:r>
      </w:hyperlink>
      <w:r>
        <w:rPr>
          <w:rFonts w:cstheme="minorHAnsi"/>
        </w:rPr>
        <w:t xml:space="preserve"> </w:t>
      </w:r>
    </w:p>
    <w:p w14:paraId="6896A23D" w14:textId="77777777" w:rsidR="003A2255" w:rsidRPr="00FA632C" w:rsidRDefault="003A2255" w:rsidP="003A2255">
      <w:pPr>
        <w:spacing w:after="240"/>
        <w:jc w:val="both"/>
        <w:rPr>
          <w:rFonts w:cstheme="minorHAnsi"/>
        </w:rPr>
      </w:pPr>
      <w:r w:rsidRPr="00FA632C">
        <w:rPr>
          <w:rFonts w:cstheme="minorHAnsi"/>
        </w:rPr>
        <w:t xml:space="preserve">GaREP spol. s r.o., e-Rozvoj.cz, s.r.o. (2014): </w:t>
      </w:r>
      <w:r w:rsidRPr="00FA632C">
        <w:rPr>
          <w:rFonts w:cstheme="minorHAnsi"/>
          <w:i/>
        </w:rPr>
        <w:t xml:space="preserve">Metodika tvorby programu rozvoje obce. </w:t>
      </w:r>
      <w:r w:rsidRPr="00FA632C">
        <w:rPr>
          <w:rFonts w:cstheme="minorHAnsi"/>
        </w:rPr>
        <w:t xml:space="preserve">Ministerstvo </w:t>
      </w:r>
      <w:r w:rsidRPr="00FA632C">
        <w:rPr>
          <w:rFonts w:cstheme="minorHAnsi"/>
        </w:rPr>
        <w:br/>
        <w:t>pro místní rozvoj České republiky, finální verze, 72 s.</w:t>
      </w:r>
    </w:p>
    <w:p w14:paraId="75DAF13F" w14:textId="77777777" w:rsidR="003A2255" w:rsidRPr="00A70F81" w:rsidRDefault="003A2255" w:rsidP="003A2255">
      <w:pPr>
        <w:spacing w:after="240"/>
        <w:jc w:val="both"/>
        <w:rPr>
          <w:rFonts w:eastAsia="RWXLTG+TimesNewRoman" w:cstheme="minorHAnsi"/>
        </w:rPr>
      </w:pPr>
      <w:r w:rsidRPr="00A70F81">
        <w:rPr>
          <w:rFonts w:cstheme="minorHAnsi"/>
        </w:rPr>
        <w:t xml:space="preserve">Geoportál SOWAC-GIS </w:t>
      </w:r>
      <w:hyperlink r:id="rId183" w:history="1">
        <w:r w:rsidRPr="00A70F81">
          <w:rPr>
            <w:rStyle w:val="Hypertextovodkaz"/>
            <w:rFonts w:cstheme="minorHAnsi"/>
          </w:rPr>
          <w:t>https://geoportal.vumop.cz/</w:t>
        </w:r>
      </w:hyperlink>
    </w:p>
    <w:p w14:paraId="6B65FE16" w14:textId="77777777" w:rsidR="003A2255" w:rsidRPr="00570618" w:rsidRDefault="003A2255" w:rsidP="003A2255">
      <w:pPr>
        <w:spacing w:after="240"/>
        <w:jc w:val="both"/>
        <w:rPr>
          <w:rFonts w:ascii="Calibri" w:eastAsia="RWXLTG+TimesNewRoman" w:hAnsi="Calibri" w:cs="Calibri"/>
        </w:rPr>
      </w:pPr>
      <w:r w:rsidRPr="00570618">
        <w:rPr>
          <w:rFonts w:ascii="Calibri" w:eastAsia="RWXLTG+TimesNewRoman" w:hAnsi="Calibri" w:cs="Calibri"/>
        </w:rPr>
        <w:t>Historický lexikon obcí České republiky 1869-2011</w:t>
      </w:r>
    </w:p>
    <w:p w14:paraId="42D18A1A" w14:textId="77777777" w:rsidR="003A2255" w:rsidRPr="00FA632C" w:rsidRDefault="003A2255" w:rsidP="003A2255">
      <w:pPr>
        <w:spacing w:after="240"/>
        <w:jc w:val="both"/>
        <w:rPr>
          <w:rFonts w:eastAsia="Calibri"/>
        </w:rPr>
      </w:pPr>
      <w:r w:rsidRPr="00FA632C">
        <w:rPr>
          <w:rFonts w:eastAsia="Calibri"/>
        </w:rPr>
        <w:t>Informace poskytnuté obecním úřadem ve Starých Bukách</w:t>
      </w:r>
    </w:p>
    <w:p w14:paraId="7BABE7E0" w14:textId="77777777" w:rsidR="003A2255" w:rsidRPr="00A70F81" w:rsidRDefault="003A2255" w:rsidP="003A2255">
      <w:pPr>
        <w:spacing w:after="240"/>
        <w:jc w:val="both"/>
        <w:rPr>
          <w:rFonts w:eastAsia="RWXLTG+TimesNewRoman" w:cstheme="minorHAnsi"/>
        </w:rPr>
      </w:pPr>
      <w:r w:rsidRPr="00A70F81">
        <w:rPr>
          <w:rFonts w:cstheme="minorHAnsi"/>
        </w:rPr>
        <w:t xml:space="preserve">Informační portál Ministerstva financí MONITOR </w:t>
      </w:r>
      <w:hyperlink r:id="rId184" w:history="1">
        <w:r w:rsidRPr="00A70F81">
          <w:rPr>
            <w:rStyle w:val="Hypertextovodkaz"/>
            <w:rFonts w:cstheme="minorHAnsi"/>
          </w:rPr>
          <w:t>https://monitor.statnipokladna.cz/</w:t>
        </w:r>
      </w:hyperlink>
    </w:p>
    <w:p w14:paraId="0CEB73D0" w14:textId="77777777" w:rsidR="003A2255" w:rsidRPr="00A70F81" w:rsidRDefault="003A2255" w:rsidP="003A2255">
      <w:pPr>
        <w:spacing w:after="240"/>
        <w:rPr>
          <w:rFonts w:cstheme="minorHAnsi"/>
        </w:rPr>
      </w:pPr>
      <w:r w:rsidRPr="00A70F81">
        <w:rPr>
          <w:rFonts w:cstheme="minorHAnsi"/>
        </w:rPr>
        <w:t>Internetové stránky Agentury ochrany přírody</w:t>
      </w:r>
      <w:r w:rsidRPr="00A70F81">
        <w:t xml:space="preserve"> </w:t>
      </w:r>
      <w:r w:rsidRPr="00A70F81">
        <w:rPr>
          <w:rFonts w:cstheme="minorHAnsi"/>
        </w:rPr>
        <w:t xml:space="preserve">a krajiny České republiky </w:t>
      </w:r>
      <w:hyperlink r:id="rId185" w:history="1">
        <w:r w:rsidRPr="00A70F81">
          <w:rPr>
            <w:rStyle w:val="Hypertextovodkaz"/>
            <w:rFonts w:cstheme="minorHAnsi"/>
          </w:rPr>
          <w:t>https://www.ochranaprirody.cz/</w:t>
        </w:r>
      </w:hyperlink>
    </w:p>
    <w:p w14:paraId="3FC6BAB8" w14:textId="77777777" w:rsidR="003A2255" w:rsidRPr="008A226C" w:rsidRDefault="003A2255" w:rsidP="003A2255">
      <w:pPr>
        <w:spacing w:after="240"/>
        <w:jc w:val="both"/>
        <w:rPr>
          <w:rFonts w:cstheme="minorHAnsi"/>
        </w:rPr>
      </w:pPr>
      <w:r w:rsidRPr="008A226C">
        <w:rPr>
          <w:rFonts w:cstheme="minorHAnsi"/>
        </w:rPr>
        <w:t xml:space="preserve">Internetové stránky Českého statistického úřadu </w:t>
      </w:r>
      <w:hyperlink r:id="rId186" w:history="1">
        <w:r w:rsidRPr="008A226C">
          <w:rPr>
            <w:rStyle w:val="Hypertextovodkaz"/>
            <w:rFonts w:cstheme="minorHAnsi"/>
          </w:rPr>
          <w:t>https://www.czso.cz/</w:t>
        </w:r>
      </w:hyperlink>
    </w:p>
    <w:p w14:paraId="45F5FB9C" w14:textId="77777777" w:rsidR="003A2255" w:rsidRPr="008A226C" w:rsidRDefault="003A2255" w:rsidP="003A2255">
      <w:pPr>
        <w:spacing w:after="240"/>
        <w:jc w:val="both"/>
        <w:rPr>
          <w:rStyle w:val="Hypertextovodkaz"/>
          <w:rFonts w:cstheme="minorHAnsi"/>
        </w:rPr>
      </w:pPr>
      <w:r w:rsidRPr="008A226C">
        <w:rPr>
          <w:rFonts w:cstheme="minorHAnsi"/>
        </w:rPr>
        <w:t xml:space="preserve">Internetové stránky Českého úřadu zeměměřičského a katastrálního </w:t>
      </w:r>
      <w:hyperlink r:id="rId187" w:history="1">
        <w:r w:rsidRPr="008A226C">
          <w:rPr>
            <w:rStyle w:val="Hypertextovodkaz"/>
            <w:rFonts w:cstheme="minorHAnsi"/>
          </w:rPr>
          <w:t>https://www.cuzk.cz/</w:t>
        </w:r>
      </w:hyperlink>
    </w:p>
    <w:p w14:paraId="08C2768D" w14:textId="77777777" w:rsidR="003A2255" w:rsidRPr="00FA632C" w:rsidRDefault="003A2255" w:rsidP="003A2255">
      <w:pPr>
        <w:jc w:val="both"/>
        <w:rPr>
          <w:rFonts w:cstheme="minorHAnsi"/>
        </w:rPr>
      </w:pPr>
      <w:r w:rsidRPr="00FA632C">
        <w:rPr>
          <w:rFonts w:cstheme="minorHAnsi"/>
        </w:rPr>
        <w:t xml:space="preserve">Internetové stránky Dotačního portálu Krajského úřadu Královéhradeckého kraje </w:t>
      </w:r>
    </w:p>
    <w:p w14:paraId="274AC1C3" w14:textId="77777777" w:rsidR="003A2255" w:rsidRPr="00FA632C" w:rsidRDefault="003A2255" w:rsidP="003A2255">
      <w:pPr>
        <w:spacing w:after="240"/>
        <w:jc w:val="both"/>
        <w:rPr>
          <w:rFonts w:cstheme="minorHAnsi"/>
        </w:rPr>
      </w:pPr>
      <w:hyperlink r:id="rId188" w:history="1">
        <w:r w:rsidRPr="00FA632C">
          <w:rPr>
            <w:rStyle w:val="Hypertextovodkaz"/>
            <w:rFonts w:cstheme="minorHAnsi"/>
          </w:rPr>
          <w:t>http://dotace.kr-kralovehradecky.cz/</w:t>
        </w:r>
      </w:hyperlink>
      <w:r w:rsidRPr="00FA632C">
        <w:rPr>
          <w:rFonts w:cstheme="minorHAnsi"/>
        </w:rPr>
        <w:t xml:space="preserve"> </w:t>
      </w:r>
    </w:p>
    <w:p w14:paraId="79F814B4" w14:textId="77777777" w:rsidR="003A2255" w:rsidRPr="00570618" w:rsidRDefault="003A2255" w:rsidP="003A2255">
      <w:pPr>
        <w:spacing w:after="240"/>
        <w:jc w:val="both"/>
        <w:rPr>
          <w:rFonts w:cstheme="minorHAnsi"/>
        </w:rPr>
      </w:pPr>
      <w:r w:rsidRPr="00570618">
        <w:rPr>
          <w:rFonts w:cstheme="minorHAnsi"/>
        </w:rPr>
        <w:t xml:space="preserve">Internetové stránky encyklopedie Wikipedia </w:t>
      </w:r>
      <w:hyperlink r:id="rId189" w:history="1">
        <w:r w:rsidRPr="00570618">
          <w:rPr>
            <w:rStyle w:val="Hypertextovodkaz"/>
            <w:rFonts w:cstheme="minorHAnsi"/>
          </w:rPr>
          <w:t>https://cs.wikipedia.org/</w:t>
        </w:r>
      </w:hyperlink>
      <w:r w:rsidRPr="00570618">
        <w:rPr>
          <w:rFonts w:cstheme="minorHAnsi"/>
        </w:rPr>
        <w:t xml:space="preserve"> </w:t>
      </w:r>
    </w:p>
    <w:p w14:paraId="3D3F2671" w14:textId="77777777" w:rsidR="003A2255" w:rsidRPr="00A70F81" w:rsidRDefault="003A2255" w:rsidP="003A2255">
      <w:pPr>
        <w:spacing w:after="240"/>
        <w:jc w:val="both"/>
        <w:rPr>
          <w:rFonts w:cstheme="minorHAnsi"/>
        </w:rPr>
      </w:pPr>
      <w:r w:rsidRPr="00A70F81">
        <w:rPr>
          <w:rFonts w:cstheme="minorHAnsi"/>
        </w:rPr>
        <w:t xml:space="preserve">Internetové stránky Hasičského záchranného sboru České republiky </w:t>
      </w:r>
      <w:hyperlink r:id="rId190" w:history="1">
        <w:r w:rsidRPr="00A70F81">
          <w:rPr>
            <w:rStyle w:val="Hypertextovodkaz"/>
            <w:rFonts w:cstheme="minorHAnsi"/>
          </w:rPr>
          <w:t>https://www.hzscr.cz/</w:t>
        </w:r>
      </w:hyperlink>
    </w:p>
    <w:p w14:paraId="3AB28A01" w14:textId="77777777" w:rsidR="003A2255" w:rsidRPr="00570618" w:rsidRDefault="003A2255" w:rsidP="003A2255">
      <w:pPr>
        <w:spacing w:after="240"/>
        <w:jc w:val="both"/>
        <w:rPr>
          <w:rFonts w:cstheme="minorHAnsi"/>
        </w:rPr>
      </w:pPr>
      <w:r w:rsidRPr="00570618">
        <w:rPr>
          <w:rFonts w:cstheme="minorHAnsi"/>
        </w:rPr>
        <w:t xml:space="preserve">Internetové stránky Insolvenčního rejstříku </w:t>
      </w:r>
      <w:hyperlink r:id="rId191" w:history="1">
        <w:r w:rsidRPr="00570618">
          <w:rPr>
            <w:rStyle w:val="Hypertextovodkaz"/>
          </w:rPr>
          <w:t>https://isir.justice.cz/</w:t>
        </w:r>
      </w:hyperlink>
    </w:p>
    <w:p w14:paraId="6E6510BE" w14:textId="77777777" w:rsidR="003A2255" w:rsidRPr="00FA632C" w:rsidRDefault="003A2255" w:rsidP="003A2255">
      <w:pPr>
        <w:spacing w:after="240"/>
        <w:jc w:val="both"/>
        <w:rPr>
          <w:rFonts w:cstheme="minorHAnsi"/>
        </w:rPr>
      </w:pPr>
      <w:r w:rsidRPr="00FA632C">
        <w:rPr>
          <w:rFonts w:cstheme="minorHAnsi"/>
        </w:rPr>
        <w:lastRenderedPageBreak/>
        <w:t xml:space="preserve">Internetové stránky Integrovaného regionálního operačního programu </w:t>
      </w:r>
      <w:hyperlink r:id="rId192" w:history="1">
        <w:r w:rsidRPr="00FA632C">
          <w:rPr>
            <w:rStyle w:val="Hypertextovodkaz"/>
            <w:rFonts w:cstheme="minorHAnsi"/>
          </w:rPr>
          <w:t>https://irop.mmr.cz/</w:t>
        </w:r>
      </w:hyperlink>
      <w:r w:rsidRPr="00FA632C">
        <w:rPr>
          <w:rFonts w:cstheme="minorHAnsi"/>
        </w:rPr>
        <w:t xml:space="preserve"> </w:t>
      </w:r>
    </w:p>
    <w:p w14:paraId="364034B2" w14:textId="77777777" w:rsidR="003A2255" w:rsidRPr="00ED5951" w:rsidRDefault="003A2255" w:rsidP="003A2255">
      <w:pPr>
        <w:spacing w:after="240"/>
        <w:jc w:val="both"/>
        <w:rPr>
          <w:rFonts w:cstheme="minorHAnsi"/>
        </w:rPr>
      </w:pPr>
      <w:r w:rsidRPr="00ED5951">
        <w:rPr>
          <w:rFonts w:cstheme="minorHAnsi"/>
        </w:rPr>
        <w:t xml:space="preserve">Internetové stránky Královehradeckého kraje </w:t>
      </w:r>
      <w:hyperlink r:id="rId193" w:history="1">
        <w:r w:rsidRPr="00ED5951">
          <w:rPr>
            <w:rStyle w:val="Hypertextovodkaz"/>
            <w:rFonts w:cstheme="minorHAnsi"/>
          </w:rPr>
          <w:t>https://www.kr-kralovehradecky.cz/</w:t>
        </w:r>
      </w:hyperlink>
      <w:r w:rsidRPr="00ED5951">
        <w:rPr>
          <w:rFonts w:cstheme="minorHAnsi"/>
        </w:rPr>
        <w:t xml:space="preserve"> </w:t>
      </w:r>
    </w:p>
    <w:p w14:paraId="58326B40" w14:textId="77777777" w:rsidR="003A2255" w:rsidRPr="00ED5951" w:rsidRDefault="003A2255" w:rsidP="003A2255">
      <w:pPr>
        <w:spacing w:after="240"/>
        <w:jc w:val="both"/>
        <w:rPr>
          <w:rFonts w:cstheme="minorHAnsi"/>
        </w:rPr>
      </w:pPr>
      <w:r w:rsidRPr="00ED5951">
        <w:rPr>
          <w:rFonts w:cstheme="minorHAnsi"/>
        </w:rPr>
        <w:t xml:space="preserve">Internetové stránky Místní akční skupiny Království-Jestřebí hory, o. p. s. </w:t>
      </w:r>
      <w:hyperlink r:id="rId194" w:history="1">
        <w:r w:rsidRPr="00ED5951">
          <w:rPr>
            <w:rStyle w:val="Hypertextovodkaz"/>
            <w:rFonts w:cstheme="minorHAnsi"/>
          </w:rPr>
          <w:t>https://www.kjh.cz/</w:t>
        </w:r>
      </w:hyperlink>
      <w:r w:rsidRPr="00ED5951">
        <w:rPr>
          <w:rFonts w:cstheme="minorHAnsi"/>
        </w:rPr>
        <w:t xml:space="preserve"> </w:t>
      </w:r>
    </w:p>
    <w:p w14:paraId="2149673E" w14:textId="77777777" w:rsidR="003A2255" w:rsidRPr="00FA632C" w:rsidRDefault="003A2255" w:rsidP="003A2255">
      <w:pPr>
        <w:spacing w:after="240"/>
        <w:jc w:val="both"/>
        <w:rPr>
          <w:rFonts w:cstheme="minorHAnsi"/>
        </w:rPr>
      </w:pPr>
      <w:r w:rsidRPr="00FA632C">
        <w:rPr>
          <w:rFonts w:cstheme="minorHAnsi"/>
        </w:rPr>
        <w:t xml:space="preserve">Internetové stránky Ministerstva dopravy </w:t>
      </w:r>
      <w:hyperlink r:id="rId195" w:history="1">
        <w:r w:rsidRPr="00FA632C">
          <w:rPr>
            <w:rStyle w:val="Hypertextovodkaz"/>
            <w:rFonts w:cstheme="minorHAnsi"/>
          </w:rPr>
          <w:t>https://www.mdcr.cz/</w:t>
        </w:r>
      </w:hyperlink>
      <w:r w:rsidRPr="00FA632C">
        <w:rPr>
          <w:rFonts w:cstheme="minorHAnsi"/>
        </w:rPr>
        <w:t xml:space="preserve"> </w:t>
      </w:r>
    </w:p>
    <w:p w14:paraId="180A8C12" w14:textId="77777777" w:rsidR="003A2255" w:rsidRPr="00FA632C" w:rsidRDefault="003A2255" w:rsidP="003A2255">
      <w:pPr>
        <w:spacing w:after="240"/>
        <w:jc w:val="both"/>
        <w:rPr>
          <w:rFonts w:cstheme="minorHAnsi"/>
        </w:rPr>
      </w:pPr>
      <w:r w:rsidRPr="00FA632C">
        <w:rPr>
          <w:rFonts w:cstheme="minorHAnsi"/>
        </w:rPr>
        <w:t xml:space="preserve">Internetové stránky Ministerstva financí </w:t>
      </w:r>
      <w:hyperlink r:id="rId196" w:history="1">
        <w:r w:rsidRPr="00FA632C">
          <w:rPr>
            <w:rStyle w:val="Hypertextovodkaz"/>
            <w:rFonts w:cstheme="minorHAnsi"/>
          </w:rPr>
          <w:t>https://www.mfcr.cz/</w:t>
        </w:r>
      </w:hyperlink>
      <w:r w:rsidRPr="00FA632C">
        <w:rPr>
          <w:rFonts w:cstheme="minorHAnsi"/>
        </w:rPr>
        <w:t xml:space="preserve"> </w:t>
      </w:r>
    </w:p>
    <w:p w14:paraId="67AC3A25" w14:textId="77777777" w:rsidR="003A2255" w:rsidRPr="007056DC" w:rsidRDefault="003A2255" w:rsidP="003A2255">
      <w:pPr>
        <w:spacing w:after="240"/>
        <w:jc w:val="both"/>
        <w:rPr>
          <w:rFonts w:cstheme="minorHAnsi"/>
        </w:rPr>
      </w:pPr>
      <w:r w:rsidRPr="007056DC">
        <w:rPr>
          <w:rFonts w:cstheme="minorHAnsi"/>
        </w:rPr>
        <w:t xml:space="preserve">Internetové stránky Ministerstva práce a sociálních věcí </w:t>
      </w:r>
      <w:hyperlink r:id="rId197" w:history="1">
        <w:r w:rsidRPr="007056DC">
          <w:rPr>
            <w:rStyle w:val="Hypertextovodkaz"/>
            <w:rFonts w:cstheme="minorHAnsi"/>
          </w:rPr>
          <w:t>https://www.mpsv.cz/</w:t>
        </w:r>
      </w:hyperlink>
      <w:r w:rsidRPr="007056DC">
        <w:rPr>
          <w:rFonts w:cstheme="minorHAnsi"/>
        </w:rPr>
        <w:t xml:space="preserve"> </w:t>
      </w:r>
    </w:p>
    <w:p w14:paraId="553F92B4" w14:textId="77777777" w:rsidR="003A2255" w:rsidRPr="00ED5951" w:rsidRDefault="003A2255" w:rsidP="003A2255">
      <w:pPr>
        <w:spacing w:after="240"/>
        <w:jc w:val="both"/>
        <w:rPr>
          <w:rFonts w:cstheme="minorHAnsi"/>
        </w:rPr>
      </w:pPr>
      <w:r w:rsidRPr="00ED5951">
        <w:rPr>
          <w:rFonts w:cstheme="minorHAnsi"/>
        </w:rPr>
        <w:t xml:space="preserve">Internetové stránky Ministerstva pro místní rozvoj </w:t>
      </w:r>
      <w:hyperlink r:id="rId198" w:history="1">
        <w:r w:rsidRPr="00ED5951">
          <w:rPr>
            <w:rStyle w:val="Hypertextovodkaz"/>
            <w:rFonts w:cstheme="minorHAnsi"/>
          </w:rPr>
          <w:t>https://www.mmr.cz/</w:t>
        </w:r>
      </w:hyperlink>
    </w:p>
    <w:p w14:paraId="02EBE780" w14:textId="77777777" w:rsidR="003A2255" w:rsidRPr="00A70F81" w:rsidRDefault="003A2255" w:rsidP="003A2255">
      <w:pPr>
        <w:spacing w:after="240"/>
        <w:jc w:val="both"/>
        <w:rPr>
          <w:rFonts w:cstheme="minorHAnsi"/>
        </w:rPr>
      </w:pPr>
      <w:r w:rsidRPr="00A70F81">
        <w:t xml:space="preserve">Internetové stránky Ministerstva vnitra </w:t>
      </w:r>
      <w:hyperlink r:id="rId199" w:history="1">
        <w:r w:rsidRPr="00A70F81">
          <w:rPr>
            <w:rStyle w:val="Hypertextovodkaz"/>
          </w:rPr>
          <w:t>https://www.mvcr.cz/</w:t>
        </w:r>
      </w:hyperlink>
    </w:p>
    <w:p w14:paraId="2F1CC064" w14:textId="77777777" w:rsidR="003A2255" w:rsidRPr="00A70F81" w:rsidRDefault="003A2255" w:rsidP="003A2255">
      <w:pPr>
        <w:spacing w:after="240"/>
        <w:jc w:val="both"/>
        <w:rPr>
          <w:rFonts w:cstheme="minorHAnsi"/>
        </w:rPr>
      </w:pPr>
      <w:r w:rsidRPr="00A70F81">
        <w:t xml:space="preserve">Internetové stránky Ministerstva zemědělství </w:t>
      </w:r>
      <w:hyperlink r:id="rId200" w:history="1">
        <w:r w:rsidRPr="00A70F81">
          <w:rPr>
            <w:rStyle w:val="Hypertextovodkaz"/>
          </w:rPr>
          <w:t>https://eagri.cz/</w:t>
        </w:r>
      </w:hyperlink>
      <w:r w:rsidRPr="00A70F81">
        <w:t xml:space="preserve"> </w:t>
      </w:r>
    </w:p>
    <w:p w14:paraId="7D0D7A38" w14:textId="77777777" w:rsidR="003A2255" w:rsidRPr="00FA632C" w:rsidRDefault="003A2255" w:rsidP="003A2255">
      <w:pPr>
        <w:spacing w:after="240"/>
        <w:jc w:val="both"/>
        <w:rPr>
          <w:rFonts w:cstheme="minorHAnsi"/>
        </w:rPr>
      </w:pPr>
      <w:r w:rsidRPr="00FA632C">
        <w:t xml:space="preserve">Internetové stránky Ministerstva životního prostředí </w:t>
      </w:r>
      <w:hyperlink r:id="rId201" w:history="1">
        <w:r w:rsidRPr="00FA632C">
          <w:rPr>
            <w:rStyle w:val="Hypertextovodkaz"/>
          </w:rPr>
          <w:t>https://www.mzp.cz/</w:t>
        </w:r>
      </w:hyperlink>
      <w:r w:rsidRPr="00FA632C">
        <w:t xml:space="preserve"> </w:t>
      </w:r>
    </w:p>
    <w:p w14:paraId="0916A88A" w14:textId="77777777" w:rsidR="003A2255" w:rsidRPr="007056DC" w:rsidRDefault="003A2255" w:rsidP="003A2255">
      <w:pPr>
        <w:spacing w:after="240"/>
        <w:jc w:val="both"/>
        <w:rPr>
          <w:rFonts w:cstheme="minorHAnsi"/>
        </w:rPr>
      </w:pPr>
      <w:r w:rsidRPr="007056DC">
        <w:rPr>
          <w:rFonts w:cstheme="minorHAnsi"/>
        </w:rPr>
        <w:t xml:space="preserve">Internetové stránky Národní databáze brownfieldů </w:t>
      </w:r>
      <w:hyperlink r:id="rId202" w:history="1">
        <w:r w:rsidRPr="0071584A">
          <w:rPr>
            <w:rStyle w:val="Hypertextovodkaz"/>
            <w:rFonts w:cstheme="minorHAnsi"/>
          </w:rPr>
          <w:t>https://www.brownfieldy.eu/</w:t>
        </w:r>
      </w:hyperlink>
      <w:r w:rsidRPr="007056DC">
        <w:rPr>
          <w:rFonts w:cstheme="minorHAnsi"/>
        </w:rPr>
        <w:t xml:space="preserve"> </w:t>
      </w:r>
    </w:p>
    <w:p w14:paraId="454C62B7" w14:textId="77777777" w:rsidR="003A2255" w:rsidRPr="008A226C" w:rsidRDefault="003A2255" w:rsidP="003A2255">
      <w:pPr>
        <w:spacing w:after="240"/>
        <w:jc w:val="both"/>
        <w:rPr>
          <w:rFonts w:cstheme="minorHAnsi"/>
        </w:rPr>
      </w:pPr>
      <w:r w:rsidRPr="008A226C">
        <w:rPr>
          <w:rFonts w:cstheme="minorHAnsi"/>
        </w:rPr>
        <w:t xml:space="preserve">Internetové stránky Národního geoportálu INSPIRE </w:t>
      </w:r>
      <w:hyperlink r:id="rId203" w:history="1">
        <w:r w:rsidRPr="008A226C">
          <w:rPr>
            <w:rStyle w:val="Hypertextovodkaz"/>
            <w:rFonts w:cstheme="minorHAnsi"/>
          </w:rPr>
          <w:t>https://geoportal.gov.cz/</w:t>
        </w:r>
      </w:hyperlink>
    </w:p>
    <w:p w14:paraId="1E73E33E" w14:textId="77777777" w:rsidR="003A2255" w:rsidRPr="00C91DB9" w:rsidRDefault="003A2255" w:rsidP="003A2255">
      <w:pPr>
        <w:spacing w:after="240"/>
        <w:jc w:val="both"/>
        <w:rPr>
          <w:rFonts w:cstheme="minorHAnsi"/>
        </w:rPr>
      </w:pPr>
      <w:r w:rsidRPr="00C91DB9">
        <w:rPr>
          <w:rFonts w:cstheme="minorHAnsi"/>
        </w:rPr>
        <w:t xml:space="preserve">Internetové stránky Národního registru pramenů a studánek </w:t>
      </w:r>
      <w:hyperlink r:id="rId204" w:history="1">
        <w:r w:rsidRPr="00C91DB9">
          <w:rPr>
            <w:rStyle w:val="Hypertextovodkaz"/>
            <w:rFonts w:cstheme="minorHAnsi"/>
          </w:rPr>
          <w:t>https://www.estudanky.eu/</w:t>
        </w:r>
      </w:hyperlink>
    </w:p>
    <w:p w14:paraId="5EE1966A" w14:textId="77777777" w:rsidR="003A2255" w:rsidRPr="008A226C" w:rsidRDefault="003A2255" w:rsidP="003A2255">
      <w:pPr>
        <w:spacing w:after="240"/>
        <w:jc w:val="both"/>
        <w:rPr>
          <w:rFonts w:cstheme="minorHAnsi"/>
          <w:highlight w:val="yellow"/>
        </w:rPr>
      </w:pPr>
      <w:r w:rsidRPr="00570618">
        <w:t xml:space="preserve">Internetové stránky obce Staré Buky </w:t>
      </w:r>
      <w:hyperlink r:id="rId205" w:history="1">
        <w:r w:rsidRPr="0071584A">
          <w:rPr>
            <w:rStyle w:val="Hypertextovodkaz"/>
          </w:rPr>
          <w:t>https://www.starebuky.cz/</w:t>
        </w:r>
      </w:hyperlink>
      <w:r>
        <w:t xml:space="preserve"> </w:t>
      </w:r>
      <w:r w:rsidRPr="008A226C">
        <w:rPr>
          <w:rFonts w:cstheme="minorHAnsi"/>
          <w:highlight w:val="yellow"/>
        </w:rPr>
        <w:t xml:space="preserve"> </w:t>
      </w:r>
    </w:p>
    <w:p w14:paraId="0F5458FF" w14:textId="77777777" w:rsidR="003A2255" w:rsidRPr="00A70F81" w:rsidRDefault="003A2255" w:rsidP="003A2255">
      <w:pPr>
        <w:spacing w:after="240"/>
        <w:jc w:val="both"/>
        <w:rPr>
          <w:rFonts w:cstheme="minorHAnsi"/>
        </w:rPr>
      </w:pPr>
      <w:r w:rsidRPr="00A70F81">
        <w:rPr>
          <w:rFonts w:cstheme="minorHAnsi"/>
        </w:rPr>
        <w:t xml:space="preserve">Internetové stránky Operačního programu Životní prostředí </w:t>
      </w:r>
      <w:hyperlink r:id="rId206" w:history="1">
        <w:r w:rsidRPr="00A70F81">
          <w:rPr>
            <w:rStyle w:val="Hypertextovodkaz"/>
            <w:rFonts w:cstheme="minorHAnsi"/>
          </w:rPr>
          <w:t>https://www.opzp.cz/</w:t>
        </w:r>
      </w:hyperlink>
      <w:r w:rsidRPr="00A70F81">
        <w:rPr>
          <w:rFonts w:cstheme="minorHAnsi"/>
        </w:rPr>
        <w:t xml:space="preserve"> </w:t>
      </w:r>
    </w:p>
    <w:p w14:paraId="31E6E51C" w14:textId="77777777" w:rsidR="003A2255" w:rsidRPr="00A70F81" w:rsidRDefault="003A2255" w:rsidP="003A2255">
      <w:pPr>
        <w:spacing w:after="240"/>
        <w:jc w:val="both"/>
        <w:rPr>
          <w:rFonts w:cstheme="minorHAnsi"/>
        </w:rPr>
      </w:pPr>
      <w:r w:rsidRPr="00A70F81">
        <w:rPr>
          <w:rFonts w:cstheme="minorHAnsi"/>
        </w:rPr>
        <w:t xml:space="preserve">Internetové stránky Policie České republiky </w:t>
      </w:r>
      <w:hyperlink r:id="rId207" w:history="1">
        <w:r w:rsidRPr="00A70F81">
          <w:rPr>
            <w:rStyle w:val="Hypertextovodkaz"/>
            <w:rFonts w:cstheme="minorHAnsi"/>
          </w:rPr>
          <w:t>https://www.policie.cz/</w:t>
        </w:r>
      </w:hyperlink>
    </w:p>
    <w:p w14:paraId="01F03F0A" w14:textId="77777777" w:rsidR="003A2255" w:rsidRPr="007056DC" w:rsidRDefault="003A2255" w:rsidP="003A2255">
      <w:pPr>
        <w:spacing w:after="240"/>
        <w:jc w:val="both"/>
      </w:pPr>
      <w:r w:rsidRPr="007056DC">
        <w:t xml:space="preserve">Internetové stránky portálu e-chalupy.cz </w:t>
      </w:r>
      <w:hyperlink r:id="rId208" w:history="1">
        <w:r w:rsidRPr="007056DC">
          <w:rPr>
            <w:rStyle w:val="Hypertextovodkaz"/>
          </w:rPr>
          <w:t>https://www.e-chalupy.cz/</w:t>
        </w:r>
      </w:hyperlink>
      <w:r w:rsidRPr="007056DC">
        <w:t xml:space="preserve"> </w:t>
      </w:r>
    </w:p>
    <w:p w14:paraId="78AF0A44" w14:textId="77777777" w:rsidR="003A2255" w:rsidRPr="008A226C" w:rsidRDefault="003A2255" w:rsidP="003A2255">
      <w:pPr>
        <w:spacing w:after="240"/>
        <w:jc w:val="both"/>
        <w:rPr>
          <w:rFonts w:cstheme="minorHAnsi"/>
        </w:rPr>
      </w:pPr>
      <w:r w:rsidRPr="008A226C">
        <w:rPr>
          <w:rFonts w:cstheme="minorHAnsi"/>
        </w:rPr>
        <w:t xml:space="preserve">Internetové stránky Regionálního Informačního Servisu </w:t>
      </w:r>
      <w:hyperlink r:id="rId209" w:history="1">
        <w:r w:rsidRPr="008A226C">
          <w:rPr>
            <w:rStyle w:val="Hypertextovodkaz"/>
            <w:rFonts w:cstheme="minorHAnsi"/>
          </w:rPr>
          <w:t>https://www.risy.cz/</w:t>
        </w:r>
      </w:hyperlink>
    </w:p>
    <w:p w14:paraId="6E29D647" w14:textId="77777777" w:rsidR="003A2255" w:rsidRPr="00523408" w:rsidRDefault="003A2255" w:rsidP="003A2255">
      <w:pPr>
        <w:spacing w:after="240"/>
        <w:jc w:val="both"/>
        <w:rPr>
          <w:rFonts w:cstheme="minorHAnsi"/>
        </w:rPr>
      </w:pPr>
      <w:r w:rsidRPr="00523408">
        <w:rPr>
          <w:rFonts w:cstheme="minorHAnsi"/>
        </w:rPr>
        <w:t xml:space="preserve">Internetové stránky serveru Cyklotrasy.cz </w:t>
      </w:r>
      <w:hyperlink r:id="rId210" w:history="1">
        <w:r w:rsidRPr="00523408">
          <w:rPr>
            <w:rStyle w:val="Hypertextovodkaz"/>
            <w:rFonts w:cstheme="minorHAnsi"/>
          </w:rPr>
          <w:t>http://cyklotrasy.cz/</w:t>
        </w:r>
      </w:hyperlink>
      <w:r w:rsidRPr="00523408">
        <w:rPr>
          <w:rFonts w:cstheme="minorHAnsi"/>
        </w:rPr>
        <w:t xml:space="preserve">  </w:t>
      </w:r>
    </w:p>
    <w:p w14:paraId="560E5136" w14:textId="77777777" w:rsidR="003A2255" w:rsidRPr="007B6381" w:rsidRDefault="003A2255" w:rsidP="003A2255">
      <w:pPr>
        <w:spacing w:after="240"/>
        <w:jc w:val="both"/>
        <w:rPr>
          <w:rFonts w:cstheme="minorHAnsi"/>
        </w:rPr>
      </w:pPr>
      <w:r w:rsidRPr="007B6381">
        <w:rPr>
          <w:rFonts w:cstheme="minorHAnsi"/>
        </w:rPr>
        <w:t>Internetové stránky společnosti</w:t>
      </w:r>
      <w:r w:rsidRPr="007B6381">
        <w:t xml:space="preserve"> </w:t>
      </w:r>
      <w:r w:rsidRPr="007B6381">
        <w:rPr>
          <w:rFonts w:cstheme="minorHAnsi"/>
        </w:rPr>
        <w:t xml:space="preserve">Zemědělská a.s. Výšina </w:t>
      </w:r>
      <w:hyperlink r:id="rId211" w:history="1">
        <w:r w:rsidRPr="007B6381">
          <w:rPr>
            <w:rStyle w:val="Hypertextovodkaz"/>
            <w:rFonts w:cstheme="minorHAnsi"/>
          </w:rPr>
          <w:t>https://zemedelska-a-s-vysina2.webnode.cz/</w:t>
        </w:r>
      </w:hyperlink>
      <w:r w:rsidRPr="007B6381">
        <w:rPr>
          <w:rFonts w:cstheme="minorHAnsi"/>
        </w:rPr>
        <w:t xml:space="preserve">  </w:t>
      </w:r>
    </w:p>
    <w:p w14:paraId="7E4E6259" w14:textId="77777777" w:rsidR="003A2255" w:rsidRPr="007B6381" w:rsidRDefault="003A2255" w:rsidP="003A2255">
      <w:pPr>
        <w:spacing w:after="240"/>
        <w:jc w:val="both"/>
        <w:rPr>
          <w:rFonts w:cstheme="minorHAnsi"/>
        </w:rPr>
      </w:pPr>
      <w:r w:rsidRPr="007B6381">
        <w:rPr>
          <w:rFonts w:cstheme="minorHAnsi"/>
        </w:rPr>
        <w:t>Internetové stránky společnosti</w:t>
      </w:r>
      <w:r w:rsidRPr="007B6381">
        <w:t xml:space="preserve"> </w:t>
      </w:r>
      <w:r w:rsidRPr="007B6381">
        <w:rPr>
          <w:rFonts w:cstheme="minorHAnsi"/>
        </w:rPr>
        <w:t xml:space="preserve">ATOL PP, s.r.o. </w:t>
      </w:r>
      <w:hyperlink r:id="rId212" w:history="1">
        <w:r w:rsidRPr="007B6381">
          <w:rPr>
            <w:rStyle w:val="Hypertextovodkaz"/>
            <w:rFonts w:cstheme="minorHAnsi"/>
          </w:rPr>
          <w:t>https://atol-pp.sluzby.cz/</w:t>
        </w:r>
      </w:hyperlink>
      <w:r w:rsidRPr="007B6381">
        <w:rPr>
          <w:rFonts w:cstheme="minorHAnsi"/>
        </w:rPr>
        <w:t xml:space="preserve">  </w:t>
      </w:r>
    </w:p>
    <w:p w14:paraId="201FF974" w14:textId="77777777" w:rsidR="003A2255" w:rsidRPr="007B6381" w:rsidRDefault="003A2255" w:rsidP="003A2255">
      <w:pPr>
        <w:spacing w:after="240"/>
        <w:jc w:val="both"/>
        <w:rPr>
          <w:rFonts w:cstheme="minorHAnsi"/>
        </w:rPr>
      </w:pPr>
      <w:r w:rsidRPr="007B6381">
        <w:rPr>
          <w:rFonts w:cstheme="minorHAnsi"/>
        </w:rPr>
        <w:t xml:space="preserve">Internetové stránky společnosti GO KULTURA s.r.o. </w:t>
      </w:r>
      <w:hyperlink r:id="rId213" w:history="1">
        <w:r w:rsidRPr="007B6381">
          <w:rPr>
            <w:rStyle w:val="Hypertextovodkaz"/>
            <w:rFonts w:cstheme="minorHAnsi"/>
          </w:rPr>
          <w:t>https://go-kultura.cz/</w:t>
        </w:r>
      </w:hyperlink>
      <w:r w:rsidRPr="007B6381">
        <w:rPr>
          <w:rFonts w:cstheme="minorHAnsi"/>
        </w:rPr>
        <w:t xml:space="preserve">  </w:t>
      </w:r>
    </w:p>
    <w:p w14:paraId="05B19A35" w14:textId="77777777" w:rsidR="003A2255" w:rsidRPr="007B6381" w:rsidRDefault="003A2255" w:rsidP="003A2255">
      <w:pPr>
        <w:spacing w:after="240"/>
        <w:jc w:val="both"/>
        <w:rPr>
          <w:rFonts w:cstheme="minorHAnsi"/>
        </w:rPr>
      </w:pPr>
      <w:r w:rsidRPr="007B6381">
        <w:rPr>
          <w:rFonts w:cstheme="minorHAnsi"/>
        </w:rPr>
        <w:t xml:space="preserve">Internetové stránky společnosti 4MC - Masters of Creativy s.r.o. </w:t>
      </w:r>
      <w:hyperlink r:id="rId214" w:history="1">
        <w:r w:rsidRPr="007B6381">
          <w:rPr>
            <w:rStyle w:val="Hypertextovodkaz"/>
            <w:rFonts w:cstheme="minorHAnsi"/>
          </w:rPr>
          <w:t>https://www.4mc.eu/</w:t>
        </w:r>
      </w:hyperlink>
      <w:r w:rsidRPr="007B6381">
        <w:rPr>
          <w:rFonts w:cstheme="minorHAnsi"/>
        </w:rPr>
        <w:t xml:space="preserve">  </w:t>
      </w:r>
    </w:p>
    <w:p w14:paraId="0975862D" w14:textId="77777777" w:rsidR="003A2255" w:rsidRPr="007B6381" w:rsidRDefault="003A2255" w:rsidP="003A2255">
      <w:pPr>
        <w:spacing w:after="240"/>
        <w:jc w:val="both"/>
        <w:rPr>
          <w:rFonts w:cstheme="minorHAnsi"/>
        </w:rPr>
      </w:pPr>
      <w:r w:rsidRPr="007B6381">
        <w:rPr>
          <w:rFonts w:cstheme="minorHAnsi"/>
        </w:rPr>
        <w:t xml:space="preserve">Internetové stránky společnosti VP STAR s.r.o. </w:t>
      </w:r>
      <w:hyperlink r:id="rId215" w:history="1">
        <w:r w:rsidRPr="007B6381">
          <w:rPr>
            <w:rStyle w:val="Hypertextovodkaz"/>
            <w:rFonts w:cstheme="minorHAnsi"/>
          </w:rPr>
          <w:t>https://vpstar.cz/</w:t>
        </w:r>
      </w:hyperlink>
      <w:r w:rsidRPr="007B6381">
        <w:rPr>
          <w:rFonts w:cstheme="minorHAnsi"/>
        </w:rPr>
        <w:t xml:space="preserve">  </w:t>
      </w:r>
    </w:p>
    <w:p w14:paraId="7CA9122F" w14:textId="77777777" w:rsidR="003A2255" w:rsidRPr="008A226C" w:rsidRDefault="003A2255" w:rsidP="003A2255">
      <w:pPr>
        <w:spacing w:after="240"/>
        <w:rPr>
          <w:rFonts w:cstheme="minorHAnsi"/>
          <w:highlight w:val="yellow"/>
        </w:rPr>
      </w:pPr>
      <w:r w:rsidRPr="007B6381">
        <w:rPr>
          <w:rFonts w:cstheme="minorHAnsi"/>
        </w:rPr>
        <w:t>Internetové stránky společnosti</w:t>
      </w:r>
      <w:r w:rsidRPr="007B6381">
        <w:t xml:space="preserve"> </w:t>
      </w:r>
      <w:r w:rsidRPr="007B6381">
        <w:rPr>
          <w:rFonts w:cstheme="minorHAnsi"/>
        </w:rPr>
        <w:t>ZDRAVÁ FARMA s.r.o.</w:t>
      </w:r>
      <w:r>
        <w:rPr>
          <w:rFonts w:cstheme="minorHAnsi"/>
        </w:rPr>
        <w:t xml:space="preserve"> </w:t>
      </w:r>
      <w:r>
        <w:rPr>
          <w:rFonts w:cstheme="minorHAnsi"/>
        </w:rPr>
        <w:br/>
      </w:r>
      <w:hyperlink r:id="rId216" w:history="1">
        <w:r w:rsidRPr="0071584A">
          <w:rPr>
            <w:rStyle w:val="Hypertextovodkaz"/>
            <w:rFonts w:cstheme="minorHAnsi"/>
          </w:rPr>
          <w:t>https://www.facebook.com/Zdrav%C3%A1-FARMA-sro-148271709164267/</w:t>
        </w:r>
      </w:hyperlink>
      <w:r>
        <w:rPr>
          <w:rFonts w:cstheme="minorHAnsi"/>
          <w:highlight w:val="yellow"/>
        </w:rPr>
        <w:t xml:space="preserve"> </w:t>
      </w:r>
    </w:p>
    <w:p w14:paraId="7D2B8ADC" w14:textId="77777777" w:rsidR="003A2255" w:rsidRPr="00570618" w:rsidRDefault="003A2255" w:rsidP="003A2255">
      <w:pPr>
        <w:spacing w:after="240"/>
        <w:jc w:val="both"/>
        <w:rPr>
          <w:rFonts w:cstheme="minorHAnsi"/>
        </w:rPr>
      </w:pPr>
      <w:r w:rsidRPr="00570618">
        <w:rPr>
          <w:rFonts w:cstheme="minorHAnsi"/>
        </w:rPr>
        <w:t xml:space="preserve">Internetové stránky spolku ELDORÁDO, středisko Legenda </w:t>
      </w:r>
      <w:hyperlink r:id="rId217" w:history="1">
        <w:r w:rsidRPr="00570618">
          <w:rPr>
            <w:rStyle w:val="Hypertextovodkaz"/>
            <w:rFonts w:cstheme="minorHAnsi"/>
          </w:rPr>
          <w:t>https://www.tabor-legenda.cz/</w:t>
        </w:r>
      </w:hyperlink>
      <w:r>
        <w:rPr>
          <w:rFonts w:cstheme="minorHAnsi"/>
        </w:rPr>
        <w:t xml:space="preserve"> </w:t>
      </w:r>
    </w:p>
    <w:p w14:paraId="0A7B0872" w14:textId="77777777" w:rsidR="003A2255" w:rsidRPr="00570618" w:rsidRDefault="003A2255" w:rsidP="003A2255">
      <w:pPr>
        <w:spacing w:after="240"/>
        <w:rPr>
          <w:rFonts w:cstheme="minorHAnsi"/>
        </w:rPr>
      </w:pPr>
      <w:r w:rsidRPr="00570618">
        <w:rPr>
          <w:rFonts w:cstheme="minorHAnsi"/>
        </w:rPr>
        <w:lastRenderedPageBreak/>
        <w:t>Internetové stránky spolku</w:t>
      </w:r>
      <w:r w:rsidRPr="00570618">
        <w:t xml:space="preserve"> </w:t>
      </w:r>
      <w:r w:rsidRPr="00570618">
        <w:rPr>
          <w:rFonts w:cstheme="minorHAnsi"/>
        </w:rPr>
        <w:t xml:space="preserve">Tělovýchovná jednota Sokol Staré Buky, z.s. </w:t>
      </w:r>
      <w:r w:rsidRPr="00570618">
        <w:rPr>
          <w:rFonts w:cstheme="minorHAnsi"/>
        </w:rPr>
        <w:br/>
      </w:r>
      <w:hyperlink r:id="rId218" w:history="1">
        <w:r w:rsidRPr="00570618">
          <w:rPr>
            <w:rStyle w:val="Hypertextovodkaz"/>
            <w:rFonts w:cstheme="minorHAnsi"/>
          </w:rPr>
          <w:t>https://tjsokolstarebuky.netstranky.cz</w:t>
        </w:r>
      </w:hyperlink>
      <w:r>
        <w:rPr>
          <w:rFonts w:cstheme="minorHAnsi"/>
        </w:rPr>
        <w:t xml:space="preserve"> </w:t>
      </w:r>
    </w:p>
    <w:p w14:paraId="2CFFADE5" w14:textId="77777777" w:rsidR="003A2255" w:rsidRDefault="003A2255" w:rsidP="003A2255">
      <w:pPr>
        <w:spacing w:after="240"/>
        <w:jc w:val="both"/>
        <w:rPr>
          <w:rFonts w:cstheme="minorHAnsi"/>
        </w:rPr>
      </w:pPr>
      <w:r w:rsidRPr="007B6381">
        <w:rPr>
          <w:rFonts w:cstheme="minorHAnsi"/>
        </w:rPr>
        <w:t>Internetové stránky</w:t>
      </w:r>
      <w:r>
        <w:rPr>
          <w:rFonts w:cstheme="minorHAnsi"/>
        </w:rPr>
        <w:t xml:space="preserve"> Státního fondu</w:t>
      </w:r>
      <w:r w:rsidRPr="008816F7">
        <w:rPr>
          <w:rFonts w:eastAsia="Calibri" w:cstheme="minorHAnsi"/>
        </w:rPr>
        <w:t xml:space="preserve"> </w:t>
      </w:r>
      <w:r w:rsidRPr="007E01B2">
        <w:rPr>
          <w:rFonts w:eastAsia="Calibri" w:cstheme="minorHAnsi"/>
        </w:rPr>
        <w:t>dopravní infrastruktury</w:t>
      </w:r>
      <w:r>
        <w:rPr>
          <w:rFonts w:eastAsia="Calibri" w:cstheme="minorHAnsi"/>
        </w:rPr>
        <w:t xml:space="preserve"> </w:t>
      </w:r>
      <w:hyperlink r:id="rId219" w:history="1">
        <w:r w:rsidRPr="0071584A">
          <w:rPr>
            <w:rStyle w:val="Hypertextovodkaz"/>
            <w:rFonts w:eastAsia="Calibri" w:cstheme="minorHAnsi"/>
          </w:rPr>
          <w:t>https://www.sfdi.cz/</w:t>
        </w:r>
      </w:hyperlink>
      <w:r>
        <w:rPr>
          <w:rFonts w:eastAsia="Calibri" w:cstheme="minorHAnsi"/>
        </w:rPr>
        <w:t xml:space="preserve"> </w:t>
      </w:r>
    </w:p>
    <w:p w14:paraId="67BEF1AC" w14:textId="77777777" w:rsidR="003A2255" w:rsidRDefault="003A2255" w:rsidP="003A2255">
      <w:pPr>
        <w:spacing w:after="240"/>
        <w:jc w:val="both"/>
        <w:rPr>
          <w:rFonts w:cstheme="minorHAnsi"/>
        </w:rPr>
      </w:pPr>
      <w:r w:rsidRPr="007B6381">
        <w:rPr>
          <w:rFonts w:cstheme="minorHAnsi"/>
        </w:rPr>
        <w:t>Internetové stránky</w:t>
      </w:r>
      <w:r w:rsidRPr="008816F7">
        <w:rPr>
          <w:rFonts w:cstheme="minorHAnsi"/>
        </w:rPr>
        <w:t xml:space="preserve"> </w:t>
      </w:r>
      <w:r>
        <w:rPr>
          <w:rFonts w:cstheme="minorHAnsi"/>
        </w:rPr>
        <w:t>Státního fondu</w:t>
      </w:r>
      <w:r w:rsidRPr="008816F7">
        <w:rPr>
          <w:rFonts w:eastAsia="Calibri" w:cstheme="minorHAnsi"/>
        </w:rPr>
        <w:t xml:space="preserve"> </w:t>
      </w:r>
      <w:r>
        <w:rPr>
          <w:rFonts w:eastAsia="Calibri" w:cstheme="minorHAnsi"/>
        </w:rPr>
        <w:t xml:space="preserve">podpory investic </w:t>
      </w:r>
      <w:hyperlink r:id="rId220" w:history="1">
        <w:r w:rsidRPr="0071584A">
          <w:rPr>
            <w:rStyle w:val="Hypertextovodkaz"/>
            <w:rFonts w:eastAsia="Calibri" w:cstheme="minorHAnsi"/>
          </w:rPr>
          <w:t>https://sfpi.cz/</w:t>
        </w:r>
      </w:hyperlink>
      <w:r>
        <w:rPr>
          <w:rFonts w:eastAsia="Calibri" w:cstheme="minorHAnsi"/>
        </w:rPr>
        <w:t xml:space="preserve"> </w:t>
      </w:r>
    </w:p>
    <w:p w14:paraId="234A3844" w14:textId="77777777" w:rsidR="003A2255" w:rsidRDefault="003A2255" w:rsidP="003A2255">
      <w:pPr>
        <w:spacing w:after="240"/>
        <w:jc w:val="both"/>
        <w:rPr>
          <w:rFonts w:cstheme="minorHAnsi"/>
        </w:rPr>
      </w:pPr>
      <w:r w:rsidRPr="007B6381">
        <w:rPr>
          <w:rFonts w:cstheme="minorHAnsi"/>
        </w:rPr>
        <w:t>Internetové stránky</w:t>
      </w:r>
      <w:r w:rsidRPr="008816F7">
        <w:rPr>
          <w:rFonts w:cstheme="minorHAnsi"/>
        </w:rPr>
        <w:t xml:space="preserve"> </w:t>
      </w:r>
      <w:r>
        <w:rPr>
          <w:rFonts w:cstheme="minorHAnsi"/>
        </w:rPr>
        <w:t>Státního fondu</w:t>
      </w:r>
      <w:r w:rsidRPr="008816F7">
        <w:rPr>
          <w:rFonts w:eastAsia="Calibri" w:cstheme="minorHAnsi"/>
        </w:rPr>
        <w:t xml:space="preserve"> </w:t>
      </w:r>
      <w:r>
        <w:rPr>
          <w:rFonts w:eastAsia="Calibri" w:cstheme="minorHAnsi"/>
        </w:rPr>
        <w:t xml:space="preserve">životního prostředí </w:t>
      </w:r>
      <w:hyperlink r:id="rId221" w:history="1">
        <w:r w:rsidRPr="0071584A">
          <w:rPr>
            <w:rStyle w:val="Hypertextovodkaz"/>
            <w:rFonts w:eastAsia="Calibri" w:cstheme="minorHAnsi"/>
          </w:rPr>
          <w:t>https://www.sfzp.cz/</w:t>
        </w:r>
      </w:hyperlink>
      <w:r>
        <w:rPr>
          <w:rFonts w:eastAsia="Calibri" w:cstheme="minorHAnsi"/>
        </w:rPr>
        <w:t xml:space="preserve"> </w:t>
      </w:r>
    </w:p>
    <w:p w14:paraId="715D47F1" w14:textId="77777777" w:rsidR="003A2255" w:rsidRDefault="003A2255" w:rsidP="003A2255">
      <w:pPr>
        <w:spacing w:after="240"/>
        <w:jc w:val="both"/>
        <w:rPr>
          <w:rFonts w:ascii="Calibri" w:eastAsia="Calibri" w:hAnsi="Calibri" w:cs="Calibri"/>
          <w:highlight w:val="yellow"/>
        </w:rPr>
      </w:pPr>
      <w:r w:rsidRPr="008A226C">
        <w:rPr>
          <w:rFonts w:ascii="Calibri" w:eastAsia="Calibri" w:hAnsi="Calibri" w:cs="Calibri"/>
        </w:rPr>
        <w:t xml:space="preserve">Internetové stránky Územně identifikačního registru České republiky </w:t>
      </w:r>
      <w:hyperlink r:id="rId222" w:history="1">
        <w:r w:rsidRPr="0071584A">
          <w:rPr>
            <w:rStyle w:val="Hypertextovodkaz"/>
            <w:rFonts w:ascii="Calibri" w:eastAsia="Calibri" w:hAnsi="Calibri" w:cs="Calibri"/>
          </w:rPr>
          <w:t>http://www.uir.cz/</w:t>
        </w:r>
      </w:hyperlink>
      <w:r>
        <w:rPr>
          <w:rFonts w:ascii="Calibri" w:eastAsia="Calibri" w:hAnsi="Calibri" w:cs="Calibri"/>
        </w:rPr>
        <w:t xml:space="preserve"> </w:t>
      </w:r>
    </w:p>
    <w:p w14:paraId="229DCE15" w14:textId="77777777" w:rsidR="003A2255" w:rsidRPr="00A70F81" w:rsidRDefault="003A2255" w:rsidP="003A2255">
      <w:pPr>
        <w:spacing w:after="240"/>
        <w:jc w:val="both"/>
        <w:rPr>
          <w:rFonts w:cstheme="minorHAnsi"/>
        </w:rPr>
      </w:pPr>
      <w:r w:rsidRPr="00A70F81">
        <w:rPr>
          <w:rFonts w:ascii="Calibri" w:eastAsia="Calibri" w:hAnsi="Calibri" w:cs="Calibri"/>
        </w:rPr>
        <w:t xml:space="preserve">Internetové stránky Veřejné správy online </w:t>
      </w:r>
      <w:hyperlink r:id="rId223" w:history="1">
        <w:r w:rsidRPr="00A70F81">
          <w:rPr>
            <w:rFonts w:ascii="Calibri" w:eastAsia="Calibri" w:hAnsi="Calibri" w:cs="Calibri"/>
            <w:color w:val="0563C1"/>
            <w:u w:val="single"/>
          </w:rPr>
          <w:t>http://denik.obce.cz/</w:t>
        </w:r>
      </w:hyperlink>
    </w:p>
    <w:p w14:paraId="1AF7B3E7" w14:textId="77777777" w:rsidR="003A2255" w:rsidRPr="00A70F81" w:rsidRDefault="003A2255" w:rsidP="003A2255">
      <w:pPr>
        <w:spacing w:after="240"/>
        <w:jc w:val="both"/>
        <w:rPr>
          <w:rFonts w:cstheme="minorHAnsi"/>
        </w:rPr>
      </w:pPr>
      <w:r w:rsidRPr="00A70F81">
        <w:rPr>
          <w:rFonts w:cstheme="minorHAnsi"/>
        </w:rPr>
        <w:t xml:space="preserve">Internetové stránky Výzkumného ústavu meliorací a ochrany půdy </w:t>
      </w:r>
      <w:hyperlink r:id="rId224" w:history="1">
        <w:r w:rsidRPr="00A70F81">
          <w:rPr>
            <w:rStyle w:val="Hypertextovodkaz"/>
            <w:rFonts w:cstheme="minorHAnsi"/>
          </w:rPr>
          <w:t>https://www.vumop.cz/</w:t>
        </w:r>
      </w:hyperlink>
    </w:p>
    <w:p w14:paraId="2BBD6835" w14:textId="77777777" w:rsidR="003A2255" w:rsidRPr="009B01E0" w:rsidRDefault="003A2255" w:rsidP="003A2255">
      <w:pPr>
        <w:spacing w:after="240"/>
        <w:rPr>
          <w:rFonts w:cstheme="minorHAnsi"/>
        </w:rPr>
      </w:pPr>
      <w:r w:rsidRPr="009B01E0">
        <w:rPr>
          <w:rFonts w:cstheme="minorHAnsi"/>
        </w:rPr>
        <w:t xml:space="preserve">Internetové stránky zařízení Apartmán Staré Buky </w:t>
      </w:r>
      <w:r w:rsidRPr="009B01E0">
        <w:rPr>
          <w:rFonts w:cstheme="minorHAnsi"/>
        </w:rPr>
        <w:br/>
      </w:r>
      <w:hyperlink r:id="rId225" w:history="1">
        <w:r w:rsidRPr="009B01E0">
          <w:rPr>
            <w:rStyle w:val="Hypertextovodkaz"/>
            <w:rFonts w:cstheme="minorHAnsi"/>
          </w:rPr>
          <w:t>https://www.e-chalupy.cz/krkonose/ubytovani-prostredni-stare-buky-apartman-4766.php</w:t>
        </w:r>
      </w:hyperlink>
      <w:r w:rsidRPr="009B01E0">
        <w:rPr>
          <w:rFonts w:cstheme="minorHAnsi"/>
        </w:rPr>
        <w:t xml:space="preserve">  </w:t>
      </w:r>
    </w:p>
    <w:p w14:paraId="1C537114" w14:textId="77777777" w:rsidR="003A2255" w:rsidRPr="008A226C" w:rsidRDefault="003A2255" w:rsidP="003A2255">
      <w:pPr>
        <w:spacing w:after="240"/>
        <w:jc w:val="both"/>
        <w:rPr>
          <w:rFonts w:cstheme="minorHAnsi"/>
          <w:highlight w:val="yellow"/>
        </w:rPr>
      </w:pPr>
      <w:r w:rsidRPr="009B01E0">
        <w:rPr>
          <w:rFonts w:cstheme="minorHAnsi"/>
        </w:rPr>
        <w:t>Internetové stránky zařízení Dobrá Chaloupka</w:t>
      </w:r>
      <w:r>
        <w:rPr>
          <w:rFonts w:cstheme="minorHAnsi"/>
        </w:rPr>
        <w:t xml:space="preserve"> </w:t>
      </w:r>
      <w:hyperlink r:id="rId226" w:history="1">
        <w:r w:rsidRPr="0071584A">
          <w:rPr>
            <w:rStyle w:val="Hypertextovodkaz"/>
            <w:rFonts w:cstheme="minorHAnsi"/>
          </w:rPr>
          <w:t>https://www.dobrachaloupka.cz/</w:t>
        </w:r>
      </w:hyperlink>
      <w:r>
        <w:rPr>
          <w:rFonts w:cstheme="minorHAnsi"/>
        </w:rPr>
        <w:t xml:space="preserve"> </w:t>
      </w:r>
      <w:r w:rsidRPr="008A226C">
        <w:rPr>
          <w:rFonts w:cstheme="minorHAnsi"/>
          <w:highlight w:val="yellow"/>
        </w:rPr>
        <w:t xml:space="preserve"> </w:t>
      </w:r>
    </w:p>
    <w:p w14:paraId="4825CC1B" w14:textId="77777777" w:rsidR="003A2255" w:rsidRDefault="003A2255" w:rsidP="003A2255">
      <w:pPr>
        <w:spacing w:after="240"/>
        <w:rPr>
          <w:rFonts w:cstheme="minorHAnsi"/>
        </w:rPr>
      </w:pPr>
      <w:r w:rsidRPr="009B01E0">
        <w:rPr>
          <w:rFonts w:cstheme="minorHAnsi"/>
        </w:rPr>
        <w:t>Internetové stránky zařízení</w:t>
      </w:r>
      <w:r w:rsidRPr="009B01E0">
        <w:t xml:space="preserve"> </w:t>
      </w:r>
      <w:r w:rsidRPr="009B01E0">
        <w:rPr>
          <w:rFonts w:cstheme="minorHAnsi"/>
        </w:rPr>
        <w:t>Domky Dolníky</w:t>
      </w:r>
      <w:r>
        <w:rPr>
          <w:rFonts w:cstheme="minorHAnsi"/>
        </w:rPr>
        <w:t xml:space="preserve"> </w:t>
      </w:r>
      <w:hyperlink r:id="rId227" w:history="1">
        <w:r w:rsidRPr="0071584A">
          <w:rPr>
            <w:rStyle w:val="Hypertextovodkaz"/>
            <w:rFonts w:cstheme="minorHAnsi"/>
          </w:rPr>
          <w:t>https://www.domkykrkonose.cz/</w:t>
        </w:r>
      </w:hyperlink>
      <w:r>
        <w:rPr>
          <w:rFonts w:cstheme="minorHAnsi"/>
        </w:rPr>
        <w:t xml:space="preserve"> </w:t>
      </w:r>
    </w:p>
    <w:p w14:paraId="6D13F85B" w14:textId="77777777" w:rsidR="003A2255" w:rsidRDefault="003A2255" w:rsidP="003A2255">
      <w:pPr>
        <w:spacing w:after="240"/>
        <w:rPr>
          <w:rFonts w:cstheme="minorHAnsi"/>
        </w:rPr>
      </w:pPr>
      <w:r w:rsidRPr="009B01E0">
        <w:rPr>
          <w:rFonts w:cstheme="minorHAnsi"/>
        </w:rPr>
        <w:t>Internetové stránky zařízení</w:t>
      </w:r>
      <w:r w:rsidRPr="00523408">
        <w:t xml:space="preserve"> </w:t>
      </w:r>
      <w:r w:rsidRPr="00523408">
        <w:rPr>
          <w:rFonts w:cstheme="minorHAnsi"/>
        </w:rPr>
        <w:t>Hospoda U Smrku</w:t>
      </w:r>
      <w:r>
        <w:rPr>
          <w:rFonts w:cstheme="minorHAnsi"/>
        </w:rPr>
        <w:t xml:space="preserve"> </w:t>
      </w:r>
      <w:hyperlink r:id="rId228" w:history="1">
        <w:r w:rsidRPr="0071584A">
          <w:rPr>
            <w:rStyle w:val="Hypertextovodkaz"/>
            <w:rFonts w:cstheme="minorHAnsi"/>
          </w:rPr>
          <w:t>https://www.facebook.com/hospoda59/</w:t>
        </w:r>
      </w:hyperlink>
      <w:r>
        <w:rPr>
          <w:rFonts w:cstheme="minorHAnsi"/>
        </w:rPr>
        <w:t xml:space="preserve"> </w:t>
      </w:r>
    </w:p>
    <w:p w14:paraId="322B9F04" w14:textId="77777777" w:rsidR="003A2255" w:rsidRDefault="003A2255" w:rsidP="003A2255">
      <w:pPr>
        <w:spacing w:after="240"/>
        <w:rPr>
          <w:rFonts w:cstheme="minorHAnsi"/>
        </w:rPr>
      </w:pPr>
      <w:r w:rsidRPr="009B01E0">
        <w:rPr>
          <w:rFonts w:cstheme="minorHAnsi"/>
        </w:rPr>
        <w:t>Internetové stránky zařízení</w:t>
      </w:r>
      <w:r w:rsidRPr="009B01E0">
        <w:t xml:space="preserve"> </w:t>
      </w:r>
      <w:r w:rsidRPr="009B01E0">
        <w:rPr>
          <w:rFonts w:cstheme="minorHAnsi"/>
        </w:rPr>
        <w:t>Chalupa Dolníky</w:t>
      </w:r>
      <w:r>
        <w:rPr>
          <w:rFonts w:cstheme="minorHAnsi"/>
        </w:rPr>
        <w:t xml:space="preserve"> </w:t>
      </w:r>
      <w:r>
        <w:rPr>
          <w:rFonts w:cstheme="minorHAnsi"/>
        </w:rPr>
        <w:br/>
      </w:r>
      <w:hyperlink r:id="rId229" w:history="1">
        <w:r w:rsidRPr="0071584A">
          <w:rPr>
            <w:rStyle w:val="Hypertextovodkaz"/>
            <w:rFonts w:cstheme="minorHAnsi"/>
          </w:rPr>
          <w:t>https://www.e-chalupy.cz/krkonose/ubytovani-stare-buky-chalupa-dolniky-pronajem-4989.php</w:t>
        </w:r>
      </w:hyperlink>
      <w:r>
        <w:rPr>
          <w:rFonts w:cstheme="minorHAnsi"/>
        </w:rPr>
        <w:t xml:space="preserve"> </w:t>
      </w:r>
    </w:p>
    <w:p w14:paraId="4E801BEB" w14:textId="77777777" w:rsidR="003A2255" w:rsidRDefault="003A2255" w:rsidP="003A2255">
      <w:pPr>
        <w:spacing w:after="240"/>
        <w:rPr>
          <w:rFonts w:cstheme="minorHAnsi"/>
        </w:rPr>
      </w:pPr>
      <w:r w:rsidRPr="009B01E0">
        <w:rPr>
          <w:rFonts w:cstheme="minorHAnsi"/>
        </w:rPr>
        <w:t>Internetové stránky zařízení</w:t>
      </w:r>
      <w:r w:rsidRPr="009B01E0">
        <w:t xml:space="preserve"> </w:t>
      </w:r>
      <w:r w:rsidRPr="009B01E0">
        <w:rPr>
          <w:rFonts w:cstheme="minorHAnsi"/>
        </w:rPr>
        <w:t>Chalupa Horní Staré Buky</w:t>
      </w:r>
      <w:r>
        <w:rPr>
          <w:rFonts w:cstheme="minorHAnsi"/>
        </w:rPr>
        <w:t xml:space="preserve"> </w:t>
      </w:r>
      <w:r>
        <w:rPr>
          <w:rFonts w:cstheme="minorHAnsi"/>
        </w:rPr>
        <w:br/>
      </w:r>
      <w:hyperlink r:id="rId230" w:history="1">
        <w:r w:rsidRPr="0071584A">
          <w:rPr>
            <w:rStyle w:val="Hypertextovodkaz"/>
            <w:rFonts w:cstheme="minorHAnsi"/>
          </w:rPr>
          <w:t>https://www.e-chalupy.cz/krkonose/ubytovani-horni-stare-buky-chalupa-pronajmuti-5194.php</w:t>
        </w:r>
      </w:hyperlink>
      <w:r>
        <w:rPr>
          <w:rFonts w:cstheme="minorHAnsi"/>
        </w:rPr>
        <w:t xml:space="preserve"> </w:t>
      </w:r>
    </w:p>
    <w:p w14:paraId="23BBDA71" w14:textId="77777777" w:rsidR="003A2255" w:rsidRDefault="003A2255" w:rsidP="003A2255">
      <w:pPr>
        <w:spacing w:after="240"/>
        <w:rPr>
          <w:rFonts w:cstheme="minorHAnsi"/>
        </w:rPr>
      </w:pPr>
      <w:r w:rsidRPr="009B01E0">
        <w:rPr>
          <w:rFonts w:cstheme="minorHAnsi"/>
        </w:rPr>
        <w:t>Internetové stránky zařízení</w:t>
      </w:r>
      <w:r w:rsidRPr="009B01E0">
        <w:t xml:space="preserve"> </w:t>
      </w:r>
      <w:r w:rsidRPr="009B01E0">
        <w:rPr>
          <w:rFonts w:cstheme="minorHAnsi"/>
        </w:rPr>
        <w:t>Chalupa Pod Modříny</w:t>
      </w:r>
      <w:r>
        <w:rPr>
          <w:rFonts w:cstheme="minorHAnsi"/>
        </w:rPr>
        <w:t xml:space="preserve"> </w:t>
      </w:r>
      <w:r>
        <w:rPr>
          <w:rFonts w:cstheme="minorHAnsi"/>
        </w:rPr>
        <w:br/>
      </w:r>
      <w:hyperlink r:id="rId231" w:history="1">
        <w:r w:rsidRPr="0071584A">
          <w:rPr>
            <w:rStyle w:val="Hypertextovodkaz"/>
            <w:rFonts w:cstheme="minorHAnsi"/>
          </w:rPr>
          <w:t>https://www.e-chalupy.cz/vychodni_cechy/ubytovani-stare-buky-chalupa-pod-modriny-9934.php</w:t>
        </w:r>
      </w:hyperlink>
      <w:r>
        <w:rPr>
          <w:rFonts w:cstheme="minorHAnsi"/>
        </w:rPr>
        <w:t xml:space="preserve"> </w:t>
      </w:r>
    </w:p>
    <w:p w14:paraId="78B7F33E" w14:textId="77777777" w:rsidR="003A2255" w:rsidRDefault="003A2255" w:rsidP="003A2255">
      <w:pPr>
        <w:spacing w:after="240"/>
        <w:rPr>
          <w:rFonts w:cstheme="minorHAnsi"/>
        </w:rPr>
      </w:pPr>
      <w:r w:rsidRPr="009B01E0">
        <w:rPr>
          <w:rFonts w:cstheme="minorHAnsi"/>
        </w:rPr>
        <w:t>Internetové stránky zařízení</w:t>
      </w:r>
      <w:r w:rsidRPr="009B01E0">
        <w:t xml:space="preserve"> </w:t>
      </w:r>
      <w:r w:rsidRPr="009B01E0">
        <w:rPr>
          <w:rFonts w:cstheme="minorHAnsi"/>
        </w:rPr>
        <w:t>Chalupa Staré Buky</w:t>
      </w:r>
      <w:r>
        <w:rPr>
          <w:rFonts w:cstheme="minorHAnsi"/>
        </w:rPr>
        <w:t xml:space="preserve"> </w:t>
      </w:r>
      <w:r>
        <w:rPr>
          <w:rFonts w:cstheme="minorHAnsi"/>
        </w:rPr>
        <w:br/>
      </w:r>
      <w:hyperlink r:id="rId232" w:history="1">
        <w:r w:rsidRPr="0071584A">
          <w:rPr>
            <w:rStyle w:val="Hypertextovodkaz"/>
            <w:rFonts w:cstheme="minorHAnsi"/>
          </w:rPr>
          <w:t>https://www.e-chalupy.cz/vychodni_cechy/chalupa-k-pronajmu-stare-buky-ubytovani-11186.php</w:t>
        </w:r>
      </w:hyperlink>
      <w:r>
        <w:rPr>
          <w:rFonts w:cstheme="minorHAnsi"/>
        </w:rPr>
        <w:t xml:space="preserve"> </w:t>
      </w:r>
    </w:p>
    <w:p w14:paraId="43FB9BB1" w14:textId="77777777" w:rsidR="003A2255" w:rsidRDefault="003A2255" w:rsidP="003A2255">
      <w:pPr>
        <w:spacing w:after="240"/>
        <w:rPr>
          <w:rFonts w:cstheme="minorHAnsi"/>
        </w:rPr>
      </w:pPr>
      <w:r w:rsidRPr="009B01E0">
        <w:rPr>
          <w:rFonts w:cstheme="minorHAnsi"/>
        </w:rPr>
        <w:t>Internetové stránky zařízení</w:t>
      </w:r>
      <w:r w:rsidRPr="009B01E0">
        <w:t xml:space="preserve"> </w:t>
      </w:r>
      <w:r w:rsidRPr="009B01E0">
        <w:rPr>
          <w:rFonts w:cstheme="minorHAnsi"/>
        </w:rPr>
        <w:t>Chata Staré Buky</w:t>
      </w:r>
      <w:r>
        <w:rPr>
          <w:rFonts w:cstheme="minorHAnsi"/>
        </w:rPr>
        <w:t xml:space="preserve"> </w:t>
      </w:r>
      <w:r>
        <w:rPr>
          <w:rFonts w:cstheme="minorHAnsi"/>
        </w:rPr>
        <w:br/>
      </w:r>
      <w:hyperlink r:id="rId233" w:history="1">
        <w:r w:rsidRPr="0071584A">
          <w:rPr>
            <w:rStyle w:val="Hypertextovodkaz"/>
            <w:rFonts w:cstheme="minorHAnsi"/>
          </w:rPr>
          <w:t>https://www.e-chalupy.cz/krkonose/chata-stare-buky-ubytovani-pronajem-5913.php</w:t>
        </w:r>
      </w:hyperlink>
      <w:r>
        <w:rPr>
          <w:rFonts w:cstheme="minorHAnsi"/>
        </w:rPr>
        <w:t xml:space="preserve"> </w:t>
      </w:r>
    </w:p>
    <w:p w14:paraId="2690AD0B" w14:textId="77777777" w:rsidR="003A2255" w:rsidRDefault="003A2255" w:rsidP="003A2255">
      <w:pPr>
        <w:spacing w:after="240"/>
        <w:rPr>
          <w:rFonts w:cstheme="minorHAnsi"/>
        </w:rPr>
      </w:pPr>
      <w:r w:rsidRPr="009B01E0">
        <w:rPr>
          <w:rFonts w:cstheme="minorHAnsi"/>
        </w:rPr>
        <w:t>Internetové stránky zařízení</w:t>
      </w:r>
      <w:r w:rsidRPr="009B01E0">
        <w:t xml:space="preserve"> </w:t>
      </w:r>
      <w:r w:rsidRPr="009B01E0">
        <w:rPr>
          <w:rFonts w:cstheme="minorHAnsi"/>
        </w:rPr>
        <w:t>Chata Trojka</w:t>
      </w:r>
      <w:r>
        <w:rPr>
          <w:rFonts w:cstheme="minorHAnsi"/>
        </w:rPr>
        <w:t xml:space="preserve"> </w:t>
      </w:r>
      <w:r>
        <w:rPr>
          <w:rFonts w:cstheme="minorHAnsi"/>
        </w:rPr>
        <w:br/>
      </w:r>
      <w:hyperlink r:id="rId234" w:history="1">
        <w:r w:rsidRPr="0071584A">
          <w:rPr>
            <w:rStyle w:val="Hypertextovodkaz"/>
            <w:rFonts w:cstheme="minorHAnsi"/>
          </w:rPr>
          <w:t>https://www.e-chalupy.cz/vychodni_cechy/ubytovani-prostredni-stare-buky-chata-trojka-0331.php</w:t>
        </w:r>
      </w:hyperlink>
      <w:r>
        <w:rPr>
          <w:rFonts w:cstheme="minorHAnsi"/>
        </w:rPr>
        <w:t xml:space="preserve"> </w:t>
      </w:r>
    </w:p>
    <w:p w14:paraId="174B4D60" w14:textId="77777777" w:rsidR="003A2255" w:rsidRDefault="003A2255" w:rsidP="003A2255">
      <w:pPr>
        <w:spacing w:after="240"/>
        <w:rPr>
          <w:rFonts w:cstheme="minorHAnsi"/>
        </w:rPr>
      </w:pPr>
      <w:r w:rsidRPr="009B01E0">
        <w:rPr>
          <w:rFonts w:cstheme="minorHAnsi"/>
        </w:rPr>
        <w:t>Internetové stránky zařízení</w:t>
      </w:r>
      <w:r w:rsidRPr="009B01E0">
        <w:t xml:space="preserve"> </w:t>
      </w:r>
      <w:r w:rsidRPr="009B01E0">
        <w:rPr>
          <w:rFonts w:cstheme="minorHAnsi"/>
        </w:rPr>
        <w:t>Mobilheim Horní Staré Buky</w:t>
      </w:r>
      <w:r>
        <w:rPr>
          <w:rFonts w:cstheme="minorHAnsi"/>
        </w:rPr>
        <w:t xml:space="preserve"> </w:t>
      </w:r>
      <w:hyperlink r:id="rId235" w:history="1">
        <w:r w:rsidRPr="0071584A">
          <w:rPr>
            <w:rStyle w:val="Hypertextovodkaz"/>
            <w:rFonts w:cstheme="minorHAnsi"/>
          </w:rPr>
          <w:t>https://www.e-chalupy.cz/vychodni_cechy/ubytovani-horni-stare-buky-chata-mobilheim-pronajem-3461.php</w:t>
        </w:r>
      </w:hyperlink>
      <w:r>
        <w:rPr>
          <w:rFonts w:cstheme="minorHAnsi"/>
        </w:rPr>
        <w:t xml:space="preserve"> </w:t>
      </w:r>
    </w:p>
    <w:p w14:paraId="3EE40F34" w14:textId="77777777" w:rsidR="003A2255" w:rsidRDefault="003A2255" w:rsidP="003A2255">
      <w:pPr>
        <w:spacing w:after="240"/>
        <w:rPr>
          <w:rFonts w:cstheme="minorHAnsi"/>
        </w:rPr>
      </w:pPr>
      <w:r w:rsidRPr="009B01E0">
        <w:rPr>
          <w:rFonts w:cstheme="minorHAnsi"/>
        </w:rPr>
        <w:t>Internetové stránky zařízení</w:t>
      </w:r>
      <w:r w:rsidRPr="009B01E0">
        <w:t xml:space="preserve"> </w:t>
      </w:r>
      <w:r w:rsidRPr="009B01E0">
        <w:rPr>
          <w:rFonts w:cstheme="minorHAnsi"/>
        </w:rPr>
        <w:t>Pohádková roubenka</w:t>
      </w:r>
      <w:r>
        <w:rPr>
          <w:rFonts w:cstheme="minorHAnsi"/>
        </w:rPr>
        <w:t xml:space="preserve"> </w:t>
      </w:r>
      <w:r>
        <w:rPr>
          <w:rFonts w:cstheme="minorHAnsi"/>
        </w:rPr>
        <w:br/>
      </w:r>
      <w:hyperlink r:id="rId236" w:history="1">
        <w:r w:rsidRPr="0071584A">
          <w:rPr>
            <w:rStyle w:val="Hypertextovodkaz"/>
            <w:rFonts w:cstheme="minorHAnsi"/>
          </w:rPr>
          <w:t>https://www.e-chalupy.cz/krkonose/pohadkova-roubenka-horni-stare-buky-pronajem-14284.php</w:t>
        </w:r>
      </w:hyperlink>
      <w:r>
        <w:rPr>
          <w:rFonts w:cstheme="minorHAnsi"/>
        </w:rPr>
        <w:t xml:space="preserve"> </w:t>
      </w:r>
    </w:p>
    <w:p w14:paraId="4E2801A0" w14:textId="77777777" w:rsidR="003A2255" w:rsidRDefault="003A2255" w:rsidP="003A2255">
      <w:pPr>
        <w:spacing w:after="240"/>
        <w:rPr>
          <w:rFonts w:cstheme="minorHAnsi"/>
        </w:rPr>
      </w:pPr>
      <w:r w:rsidRPr="009B01E0">
        <w:rPr>
          <w:rFonts w:cstheme="minorHAnsi"/>
        </w:rPr>
        <w:t>Internetové stránky zařízení</w:t>
      </w:r>
      <w:r w:rsidRPr="00523408">
        <w:t xml:space="preserve"> </w:t>
      </w:r>
      <w:r w:rsidRPr="00523408">
        <w:rPr>
          <w:rFonts w:cstheme="minorHAnsi"/>
        </w:rPr>
        <w:t>Rybářská bašta Severka</w:t>
      </w:r>
      <w:r>
        <w:rPr>
          <w:rFonts w:cstheme="minorHAnsi"/>
        </w:rPr>
        <w:t xml:space="preserve"> </w:t>
      </w:r>
      <w:hyperlink r:id="rId237" w:history="1">
        <w:r w:rsidRPr="0071584A">
          <w:rPr>
            <w:rStyle w:val="Hypertextovodkaz"/>
            <w:rFonts w:cstheme="minorHAnsi"/>
          </w:rPr>
          <w:t>https://www.facebook.com/Severka-Ryb%C3%A1%C5%99sk%C3%A1-Ba%C5%A1ta-2671642739544828/</w:t>
        </w:r>
      </w:hyperlink>
      <w:r>
        <w:rPr>
          <w:rFonts w:cstheme="minorHAnsi"/>
        </w:rPr>
        <w:t xml:space="preserve"> </w:t>
      </w:r>
    </w:p>
    <w:p w14:paraId="6FD338C1" w14:textId="77777777" w:rsidR="003A2255" w:rsidRDefault="003A2255" w:rsidP="003A2255">
      <w:pPr>
        <w:spacing w:after="240"/>
        <w:rPr>
          <w:rFonts w:cstheme="minorHAnsi"/>
        </w:rPr>
      </w:pPr>
      <w:r w:rsidRPr="009B01E0">
        <w:rPr>
          <w:rFonts w:cstheme="minorHAnsi"/>
        </w:rPr>
        <w:t>Internetové stránky zařízení</w:t>
      </w:r>
      <w:r w:rsidRPr="009B01E0">
        <w:t xml:space="preserve"> </w:t>
      </w:r>
      <w:r w:rsidRPr="009B01E0">
        <w:rPr>
          <w:rFonts w:cstheme="minorHAnsi"/>
        </w:rPr>
        <w:t>Ubytování Hany 50</w:t>
      </w:r>
      <w:r>
        <w:rPr>
          <w:rFonts w:cstheme="minorHAnsi"/>
        </w:rPr>
        <w:t xml:space="preserve"> </w:t>
      </w:r>
      <w:hyperlink r:id="rId238" w:history="1">
        <w:r w:rsidRPr="0071584A">
          <w:rPr>
            <w:rStyle w:val="Hypertextovodkaz"/>
            <w:rFonts w:cstheme="minorHAnsi"/>
          </w:rPr>
          <w:t>http://www.hany-tour.com/</w:t>
        </w:r>
      </w:hyperlink>
      <w:r>
        <w:rPr>
          <w:rFonts w:cstheme="minorHAnsi"/>
        </w:rPr>
        <w:t xml:space="preserve"> </w:t>
      </w:r>
    </w:p>
    <w:p w14:paraId="153537F5" w14:textId="77777777" w:rsidR="003A2255" w:rsidRDefault="003A2255" w:rsidP="003A2255">
      <w:pPr>
        <w:spacing w:after="240"/>
        <w:rPr>
          <w:rFonts w:cstheme="minorHAnsi"/>
          <w:highlight w:val="yellow"/>
        </w:rPr>
      </w:pPr>
      <w:r w:rsidRPr="009B01E0">
        <w:rPr>
          <w:rFonts w:cstheme="minorHAnsi"/>
        </w:rPr>
        <w:t>Internetové stránky zařízení</w:t>
      </w:r>
      <w:r w:rsidRPr="009B01E0">
        <w:t xml:space="preserve"> </w:t>
      </w:r>
      <w:r w:rsidRPr="009B01E0">
        <w:rPr>
          <w:rFonts w:cstheme="minorHAnsi"/>
        </w:rPr>
        <w:t>Ubytování Pavel Hošek</w:t>
      </w:r>
      <w:r>
        <w:rPr>
          <w:rFonts w:cstheme="minorHAnsi"/>
        </w:rPr>
        <w:t xml:space="preserve"> </w:t>
      </w:r>
      <w:hyperlink r:id="rId239" w:history="1">
        <w:r w:rsidRPr="0071584A">
          <w:rPr>
            <w:rStyle w:val="Hypertextovodkaz"/>
            <w:rFonts w:cstheme="minorHAnsi"/>
          </w:rPr>
          <w:t>https://ubytovani-stare-buky.webnode.cz/</w:t>
        </w:r>
      </w:hyperlink>
      <w:r>
        <w:rPr>
          <w:rFonts w:cstheme="minorHAnsi"/>
        </w:rPr>
        <w:t xml:space="preserve"> </w:t>
      </w:r>
    </w:p>
    <w:p w14:paraId="35B05E96" w14:textId="77777777" w:rsidR="003A2255" w:rsidRPr="00A70F81" w:rsidRDefault="003A2255" w:rsidP="003A2255">
      <w:pPr>
        <w:spacing w:after="240"/>
        <w:jc w:val="both"/>
        <w:rPr>
          <w:rFonts w:cstheme="minorHAnsi"/>
        </w:rPr>
      </w:pPr>
      <w:r w:rsidRPr="00A70F81">
        <w:rPr>
          <w:rFonts w:cstheme="minorHAnsi"/>
        </w:rPr>
        <w:lastRenderedPageBreak/>
        <w:t xml:space="preserve">Internetové stránky Zdravotnické záchranné služby Královéhradeckého kraje </w:t>
      </w:r>
      <w:hyperlink r:id="rId240" w:history="1">
        <w:r w:rsidRPr="00A70F81">
          <w:rPr>
            <w:rStyle w:val="Hypertextovodkaz"/>
            <w:rFonts w:cstheme="minorHAnsi"/>
          </w:rPr>
          <w:t>https://www.zzskhk.cz/</w:t>
        </w:r>
      </w:hyperlink>
      <w:r w:rsidRPr="00A70F81">
        <w:rPr>
          <w:rFonts w:cstheme="minorHAnsi"/>
        </w:rPr>
        <w:t xml:space="preserve"> </w:t>
      </w:r>
    </w:p>
    <w:p w14:paraId="4A297D41" w14:textId="77777777" w:rsidR="003A2255" w:rsidRPr="00523408" w:rsidRDefault="003A2255" w:rsidP="003A2255">
      <w:pPr>
        <w:spacing w:after="240"/>
        <w:jc w:val="both"/>
        <w:rPr>
          <w:rFonts w:cstheme="minorHAnsi"/>
        </w:rPr>
      </w:pPr>
      <w:r w:rsidRPr="00523408">
        <w:rPr>
          <w:rFonts w:cstheme="minorHAnsi"/>
        </w:rPr>
        <w:t xml:space="preserve">Internetový jízdní řád IDOS </w:t>
      </w:r>
      <w:hyperlink r:id="rId241" w:history="1">
        <w:r w:rsidRPr="00523408">
          <w:rPr>
            <w:rStyle w:val="Hypertextovodkaz"/>
            <w:rFonts w:cstheme="minorHAnsi"/>
          </w:rPr>
          <w:t>https://jizdnirady.idnes.cz/vlakyautobusy/spojeni/</w:t>
        </w:r>
      </w:hyperlink>
      <w:r w:rsidRPr="00523408">
        <w:rPr>
          <w:rFonts w:cstheme="minorHAnsi"/>
        </w:rPr>
        <w:t xml:space="preserve"> </w:t>
      </w:r>
    </w:p>
    <w:p w14:paraId="34B6FB82" w14:textId="77777777" w:rsidR="003A2255" w:rsidRPr="00C91DB9" w:rsidRDefault="003A2255" w:rsidP="003A2255">
      <w:pPr>
        <w:spacing w:after="240"/>
        <w:jc w:val="both"/>
        <w:rPr>
          <w:rFonts w:cstheme="minorHAnsi"/>
        </w:rPr>
      </w:pPr>
      <w:r w:rsidRPr="00C91DB9">
        <w:rPr>
          <w:rFonts w:cstheme="minorHAnsi"/>
        </w:rPr>
        <w:t xml:space="preserve">Internetový mapový server Mapy.cz  </w:t>
      </w:r>
      <w:hyperlink r:id="rId242" w:history="1">
        <w:r w:rsidRPr="00C91DB9">
          <w:rPr>
            <w:rStyle w:val="Hypertextovodkaz"/>
            <w:rFonts w:cstheme="minorHAnsi"/>
          </w:rPr>
          <w:t>https://mapy.cz/</w:t>
        </w:r>
      </w:hyperlink>
      <w:r w:rsidRPr="00C91DB9">
        <w:rPr>
          <w:rFonts w:cstheme="minorHAnsi"/>
        </w:rPr>
        <w:t xml:space="preserve"> </w:t>
      </w:r>
    </w:p>
    <w:p w14:paraId="6ADB7C58" w14:textId="77777777" w:rsidR="003A2255" w:rsidRDefault="003A2255" w:rsidP="003A2255">
      <w:pPr>
        <w:spacing w:after="240"/>
        <w:jc w:val="both"/>
        <w:rPr>
          <w:rFonts w:cstheme="minorHAnsi"/>
        </w:rPr>
      </w:pPr>
      <w:r w:rsidRPr="00FD1AF7">
        <w:rPr>
          <w:rFonts w:cstheme="minorHAnsi"/>
        </w:rPr>
        <w:t xml:space="preserve">Internetový portál NAUČNÉ-STEZKY.CZ </w:t>
      </w:r>
      <w:hyperlink r:id="rId243" w:history="1">
        <w:r w:rsidRPr="0071584A">
          <w:rPr>
            <w:rStyle w:val="Hypertextovodkaz"/>
            <w:rFonts w:cstheme="minorHAnsi"/>
          </w:rPr>
          <w:t>https://www.naucne-stezky.cz/</w:t>
        </w:r>
      </w:hyperlink>
      <w:r>
        <w:rPr>
          <w:rFonts w:cstheme="minorHAnsi"/>
        </w:rPr>
        <w:t xml:space="preserve"> </w:t>
      </w:r>
    </w:p>
    <w:p w14:paraId="013E3F2C" w14:textId="77777777" w:rsidR="003A2255" w:rsidRDefault="003A2255" w:rsidP="003A2255">
      <w:pPr>
        <w:spacing w:after="240"/>
        <w:jc w:val="both"/>
        <w:rPr>
          <w:rFonts w:cstheme="minorHAnsi"/>
        </w:rPr>
      </w:pPr>
      <w:r>
        <w:t xml:space="preserve">Internetový portál Sociální bydlení </w:t>
      </w:r>
      <w:hyperlink r:id="rId244" w:history="1">
        <w:r w:rsidRPr="00925C86">
          <w:rPr>
            <w:rStyle w:val="Hypertextovodkaz"/>
          </w:rPr>
          <w:t>http://socialnibydleni.mpsv.cz/cs/</w:t>
        </w:r>
      </w:hyperlink>
    </w:p>
    <w:p w14:paraId="4C0A308F" w14:textId="77777777" w:rsidR="003A2255" w:rsidRPr="00523408" w:rsidRDefault="003A2255" w:rsidP="003A2255">
      <w:pPr>
        <w:spacing w:after="240"/>
        <w:jc w:val="both"/>
        <w:rPr>
          <w:rFonts w:cstheme="minorHAnsi"/>
        </w:rPr>
      </w:pPr>
      <w:r w:rsidRPr="00523408">
        <w:rPr>
          <w:rFonts w:cstheme="minorHAnsi"/>
        </w:rPr>
        <w:t xml:space="preserve">Internetový server Internet pro všechny </w:t>
      </w:r>
      <w:hyperlink r:id="rId245" w:history="1">
        <w:r w:rsidRPr="00523408">
          <w:rPr>
            <w:rStyle w:val="Hypertextovodkaz"/>
            <w:rFonts w:cstheme="minorHAnsi"/>
          </w:rPr>
          <w:t>http://www.internetprovsechny.cz/</w:t>
        </w:r>
      </w:hyperlink>
      <w:r w:rsidRPr="00523408">
        <w:rPr>
          <w:rFonts w:cstheme="minorHAnsi"/>
        </w:rPr>
        <w:t xml:space="preserve"> </w:t>
      </w:r>
    </w:p>
    <w:p w14:paraId="3DF5B2EB" w14:textId="77777777" w:rsidR="003A2255" w:rsidRPr="00A70F81" w:rsidRDefault="003A2255" w:rsidP="003A2255">
      <w:pPr>
        <w:spacing w:after="240"/>
        <w:jc w:val="both"/>
        <w:rPr>
          <w:rFonts w:cstheme="minorHAnsi"/>
        </w:rPr>
      </w:pPr>
      <w:r w:rsidRPr="00A70F81">
        <w:rPr>
          <w:rFonts w:cstheme="minorHAnsi"/>
        </w:rPr>
        <w:t xml:space="preserve">Mapový portál Královéhradeckého kraje </w:t>
      </w:r>
      <w:hyperlink r:id="rId246" w:history="1">
        <w:r w:rsidRPr="00A70F81">
          <w:rPr>
            <w:rStyle w:val="Hypertextovodkaz"/>
            <w:rFonts w:cstheme="minorHAnsi"/>
          </w:rPr>
          <w:t>https://gis.kr-kralovehradecky.cz/</w:t>
        </w:r>
      </w:hyperlink>
      <w:r w:rsidRPr="00A70F81">
        <w:rPr>
          <w:rFonts w:cstheme="minorHAnsi"/>
        </w:rPr>
        <w:t xml:space="preserve"> </w:t>
      </w:r>
    </w:p>
    <w:p w14:paraId="15DDC5EE" w14:textId="77777777" w:rsidR="003A2255" w:rsidRPr="00C91DB9" w:rsidRDefault="003A2255" w:rsidP="003A2255">
      <w:pPr>
        <w:spacing w:after="240"/>
        <w:jc w:val="both"/>
        <w:rPr>
          <w:rFonts w:cstheme="minorHAnsi"/>
        </w:rPr>
      </w:pPr>
      <w:r w:rsidRPr="00C91DB9">
        <w:rPr>
          <w:rFonts w:cstheme="minorHAnsi"/>
        </w:rPr>
        <w:t xml:space="preserve">Mapový server České geologické služby </w:t>
      </w:r>
      <w:hyperlink r:id="rId247" w:history="1">
        <w:r w:rsidRPr="00C91DB9">
          <w:rPr>
            <w:rStyle w:val="Hypertextovodkaz"/>
            <w:rFonts w:cstheme="minorHAnsi"/>
          </w:rPr>
          <w:t>https://mapy.geology.cz/</w:t>
        </w:r>
      </w:hyperlink>
      <w:r w:rsidRPr="00C91DB9">
        <w:rPr>
          <w:rFonts w:cstheme="minorHAnsi"/>
        </w:rPr>
        <w:t xml:space="preserve"> </w:t>
      </w:r>
    </w:p>
    <w:p w14:paraId="77FEE5CB" w14:textId="77777777" w:rsidR="003A2255" w:rsidRPr="00C91DB9" w:rsidRDefault="003A2255" w:rsidP="003A2255">
      <w:pPr>
        <w:spacing w:after="240"/>
        <w:jc w:val="both"/>
        <w:rPr>
          <w:rFonts w:cstheme="minorHAnsi"/>
        </w:rPr>
      </w:pPr>
      <w:r w:rsidRPr="00C91DB9">
        <w:rPr>
          <w:rFonts w:cstheme="minorHAnsi"/>
        </w:rPr>
        <w:t xml:space="preserve">Městská a obecní statistika </w:t>
      </w:r>
      <w:hyperlink r:id="rId248" w:history="1">
        <w:r w:rsidRPr="00C91DB9">
          <w:rPr>
            <w:rStyle w:val="Hypertextovodkaz"/>
            <w:rFonts w:cstheme="minorHAnsi"/>
          </w:rPr>
          <w:t>https://vdb.czso.cz/mos/</w:t>
        </w:r>
      </w:hyperlink>
    </w:p>
    <w:p w14:paraId="08C28EA4" w14:textId="77777777" w:rsidR="003A2255" w:rsidRPr="00FA632C" w:rsidRDefault="003A2255" w:rsidP="003A2255">
      <w:pPr>
        <w:spacing w:after="240"/>
        <w:jc w:val="both"/>
      </w:pPr>
      <w:bookmarkStart w:id="671" w:name="_Hlk32355893"/>
      <w:r w:rsidRPr="00FA632C">
        <w:rPr>
          <w:rFonts w:cs="Calibri"/>
        </w:rPr>
        <w:t xml:space="preserve">Metodika přípravy veřejných strategií, ve znění aktualizace z prosince 2018. MMR, 103 s., dostupná z: </w:t>
      </w:r>
      <w:hyperlink r:id="rId249" w:history="1">
        <w:r w:rsidRPr="00FA632C">
          <w:rPr>
            <w:rStyle w:val="Hypertextovodkaz"/>
            <w:rFonts w:cs="Calibri"/>
          </w:rPr>
          <w:t>https://www.mmr.cz/getmedia/70d00bf5-cec5-4ddd-9309-a3f54c216ea8/Metodika-pripravy-verejnych-strategii-plna-verze_1.pdf.aspx?ext=.pdf</w:t>
        </w:r>
      </w:hyperlink>
    </w:p>
    <w:bookmarkEnd w:id="671"/>
    <w:p w14:paraId="2AE6E0A7" w14:textId="77777777" w:rsidR="003A2255" w:rsidRPr="00523408" w:rsidRDefault="003A2255" w:rsidP="003A2255">
      <w:pPr>
        <w:spacing w:after="240"/>
        <w:jc w:val="both"/>
      </w:pPr>
      <w:r w:rsidRPr="00523408">
        <w:t>Obecně závazná vyhláška obce</w:t>
      </w:r>
      <w:r>
        <w:t xml:space="preserve"> </w:t>
      </w:r>
      <w:r w:rsidRPr="00523408">
        <w:t xml:space="preserve">Staré Buky č. 1/2002 o nakládání s komunálním odpadem a se stavebním odpadem, dostupná z: </w:t>
      </w:r>
      <w:hyperlink r:id="rId250" w:history="1">
        <w:r w:rsidRPr="00523408">
          <w:rPr>
            <w:rStyle w:val="Hypertextovodkaz"/>
          </w:rPr>
          <w:t>https://www.starebuky.cz/vyhlasky-zakony-a-usneseni-zastupitelstva</w:t>
        </w:r>
      </w:hyperlink>
      <w:r w:rsidRPr="00523408">
        <w:t xml:space="preserve"> </w:t>
      </w:r>
    </w:p>
    <w:p w14:paraId="76452D8C" w14:textId="77777777" w:rsidR="003A2255" w:rsidRDefault="003A2255" w:rsidP="003A2255">
      <w:pPr>
        <w:spacing w:after="240"/>
        <w:jc w:val="both"/>
        <w:rPr>
          <w:rFonts w:cstheme="minorHAnsi"/>
        </w:rPr>
      </w:pPr>
      <w:r w:rsidRPr="00FA632C">
        <w:rPr>
          <w:rFonts w:cstheme="minorHAnsi"/>
        </w:rPr>
        <w:t>PAVLIŠOVÁ, P. (2015): Technicko-ekonomické řešení startovacího nájemného bydlení. Diplomová práce. Katedra ekonomiky a řízení ve stavebnictví Stavební fakulty Českého vysokého učení technického v Praze, Praha, 73 s.</w:t>
      </w:r>
    </w:p>
    <w:p w14:paraId="56F14D9E" w14:textId="77777777" w:rsidR="003A2255" w:rsidRPr="00B42AC8" w:rsidRDefault="003A2255" w:rsidP="003A2255">
      <w:pPr>
        <w:spacing w:after="240"/>
        <w:jc w:val="both"/>
        <w:rPr>
          <w:rFonts w:eastAsia="RWXLTG+TimesNewRoman" w:cstheme="minorHAnsi"/>
        </w:rPr>
      </w:pPr>
      <w:r w:rsidRPr="00B42AC8">
        <w:rPr>
          <w:rFonts w:cstheme="minorHAnsi"/>
        </w:rPr>
        <w:t xml:space="preserve">PERLÍN (2001): </w:t>
      </w:r>
      <w:r w:rsidRPr="00B42AC8">
        <w:rPr>
          <w:rFonts w:eastAsia="RWXLTG+TimesNewRoman" w:cstheme="minorHAnsi"/>
          <w:i/>
        </w:rPr>
        <w:t>Strategie rozvoje mikroregionu 4/5.</w:t>
      </w:r>
      <w:r w:rsidRPr="00B42AC8">
        <w:rPr>
          <w:rFonts w:eastAsia="RWXLTG+TimesNewRoman" w:cstheme="minorHAnsi"/>
        </w:rPr>
        <w:t xml:space="preserve"> Geografické rozhledy, 10, č. 4, s. 105</w:t>
      </w:r>
    </w:p>
    <w:p w14:paraId="023B86AF" w14:textId="77777777" w:rsidR="003A2255" w:rsidRPr="00A70F81" w:rsidRDefault="003A2255" w:rsidP="003A2255">
      <w:pPr>
        <w:jc w:val="both"/>
        <w:rPr>
          <w:rFonts w:eastAsia="RWXLTG+TimesNewRoman" w:cstheme="minorHAnsi"/>
        </w:rPr>
      </w:pPr>
      <w:r w:rsidRPr="00A70F81">
        <w:rPr>
          <w:rFonts w:eastAsia="RWXLTG+TimesNewRoman" w:cstheme="minorHAnsi"/>
        </w:rPr>
        <w:t xml:space="preserve">Plán nadregionálního a regionálního územního systému ekologické stability pro území Královéhradeckého kraje, dostupné z: </w:t>
      </w:r>
    </w:p>
    <w:p w14:paraId="40AAAAB6" w14:textId="77777777" w:rsidR="003A2255" w:rsidRPr="00A70F81" w:rsidRDefault="003A2255" w:rsidP="003A2255">
      <w:pPr>
        <w:spacing w:after="240"/>
        <w:jc w:val="both"/>
        <w:rPr>
          <w:rFonts w:eastAsia="RWXLTG+TimesNewRoman" w:cstheme="minorHAnsi"/>
        </w:rPr>
      </w:pPr>
      <w:hyperlink r:id="rId251" w:history="1">
        <w:r w:rsidRPr="00A70F81">
          <w:rPr>
            <w:rStyle w:val="Hypertextovodkaz"/>
            <w:rFonts w:eastAsia="RWXLTG+TimesNewRoman" w:cstheme="minorHAnsi"/>
          </w:rPr>
          <w:t>https://gis.kr-kralovehradecky.cz/assets/GIS/projekty/ziv-prostredi/Plan_USES_KHK.pdf</w:t>
        </w:r>
      </w:hyperlink>
      <w:r w:rsidRPr="00A70F81">
        <w:rPr>
          <w:rFonts w:eastAsia="RWXLTG+TimesNewRoman" w:cstheme="minorHAnsi"/>
        </w:rPr>
        <w:t xml:space="preserve"> </w:t>
      </w:r>
    </w:p>
    <w:p w14:paraId="6E63D85D" w14:textId="77777777" w:rsidR="003A2255" w:rsidRDefault="003A2255" w:rsidP="003A2255">
      <w:pPr>
        <w:spacing w:after="240"/>
        <w:jc w:val="both"/>
        <w:rPr>
          <w:rFonts w:eastAsia="RWXLTG+TimesNewRoman" w:cstheme="minorHAnsi"/>
        </w:rPr>
      </w:pPr>
      <w:r w:rsidRPr="00523408">
        <w:rPr>
          <w:rFonts w:eastAsia="RWXLTG+TimesNewRoman" w:cstheme="minorHAnsi"/>
        </w:rPr>
        <w:t xml:space="preserve">Plán rozvoje vodovodů a kanalizací Královéhradeckého kraje </w:t>
      </w:r>
      <w:hyperlink r:id="rId252" w:history="1">
        <w:r w:rsidRPr="0071584A">
          <w:rPr>
            <w:rStyle w:val="Hypertextovodkaz"/>
            <w:rFonts w:eastAsia="RWXLTG+TimesNewRoman" w:cstheme="minorHAnsi"/>
          </w:rPr>
          <w:t>https://prvk.kr-kralovehradecky.cz/</w:t>
        </w:r>
      </w:hyperlink>
    </w:p>
    <w:p w14:paraId="07706D3C" w14:textId="77777777" w:rsidR="003A2255" w:rsidRPr="00FD1AF7" w:rsidRDefault="003A2255" w:rsidP="003A2255">
      <w:pPr>
        <w:spacing w:after="240"/>
        <w:jc w:val="both"/>
        <w:rPr>
          <w:rStyle w:val="Hypertextovodkaz"/>
        </w:rPr>
      </w:pPr>
      <w:r w:rsidRPr="00FD1AF7">
        <w:t xml:space="preserve">Plánovač tras KČT </w:t>
      </w:r>
      <w:hyperlink r:id="rId253" w:history="1">
        <w:r w:rsidRPr="00FD1AF7">
          <w:rPr>
            <w:rStyle w:val="Hypertextovodkaz"/>
          </w:rPr>
          <w:t>http://trasy.kct.cz/</w:t>
        </w:r>
      </w:hyperlink>
    </w:p>
    <w:p w14:paraId="7F1B5D9A" w14:textId="77777777" w:rsidR="003A2255" w:rsidRPr="00FA632C" w:rsidRDefault="003A2255" w:rsidP="003A2255">
      <w:pPr>
        <w:spacing w:after="240"/>
        <w:jc w:val="both"/>
        <w:rPr>
          <w:rFonts w:cstheme="minorHAnsi"/>
        </w:rPr>
      </w:pPr>
      <w:r w:rsidRPr="00FA632C">
        <w:rPr>
          <w:rFonts w:cstheme="minorHAnsi"/>
        </w:rPr>
        <w:t>Podklady poskytnuté Obecním úřadem ve Starých Bukách</w:t>
      </w:r>
    </w:p>
    <w:p w14:paraId="57E2CFBC" w14:textId="77777777" w:rsidR="003A2255" w:rsidRPr="00A70F81" w:rsidRDefault="003A2255" w:rsidP="003A2255">
      <w:pPr>
        <w:jc w:val="both"/>
        <w:rPr>
          <w:rFonts w:cstheme="minorHAnsi"/>
        </w:rPr>
      </w:pPr>
      <w:bookmarkStart w:id="672" w:name="_Hlk31118695"/>
      <w:r w:rsidRPr="00A70F81">
        <w:rPr>
          <w:rFonts w:cstheme="minorHAnsi"/>
        </w:rPr>
        <w:t>Portál na podporu rozvoje obcí ČR</w:t>
      </w:r>
    </w:p>
    <w:p w14:paraId="334843A1" w14:textId="77777777" w:rsidR="003A2255" w:rsidRPr="008A226C" w:rsidRDefault="003A2255" w:rsidP="003A2255">
      <w:pPr>
        <w:spacing w:after="240"/>
        <w:jc w:val="both"/>
        <w:rPr>
          <w:rFonts w:cstheme="minorHAnsi"/>
          <w:highlight w:val="yellow"/>
        </w:rPr>
      </w:pPr>
      <w:hyperlink r:id="rId254" w:history="1">
        <w:r w:rsidRPr="00A70F81">
          <w:rPr>
            <w:rStyle w:val="Hypertextovodkaz"/>
            <w:rFonts w:cstheme="minorHAnsi"/>
          </w:rPr>
          <w:t>https://www.rozvojobci.cz/news/financovani-rozvoje-obce-souhrn/</w:t>
        </w:r>
      </w:hyperlink>
      <w:r w:rsidRPr="008A226C">
        <w:rPr>
          <w:rFonts w:cstheme="minorHAnsi"/>
          <w:highlight w:val="yellow"/>
        </w:rPr>
        <w:t xml:space="preserve"> </w:t>
      </w:r>
    </w:p>
    <w:p w14:paraId="76573347" w14:textId="77777777" w:rsidR="003A2255" w:rsidRPr="00ED5951" w:rsidRDefault="003A2255" w:rsidP="003A2255">
      <w:pPr>
        <w:spacing w:after="240"/>
        <w:jc w:val="both"/>
        <w:rPr>
          <w:rFonts w:cstheme="minorHAnsi"/>
        </w:rPr>
      </w:pPr>
      <w:r w:rsidRPr="00ED5951">
        <w:rPr>
          <w:rFonts w:cstheme="minorHAnsi"/>
        </w:rPr>
        <w:t xml:space="preserve">Portál územního plánování </w:t>
      </w:r>
      <w:r w:rsidRPr="00ED5951">
        <w:rPr>
          <w:rFonts w:cstheme="minorHAnsi"/>
          <w:bCs/>
        </w:rPr>
        <w:t>Ústavu územního rozvoje</w:t>
      </w:r>
      <w:r w:rsidRPr="00ED5951">
        <w:rPr>
          <w:rFonts w:cstheme="minorHAnsi"/>
        </w:rPr>
        <w:t xml:space="preserve"> </w:t>
      </w:r>
      <w:hyperlink r:id="rId255" w:history="1">
        <w:r w:rsidRPr="00ED5951">
          <w:rPr>
            <w:rStyle w:val="Hypertextovodkaz"/>
            <w:rFonts w:cstheme="minorHAnsi"/>
          </w:rPr>
          <w:t>http://portal.uur.cz/</w:t>
        </w:r>
      </w:hyperlink>
    </w:p>
    <w:p w14:paraId="0A57290D" w14:textId="77777777" w:rsidR="003A2255" w:rsidRPr="00A70F81" w:rsidRDefault="003A2255" w:rsidP="003A2255">
      <w:pPr>
        <w:spacing w:after="240"/>
        <w:jc w:val="both"/>
        <w:rPr>
          <w:rFonts w:cstheme="minorHAnsi"/>
        </w:rPr>
      </w:pPr>
      <w:r w:rsidRPr="00A70F81">
        <w:t xml:space="preserve">Portál Územních systémů ekologické stability </w:t>
      </w:r>
      <w:hyperlink r:id="rId256" w:history="1">
        <w:r w:rsidRPr="0071584A">
          <w:rPr>
            <w:rStyle w:val="Hypertextovodkaz"/>
          </w:rPr>
          <w:t>https://uses.cz/</w:t>
        </w:r>
      </w:hyperlink>
    </w:p>
    <w:p w14:paraId="4CCE8DBF" w14:textId="77777777" w:rsidR="003A2255" w:rsidRPr="00A70F81" w:rsidRDefault="003A2255" w:rsidP="003A2255">
      <w:pPr>
        <w:spacing w:after="240"/>
        <w:rPr>
          <w:rFonts w:cstheme="minorHAnsi"/>
          <w:color w:val="0000FF" w:themeColor="hyperlink"/>
          <w:u w:val="single"/>
        </w:rPr>
      </w:pPr>
      <w:r w:rsidRPr="00A70F81">
        <w:t xml:space="preserve">Povodňový informační systém na území Královéhradeckého kraje, dostupné z: </w:t>
      </w:r>
      <w:hyperlink r:id="rId257" w:history="1">
        <w:r w:rsidRPr="00A70F81">
          <w:rPr>
            <w:rStyle w:val="Hypertextovodkaz"/>
          </w:rPr>
          <w:t>https://kralovehradecky.dppcr.cz/html/index.html</w:t>
        </w:r>
      </w:hyperlink>
    </w:p>
    <w:p w14:paraId="2B20B0CE" w14:textId="77777777" w:rsidR="003A2255" w:rsidRPr="008A226C" w:rsidRDefault="003A2255" w:rsidP="003A2255">
      <w:pPr>
        <w:spacing w:after="240"/>
        <w:rPr>
          <w:rFonts w:cstheme="minorHAnsi"/>
          <w:highlight w:val="yellow"/>
        </w:rPr>
      </w:pPr>
      <w:r w:rsidRPr="00A70F81">
        <w:rPr>
          <w:rFonts w:cstheme="minorHAnsi"/>
        </w:rPr>
        <w:t xml:space="preserve">Profil zadavatele obce Staré Buky </w:t>
      </w:r>
      <w:hyperlink r:id="rId258" w:history="1">
        <w:r w:rsidRPr="0071584A">
          <w:rPr>
            <w:rStyle w:val="Hypertextovodkaz"/>
            <w:rFonts w:cstheme="minorHAnsi"/>
          </w:rPr>
          <w:t>https://www.vhodne-uverejneni.cz/profil/obec-stare-buky</w:t>
        </w:r>
      </w:hyperlink>
      <w:r>
        <w:rPr>
          <w:rFonts w:cstheme="minorHAnsi"/>
        </w:rPr>
        <w:t xml:space="preserve"> </w:t>
      </w:r>
      <w:r w:rsidRPr="008A226C">
        <w:rPr>
          <w:rFonts w:cstheme="minorHAnsi"/>
          <w:highlight w:val="yellow"/>
        </w:rPr>
        <w:t xml:space="preserve">   </w:t>
      </w:r>
    </w:p>
    <w:p w14:paraId="202B8F34" w14:textId="77777777" w:rsidR="003A2255" w:rsidRPr="00B42AC8" w:rsidRDefault="003A2255" w:rsidP="003A2255">
      <w:pPr>
        <w:spacing w:after="240"/>
        <w:jc w:val="both"/>
        <w:rPr>
          <w:rFonts w:cstheme="minorHAnsi"/>
        </w:rPr>
      </w:pPr>
      <w:r w:rsidRPr="00B42AC8">
        <w:rPr>
          <w:rFonts w:cs="Calibri"/>
        </w:rPr>
        <w:lastRenderedPageBreak/>
        <w:t>PŮČEK, M. a kol. (2013): Metodika strategického řízení pro meziobecní spolupráci, 40 s.</w:t>
      </w:r>
    </w:p>
    <w:p w14:paraId="4221727E" w14:textId="77777777" w:rsidR="003A2255" w:rsidRPr="00C91DB9" w:rsidRDefault="003A2255" w:rsidP="003A2255">
      <w:pPr>
        <w:spacing w:after="240"/>
        <w:jc w:val="both"/>
        <w:rPr>
          <w:rFonts w:cstheme="minorHAnsi"/>
        </w:rPr>
      </w:pPr>
      <w:r w:rsidRPr="00C91DB9">
        <w:rPr>
          <w:rFonts w:cstheme="minorHAnsi"/>
        </w:rPr>
        <w:t xml:space="preserve">Registr komunálních symbolů </w:t>
      </w:r>
      <w:hyperlink r:id="rId259" w:history="1">
        <w:r w:rsidRPr="00C91DB9">
          <w:rPr>
            <w:rStyle w:val="Hypertextovodkaz"/>
            <w:rFonts w:cstheme="minorHAnsi"/>
          </w:rPr>
          <w:t>https://rekos.psp.cz/</w:t>
        </w:r>
      </w:hyperlink>
      <w:r w:rsidRPr="00C91DB9">
        <w:rPr>
          <w:rFonts w:cstheme="minorHAnsi"/>
        </w:rPr>
        <w:t xml:space="preserve"> </w:t>
      </w:r>
    </w:p>
    <w:bookmarkEnd w:id="672"/>
    <w:p w14:paraId="183212E2" w14:textId="77777777" w:rsidR="003A2255" w:rsidRPr="00A70F81" w:rsidRDefault="003A2255" w:rsidP="003A2255">
      <w:pPr>
        <w:jc w:val="both"/>
        <w:rPr>
          <w:rFonts w:cstheme="minorHAnsi"/>
        </w:rPr>
      </w:pPr>
      <w:r w:rsidRPr="00A70F81">
        <w:rPr>
          <w:rFonts w:cstheme="minorHAnsi"/>
        </w:rPr>
        <w:t>Rozbor udržitelného rozvoje území Královéhradeckého kraje, dostupné z:</w:t>
      </w:r>
    </w:p>
    <w:p w14:paraId="540B2A0A" w14:textId="77777777" w:rsidR="003A2255" w:rsidRPr="008A226C" w:rsidRDefault="003A2255" w:rsidP="003A2255">
      <w:pPr>
        <w:spacing w:after="240"/>
        <w:jc w:val="both"/>
        <w:rPr>
          <w:rFonts w:cstheme="minorHAnsi"/>
          <w:highlight w:val="yellow"/>
        </w:rPr>
      </w:pPr>
      <w:hyperlink r:id="rId260" w:history="1">
        <w:r w:rsidRPr="00A70F81">
          <w:rPr>
            <w:rStyle w:val="Hypertextovodkaz"/>
            <w:rFonts w:cstheme="minorHAnsi"/>
          </w:rPr>
          <w:t>https://www.kr-kralovehradecky.cz/assets/rozvoj-kraje/uzemni-planovani/4--Uplna-aktulizace-UAP-KHK---textova-cast---PRURU-a-RURU.pdf</w:t>
        </w:r>
      </w:hyperlink>
      <w:r w:rsidRPr="008A226C">
        <w:rPr>
          <w:rFonts w:cstheme="minorHAnsi"/>
          <w:highlight w:val="yellow"/>
        </w:rPr>
        <w:t xml:space="preserve"> </w:t>
      </w:r>
    </w:p>
    <w:p w14:paraId="4B58957A" w14:textId="77777777" w:rsidR="003A2255" w:rsidRPr="00570618" w:rsidRDefault="003A2255" w:rsidP="003A2255">
      <w:pPr>
        <w:spacing w:after="240"/>
        <w:jc w:val="both"/>
        <w:rPr>
          <w:rFonts w:cstheme="minorHAnsi"/>
        </w:rPr>
      </w:pPr>
      <w:r w:rsidRPr="00570618">
        <w:rPr>
          <w:rFonts w:cstheme="minorHAnsi"/>
        </w:rPr>
        <w:t xml:space="preserve">Sčítání lidu, domů a bytů 2001, </w:t>
      </w:r>
      <w:hyperlink r:id="rId261" w:history="1">
        <w:r w:rsidRPr="00570618">
          <w:rPr>
            <w:rStyle w:val="Hypertextovodkaz"/>
            <w:rFonts w:cstheme="minorHAnsi"/>
          </w:rPr>
          <w:t>https://www.czso.cz/staticke/sldb/sldb2001.nsf/index</w:t>
        </w:r>
      </w:hyperlink>
      <w:r w:rsidRPr="00570618">
        <w:rPr>
          <w:rFonts w:cstheme="minorHAnsi"/>
        </w:rPr>
        <w:t xml:space="preserve"> </w:t>
      </w:r>
    </w:p>
    <w:p w14:paraId="206B4CFA" w14:textId="77777777" w:rsidR="003A2255" w:rsidRPr="008A226C" w:rsidRDefault="003A2255" w:rsidP="003A2255">
      <w:pPr>
        <w:spacing w:after="240"/>
        <w:jc w:val="both"/>
        <w:rPr>
          <w:rFonts w:cstheme="minorHAnsi"/>
          <w:highlight w:val="yellow"/>
        </w:rPr>
      </w:pPr>
      <w:r w:rsidRPr="00570618">
        <w:rPr>
          <w:rFonts w:cstheme="minorHAnsi"/>
        </w:rPr>
        <w:t>Sčítání lidu, domů a bytů 2011</w:t>
      </w:r>
      <w:r>
        <w:rPr>
          <w:rFonts w:cstheme="minorHAnsi"/>
        </w:rPr>
        <w:t xml:space="preserve"> a 2021</w:t>
      </w:r>
      <w:r w:rsidRPr="00570618">
        <w:rPr>
          <w:rFonts w:cstheme="minorHAnsi"/>
        </w:rPr>
        <w:t xml:space="preserve">, </w:t>
      </w:r>
      <w:hyperlink r:id="rId262" w:history="1">
        <w:r w:rsidRPr="00570618">
          <w:rPr>
            <w:rStyle w:val="Hypertextovodkaz"/>
            <w:rFonts w:cstheme="minorHAnsi"/>
          </w:rPr>
          <w:t>https://www.czso.cz/csu/czso/scitani-lidu-domu-a-bytu</w:t>
        </w:r>
      </w:hyperlink>
      <w:r w:rsidRPr="008A226C">
        <w:rPr>
          <w:rFonts w:cstheme="minorHAnsi"/>
          <w:highlight w:val="yellow"/>
        </w:rPr>
        <w:t xml:space="preserve">  </w:t>
      </w:r>
    </w:p>
    <w:p w14:paraId="4F74DCA0" w14:textId="77777777" w:rsidR="003A2255" w:rsidRPr="00A70F81" w:rsidRDefault="003A2255" w:rsidP="003A2255">
      <w:pPr>
        <w:spacing w:after="240"/>
        <w:jc w:val="both"/>
        <w:rPr>
          <w:rFonts w:cstheme="minorHAnsi"/>
        </w:rPr>
      </w:pPr>
      <w:r w:rsidRPr="00A70F81">
        <w:t xml:space="preserve">Statut MAS Království – Jestřebí hory, o.p.s. </w:t>
      </w:r>
      <w:hyperlink r:id="rId263" w:history="1">
        <w:r w:rsidRPr="00A70F81">
          <w:rPr>
            <w:rStyle w:val="Hypertextovodkaz"/>
          </w:rPr>
          <w:t>https://kjh.cz/uc/clanky/176/statut-mas-kjh-o-p-s-28-7-2020.pdf</w:t>
        </w:r>
      </w:hyperlink>
    </w:p>
    <w:p w14:paraId="5140BCBE" w14:textId="77777777" w:rsidR="003A2255" w:rsidRPr="00A70F81" w:rsidRDefault="003A2255" w:rsidP="003A2255">
      <w:pPr>
        <w:spacing w:after="240"/>
        <w:jc w:val="both"/>
        <w:rPr>
          <w:rFonts w:cstheme="minorHAnsi"/>
        </w:rPr>
      </w:pPr>
      <w:r w:rsidRPr="00A70F81">
        <w:rPr>
          <w:rFonts w:cstheme="minorHAnsi"/>
        </w:rPr>
        <w:t xml:space="preserve">Systém evidence kontaminovaných míst </w:t>
      </w:r>
      <w:hyperlink r:id="rId264" w:history="1">
        <w:r w:rsidRPr="00A70F81">
          <w:rPr>
            <w:rStyle w:val="Hypertextovodkaz"/>
            <w:rFonts w:cstheme="minorHAnsi"/>
          </w:rPr>
          <w:t>https://www.sekm.cz/</w:t>
        </w:r>
      </w:hyperlink>
      <w:r w:rsidRPr="00A70F81">
        <w:rPr>
          <w:rFonts w:cstheme="minorHAnsi"/>
        </w:rPr>
        <w:t xml:space="preserve"> </w:t>
      </w:r>
    </w:p>
    <w:p w14:paraId="3B959DF7" w14:textId="77777777" w:rsidR="003A2255" w:rsidRPr="00FD1AF7" w:rsidRDefault="003A2255" w:rsidP="003A2255">
      <w:pPr>
        <w:spacing w:after="240"/>
        <w:jc w:val="both"/>
        <w:rPr>
          <w:rFonts w:eastAsia="RWXLTG+TimesNewRoman" w:cstheme="minorHAnsi"/>
        </w:rPr>
      </w:pPr>
      <w:r w:rsidRPr="00FD1AF7">
        <w:rPr>
          <w:rFonts w:cstheme="minorHAnsi"/>
        </w:rPr>
        <w:t xml:space="preserve">Systém evidence památek Památkový katalog </w:t>
      </w:r>
      <w:hyperlink r:id="rId265" w:history="1">
        <w:r w:rsidRPr="00FD1AF7">
          <w:rPr>
            <w:rStyle w:val="Hypertextovodkaz"/>
            <w:rFonts w:cstheme="minorHAnsi"/>
          </w:rPr>
          <w:t>https://www.pamatkovykatalog.cz/</w:t>
        </w:r>
      </w:hyperlink>
    </w:p>
    <w:p w14:paraId="75D9D782" w14:textId="77777777" w:rsidR="003A2255" w:rsidRPr="008A226C" w:rsidRDefault="003A2255" w:rsidP="003A2255">
      <w:pPr>
        <w:spacing w:after="240"/>
        <w:jc w:val="both"/>
        <w:rPr>
          <w:rFonts w:cstheme="minorHAnsi"/>
          <w:highlight w:val="yellow"/>
        </w:rPr>
      </w:pPr>
      <w:r w:rsidRPr="00570618">
        <w:rPr>
          <w:rFonts w:cstheme="minorHAnsi"/>
        </w:rPr>
        <w:t>Údaje poskytnuté obecním úřadem ve Starých Bukách</w:t>
      </w:r>
    </w:p>
    <w:p w14:paraId="412D7AB5" w14:textId="77777777" w:rsidR="003A2255" w:rsidRPr="00A70F81" w:rsidRDefault="003A2255" w:rsidP="003A2255">
      <w:pPr>
        <w:spacing w:after="240"/>
        <w:jc w:val="both"/>
        <w:rPr>
          <w:rFonts w:eastAsia="RWXLTG+TimesNewRoman" w:cstheme="minorHAnsi"/>
        </w:rPr>
      </w:pPr>
      <w:r w:rsidRPr="00A70F81">
        <w:rPr>
          <w:rFonts w:eastAsia="Calibri" w:cstheme="minorHAnsi"/>
        </w:rPr>
        <w:t>Územně analytické podklady pro SO ORP Náchod</w:t>
      </w:r>
      <w:r w:rsidRPr="00A70F81">
        <w:rPr>
          <w:rFonts w:cstheme="minorHAnsi"/>
        </w:rPr>
        <w:t xml:space="preserve"> </w:t>
      </w:r>
      <w:hyperlink r:id="rId266" w:history="1">
        <w:r w:rsidRPr="00A70F81">
          <w:rPr>
            <w:rStyle w:val="Hypertextovodkaz"/>
            <w:rFonts w:cstheme="minorHAnsi"/>
          </w:rPr>
          <w:t>https://www.mestonachod.cz/urad/vystavba/uap/</w:t>
        </w:r>
        <w:r w:rsidRPr="00A70F81">
          <w:rPr>
            <w:rStyle w:val="Hypertextovodkaz"/>
            <w:rFonts w:cstheme="minorHAnsi"/>
          </w:rPr>
          <w:br/>
          <w:t>default.asp</w:t>
        </w:r>
      </w:hyperlink>
    </w:p>
    <w:p w14:paraId="08C93B90" w14:textId="77777777" w:rsidR="003A2255" w:rsidRPr="00B42AC8" w:rsidRDefault="003A2255" w:rsidP="003A2255">
      <w:pPr>
        <w:spacing w:after="240"/>
        <w:jc w:val="both"/>
      </w:pPr>
      <w:r w:rsidRPr="00B42AC8">
        <w:t xml:space="preserve">Územně plánovací dokumentace ORP na území Trutnov </w:t>
      </w:r>
      <w:hyperlink r:id="rId267" w:history="1">
        <w:r w:rsidRPr="00B42AC8">
          <w:rPr>
            <w:rStyle w:val="Hypertextovodkaz"/>
          </w:rPr>
          <w:t>http://upd.trutnov.cz/</w:t>
        </w:r>
      </w:hyperlink>
      <w:r w:rsidRPr="00B42AC8">
        <w:t xml:space="preserve"> </w:t>
      </w:r>
    </w:p>
    <w:p w14:paraId="2AFEB391" w14:textId="77777777" w:rsidR="003A2255" w:rsidRPr="00FA632C" w:rsidRDefault="003A2255" w:rsidP="003A2255">
      <w:pPr>
        <w:spacing w:after="240"/>
        <w:jc w:val="both"/>
        <w:rPr>
          <w:rFonts w:cstheme="minorHAnsi"/>
        </w:rPr>
      </w:pPr>
      <w:r w:rsidRPr="00FA632C">
        <w:t xml:space="preserve">Územní plán Staré Buky, dostupný z: </w:t>
      </w:r>
      <w:hyperlink r:id="rId268" w:history="1">
        <w:r w:rsidRPr="00FA632C">
          <w:rPr>
            <w:rStyle w:val="Hypertextovodkaz"/>
          </w:rPr>
          <w:t>https://www.starebuky.cz/uzemni-plan-obce</w:t>
        </w:r>
      </w:hyperlink>
      <w:r w:rsidRPr="00FA632C">
        <w:t xml:space="preserve"> </w:t>
      </w:r>
      <w:r w:rsidRPr="00FA632C">
        <w:rPr>
          <w:rFonts w:eastAsia="RWXLTG+TimesNewRoman" w:cstheme="minorHAnsi"/>
        </w:rPr>
        <w:t xml:space="preserve"> </w:t>
      </w:r>
    </w:p>
    <w:p w14:paraId="083B9A9F" w14:textId="77777777" w:rsidR="003A2255" w:rsidRDefault="003A2255" w:rsidP="003A2255">
      <w:pPr>
        <w:spacing w:after="240"/>
        <w:jc w:val="both"/>
        <w:rPr>
          <w:rFonts w:cstheme="minorHAnsi"/>
        </w:rPr>
      </w:pPr>
      <w:r>
        <w:rPr>
          <w:rFonts w:cstheme="minorHAnsi"/>
        </w:rPr>
        <w:t xml:space="preserve">Veřejné projednávání </w:t>
      </w:r>
      <w:r w:rsidRPr="00A70F81">
        <w:rPr>
          <w:rFonts w:cstheme="minorHAnsi"/>
        </w:rPr>
        <w:t xml:space="preserve">realizované pro potřeby tvorby </w:t>
      </w:r>
      <w:r>
        <w:rPr>
          <w:rFonts w:cstheme="minorHAnsi"/>
        </w:rPr>
        <w:t>Programu</w:t>
      </w:r>
      <w:r w:rsidRPr="00A70F81">
        <w:rPr>
          <w:rFonts w:cstheme="minorHAnsi"/>
        </w:rPr>
        <w:t xml:space="preserve"> rozvoje </w:t>
      </w:r>
      <w:r>
        <w:rPr>
          <w:rFonts w:cstheme="minorHAnsi"/>
        </w:rPr>
        <w:t>obce Staré Buky</w:t>
      </w:r>
      <w:r w:rsidRPr="00A70F81">
        <w:rPr>
          <w:rFonts w:cstheme="minorHAnsi"/>
        </w:rPr>
        <w:t xml:space="preserve"> na období let 202</w:t>
      </w:r>
      <w:r>
        <w:rPr>
          <w:rFonts w:cstheme="minorHAnsi"/>
        </w:rPr>
        <w:t>2-</w:t>
      </w:r>
      <w:r w:rsidRPr="00A70F81">
        <w:rPr>
          <w:rFonts w:cstheme="minorHAnsi"/>
        </w:rPr>
        <w:t>20</w:t>
      </w:r>
      <w:r>
        <w:rPr>
          <w:rFonts w:cstheme="minorHAnsi"/>
        </w:rPr>
        <w:t>31</w:t>
      </w:r>
    </w:p>
    <w:p w14:paraId="71A76A2D" w14:textId="77777777" w:rsidR="003A2255" w:rsidRPr="00C91DB9" w:rsidRDefault="003A2255" w:rsidP="003A2255">
      <w:pPr>
        <w:spacing w:after="240"/>
        <w:jc w:val="both"/>
        <w:rPr>
          <w:rFonts w:cstheme="minorHAnsi"/>
        </w:rPr>
      </w:pPr>
      <w:r w:rsidRPr="00C91DB9">
        <w:rPr>
          <w:rFonts w:cstheme="minorHAnsi"/>
        </w:rPr>
        <w:t xml:space="preserve">Veřejný dálkový přístup k datům registru územní identifikace, adres a nemovitostí </w:t>
      </w:r>
      <w:hyperlink r:id="rId269" w:history="1">
        <w:r w:rsidRPr="00C91DB9">
          <w:rPr>
            <w:rStyle w:val="Hypertextovodkaz"/>
            <w:rFonts w:cstheme="minorHAnsi"/>
          </w:rPr>
          <w:t>https://vdp.cuzk.cz/</w:t>
        </w:r>
      </w:hyperlink>
      <w:r w:rsidRPr="00C91DB9">
        <w:rPr>
          <w:rFonts w:cstheme="minorHAnsi"/>
        </w:rPr>
        <w:t xml:space="preserve"> </w:t>
      </w:r>
    </w:p>
    <w:p w14:paraId="3EA124D4" w14:textId="77777777" w:rsidR="003A2255" w:rsidRPr="00C91DB9" w:rsidRDefault="003A2255" w:rsidP="003A2255">
      <w:pPr>
        <w:spacing w:after="240"/>
        <w:jc w:val="both"/>
        <w:rPr>
          <w:rFonts w:cstheme="minorHAnsi"/>
        </w:rPr>
      </w:pPr>
      <w:r w:rsidRPr="00C91DB9">
        <w:rPr>
          <w:rFonts w:cstheme="minorHAnsi"/>
        </w:rPr>
        <w:t>Vlastní průzkum</w:t>
      </w:r>
    </w:p>
    <w:p w14:paraId="470EA2D2" w14:textId="77777777" w:rsidR="003A2255" w:rsidRPr="00523408" w:rsidRDefault="003A2255" w:rsidP="003A2255">
      <w:pPr>
        <w:spacing w:after="240"/>
        <w:rPr>
          <w:rFonts w:cstheme="minorHAnsi"/>
        </w:rPr>
      </w:pPr>
      <w:r w:rsidRPr="00523408">
        <w:rPr>
          <w:rFonts w:cstheme="minorHAnsi"/>
        </w:rPr>
        <w:t xml:space="preserve">Vývěsné jízdní řády </w:t>
      </w:r>
      <w:hyperlink r:id="rId270" w:history="1">
        <w:r w:rsidRPr="00523408">
          <w:rPr>
            <w:rStyle w:val="Hypertextovodkaz"/>
            <w:rFonts w:cstheme="minorHAnsi"/>
          </w:rPr>
          <w:t>http://portal.idos.cz/</w:t>
        </w:r>
      </w:hyperlink>
      <w:r w:rsidRPr="00523408">
        <w:rPr>
          <w:rFonts w:cstheme="minorHAnsi"/>
        </w:rPr>
        <w:t xml:space="preserve"> </w:t>
      </w:r>
    </w:p>
    <w:p w14:paraId="178928E9" w14:textId="77777777" w:rsidR="003A2255" w:rsidRPr="00B42AC8" w:rsidRDefault="003A2255" w:rsidP="003A2255">
      <w:pPr>
        <w:spacing w:after="240"/>
        <w:jc w:val="both"/>
        <w:rPr>
          <w:rFonts w:cstheme="minorHAnsi"/>
        </w:rPr>
      </w:pPr>
      <w:r w:rsidRPr="00B42AC8">
        <w:rPr>
          <w:rFonts w:cstheme="minorHAnsi"/>
        </w:rPr>
        <w:t>Zákon č. 13/1997 Sb., o pozemních komunikacích</w:t>
      </w:r>
    </w:p>
    <w:p w14:paraId="03F3253A" w14:textId="77777777" w:rsidR="003A2255" w:rsidRPr="00B42AC8" w:rsidRDefault="003A2255" w:rsidP="003A2255">
      <w:pPr>
        <w:spacing w:after="240"/>
        <w:jc w:val="both"/>
        <w:rPr>
          <w:rFonts w:cstheme="minorHAnsi"/>
        </w:rPr>
      </w:pPr>
      <w:r w:rsidRPr="00B42AC8">
        <w:rPr>
          <w:rFonts w:cstheme="minorHAnsi"/>
        </w:rPr>
        <w:t>Zákon č. 17/1992 Sb., o životním prostředí</w:t>
      </w:r>
    </w:p>
    <w:p w14:paraId="21E7C67D" w14:textId="77777777" w:rsidR="003A2255" w:rsidRPr="00B42AC8" w:rsidRDefault="003A2255" w:rsidP="003A2255">
      <w:pPr>
        <w:spacing w:after="240"/>
        <w:jc w:val="both"/>
        <w:rPr>
          <w:rFonts w:cstheme="minorHAnsi"/>
        </w:rPr>
      </w:pPr>
      <w:r w:rsidRPr="00B42AC8">
        <w:rPr>
          <w:rFonts w:cstheme="minorHAnsi"/>
        </w:rPr>
        <w:t>Zákon č. 20/1987 Sb., o státní památkové péči</w:t>
      </w:r>
    </w:p>
    <w:p w14:paraId="53B66786" w14:textId="77777777" w:rsidR="003A2255" w:rsidRPr="00B42AC8" w:rsidRDefault="003A2255" w:rsidP="003A2255">
      <w:pPr>
        <w:spacing w:after="240"/>
        <w:jc w:val="both"/>
        <w:rPr>
          <w:rFonts w:cstheme="minorHAnsi"/>
        </w:rPr>
      </w:pPr>
      <w:r w:rsidRPr="00B42AC8">
        <w:rPr>
          <w:rFonts w:cstheme="minorHAnsi"/>
        </w:rPr>
        <w:t>Zákon č. 127/2005 Sb. (zákon o elektronických komunikacích)</w:t>
      </w:r>
    </w:p>
    <w:p w14:paraId="17AE6FC6" w14:textId="77777777" w:rsidR="003A2255" w:rsidRPr="00C91DB9" w:rsidRDefault="003A2255" w:rsidP="003A2255">
      <w:pPr>
        <w:spacing w:after="240"/>
        <w:jc w:val="both"/>
        <w:rPr>
          <w:rFonts w:cstheme="minorHAnsi"/>
        </w:rPr>
      </w:pPr>
      <w:r w:rsidRPr="00C91DB9">
        <w:rPr>
          <w:rFonts w:cstheme="minorHAnsi"/>
        </w:rPr>
        <w:t>Zákon č. 128/2000 Sb., o obcích</w:t>
      </w:r>
    </w:p>
    <w:p w14:paraId="1A02CE95" w14:textId="77777777" w:rsidR="003A2255" w:rsidRPr="00A70F81" w:rsidRDefault="003A2255" w:rsidP="003A2255">
      <w:pPr>
        <w:spacing w:after="240"/>
        <w:jc w:val="both"/>
        <w:rPr>
          <w:rFonts w:cstheme="minorHAnsi"/>
        </w:rPr>
      </w:pPr>
      <w:r w:rsidRPr="00A70F81">
        <w:rPr>
          <w:rFonts w:cstheme="minorHAnsi"/>
        </w:rPr>
        <w:t>Zákon č. 133/1985 Sb., o požární ochraně</w:t>
      </w:r>
    </w:p>
    <w:p w14:paraId="78BBE0D3" w14:textId="77777777" w:rsidR="003A2255" w:rsidRPr="00A70F81" w:rsidRDefault="003A2255" w:rsidP="003A2255">
      <w:pPr>
        <w:spacing w:after="240"/>
        <w:jc w:val="both"/>
        <w:rPr>
          <w:rFonts w:cstheme="minorHAnsi"/>
          <w:bCs/>
        </w:rPr>
      </w:pPr>
      <w:r w:rsidRPr="00A70F81">
        <w:rPr>
          <w:rFonts w:cstheme="minorHAnsi"/>
          <w:bCs/>
        </w:rPr>
        <w:t>Zákon č. 139/2002 Sb., o pozemkových úpravách a pozemkových úřadech</w:t>
      </w:r>
    </w:p>
    <w:p w14:paraId="5AACEF6B" w14:textId="77777777" w:rsidR="003A2255" w:rsidRPr="00A70F81" w:rsidRDefault="003A2255" w:rsidP="003A2255">
      <w:pPr>
        <w:spacing w:after="240"/>
        <w:jc w:val="both"/>
        <w:rPr>
          <w:rFonts w:cstheme="minorHAnsi"/>
          <w:bCs/>
        </w:rPr>
      </w:pPr>
      <w:r w:rsidRPr="00A70F81">
        <w:rPr>
          <w:rFonts w:cstheme="minorHAnsi"/>
          <w:bCs/>
        </w:rPr>
        <w:t>Zákon č. 201/2012 Sb., o ochraně ovzduší</w:t>
      </w:r>
    </w:p>
    <w:p w14:paraId="3769C3F3" w14:textId="77777777" w:rsidR="003A2255" w:rsidRPr="00A70F81" w:rsidRDefault="003A2255" w:rsidP="003A2255">
      <w:pPr>
        <w:spacing w:after="240"/>
        <w:jc w:val="both"/>
        <w:rPr>
          <w:rFonts w:cstheme="minorHAnsi"/>
        </w:rPr>
      </w:pPr>
      <w:r w:rsidRPr="00A70F81">
        <w:rPr>
          <w:rFonts w:cstheme="minorHAnsi"/>
          <w:bCs/>
        </w:rPr>
        <w:lastRenderedPageBreak/>
        <w:t xml:space="preserve">Zákon </w:t>
      </w:r>
      <w:r w:rsidRPr="00A70F81">
        <w:rPr>
          <w:rFonts w:cstheme="minorHAnsi"/>
        </w:rPr>
        <w:t>č. 250/2000 Sb., o rozpočtových pravidlech územních rozpočtů</w:t>
      </w:r>
    </w:p>
    <w:p w14:paraId="6F8F0037" w14:textId="77777777" w:rsidR="003A2255" w:rsidRPr="00B42AC8" w:rsidRDefault="003A2255" w:rsidP="003A2255">
      <w:pPr>
        <w:spacing w:after="240"/>
        <w:jc w:val="both"/>
        <w:rPr>
          <w:rFonts w:cstheme="minorHAnsi"/>
        </w:rPr>
      </w:pPr>
      <w:r w:rsidRPr="00B42AC8">
        <w:rPr>
          <w:rFonts w:cstheme="minorHAnsi"/>
        </w:rPr>
        <w:t>Zákon č. 266/1994 Sb., o dráhách</w:t>
      </w:r>
    </w:p>
    <w:p w14:paraId="5C082DFF" w14:textId="77777777" w:rsidR="003A2255" w:rsidRPr="00B42AC8" w:rsidRDefault="003A2255" w:rsidP="003A2255">
      <w:pPr>
        <w:spacing w:after="240"/>
        <w:jc w:val="both"/>
        <w:rPr>
          <w:rFonts w:cstheme="minorHAnsi"/>
        </w:rPr>
      </w:pPr>
      <w:r w:rsidRPr="00B42AC8">
        <w:rPr>
          <w:rFonts w:cstheme="minorHAnsi"/>
        </w:rPr>
        <w:t>Zákon č. 274/2001 Sb. (zákon o vodovodech a kanalizacích)</w:t>
      </w:r>
    </w:p>
    <w:p w14:paraId="40D97EC1" w14:textId="77777777" w:rsidR="003A2255" w:rsidRPr="00A70F81" w:rsidRDefault="003A2255" w:rsidP="003A2255">
      <w:pPr>
        <w:spacing w:after="240"/>
        <w:jc w:val="both"/>
        <w:rPr>
          <w:rFonts w:cstheme="minorHAnsi"/>
        </w:rPr>
      </w:pPr>
      <w:r w:rsidRPr="00A70F81">
        <w:rPr>
          <w:rFonts w:cstheme="minorHAnsi"/>
        </w:rPr>
        <w:t>Zákon č. 334/1992 Sb., o ochraně zemědělského půdního fondu</w:t>
      </w:r>
    </w:p>
    <w:p w14:paraId="6E222507" w14:textId="7CBF110B" w:rsidR="00364201" w:rsidRDefault="003A2255" w:rsidP="003A2255">
      <w:pPr>
        <w:spacing w:after="160" w:line="259" w:lineRule="auto"/>
        <w:rPr>
          <w:rFonts w:cstheme="minorHAnsi"/>
        </w:rPr>
      </w:pPr>
      <w:r w:rsidRPr="00B42AC8">
        <w:rPr>
          <w:rFonts w:cstheme="minorHAnsi"/>
        </w:rPr>
        <w:t>Zákon č. 458/2000 Sb. (energetický zákon)</w:t>
      </w:r>
    </w:p>
    <w:p w14:paraId="48FDDFDC" w14:textId="77777777" w:rsidR="003A2255" w:rsidRDefault="003A2255" w:rsidP="003A2255">
      <w:pPr>
        <w:spacing w:after="160" w:line="259" w:lineRule="auto"/>
      </w:pPr>
    </w:p>
    <w:p w14:paraId="4D5723B4" w14:textId="2D7F63A7" w:rsidR="00364201" w:rsidRDefault="00364201" w:rsidP="00364201">
      <w:pPr>
        <w:pStyle w:val="Nadpis2"/>
      </w:pPr>
      <w:bookmarkStart w:id="673" w:name="_Toc120652184"/>
      <w:r>
        <w:t>6.2 Seznam zkratek</w:t>
      </w:r>
      <w:bookmarkEnd w:id="673"/>
    </w:p>
    <w:p w14:paraId="212396DC" w14:textId="77777777" w:rsidR="003A2255" w:rsidRPr="008F58DE" w:rsidRDefault="003A2255" w:rsidP="003A2255">
      <w:pPr>
        <w:pStyle w:val="Bezmezer"/>
        <w:spacing w:after="120"/>
        <w:rPr>
          <w:rFonts w:cstheme="minorHAnsi"/>
        </w:rPr>
      </w:pPr>
      <w:r w:rsidRPr="008F58DE">
        <w:rPr>
          <w:rFonts w:cstheme="minorHAnsi"/>
        </w:rPr>
        <w:t>ARES = Administrativní registr ekonomických subjektů</w:t>
      </w:r>
    </w:p>
    <w:p w14:paraId="6D5F3F6D" w14:textId="77777777" w:rsidR="003A2255" w:rsidRPr="008F58DE" w:rsidRDefault="003A2255" w:rsidP="003A2255">
      <w:pPr>
        <w:pStyle w:val="Bezmezer"/>
        <w:spacing w:after="120"/>
        <w:rPr>
          <w:rFonts w:eastAsia="Calibri" w:cstheme="minorHAnsi"/>
        </w:rPr>
      </w:pPr>
      <w:r w:rsidRPr="008F58DE">
        <w:rPr>
          <w:rFonts w:eastAsia="Calibri" w:cstheme="minorHAnsi"/>
        </w:rPr>
        <w:t>a. s. = akciová společnost</w:t>
      </w:r>
    </w:p>
    <w:p w14:paraId="7A1119B4" w14:textId="77777777" w:rsidR="003A2255" w:rsidRPr="008F58DE" w:rsidRDefault="003A2255" w:rsidP="003A2255">
      <w:pPr>
        <w:pStyle w:val="Bezmezer"/>
        <w:spacing w:after="120"/>
        <w:rPr>
          <w:rFonts w:cstheme="minorHAnsi"/>
        </w:rPr>
      </w:pPr>
      <w:r w:rsidRPr="008F58DE">
        <w:rPr>
          <w:rFonts w:cstheme="minorHAnsi"/>
        </w:rPr>
        <w:t>BPEJ = bonitované půdně ekologické jednotky</w:t>
      </w:r>
    </w:p>
    <w:p w14:paraId="7D13F7D0" w14:textId="77777777" w:rsidR="003A2255" w:rsidRPr="00595483" w:rsidRDefault="003A2255" w:rsidP="003A2255">
      <w:pPr>
        <w:pStyle w:val="Bezmezer"/>
        <w:spacing w:after="120"/>
        <w:rPr>
          <w:rFonts w:eastAsia="Calibri" w:cstheme="minorHAnsi"/>
        </w:rPr>
      </w:pPr>
      <w:r w:rsidRPr="00595483">
        <w:rPr>
          <w:rFonts w:eastAsia="Calibri" w:cstheme="minorHAnsi"/>
        </w:rPr>
        <w:t>ČEZ = České energetické závody</w:t>
      </w:r>
    </w:p>
    <w:p w14:paraId="0216D649" w14:textId="77777777" w:rsidR="003A2255" w:rsidRPr="008F58DE" w:rsidRDefault="003A2255" w:rsidP="003A2255">
      <w:pPr>
        <w:pStyle w:val="Bezmezer"/>
        <w:spacing w:after="120"/>
        <w:rPr>
          <w:rFonts w:cstheme="minorHAnsi"/>
        </w:rPr>
      </w:pPr>
      <w:r w:rsidRPr="008F58DE">
        <w:rPr>
          <w:rFonts w:cstheme="minorHAnsi"/>
        </w:rPr>
        <w:t>ČOV = čistírna odpadních vod</w:t>
      </w:r>
    </w:p>
    <w:p w14:paraId="41275B67" w14:textId="77777777" w:rsidR="003A2255" w:rsidRPr="008F58DE" w:rsidRDefault="003A2255" w:rsidP="003A2255">
      <w:pPr>
        <w:pStyle w:val="Bezmezer"/>
        <w:spacing w:after="120"/>
        <w:rPr>
          <w:rFonts w:eastAsia="Calibri" w:cstheme="minorHAnsi"/>
        </w:rPr>
      </w:pPr>
      <w:r w:rsidRPr="008F58DE">
        <w:rPr>
          <w:rFonts w:cstheme="minorHAnsi"/>
        </w:rPr>
        <w:t>č. p.</w:t>
      </w:r>
      <w:r w:rsidRPr="008F58DE">
        <w:rPr>
          <w:rFonts w:eastAsia="Calibri" w:cstheme="minorHAnsi"/>
        </w:rPr>
        <w:t xml:space="preserve"> = číslo popisné</w:t>
      </w:r>
    </w:p>
    <w:p w14:paraId="1DEA50B2" w14:textId="77777777" w:rsidR="003A2255" w:rsidRPr="008F58DE" w:rsidRDefault="003A2255" w:rsidP="003A2255">
      <w:pPr>
        <w:pStyle w:val="Bezmezer"/>
        <w:spacing w:after="120"/>
        <w:rPr>
          <w:rFonts w:cstheme="minorHAnsi"/>
        </w:rPr>
      </w:pPr>
      <w:r w:rsidRPr="008F58DE">
        <w:rPr>
          <w:rFonts w:eastAsia="Calibri" w:cstheme="minorHAnsi"/>
        </w:rPr>
        <w:t>č. e. = číslo evidenční</w:t>
      </w:r>
    </w:p>
    <w:p w14:paraId="412671B7" w14:textId="77777777" w:rsidR="003A2255" w:rsidRPr="008F58DE" w:rsidRDefault="003A2255" w:rsidP="003A2255">
      <w:pPr>
        <w:pStyle w:val="Bezmezer"/>
        <w:spacing w:after="120"/>
        <w:rPr>
          <w:rFonts w:cstheme="minorHAnsi"/>
        </w:rPr>
      </w:pPr>
      <w:r w:rsidRPr="008F58DE">
        <w:rPr>
          <w:rFonts w:cstheme="minorHAnsi"/>
        </w:rPr>
        <w:t>ČR = Česká republika</w:t>
      </w:r>
    </w:p>
    <w:p w14:paraId="7AE54408" w14:textId="77777777" w:rsidR="003A2255" w:rsidRPr="00595483" w:rsidRDefault="003A2255" w:rsidP="003A2255">
      <w:pPr>
        <w:pStyle w:val="Bezmezer"/>
        <w:spacing w:after="120"/>
        <w:rPr>
          <w:rFonts w:eastAsia="Calibri" w:cstheme="minorHAnsi"/>
        </w:rPr>
      </w:pPr>
      <w:r w:rsidRPr="00595483">
        <w:rPr>
          <w:rFonts w:eastAsia="Calibri" w:cstheme="minorHAnsi"/>
        </w:rPr>
        <w:t>DP = dotační program</w:t>
      </w:r>
    </w:p>
    <w:p w14:paraId="486FDCD8" w14:textId="77777777" w:rsidR="003A2255" w:rsidRPr="00595483" w:rsidRDefault="003A2255" w:rsidP="003A2255">
      <w:pPr>
        <w:pStyle w:val="Bezmezer"/>
        <w:spacing w:after="120"/>
        <w:rPr>
          <w:rFonts w:cstheme="minorHAnsi"/>
        </w:rPr>
      </w:pPr>
      <w:r w:rsidRPr="00595483">
        <w:rPr>
          <w:rFonts w:cstheme="minorHAnsi"/>
        </w:rPr>
        <w:t>DPH = daň z přidané hodnoty</w:t>
      </w:r>
    </w:p>
    <w:p w14:paraId="067820B7" w14:textId="77777777" w:rsidR="003A2255" w:rsidRPr="00595483" w:rsidRDefault="003A2255" w:rsidP="003A2255">
      <w:pPr>
        <w:spacing w:after="120"/>
        <w:rPr>
          <w:rFonts w:ascii="Calibri" w:eastAsia="Calibri" w:hAnsi="Calibri" w:cs="Calibri"/>
        </w:rPr>
      </w:pPr>
      <w:r w:rsidRPr="00595483">
        <w:rPr>
          <w:rFonts w:ascii="Calibri" w:eastAsia="Calibri" w:hAnsi="Calibri" w:cs="Calibri"/>
        </w:rPr>
        <w:t>DT = dotační titul</w:t>
      </w:r>
    </w:p>
    <w:p w14:paraId="498BC294" w14:textId="77777777" w:rsidR="003A2255" w:rsidRPr="008F58DE" w:rsidRDefault="003A2255" w:rsidP="003A2255">
      <w:pPr>
        <w:pStyle w:val="Bezmezer"/>
        <w:spacing w:after="120"/>
        <w:rPr>
          <w:rFonts w:cstheme="minorHAnsi"/>
        </w:rPr>
      </w:pPr>
      <w:r w:rsidRPr="008F58DE">
        <w:rPr>
          <w:rFonts w:cstheme="minorHAnsi"/>
        </w:rPr>
        <w:t>EAO = ekonomicky aktivní obyvatelstvo</w:t>
      </w:r>
    </w:p>
    <w:p w14:paraId="11B48727" w14:textId="77777777" w:rsidR="003A2255" w:rsidRPr="008F58DE" w:rsidRDefault="003A2255" w:rsidP="003A2255">
      <w:pPr>
        <w:pStyle w:val="Bezmezer"/>
        <w:spacing w:after="120"/>
        <w:rPr>
          <w:rFonts w:cstheme="minorHAnsi"/>
        </w:rPr>
      </w:pPr>
      <w:r w:rsidRPr="008F58DE">
        <w:rPr>
          <w:rFonts w:cstheme="minorHAnsi"/>
        </w:rPr>
        <w:t>EU = Evropská unie</w:t>
      </w:r>
    </w:p>
    <w:p w14:paraId="55B19F69" w14:textId="77777777" w:rsidR="003A2255" w:rsidRPr="008F58DE" w:rsidRDefault="003A2255" w:rsidP="003A2255">
      <w:pPr>
        <w:pStyle w:val="Bezmezer"/>
        <w:spacing w:after="120"/>
        <w:rPr>
          <w:rFonts w:cstheme="minorHAnsi"/>
        </w:rPr>
      </w:pPr>
      <w:r w:rsidRPr="008F58DE">
        <w:rPr>
          <w:rFonts w:cstheme="minorHAnsi"/>
        </w:rPr>
        <w:t>IČ = identifikační číslo</w:t>
      </w:r>
    </w:p>
    <w:p w14:paraId="1A3D5A7C" w14:textId="77777777" w:rsidR="003A2255" w:rsidRPr="008F58DE" w:rsidRDefault="003A2255" w:rsidP="003A2255">
      <w:pPr>
        <w:pStyle w:val="Bezmezer"/>
        <w:spacing w:after="120"/>
        <w:rPr>
          <w:rFonts w:cstheme="minorHAnsi"/>
        </w:rPr>
      </w:pPr>
      <w:r w:rsidRPr="008F58DE">
        <w:rPr>
          <w:rFonts w:cstheme="minorHAnsi"/>
        </w:rPr>
        <w:t>ID = identifikátor</w:t>
      </w:r>
    </w:p>
    <w:p w14:paraId="3EC50AA2" w14:textId="77777777" w:rsidR="003A2255" w:rsidRPr="008F58DE" w:rsidRDefault="003A2255" w:rsidP="003A2255">
      <w:pPr>
        <w:pStyle w:val="Bezmezer"/>
        <w:spacing w:after="120"/>
        <w:rPr>
          <w:rFonts w:cstheme="minorHAnsi"/>
        </w:rPr>
      </w:pPr>
      <w:r w:rsidRPr="008F58DE">
        <w:rPr>
          <w:rFonts w:cstheme="minorHAnsi"/>
        </w:rPr>
        <w:t>IDOS = internetový jízdní řád</w:t>
      </w:r>
    </w:p>
    <w:p w14:paraId="2835BC8C" w14:textId="77777777" w:rsidR="003A2255" w:rsidRPr="008F58DE" w:rsidRDefault="003A2255" w:rsidP="003A2255">
      <w:pPr>
        <w:pStyle w:val="Bezmezer"/>
        <w:spacing w:after="120"/>
        <w:rPr>
          <w:rFonts w:cstheme="minorHAnsi"/>
        </w:rPr>
      </w:pPr>
      <w:r w:rsidRPr="008F58DE">
        <w:rPr>
          <w:rFonts w:cstheme="minorHAnsi"/>
        </w:rPr>
        <w:t>IREDO = integrovaná regionální doprava</w:t>
      </w:r>
    </w:p>
    <w:p w14:paraId="308F1C94" w14:textId="77777777" w:rsidR="003A2255" w:rsidRPr="00595483" w:rsidRDefault="003A2255" w:rsidP="003A2255">
      <w:pPr>
        <w:pStyle w:val="Bezmezer"/>
        <w:spacing w:after="120"/>
        <w:rPr>
          <w:rFonts w:cstheme="minorHAnsi"/>
        </w:rPr>
      </w:pPr>
      <w:r w:rsidRPr="00595483">
        <w:rPr>
          <w:rFonts w:cstheme="minorHAnsi"/>
        </w:rPr>
        <w:t>IROP = Integrovaný regionální operační program</w:t>
      </w:r>
    </w:p>
    <w:p w14:paraId="7D482BCF" w14:textId="77777777" w:rsidR="003A2255" w:rsidRPr="008F58DE" w:rsidRDefault="003A2255" w:rsidP="003A2255">
      <w:pPr>
        <w:pStyle w:val="Bezmezer"/>
        <w:spacing w:after="120"/>
        <w:rPr>
          <w:rFonts w:cstheme="minorHAnsi"/>
        </w:rPr>
      </w:pPr>
      <w:r w:rsidRPr="008F58DE">
        <w:rPr>
          <w:rFonts w:cstheme="minorHAnsi"/>
        </w:rPr>
        <w:t>KES = koeficient ekologické stability</w:t>
      </w:r>
    </w:p>
    <w:p w14:paraId="54C5A06E" w14:textId="77777777" w:rsidR="003A2255" w:rsidRPr="00595483" w:rsidRDefault="003A2255" w:rsidP="003A2255">
      <w:pPr>
        <w:pStyle w:val="Bezmezer"/>
        <w:spacing w:after="120"/>
        <w:rPr>
          <w:rFonts w:cstheme="minorHAnsi"/>
        </w:rPr>
      </w:pPr>
      <w:r w:rsidRPr="00595483">
        <w:rPr>
          <w:rFonts w:cstheme="minorHAnsi"/>
        </w:rPr>
        <w:t>KHK kraj = Královéhradecký kraj</w:t>
      </w:r>
    </w:p>
    <w:p w14:paraId="3CA87C18" w14:textId="77777777" w:rsidR="003A2255" w:rsidRPr="008F58DE" w:rsidRDefault="003A2255" w:rsidP="003A2255">
      <w:pPr>
        <w:pStyle w:val="Bezmezer"/>
        <w:spacing w:after="120"/>
        <w:rPr>
          <w:rFonts w:eastAsia="Calibri" w:cstheme="minorHAnsi"/>
        </w:rPr>
      </w:pPr>
      <w:r w:rsidRPr="008F58DE">
        <w:rPr>
          <w:rFonts w:cstheme="minorHAnsi"/>
        </w:rPr>
        <w:t xml:space="preserve">KN </w:t>
      </w:r>
      <w:r w:rsidRPr="008F58DE">
        <w:rPr>
          <w:rFonts w:eastAsia="Calibri" w:cstheme="minorHAnsi"/>
        </w:rPr>
        <w:t>= katastr nemovitostí</w:t>
      </w:r>
    </w:p>
    <w:p w14:paraId="26AD8048" w14:textId="77777777" w:rsidR="003A2255" w:rsidRPr="008F58DE" w:rsidRDefault="003A2255" w:rsidP="003A2255">
      <w:pPr>
        <w:spacing w:after="120"/>
      </w:pPr>
      <w:r w:rsidRPr="008F58DE">
        <w:rPr>
          <w:rFonts w:eastAsia="Calibri" w:cstheme="minorHAnsi"/>
        </w:rPr>
        <w:t>KoPÚ = komplexní pozemkové úpravy</w:t>
      </w:r>
    </w:p>
    <w:p w14:paraId="691F22A5" w14:textId="77777777" w:rsidR="003A2255" w:rsidRPr="008F58DE" w:rsidRDefault="003A2255" w:rsidP="003A2255">
      <w:pPr>
        <w:pStyle w:val="Bezmezer"/>
        <w:spacing w:after="120"/>
        <w:rPr>
          <w:rFonts w:eastAsia="Calibri" w:cstheme="minorHAnsi"/>
        </w:rPr>
      </w:pPr>
      <w:r w:rsidRPr="008F58DE">
        <w:rPr>
          <w:rFonts w:eastAsia="Calibri" w:cstheme="minorHAnsi"/>
        </w:rPr>
        <w:t>k. ú. = katastrální území</w:t>
      </w:r>
    </w:p>
    <w:p w14:paraId="6A8101A2" w14:textId="77777777" w:rsidR="003A2255" w:rsidRPr="008F58DE" w:rsidRDefault="003A2255" w:rsidP="003A2255">
      <w:pPr>
        <w:pStyle w:val="Bezmezer"/>
        <w:spacing w:after="120"/>
        <w:rPr>
          <w:rFonts w:eastAsia="Calibri" w:cstheme="minorHAnsi"/>
        </w:rPr>
      </w:pPr>
      <w:r w:rsidRPr="008F58DE">
        <w:rPr>
          <w:rFonts w:cstheme="minorHAnsi"/>
        </w:rPr>
        <w:t xml:space="preserve">MAS </w:t>
      </w:r>
      <w:r w:rsidRPr="008F58DE">
        <w:rPr>
          <w:rFonts w:eastAsia="Calibri" w:cstheme="minorHAnsi"/>
        </w:rPr>
        <w:t>= místní akční skupina</w:t>
      </w:r>
    </w:p>
    <w:p w14:paraId="7228A10E" w14:textId="77777777" w:rsidR="003A2255" w:rsidRDefault="003A2255" w:rsidP="003A2255">
      <w:pPr>
        <w:spacing w:after="120"/>
        <w:rPr>
          <w:rFonts w:eastAsia="Calibri" w:cstheme="minorHAnsi"/>
        </w:rPr>
      </w:pPr>
      <w:r w:rsidRPr="00595483">
        <w:rPr>
          <w:rFonts w:eastAsia="Calibri" w:cstheme="minorHAnsi"/>
        </w:rPr>
        <w:t>MAS KJH = Místní akční skupina Království - Jestřebí hory, o.p.s.</w:t>
      </w:r>
    </w:p>
    <w:p w14:paraId="1BB783EF" w14:textId="77777777" w:rsidR="003A2255" w:rsidRPr="00595483" w:rsidRDefault="003A2255" w:rsidP="003A2255">
      <w:pPr>
        <w:spacing w:after="120"/>
        <w:rPr>
          <w:rFonts w:eastAsia="Calibri" w:cstheme="minorHAnsi"/>
        </w:rPr>
      </w:pPr>
      <w:r>
        <w:rPr>
          <w:rFonts w:eastAsia="Calibri" w:cstheme="minorHAnsi"/>
        </w:rPr>
        <w:lastRenderedPageBreak/>
        <w:t>MD = Ministerstvo dopravy</w:t>
      </w:r>
    </w:p>
    <w:p w14:paraId="6A4D2663" w14:textId="77777777" w:rsidR="003A2255" w:rsidRPr="00595483" w:rsidRDefault="003A2255" w:rsidP="003A2255">
      <w:pPr>
        <w:spacing w:after="120"/>
        <w:jc w:val="both"/>
        <w:rPr>
          <w:rFonts w:eastAsia="Calibri" w:cstheme="minorHAnsi"/>
        </w:rPr>
      </w:pPr>
      <w:r w:rsidRPr="00595483">
        <w:rPr>
          <w:rFonts w:eastAsia="Calibri" w:cstheme="minorHAnsi"/>
        </w:rPr>
        <w:t>MFČR = Ministerstvo financí České republiky</w:t>
      </w:r>
    </w:p>
    <w:p w14:paraId="2CC69781" w14:textId="77777777" w:rsidR="003A2255" w:rsidRPr="00595483" w:rsidRDefault="003A2255" w:rsidP="003A2255">
      <w:pPr>
        <w:pStyle w:val="Bezmezer"/>
        <w:spacing w:after="120"/>
        <w:rPr>
          <w:rFonts w:cstheme="minorHAnsi"/>
        </w:rPr>
      </w:pPr>
      <w:r w:rsidRPr="00595483">
        <w:rPr>
          <w:rFonts w:cstheme="minorHAnsi"/>
        </w:rPr>
        <w:t>MMR = Ministerstvo pro místní rozvoj</w:t>
      </w:r>
    </w:p>
    <w:p w14:paraId="59AF0D26" w14:textId="77777777" w:rsidR="003A2255" w:rsidRPr="008F58DE" w:rsidRDefault="003A2255" w:rsidP="003A2255">
      <w:pPr>
        <w:pStyle w:val="Bezmezer"/>
        <w:spacing w:after="120"/>
        <w:rPr>
          <w:rFonts w:cstheme="minorHAnsi"/>
          <w:highlight w:val="yellow"/>
        </w:rPr>
      </w:pPr>
      <w:r w:rsidRPr="00595483">
        <w:rPr>
          <w:rFonts w:eastAsia="Calibri" w:cs="Calibri"/>
        </w:rPr>
        <w:t>MPSV = Ministerstvo práce a sociálních věcí</w:t>
      </w:r>
    </w:p>
    <w:p w14:paraId="2B984A1D" w14:textId="77777777" w:rsidR="003A2255" w:rsidRPr="00595483" w:rsidRDefault="003A2255" w:rsidP="003A2255">
      <w:pPr>
        <w:pStyle w:val="Bezmezer"/>
        <w:spacing w:after="120"/>
        <w:rPr>
          <w:rFonts w:eastAsia="Calibri" w:cstheme="minorHAnsi"/>
        </w:rPr>
      </w:pPr>
      <w:r w:rsidRPr="00595483">
        <w:rPr>
          <w:rFonts w:eastAsia="Calibri" w:cstheme="minorHAnsi"/>
        </w:rPr>
        <w:t>MZe = Ministerstvo zemědělství</w:t>
      </w:r>
    </w:p>
    <w:p w14:paraId="0C60162D" w14:textId="77777777" w:rsidR="003A2255" w:rsidRPr="00595483" w:rsidRDefault="003A2255" w:rsidP="003A2255">
      <w:pPr>
        <w:spacing w:after="120"/>
        <w:rPr>
          <w:rFonts w:ascii="Calibri" w:eastAsia="Calibri" w:hAnsi="Calibri" w:cs="Calibri"/>
        </w:rPr>
      </w:pPr>
      <w:r w:rsidRPr="00595483">
        <w:rPr>
          <w:rFonts w:ascii="Calibri" w:eastAsia="Calibri" w:hAnsi="Calibri" w:cs="Calibri"/>
        </w:rPr>
        <w:t>MŽP = Ministerstvo životního prostředí</w:t>
      </w:r>
    </w:p>
    <w:p w14:paraId="5D3F7571" w14:textId="77777777" w:rsidR="003A2255" w:rsidRDefault="003A2255" w:rsidP="003A2255">
      <w:pPr>
        <w:pStyle w:val="Bezmezer"/>
        <w:spacing w:after="120"/>
        <w:rPr>
          <w:rFonts w:cstheme="minorHAnsi"/>
        </w:rPr>
      </w:pPr>
      <w:r w:rsidRPr="008F58DE">
        <w:rPr>
          <w:rFonts w:cstheme="minorHAnsi"/>
        </w:rPr>
        <w:t>NO</w:t>
      </w:r>
      <w:r w:rsidRPr="008F58DE">
        <w:rPr>
          <w:rFonts w:cstheme="minorHAnsi"/>
          <w:vertAlign w:val="subscript"/>
        </w:rPr>
        <w:t>2</w:t>
      </w:r>
      <w:r w:rsidRPr="008F58DE">
        <w:rPr>
          <w:rFonts w:cstheme="minorHAnsi"/>
        </w:rPr>
        <w:t xml:space="preserve"> = oxid dusičitý</w:t>
      </w:r>
    </w:p>
    <w:p w14:paraId="6689599F" w14:textId="77777777" w:rsidR="003A2255" w:rsidRPr="008F58DE" w:rsidRDefault="003A2255" w:rsidP="003A2255">
      <w:pPr>
        <w:pStyle w:val="Bezmezer"/>
        <w:spacing w:after="120"/>
        <w:rPr>
          <w:rFonts w:cstheme="minorHAnsi"/>
        </w:rPr>
      </w:pPr>
      <w:r>
        <w:rPr>
          <w:rFonts w:eastAsia="Calibri" w:cstheme="minorHAnsi"/>
        </w:rPr>
        <w:t>NPO = Národní plán obnovy</w:t>
      </w:r>
    </w:p>
    <w:p w14:paraId="3E402658" w14:textId="77777777" w:rsidR="003A2255" w:rsidRPr="008F58DE" w:rsidRDefault="003A2255" w:rsidP="003A2255">
      <w:pPr>
        <w:spacing w:after="120"/>
      </w:pPr>
      <w:r w:rsidRPr="008F58DE">
        <w:rPr>
          <w:rFonts w:eastAsia="Calibri" w:cstheme="minorHAnsi"/>
        </w:rPr>
        <w:t>o. p. s. = obecně prospěšná společnost</w:t>
      </w:r>
    </w:p>
    <w:p w14:paraId="3E0BC1EE" w14:textId="77777777" w:rsidR="003A2255" w:rsidRPr="008F58DE" w:rsidRDefault="003A2255" w:rsidP="003A2255">
      <w:pPr>
        <w:pStyle w:val="Bezmezer"/>
        <w:spacing w:after="120"/>
        <w:rPr>
          <w:rFonts w:eastAsia="Calibri" w:cstheme="minorHAnsi"/>
        </w:rPr>
      </w:pPr>
      <w:r w:rsidRPr="008F58DE">
        <w:rPr>
          <w:rFonts w:eastAsia="Calibri" w:cstheme="minorHAnsi"/>
        </w:rPr>
        <w:t>OP ŽP = Operační program Životní prostředí</w:t>
      </w:r>
    </w:p>
    <w:p w14:paraId="641B97A2" w14:textId="77777777" w:rsidR="003A2255" w:rsidRPr="008F58DE" w:rsidRDefault="003A2255" w:rsidP="003A2255">
      <w:pPr>
        <w:pStyle w:val="Bezmezer"/>
        <w:spacing w:after="120"/>
        <w:rPr>
          <w:rFonts w:eastAsia="Calibri" w:cstheme="minorHAnsi"/>
        </w:rPr>
      </w:pPr>
      <w:r w:rsidRPr="008F58DE">
        <w:t>ORP = obec s rozšířenou působností</w:t>
      </w:r>
    </w:p>
    <w:p w14:paraId="11950955" w14:textId="77777777" w:rsidR="003A2255" w:rsidRPr="008F58DE" w:rsidRDefault="003A2255" w:rsidP="003A2255">
      <w:pPr>
        <w:pStyle w:val="Bezmezer"/>
        <w:spacing w:after="120"/>
        <w:rPr>
          <w:rFonts w:cstheme="minorHAnsi"/>
        </w:rPr>
      </w:pPr>
      <w:r w:rsidRPr="008F58DE">
        <w:rPr>
          <w:rFonts w:cstheme="minorHAnsi"/>
        </w:rPr>
        <w:t>PM</w:t>
      </w:r>
      <w:r w:rsidRPr="008F58DE">
        <w:rPr>
          <w:rFonts w:cstheme="minorHAnsi"/>
          <w:vertAlign w:val="subscript"/>
        </w:rPr>
        <w:t xml:space="preserve">10 </w:t>
      </w:r>
      <w:r w:rsidRPr="008F58DE">
        <w:rPr>
          <w:rFonts w:cstheme="minorHAnsi"/>
        </w:rPr>
        <w:t>= suspendované částice (prach) o velikosti 10 mikrometrů</w:t>
      </w:r>
    </w:p>
    <w:p w14:paraId="1D93AF70" w14:textId="77777777" w:rsidR="003A2255" w:rsidRPr="00595483" w:rsidRDefault="003A2255" w:rsidP="003A2255">
      <w:pPr>
        <w:pStyle w:val="Bezmezer"/>
        <w:spacing w:after="120"/>
        <w:rPr>
          <w:rFonts w:eastAsia="Calibri" w:cstheme="minorHAnsi"/>
        </w:rPr>
      </w:pPr>
      <w:r w:rsidRPr="00595483">
        <w:rPr>
          <w:rFonts w:eastAsia="Calibri" w:cstheme="minorHAnsi"/>
        </w:rPr>
        <w:t>PORV = Podpora obnovy a rozvoje venkova</w:t>
      </w:r>
    </w:p>
    <w:p w14:paraId="45BE1FF2" w14:textId="77777777" w:rsidR="003A2255" w:rsidRPr="00595483" w:rsidRDefault="003A2255" w:rsidP="003A2255">
      <w:pPr>
        <w:pStyle w:val="Bezmezer"/>
        <w:spacing w:after="120"/>
        <w:rPr>
          <w:rFonts w:cstheme="minorHAnsi"/>
        </w:rPr>
      </w:pPr>
      <w:r w:rsidRPr="00595483">
        <w:rPr>
          <w:rFonts w:cstheme="minorHAnsi"/>
        </w:rPr>
        <w:t>POÚ = pověřený obecní úřad</w:t>
      </w:r>
    </w:p>
    <w:p w14:paraId="29DC72F6" w14:textId="77777777" w:rsidR="003A2255" w:rsidRPr="00595483" w:rsidRDefault="003A2255" w:rsidP="003A2255">
      <w:pPr>
        <w:pStyle w:val="Bezmezer"/>
        <w:spacing w:after="120"/>
        <w:rPr>
          <w:rFonts w:eastAsia="Calibri" w:cstheme="minorHAnsi"/>
        </w:rPr>
      </w:pPr>
      <w:r w:rsidRPr="00595483">
        <w:rPr>
          <w:rFonts w:eastAsia="Calibri" w:cstheme="minorHAnsi"/>
        </w:rPr>
        <w:t>POV KHK = Program obnovy Královéhradeckého kraje</w:t>
      </w:r>
    </w:p>
    <w:p w14:paraId="09331E5D" w14:textId="77777777" w:rsidR="003A2255" w:rsidRPr="008F58DE" w:rsidRDefault="003A2255" w:rsidP="003A2255">
      <w:pPr>
        <w:pStyle w:val="Bezmezer"/>
        <w:spacing w:after="120"/>
        <w:rPr>
          <w:rFonts w:eastAsia="Calibri" w:cstheme="minorHAnsi"/>
        </w:rPr>
      </w:pPr>
      <w:r w:rsidRPr="008F58DE">
        <w:rPr>
          <w:rFonts w:eastAsia="Calibri" w:cstheme="minorHAnsi"/>
        </w:rPr>
        <w:t>PRO = Program rozvoje obce</w:t>
      </w:r>
    </w:p>
    <w:p w14:paraId="092084D8" w14:textId="77777777" w:rsidR="003A2255" w:rsidRPr="00595483" w:rsidRDefault="003A2255" w:rsidP="003A2255">
      <w:pPr>
        <w:pStyle w:val="Bezmezer"/>
        <w:spacing w:after="120"/>
        <w:rPr>
          <w:rFonts w:eastAsia="Calibri" w:cstheme="minorHAnsi"/>
        </w:rPr>
      </w:pPr>
      <w:r w:rsidRPr="00595483">
        <w:rPr>
          <w:rFonts w:eastAsia="Calibri" w:cstheme="minorHAnsi"/>
        </w:rPr>
        <w:t>PRV = Program rozvoje venkova</w:t>
      </w:r>
    </w:p>
    <w:p w14:paraId="3F9508A4" w14:textId="77777777" w:rsidR="003A2255" w:rsidRPr="008F58DE" w:rsidRDefault="003A2255" w:rsidP="003A2255">
      <w:pPr>
        <w:pStyle w:val="Bezmezer"/>
        <w:spacing w:after="120"/>
        <w:rPr>
          <w:rFonts w:cstheme="minorHAnsi"/>
        </w:rPr>
      </w:pPr>
      <w:r w:rsidRPr="008F58DE">
        <w:rPr>
          <w:rFonts w:cstheme="minorHAnsi"/>
        </w:rPr>
        <w:t>RBC = regionální biocentrum</w:t>
      </w:r>
    </w:p>
    <w:p w14:paraId="537961EE" w14:textId="77777777" w:rsidR="003A2255" w:rsidRPr="008F58DE" w:rsidRDefault="003A2255" w:rsidP="003A2255">
      <w:pPr>
        <w:pStyle w:val="Bezmezer"/>
        <w:spacing w:after="120"/>
        <w:rPr>
          <w:rFonts w:cstheme="minorHAnsi"/>
          <w:highlight w:val="yellow"/>
        </w:rPr>
      </w:pPr>
      <w:r w:rsidRPr="008F58DE">
        <w:rPr>
          <w:rFonts w:cstheme="minorHAnsi"/>
        </w:rPr>
        <w:t>RBK = regionální biokoridor</w:t>
      </w:r>
    </w:p>
    <w:p w14:paraId="72AEC5F1" w14:textId="77777777" w:rsidR="003A2255" w:rsidRPr="00595483" w:rsidRDefault="003A2255" w:rsidP="003A2255">
      <w:pPr>
        <w:spacing w:after="120"/>
        <w:rPr>
          <w:rFonts w:ascii="Calibri" w:eastAsia="Calibri" w:hAnsi="Calibri" w:cs="Calibri"/>
        </w:rPr>
      </w:pPr>
      <w:r w:rsidRPr="00595483">
        <w:rPr>
          <w:rFonts w:ascii="Calibri" w:eastAsia="Calibri" w:hAnsi="Calibri" w:cs="Calibri"/>
        </w:rPr>
        <w:t>SFDI = Státní fond dopravní infrastruktury</w:t>
      </w:r>
    </w:p>
    <w:p w14:paraId="35ECB0A1" w14:textId="77777777" w:rsidR="003A2255" w:rsidRDefault="003A2255" w:rsidP="003A2255">
      <w:pPr>
        <w:spacing w:after="120"/>
        <w:jc w:val="both"/>
        <w:rPr>
          <w:rFonts w:ascii="Calibri" w:eastAsia="Calibri" w:hAnsi="Calibri" w:cs="Calibri"/>
          <w:highlight w:val="yellow"/>
        </w:rPr>
      </w:pPr>
      <w:r>
        <w:rPr>
          <w:rFonts w:ascii="Calibri" w:eastAsia="Calibri" w:hAnsi="Calibri" w:cs="Calibri"/>
        </w:rPr>
        <w:t>SFPI = Státní fond podpory investic</w:t>
      </w:r>
    </w:p>
    <w:p w14:paraId="5440D08D" w14:textId="77777777" w:rsidR="003A2255" w:rsidRPr="00595483" w:rsidRDefault="003A2255" w:rsidP="003A2255">
      <w:pPr>
        <w:spacing w:after="120"/>
        <w:jc w:val="both"/>
        <w:rPr>
          <w:rFonts w:eastAsia="Calibri" w:cstheme="minorHAnsi"/>
        </w:rPr>
      </w:pPr>
      <w:r w:rsidRPr="00595483">
        <w:rPr>
          <w:rFonts w:ascii="Calibri" w:eastAsia="Calibri" w:hAnsi="Calibri" w:cs="Calibri"/>
        </w:rPr>
        <w:t>SFŽP = Státní fond životního prostředí</w:t>
      </w:r>
    </w:p>
    <w:p w14:paraId="558D96AD" w14:textId="77777777" w:rsidR="003A2255" w:rsidRPr="008F58DE" w:rsidRDefault="003A2255" w:rsidP="003A2255">
      <w:pPr>
        <w:pStyle w:val="Bezmezer"/>
        <w:spacing w:after="120"/>
        <w:rPr>
          <w:rFonts w:cstheme="minorHAnsi"/>
        </w:rPr>
      </w:pPr>
      <w:r w:rsidRPr="008F58DE">
        <w:rPr>
          <w:rFonts w:cstheme="minorHAnsi"/>
        </w:rPr>
        <w:t>SO ORP = správní obvod obce s rozšířenou působností</w:t>
      </w:r>
    </w:p>
    <w:p w14:paraId="33DA4271" w14:textId="77777777" w:rsidR="003A2255" w:rsidRPr="008F58DE" w:rsidRDefault="003A2255" w:rsidP="003A2255">
      <w:pPr>
        <w:pStyle w:val="Bezmezer"/>
        <w:spacing w:after="120"/>
        <w:rPr>
          <w:rFonts w:cstheme="minorHAnsi"/>
        </w:rPr>
      </w:pPr>
      <w:r w:rsidRPr="008F58DE">
        <w:rPr>
          <w:rFonts w:cstheme="minorHAnsi"/>
        </w:rPr>
        <w:t>SO</w:t>
      </w:r>
      <w:r w:rsidRPr="008F58DE">
        <w:rPr>
          <w:rFonts w:cstheme="minorHAnsi"/>
          <w:vertAlign w:val="subscript"/>
        </w:rPr>
        <w:t>2</w:t>
      </w:r>
      <w:r w:rsidRPr="008F58DE">
        <w:rPr>
          <w:rFonts w:cstheme="minorHAnsi"/>
        </w:rPr>
        <w:t xml:space="preserve"> = oxid siřičitý</w:t>
      </w:r>
    </w:p>
    <w:p w14:paraId="5733A97D" w14:textId="77777777" w:rsidR="003A2255" w:rsidRDefault="003A2255" w:rsidP="003A2255">
      <w:pPr>
        <w:pStyle w:val="Bezmezer"/>
        <w:spacing w:after="120"/>
        <w:rPr>
          <w:rFonts w:cstheme="minorHAnsi"/>
        </w:rPr>
      </w:pPr>
      <w:r w:rsidRPr="00595483">
        <w:rPr>
          <w:rFonts w:cstheme="minorHAnsi"/>
        </w:rPr>
        <w:t>SP = strategická priorita</w:t>
      </w:r>
    </w:p>
    <w:p w14:paraId="73FA0257" w14:textId="77777777" w:rsidR="003A2255" w:rsidRPr="00595483" w:rsidRDefault="003A2255" w:rsidP="003A2255">
      <w:pPr>
        <w:pStyle w:val="Bezmezer"/>
        <w:spacing w:after="120"/>
        <w:rPr>
          <w:rFonts w:cstheme="minorHAnsi"/>
        </w:rPr>
      </w:pPr>
      <w:r w:rsidRPr="00910030">
        <w:rPr>
          <w:rFonts w:eastAsia="Calibri" w:cstheme="minorHAnsi"/>
        </w:rPr>
        <w:t>s. p. = státní podnik</w:t>
      </w:r>
    </w:p>
    <w:p w14:paraId="5938ACF4" w14:textId="77777777" w:rsidR="003A2255" w:rsidRDefault="003A2255" w:rsidP="003A2255">
      <w:pPr>
        <w:pStyle w:val="Bezmezer"/>
        <w:spacing w:after="120"/>
      </w:pPr>
      <w:r w:rsidRPr="008F58DE">
        <w:t>spol. s r. o. = společnost s ručením omezeným</w:t>
      </w:r>
    </w:p>
    <w:p w14:paraId="6E4FF576" w14:textId="77777777" w:rsidR="003A2255" w:rsidRPr="008F58DE" w:rsidRDefault="003A2255" w:rsidP="003A2255">
      <w:pPr>
        <w:pStyle w:val="Bezmezer"/>
        <w:spacing w:after="120"/>
        <w:rPr>
          <w:rFonts w:cstheme="minorHAnsi"/>
        </w:rPr>
      </w:pPr>
      <w:r>
        <w:rPr>
          <w:rFonts w:eastAsia="Calibri" w:cstheme="minorHAnsi"/>
        </w:rPr>
        <w:t>SPÚ = Státní pozemkový úřad</w:t>
      </w:r>
    </w:p>
    <w:p w14:paraId="0C88B47E" w14:textId="77777777" w:rsidR="003A2255" w:rsidRPr="008F58DE" w:rsidRDefault="003A2255" w:rsidP="003A2255">
      <w:pPr>
        <w:pStyle w:val="Bezmezer"/>
        <w:spacing w:after="120"/>
        <w:rPr>
          <w:rFonts w:cstheme="minorHAnsi"/>
        </w:rPr>
      </w:pPr>
      <w:r w:rsidRPr="008F58DE">
        <w:rPr>
          <w:rFonts w:cstheme="minorHAnsi"/>
        </w:rPr>
        <w:t>s. r. o. = společnost ručením omezením</w:t>
      </w:r>
    </w:p>
    <w:p w14:paraId="73810CBA" w14:textId="77777777" w:rsidR="003A2255" w:rsidRPr="008F58DE" w:rsidRDefault="003A2255" w:rsidP="003A2255">
      <w:pPr>
        <w:pStyle w:val="Bezmezer"/>
        <w:spacing w:after="120"/>
        <w:rPr>
          <w:rFonts w:cstheme="minorHAnsi"/>
        </w:rPr>
      </w:pPr>
      <w:r w:rsidRPr="008F58DE">
        <w:rPr>
          <w:rFonts w:cstheme="minorHAnsi"/>
        </w:rPr>
        <w:t xml:space="preserve">SS KHK </w:t>
      </w:r>
      <w:r w:rsidRPr="008F58DE">
        <w:rPr>
          <w:rFonts w:eastAsia="Calibri" w:cstheme="minorHAnsi"/>
        </w:rPr>
        <w:t>= Správa silnic Královéhradeckého kraje</w:t>
      </w:r>
    </w:p>
    <w:p w14:paraId="38D23C4C" w14:textId="77777777" w:rsidR="003A2255" w:rsidRPr="00595483" w:rsidRDefault="003A2255" w:rsidP="003A2255">
      <w:pPr>
        <w:pStyle w:val="Bezmezer"/>
        <w:spacing w:after="120"/>
        <w:rPr>
          <w:rFonts w:eastAsia="Calibri" w:cstheme="minorHAnsi"/>
        </w:rPr>
      </w:pPr>
      <w:r w:rsidRPr="00595483">
        <w:rPr>
          <w:rFonts w:eastAsia="Calibri" w:cstheme="minorHAnsi"/>
        </w:rPr>
        <w:t>StC = strategický cíl</w:t>
      </w:r>
    </w:p>
    <w:p w14:paraId="74600BD8" w14:textId="77777777" w:rsidR="003A2255" w:rsidRPr="00595483" w:rsidRDefault="003A2255" w:rsidP="003A2255">
      <w:pPr>
        <w:pStyle w:val="Bezmezer"/>
        <w:spacing w:after="120"/>
        <w:rPr>
          <w:rFonts w:cstheme="minorHAnsi"/>
        </w:rPr>
      </w:pPr>
      <w:r w:rsidRPr="00595483">
        <w:rPr>
          <w:rFonts w:cstheme="minorHAnsi"/>
        </w:rPr>
        <w:t>SWOT = S – Strengths (silné stránky), W – Weaknesses (slabé stránky), O – Opportunities (příležitosti) a T – Threats (hrozby)</w:t>
      </w:r>
    </w:p>
    <w:p w14:paraId="23B34E50" w14:textId="77777777" w:rsidR="003A2255" w:rsidRPr="008F58DE" w:rsidRDefault="003A2255" w:rsidP="003A2255">
      <w:pPr>
        <w:pStyle w:val="Bezmezer"/>
        <w:spacing w:after="120"/>
        <w:rPr>
          <w:rFonts w:cstheme="minorHAnsi"/>
        </w:rPr>
      </w:pPr>
      <w:r w:rsidRPr="008F58DE">
        <w:rPr>
          <w:rFonts w:cstheme="minorHAnsi"/>
        </w:rPr>
        <w:t xml:space="preserve">ÚAP ORP = územně analytické podklady obce s rozšířenou působností </w:t>
      </w:r>
    </w:p>
    <w:p w14:paraId="30D01BD2" w14:textId="77777777" w:rsidR="003A2255" w:rsidRPr="008F58DE" w:rsidRDefault="003A2255" w:rsidP="003A2255">
      <w:pPr>
        <w:pStyle w:val="Bezmezer"/>
        <w:spacing w:after="120"/>
        <w:rPr>
          <w:rFonts w:cstheme="minorHAnsi"/>
        </w:rPr>
      </w:pPr>
      <w:r w:rsidRPr="008F58DE">
        <w:rPr>
          <w:rFonts w:eastAsia="RWXLTG+TimesNewRoman" w:cstheme="minorHAnsi"/>
        </w:rPr>
        <w:lastRenderedPageBreak/>
        <w:t xml:space="preserve">ÚSES </w:t>
      </w:r>
      <w:r w:rsidRPr="008F58DE">
        <w:rPr>
          <w:rFonts w:eastAsia="Calibri" w:cstheme="minorHAnsi"/>
        </w:rPr>
        <w:t xml:space="preserve">= </w:t>
      </w:r>
      <w:r w:rsidRPr="008F58DE">
        <w:rPr>
          <w:rFonts w:cstheme="minorHAnsi"/>
        </w:rPr>
        <w:t>územní systém ekologické stability</w:t>
      </w:r>
    </w:p>
    <w:p w14:paraId="3AC80914" w14:textId="77777777" w:rsidR="003A2255" w:rsidRPr="008F58DE" w:rsidRDefault="003A2255" w:rsidP="003A2255">
      <w:pPr>
        <w:pStyle w:val="Bezmezer"/>
        <w:spacing w:after="120"/>
        <w:rPr>
          <w:rFonts w:cstheme="minorHAnsi"/>
        </w:rPr>
      </w:pPr>
      <w:r w:rsidRPr="008F58DE">
        <w:rPr>
          <w:rFonts w:cstheme="minorHAnsi"/>
        </w:rPr>
        <w:t>ZPF = zemědělský půdní fond</w:t>
      </w:r>
    </w:p>
    <w:p w14:paraId="27110A2D" w14:textId="77777777" w:rsidR="003A2255" w:rsidRPr="008F58DE" w:rsidRDefault="003A2255" w:rsidP="003A2255">
      <w:pPr>
        <w:pStyle w:val="Bezmezer"/>
        <w:spacing w:after="120"/>
        <w:rPr>
          <w:rFonts w:cstheme="minorHAnsi"/>
        </w:rPr>
      </w:pPr>
      <w:r w:rsidRPr="008F58DE">
        <w:rPr>
          <w:rFonts w:cstheme="minorHAnsi"/>
        </w:rPr>
        <w:t>z. s. = zapsaný spolek</w:t>
      </w:r>
    </w:p>
    <w:p w14:paraId="0B1EB7AB" w14:textId="09F17D25" w:rsidR="00364201" w:rsidRDefault="003A2255" w:rsidP="003A2255">
      <w:pPr>
        <w:spacing w:after="160" w:line="259" w:lineRule="auto"/>
        <w:rPr>
          <w:rFonts w:cstheme="minorHAnsi"/>
        </w:rPr>
      </w:pPr>
      <w:r w:rsidRPr="008F58DE">
        <w:rPr>
          <w:rFonts w:cstheme="minorHAnsi"/>
        </w:rPr>
        <w:t>ZSJ = základní sídelní jednotka</w:t>
      </w:r>
    </w:p>
    <w:p w14:paraId="105AABAB" w14:textId="77777777" w:rsidR="003A2255" w:rsidRDefault="003A2255" w:rsidP="003A2255">
      <w:pPr>
        <w:spacing w:after="160" w:line="259" w:lineRule="auto"/>
      </w:pPr>
    </w:p>
    <w:p w14:paraId="173EF06A" w14:textId="124F1DF1" w:rsidR="00364201" w:rsidRDefault="00364201" w:rsidP="00364201">
      <w:pPr>
        <w:pStyle w:val="Nadpis2"/>
      </w:pPr>
      <w:bookmarkStart w:id="674" w:name="_Toc120652185"/>
      <w:r>
        <w:t>6.3 Seznam tabulek</w:t>
      </w:r>
      <w:bookmarkEnd w:id="674"/>
    </w:p>
    <w:p w14:paraId="6EC27C94" w14:textId="4702AB25" w:rsidR="00041A31" w:rsidRDefault="00041A31" w:rsidP="00041A31">
      <w:pPr>
        <w:pStyle w:val="Seznamobrzk"/>
        <w:tabs>
          <w:tab w:val="right" w:leader="dot" w:pos="9062"/>
        </w:tabs>
        <w:spacing w:after="120"/>
        <w:jc w:val="both"/>
        <w:rPr>
          <w:rFonts w:eastAsiaTheme="minorEastAsia"/>
          <w:noProof/>
          <w:lang w:eastAsia="cs-CZ"/>
        </w:rPr>
      </w:pPr>
      <w:r>
        <w:fldChar w:fldCharType="begin"/>
      </w:r>
      <w:r>
        <w:instrText xml:space="preserve"> TOC \f T \h \z \t "TABULKA" \c </w:instrText>
      </w:r>
      <w:r>
        <w:fldChar w:fldCharType="separate"/>
      </w:r>
      <w:hyperlink w:anchor="_Toc120651923" w:history="1">
        <w:r w:rsidRPr="00242F38">
          <w:rPr>
            <w:rStyle w:val="Hypertextovodkaz"/>
            <w:noProof/>
          </w:rPr>
          <w:t>Tabulka 1: Skladebnost správní, technické, evidenční a sídelní struktury v rámci obce Staré Buky</w:t>
        </w:r>
        <w:r>
          <w:rPr>
            <w:noProof/>
            <w:webHidden/>
          </w:rPr>
          <w:tab/>
        </w:r>
        <w:r>
          <w:rPr>
            <w:noProof/>
            <w:webHidden/>
          </w:rPr>
          <w:fldChar w:fldCharType="begin"/>
        </w:r>
        <w:r>
          <w:rPr>
            <w:noProof/>
            <w:webHidden/>
          </w:rPr>
          <w:instrText xml:space="preserve"> PAGEREF _Toc120651923 \h </w:instrText>
        </w:r>
        <w:r>
          <w:rPr>
            <w:noProof/>
            <w:webHidden/>
          </w:rPr>
        </w:r>
        <w:r>
          <w:rPr>
            <w:noProof/>
            <w:webHidden/>
          </w:rPr>
          <w:fldChar w:fldCharType="separate"/>
        </w:r>
        <w:r w:rsidR="00392EC3">
          <w:rPr>
            <w:noProof/>
            <w:webHidden/>
          </w:rPr>
          <w:t>9</w:t>
        </w:r>
        <w:r>
          <w:rPr>
            <w:noProof/>
            <w:webHidden/>
          </w:rPr>
          <w:fldChar w:fldCharType="end"/>
        </w:r>
      </w:hyperlink>
    </w:p>
    <w:p w14:paraId="36323925" w14:textId="77866D92" w:rsidR="00041A31" w:rsidRDefault="00041A31" w:rsidP="00041A31">
      <w:pPr>
        <w:pStyle w:val="Seznamobrzk"/>
        <w:tabs>
          <w:tab w:val="right" w:leader="dot" w:pos="9062"/>
        </w:tabs>
        <w:spacing w:after="120"/>
        <w:jc w:val="both"/>
        <w:rPr>
          <w:rFonts w:eastAsiaTheme="minorEastAsia"/>
          <w:noProof/>
          <w:lang w:eastAsia="cs-CZ"/>
        </w:rPr>
      </w:pPr>
      <w:hyperlink w:anchor="_Toc120651924" w:history="1">
        <w:r w:rsidRPr="00242F38">
          <w:rPr>
            <w:rStyle w:val="Hypertextovodkaz"/>
            <w:noProof/>
          </w:rPr>
          <w:t xml:space="preserve">Tabulka 2: Struktura druhů pozemků půdního fondu v obci Staré Buky podle katastrálních území </w:t>
        </w:r>
        <w:r>
          <w:rPr>
            <w:rStyle w:val="Hypertextovodkaz"/>
            <w:noProof/>
          </w:rPr>
          <w:br/>
        </w:r>
        <w:r w:rsidRPr="00242F38">
          <w:rPr>
            <w:rStyle w:val="Hypertextovodkaz"/>
            <w:noProof/>
          </w:rPr>
          <w:t>k 8. 5. 2022 (v ha)</w:t>
        </w:r>
        <w:r>
          <w:rPr>
            <w:noProof/>
            <w:webHidden/>
          </w:rPr>
          <w:tab/>
        </w:r>
        <w:r>
          <w:rPr>
            <w:noProof/>
            <w:webHidden/>
          </w:rPr>
          <w:fldChar w:fldCharType="begin"/>
        </w:r>
        <w:r>
          <w:rPr>
            <w:noProof/>
            <w:webHidden/>
          </w:rPr>
          <w:instrText xml:space="preserve"> PAGEREF _Toc120651924 \h </w:instrText>
        </w:r>
        <w:r>
          <w:rPr>
            <w:noProof/>
            <w:webHidden/>
          </w:rPr>
        </w:r>
        <w:r>
          <w:rPr>
            <w:noProof/>
            <w:webHidden/>
          </w:rPr>
          <w:fldChar w:fldCharType="separate"/>
        </w:r>
        <w:r w:rsidR="00392EC3">
          <w:rPr>
            <w:noProof/>
            <w:webHidden/>
          </w:rPr>
          <w:t>15</w:t>
        </w:r>
        <w:r>
          <w:rPr>
            <w:noProof/>
            <w:webHidden/>
          </w:rPr>
          <w:fldChar w:fldCharType="end"/>
        </w:r>
      </w:hyperlink>
    </w:p>
    <w:p w14:paraId="3FC71230" w14:textId="0C6C0273" w:rsidR="00041A31" w:rsidRDefault="00041A31" w:rsidP="00041A31">
      <w:pPr>
        <w:pStyle w:val="Seznamobrzk"/>
        <w:tabs>
          <w:tab w:val="right" w:leader="dot" w:pos="9062"/>
        </w:tabs>
        <w:spacing w:after="120"/>
        <w:jc w:val="both"/>
        <w:rPr>
          <w:rFonts w:eastAsiaTheme="minorEastAsia"/>
          <w:noProof/>
          <w:lang w:eastAsia="cs-CZ"/>
        </w:rPr>
      </w:pPr>
      <w:hyperlink w:anchor="_Toc120651925" w:history="1">
        <w:r w:rsidRPr="00242F38">
          <w:rPr>
            <w:rStyle w:val="Hypertextovodkaz"/>
            <w:noProof/>
          </w:rPr>
          <w:t>Tabulka 3: Vývoj počtu obyvatel v obci Staré Buky a v jejích jednotlivých místních částech v období 1869-2021</w:t>
        </w:r>
        <w:r>
          <w:rPr>
            <w:noProof/>
            <w:webHidden/>
          </w:rPr>
          <w:tab/>
        </w:r>
        <w:r>
          <w:rPr>
            <w:noProof/>
            <w:webHidden/>
          </w:rPr>
          <w:fldChar w:fldCharType="begin"/>
        </w:r>
        <w:r>
          <w:rPr>
            <w:noProof/>
            <w:webHidden/>
          </w:rPr>
          <w:instrText xml:space="preserve"> PAGEREF _Toc120651925 \h </w:instrText>
        </w:r>
        <w:r>
          <w:rPr>
            <w:noProof/>
            <w:webHidden/>
          </w:rPr>
        </w:r>
        <w:r>
          <w:rPr>
            <w:noProof/>
            <w:webHidden/>
          </w:rPr>
          <w:fldChar w:fldCharType="separate"/>
        </w:r>
        <w:r w:rsidR="00392EC3">
          <w:rPr>
            <w:noProof/>
            <w:webHidden/>
          </w:rPr>
          <w:t>17</w:t>
        </w:r>
        <w:r>
          <w:rPr>
            <w:noProof/>
            <w:webHidden/>
          </w:rPr>
          <w:fldChar w:fldCharType="end"/>
        </w:r>
      </w:hyperlink>
    </w:p>
    <w:p w14:paraId="53119BCB" w14:textId="625078F0" w:rsidR="00041A31" w:rsidRDefault="00041A31" w:rsidP="00041A31">
      <w:pPr>
        <w:pStyle w:val="Seznamobrzk"/>
        <w:tabs>
          <w:tab w:val="right" w:leader="dot" w:pos="9062"/>
        </w:tabs>
        <w:spacing w:after="120"/>
        <w:jc w:val="both"/>
        <w:rPr>
          <w:rFonts w:eastAsiaTheme="minorEastAsia"/>
          <w:noProof/>
          <w:lang w:eastAsia="cs-CZ"/>
        </w:rPr>
      </w:pPr>
      <w:hyperlink w:anchor="_Toc120651926" w:history="1">
        <w:r w:rsidRPr="00242F38">
          <w:rPr>
            <w:rStyle w:val="Hypertextovodkaz"/>
            <w:noProof/>
          </w:rPr>
          <w:t>Tabulka 4: Přirozený přírůstek, migrace a celkový přírůstek obyvatel v obci Staré Buky v letech 2011 až 2021</w:t>
        </w:r>
        <w:r>
          <w:rPr>
            <w:noProof/>
            <w:webHidden/>
          </w:rPr>
          <w:tab/>
        </w:r>
        <w:r>
          <w:rPr>
            <w:noProof/>
            <w:webHidden/>
          </w:rPr>
          <w:fldChar w:fldCharType="begin"/>
        </w:r>
        <w:r>
          <w:rPr>
            <w:noProof/>
            <w:webHidden/>
          </w:rPr>
          <w:instrText xml:space="preserve"> PAGEREF _Toc120651926 \h </w:instrText>
        </w:r>
        <w:r>
          <w:rPr>
            <w:noProof/>
            <w:webHidden/>
          </w:rPr>
        </w:r>
        <w:r>
          <w:rPr>
            <w:noProof/>
            <w:webHidden/>
          </w:rPr>
          <w:fldChar w:fldCharType="separate"/>
        </w:r>
        <w:r w:rsidR="00392EC3">
          <w:rPr>
            <w:noProof/>
            <w:webHidden/>
          </w:rPr>
          <w:t>19</w:t>
        </w:r>
        <w:r>
          <w:rPr>
            <w:noProof/>
            <w:webHidden/>
          </w:rPr>
          <w:fldChar w:fldCharType="end"/>
        </w:r>
      </w:hyperlink>
    </w:p>
    <w:p w14:paraId="6592AB36" w14:textId="61810A91" w:rsidR="00041A31" w:rsidRDefault="00041A31" w:rsidP="00041A31">
      <w:pPr>
        <w:pStyle w:val="Seznamobrzk"/>
        <w:tabs>
          <w:tab w:val="right" w:leader="dot" w:pos="9062"/>
        </w:tabs>
        <w:spacing w:after="120"/>
        <w:jc w:val="both"/>
        <w:rPr>
          <w:rFonts w:eastAsiaTheme="minorEastAsia"/>
          <w:noProof/>
          <w:lang w:eastAsia="cs-CZ"/>
        </w:rPr>
      </w:pPr>
      <w:hyperlink w:anchor="_Toc120651927" w:history="1">
        <w:r w:rsidRPr="00242F38">
          <w:rPr>
            <w:rStyle w:val="Hypertextovodkaz"/>
            <w:noProof/>
          </w:rPr>
          <w:t>Tabulka 5: Vzdělanost obyvatelstva a index vzdělanosti v obci Staré Buky v letech 2001, 2011 a 2021</w:t>
        </w:r>
        <w:r>
          <w:rPr>
            <w:noProof/>
            <w:webHidden/>
          </w:rPr>
          <w:tab/>
        </w:r>
        <w:r>
          <w:rPr>
            <w:noProof/>
            <w:webHidden/>
          </w:rPr>
          <w:fldChar w:fldCharType="begin"/>
        </w:r>
        <w:r>
          <w:rPr>
            <w:noProof/>
            <w:webHidden/>
          </w:rPr>
          <w:instrText xml:space="preserve"> PAGEREF _Toc120651927 \h </w:instrText>
        </w:r>
        <w:r>
          <w:rPr>
            <w:noProof/>
            <w:webHidden/>
          </w:rPr>
        </w:r>
        <w:r>
          <w:rPr>
            <w:noProof/>
            <w:webHidden/>
          </w:rPr>
          <w:fldChar w:fldCharType="separate"/>
        </w:r>
        <w:r w:rsidR="00392EC3">
          <w:rPr>
            <w:noProof/>
            <w:webHidden/>
          </w:rPr>
          <w:t>21</w:t>
        </w:r>
        <w:r>
          <w:rPr>
            <w:noProof/>
            <w:webHidden/>
          </w:rPr>
          <w:fldChar w:fldCharType="end"/>
        </w:r>
      </w:hyperlink>
    </w:p>
    <w:p w14:paraId="46BF291C" w14:textId="66BEF98C" w:rsidR="00041A31" w:rsidRDefault="00041A31" w:rsidP="00041A31">
      <w:pPr>
        <w:pStyle w:val="Seznamobrzk"/>
        <w:tabs>
          <w:tab w:val="right" w:leader="dot" w:pos="9062"/>
        </w:tabs>
        <w:spacing w:after="120"/>
        <w:jc w:val="both"/>
        <w:rPr>
          <w:rFonts w:eastAsiaTheme="minorEastAsia"/>
          <w:noProof/>
          <w:lang w:eastAsia="cs-CZ"/>
        </w:rPr>
      </w:pPr>
      <w:hyperlink w:anchor="_Toc120651928" w:history="1">
        <w:r w:rsidRPr="00242F38">
          <w:rPr>
            <w:rStyle w:val="Hypertextovodkaz"/>
            <w:noProof/>
          </w:rPr>
          <w:t>Tabulka 6: Registrované zájmové spolky a sdružení mající sídlo v obci Staré Buky</w:t>
        </w:r>
        <w:r>
          <w:rPr>
            <w:noProof/>
            <w:webHidden/>
          </w:rPr>
          <w:tab/>
        </w:r>
        <w:r>
          <w:rPr>
            <w:noProof/>
            <w:webHidden/>
          </w:rPr>
          <w:fldChar w:fldCharType="begin"/>
        </w:r>
        <w:r>
          <w:rPr>
            <w:noProof/>
            <w:webHidden/>
          </w:rPr>
          <w:instrText xml:space="preserve"> PAGEREF _Toc120651928 \h </w:instrText>
        </w:r>
        <w:r>
          <w:rPr>
            <w:noProof/>
            <w:webHidden/>
          </w:rPr>
        </w:r>
        <w:r>
          <w:rPr>
            <w:noProof/>
            <w:webHidden/>
          </w:rPr>
          <w:fldChar w:fldCharType="separate"/>
        </w:r>
        <w:r w:rsidR="00392EC3">
          <w:rPr>
            <w:noProof/>
            <w:webHidden/>
          </w:rPr>
          <w:t>23</w:t>
        </w:r>
        <w:r>
          <w:rPr>
            <w:noProof/>
            <w:webHidden/>
          </w:rPr>
          <w:fldChar w:fldCharType="end"/>
        </w:r>
      </w:hyperlink>
    </w:p>
    <w:p w14:paraId="2E98DFA1" w14:textId="6F22CD81" w:rsidR="00041A31" w:rsidRDefault="00041A31" w:rsidP="00041A31">
      <w:pPr>
        <w:pStyle w:val="Seznamobrzk"/>
        <w:tabs>
          <w:tab w:val="right" w:leader="dot" w:pos="9062"/>
        </w:tabs>
        <w:spacing w:after="120"/>
        <w:jc w:val="both"/>
        <w:rPr>
          <w:rFonts w:eastAsiaTheme="minorEastAsia"/>
          <w:noProof/>
          <w:lang w:eastAsia="cs-CZ"/>
        </w:rPr>
      </w:pPr>
      <w:hyperlink w:anchor="_Toc120651929" w:history="1">
        <w:r w:rsidRPr="00242F38">
          <w:rPr>
            <w:rStyle w:val="Hypertextovodkaz"/>
            <w:noProof/>
          </w:rPr>
          <w:t>Tabulka 7: Výběr z akcí a událostí pořádaných v obci Staré Buky</w:t>
        </w:r>
        <w:r>
          <w:rPr>
            <w:noProof/>
            <w:webHidden/>
          </w:rPr>
          <w:tab/>
        </w:r>
        <w:r>
          <w:rPr>
            <w:noProof/>
            <w:webHidden/>
          </w:rPr>
          <w:fldChar w:fldCharType="begin"/>
        </w:r>
        <w:r>
          <w:rPr>
            <w:noProof/>
            <w:webHidden/>
          </w:rPr>
          <w:instrText xml:space="preserve"> PAGEREF _Toc120651929 \h </w:instrText>
        </w:r>
        <w:r>
          <w:rPr>
            <w:noProof/>
            <w:webHidden/>
          </w:rPr>
        </w:r>
        <w:r>
          <w:rPr>
            <w:noProof/>
            <w:webHidden/>
          </w:rPr>
          <w:fldChar w:fldCharType="separate"/>
        </w:r>
        <w:r w:rsidR="00392EC3">
          <w:rPr>
            <w:noProof/>
            <w:webHidden/>
          </w:rPr>
          <w:t>23</w:t>
        </w:r>
        <w:r>
          <w:rPr>
            <w:noProof/>
            <w:webHidden/>
          </w:rPr>
          <w:fldChar w:fldCharType="end"/>
        </w:r>
      </w:hyperlink>
    </w:p>
    <w:p w14:paraId="39C7EFC4" w14:textId="269FD060" w:rsidR="00041A31" w:rsidRDefault="00041A31" w:rsidP="00041A31">
      <w:pPr>
        <w:pStyle w:val="Seznamobrzk"/>
        <w:tabs>
          <w:tab w:val="right" w:leader="dot" w:pos="9062"/>
        </w:tabs>
        <w:spacing w:after="120"/>
        <w:jc w:val="both"/>
        <w:rPr>
          <w:rFonts w:eastAsiaTheme="minorEastAsia"/>
          <w:noProof/>
          <w:lang w:eastAsia="cs-CZ"/>
        </w:rPr>
      </w:pPr>
      <w:hyperlink w:anchor="_Toc120651930" w:history="1">
        <w:r w:rsidRPr="00242F38">
          <w:rPr>
            <w:rStyle w:val="Hypertextovodkaz"/>
            <w:noProof/>
          </w:rPr>
          <w:t>Tabulka 8: Podnikatelské subjekty mající sídlo na území obce Staré Buky (ke květnu 2022)</w:t>
        </w:r>
        <w:r>
          <w:rPr>
            <w:noProof/>
            <w:webHidden/>
          </w:rPr>
          <w:tab/>
        </w:r>
        <w:r>
          <w:rPr>
            <w:noProof/>
            <w:webHidden/>
          </w:rPr>
          <w:fldChar w:fldCharType="begin"/>
        </w:r>
        <w:r>
          <w:rPr>
            <w:noProof/>
            <w:webHidden/>
          </w:rPr>
          <w:instrText xml:space="preserve"> PAGEREF _Toc120651930 \h </w:instrText>
        </w:r>
        <w:r>
          <w:rPr>
            <w:noProof/>
            <w:webHidden/>
          </w:rPr>
        </w:r>
        <w:r>
          <w:rPr>
            <w:noProof/>
            <w:webHidden/>
          </w:rPr>
          <w:fldChar w:fldCharType="separate"/>
        </w:r>
        <w:r w:rsidR="00392EC3">
          <w:rPr>
            <w:noProof/>
            <w:webHidden/>
          </w:rPr>
          <w:t>26</w:t>
        </w:r>
        <w:r>
          <w:rPr>
            <w:noProof/>
            <w:webHidden/>
          </w:rPr>
          <w:fldChar w:fldCharType="end"/>
        </w:r>
      </w:hyperlink>
    </w:p>
    <w:p w14:paraId="46460898" w14:textId="7DDD0736" w:rsidR="00041A31" w:rsidRDefault="00041A31" w:rsidP="00041A31">
      <w:pPr>
        <w:pStyle w:val="Seznamobrzk"/>
        <w:tabs>
          <w:tab w:val="right" w:leader="dot" w:pos="9062"/>
        </w:tabs>
        <w:spacing w:after="120"/>
        <w:jc w:val="both"/>
        <w:rPr>
          <w:rFonts w:eastAsiaTheme="minorEastAsia"/>
          <w:noProof/>
          <w:lang w:eastAsia="cs-CZ"/>
        </w:rPr>
      </w:pPr>
      <w:hyperlink w:anchor="_Toc120651931" w:history="1">
        <w:r w:rsidRPr="00242F38">
          <w:rPr>
            <w:rStyle w:val="Hypertextovodkaz"/>
            <w:noProof/>
          </w:rPr>
          <w:t>Tabulka 9: Ekonomická aktivita obyvatelstva v obci Staré Buky v letech 2001 a 2011 (v %)</w:t>
        </w:r>
        <w:r>
          <w:rPr>
            <w:noProof/>
            <w:webHidden/>
          </w:rPr>
          <w:tab/>
        </w:r>
        <w:r>
          <w:rPr>
            <w:noProof/>
            <w:webHidden/>
          </w:rPr>
          <w:fldChar w:fldCharType="begin"/>
        </w:r>
        <w:r>
          <w:rPr>
            <w:noProof/>
            <w:webHidden/>
          </w:rPr>
          <w:instrText xml:space="preserve"> PAGEREF _Toc120651931 \h </w:instrText>
        </w:r>
        <w:r>
          <w:rPr>
            <w:noProof/>
            <w:webHidden/>
          </w:rPr>
        </w:r>
        <w:r>
          <w:rPr>
            <w:noProof/>
            <w:webHidden/>
          </w:rPr>
          <w:fldChar w:fldCharType="separate"/>
        </w:r>
        <w:r w:rsidR="00392EC3">
          <w:rPr>
            <w:noProof/>
            <w:webHidden/>
          </w:rPr>
          <w:t>29</w:t>
        </w:r>
        <w:r>
          <w:rPr>
            <w:noProof/>
            <w:webHidden/>
          </w:rPr>
          <w:fldChar w:fldCharType="end"/>
        </w:r>
      </w:hyperlink>
    </w:p>
    <w:p w14:paraId="07C4999F" w14:textId="4C068EB2" w:rsidR="00041A31" w:rsidRDefault="00041A31" w:rsidP="00041A31">
      <w:pPr>
        <w:pStyle w:val="Seznamobrzk"/>
        <w:tabs>
          <w:tab w:val="right" w:leader="dot" w:pos="9062"/>
        </w:tabs>
        <w:spacing w:after="120"/>
        <w:jc w:val="both"/>
        <w:rPr>
          <w:rFonts w:eastAsiaTheme="minorEastAsia"/>
          <w:noProof/>
          <w:lang w:eastAsia="cs-CZ"/>
        </w:rPr>
      </w:pPr>
      <w:hyperlink w:anchor="_Toc120651932" w:history="1">
        <w:r w:rsidRPr="00242F38">
          <w:rPr>
            <w:rStyle w:val="Hypertextovodkaz"/>
            <w:noProof/>
          </w:rPr>
          <w:t>Tabulka 10: Vyjížďka do zaměstnání v obci Staré Buky v letech 2001 a 2011</w:t>
        </w:r>
        <w:r>
          <w:rPr>
            <w:noProof/>
            <w:webHidden/>
          </w:rPr>
          <w:tab/>
        </w:r>
        <w:r>
          <w:rPr>
            <w:noProof/>
            <w:webHidden/>
          </w:rPr>
          <w:fldChar w:fldCharType="begin"/>
        </w:r>
        <w:r>
          <w:rPr>
            <w:noProof/>
            <w:webHidden/>
          </w:rPr>
          <w:instrText xml:space="preserve"> PAGEREF _Toc120651932 \h </w:instrText>
        </w:r>
        <w:r>
          <w:rPr>
            <w:noProof/>
            <w:webHidden/>
          </w:rPr>
        </w:r>
        <w:r>
          <w:rPr>
            <w:noProof/>
            <w:webHidden/>
          </w:rPr>
          <w:fldChar w:fldCharType="separate"/>
        </w:r>
        <w:r w:rsidR="00392EC3">
          <w:rPr>
            <w:noProof/>
            <w:webHidden/>
          </w:rPr>
          <w:t>31</w:t>
        </w:r>
        <w:r>
          <w:rPr>
            <w:noProof/>
            <w:webHidden/>
          </w:rPr>
          <w:fldChar w:fldCharType="end"/>
        </w:r>
      </w:hyperlink>
    </w:p>
    <w:p w14:paraId="1C46198B" w14:textId="4FCE78DF" w:rsidR="00041A31" w:rsidRDefault="00041A31" w:rsidP="00041A31">
      <w:pPr>
        <w:pStyle w:val="Seznamobrzk"/>
        <w:tabs>
          <w:tab w:val="right" w:leader="dot" w:pos="9062"/>
        </w:tabs>
        <w:spacing w:after="120"/>
        <w:jc w:val="both"/>
        <w:rPr>
          <w:rFonts w:eastAsiaTheme="minorEastAsia"/>
          <w:noProof/>
          <w:lang w:eastAsia="cs-CZ"/>
        </w:rPr>
      </w:pPr>
      <w:hyperlink w:anchor="_Toc120651933" w:history="1">
        <w:r w:rsidRPr="00242F38">
          <w:rPr>
            <w:rStyle w:val="Hypertextovodkaz"/>
            <w:noProof/>
          </w:rPr>
          <w:t>Tabulka 11: Ubytovací kapacity v obci Staré Buky (ke květnu 2022)</w:t>
        </w:r>
        <w:r>
          <w:rPr>
            <w:noProof/>
            <w:webHidden/>
          </w:rPr>
          <w:tab/>
        </w:r>
        <w:r>
          <w:rPr>
            <w:noProof/>
            <w:webHidden/>
          </w:rPr>
          <w:fldChar w:fldCharType="begin"/>
        </w:r>
        <w:r>
          <w:rPr>
            <w:noProof/>
            <w:webHidden/>
          </w:rPr>
          <w:instrText xml:space="preserve"> PAGEREF _Toc120651933 \h </w:instrText>
        </w:r>
        <w:r>
          <w:rPr>
            <w:noProof/>
            <w:webHidden/>
          </w:rPr>
        </w:r>
        <w:r>
          <w:rPr>
            <w:noProof/>
            <w:webHidden/>
          </w:rPr>
          <w:fldChar w:fldCharType="separate"/>
        </w:r>
        <w:r w:rsidR="00392EC3">
          <w:rPr>
            <w:noProof/>
            <w:webHidden/>
          </w:rPr>
          <w:t>32</w:t>
        </w:r>
        <w:r>
          <w:rPr>
            <w:noProof/>
            <w:webHidden/>
          </w:rPr>
          <w:fldChar w:fldCharType="end"/>
        </w:r>
      </w:hyperlink>
    </w:p>
    <w:p w14:paraId="484EA67D" w14:textId="7A3B382E" w:rsidR="00041A31" w:rsidRDefault="00041A31" w:rsidP="00041A31">
      <w:pPr>
        <w:pStyle w:val="Seznamobrzk"/>
        <w:tabs>
          <w:tab w:val="right" w:leader="dot" w:pos="9062"/>
        </w:tabs>
        <w:spacing w:after="120"/>
        <w:jc w:val="both"/>
        <w:rPr>
          <w:rFonts w:eastAsiaTheme="minorEastAsia"/>
          <w:noProof/>
          <w:lang w:eastAsia="cs-CZ"/>
        </w:rPr>
      </w:pPr>
      <w:hyperlink w:anchor="_Toc120651934" w:history="1">
        <w:r w:rsidRPr="00242F38">
          <w:rPr>
            <w:rStyle w:val="Hypertextovodkaz"/>
            <w:noProof/>
          </w:rPr>
          <w:t xml:space="preserve">Tabulka 12: </w:t>
        </w:r>
        <w:r w:rsidRPr="00242F38">
          <w:rPr>
            <w:rStyle w:val="Hypertextovodkaz"/>
            <w:rFonts w:eastAsia="Times New Roman" w:cs="Times New Roman"/>
            <w:noProof/>
            <w:lang w:eastAsia="cs-CZ"/>
          </w:rPr>
          <w:t xml:space="preserve">Stravovací zařízení </w:t>
        </w:r>
        <w:r w:rsidRPr="00242F38">
          <w:rPr>
            <w:rStyle w:val="Hypertextovodkaz"/>
            <w:noProof/>
          </w:rPr>
          <w:t xml:space="preserve">a zařízení související se stravováním na území obce Staré Buky  </w:t>
        </w:r>
        <w:r>
          <w:rPr>
            <w:rStyle w:val="Hypertextovodkaz"/>
            <w:noProof/>
          </w:rPr>
          <w:br/>
        </w:r>
        <w:r w:rsidRPr="00242F38">
          <w:rPr>
            <w:rStyle w:val="Hypertextovodkaz"/>
            <w:noProof/>
          </w:rPr>
          <w:t>(ke květnu 2022)</w:t>
        </w:r>
        <w:r>
          <w:rPr>
            <w:noProof/>
            <w:webHidden/>
          </w:rPr>
          <w:tab/>
        </w:r>
        <w:r>
          <w:rPr>
            <w:noProof/>
            <w:webHidden/>
          </w:rPr>
          <w:fldChar w:fldCharType="begin"/>
        </w:r>
        <w:r>
          <w:rPr>
            <w:noProof/>
            <w:webHidden/>
          </w:rPr>
          <w:instrText xml:space="preserve"> PAGEREF _Toc120651934 \h </w:instrText>
        </w:r>
        <w:r>
          <w:rPr>
            <w:noProof/>
            <w:webHidden/>
          </w:rPr>
        </w:r>
        <w:r>
          <w:rPr>
            <w:noProof/>
            <w:webHidden/>
          </w:rPr>
          <w:fldChar w:fldCharType="separate"/>
        </w:r>
        <w:r w:rsidR="00392EC3">
          <w:rPr>
            <w:noProof/>
            <w:webHidden/>
          </w:rPr>
          <w:t>33</w:t>
        </w:r>
        <w:r>
          <w:rPr>
            <w:noProof/>
            <w:webHidden/>
          </w:rPr>
          <w:fldChar w:fldCharType="end"/>
        </w:r>
      </w:hyperlink>
    </w:p>
    <w:p w14:paraId="0C55DDB5" w14:textId="5ED9462A" w:rsidR="00041A31" w:rsidRDefault="00041A31" w:rsidP="00041A31">
      <w:pPr>
        <w:pStyle w:val="Seznamobrzk"/>
        <w:tabs>
          <w:tab w:val="right" w:leader="dot" w:pos="9062"/>
        </w:tabs>
        <w:spacing w:after="120"/>
        <w:jc w:val="both"/>
        <w:rPr>
          <w:rFonts w:eastAsiaTheme="minorEastAsia"/>
          <w:noProof/>
          <w:lang w:eastAsia="cs-CZ"/>
        </w:rPr>
      </w:pPr>
      <w:hyperlink w:anchor="_Toc120651935" w:history="1">
        <w:r w:rsidRPr="00242F38">
          <w:rPr>
            <w:rStyle w:val="Hypertextovodkaz"/>
            <w:noProof/>
          </w:rPr>
          <w:t>Tabulka 13: Intenzita dopravy na silnici I/16 a III/30018 na území obce Staré Buky</w:t>
        </w:r>
        <w:r>
          <w:rPr>
            <w:noProof/>
            <w:webHidden/>
          </w:rPr>
          <w:tab/>
        </w:r>
        <w:r>
          <w:rPr>
            <w:noProof/>
            <w:webHidden/>
          </w:rPr>
          <w:fldChar w:fldCharType="begin"/>
        </w:r>
        <w:r>
          <w:rPr>
            <w:noProof/>
            <w:webHidden/>
          </w:rPr>
          <w:instrText xml:space="preserve"> PAGEREF _Toc120651935 \h </w:instrText>
        </w:r>
        <w:r>
          <w:rPr>
            <w:noProof/>
            <w:webHidden/>
          </w:rPr>
        </w:r>
        <w:r>
          <w:rPr>
            <w:noProof/>
            <w:webHidden/>
          </w:rPr>
          <w:fldChar w:fldCharType="separate"/>
        </w:r>
        <w:r w:rsidR="00392EC3">
          <w:rPr>
            <w:noProof/>
            <w:webHidden/>
          </w:rPr>
          <w:t>34</w:t>
        </w:r>
        <w:r>
          <w:rPr>
            <w:noProof/>
            <w:webHidden/>
          </w:rPr>
          <w:fldChar w:fldCharType="end"/>
        </w:r>
      </w:hyperlink>
    </w:p>
    <w:p w14:paraId="5527297E" w14:textId="64AC0D89" w:rsidR="00041A31" w:rsidRDefault="00041A31" w:rsidP="00041A31">
      <w:pPr>
        <w:pStyle w:val="Seznamobrzk"/>
        <w:tabs>
          <w:tab w:val="right" w:leader="dot" w:pos="9062"/>
        </w:tabs>
        <w:spacing w:after="120"/>
        <w:jc w:val="both"/>
        <w:rPr>
          <w:rFonts w:eastAsiaTheme="minorEastAsia"/>
          <w:noProof/>
          <w:lang w:eastAsia="cs-CZ"/>
        </w:rPr>
      </w:pPr>
      <w:hyperlink w:anchor="_Toc120651936" w:history="1">
        <w:r w:rsidRPr="00242F38">
          <w:rPr>
            <w:rStyle w:val="Hypertextovodkaz"/>
            <w:noProof/>
          </w:rPr>
          <w:t>Tabulka 14: Cyklotrasy procházející územím obce Staré Buky (ke květnu 2022)</w:t>
        </w:r>
        <w:r>
          <w:rPr>
            <w:noProof/>
            <w:webHidden/>
          </w:rPr>
          <w:tab/>
        </w:r>
        <w:r>
          <w:rPr>
            <w:noProof/>
            <w:webHidden/>
          </w:rPr>
          <w:fldChar w:fldCharType="begin"/>
        </w:r>
        <w:r>
          <w:rPr>
            <w:noProof/>
            <w:webHidden/>
          </w:rPr>
          <w:instrText xml:space="preserve"> PAGEREF _Toc120651936 \h </w:instrText>
        </w:r>
        <w:r>
          <w:rPr>
            <w:noProof/>
            <w:webHidden/>
          </w:rPr>
        </w:r>
        <w:r>
          <w:rPr>
            <w:noProof/>
            <w:webHidden/>
          </w:rPr>
          <w:fldChar w:fldCharType="separate"/>
        </w:r>
        <w:r w:rsidR="00392EC3">
          <w:rPr>
            <w:noProof/>
            <w:webHidden/>
          </w:rPr>
          <w:t>36</w:t>
        </w:r>
        <w:r>
          <w:rPr>
            <w:noProof/>
            <w:webHidden/>
          </w:rPr>
          <w:fldChar w:fldCharType="end"/>
        </w:r>
      </w:hyperlink>
    </w:p>
    <w:p w14:paraId="5A6F9E37" w14:textId="313C631C" w:rsidR="00041A31" w:rsidRDefault="00041A31" w:rsidP="00041A31">
      <w:pPr>
        <w:pStyle w:val="Seznamobrzk"/>
        <w:tabs>
          <w:tab w:val="right" w:leader="dot" w:pos="9062"/>
        </w:tabs>
        <w:spacing w:after="120"/>
        <w:jc w:val="both"/>
        <w:rPr>
          <w:rFonts w:eastAsiaTheme="minorEastAsia"/>
          <w:noProof/>
          <w:lang w:eastAsia="cs-CZ"/>
        </w:rPr>
      </w:pPr>
      <w:hyperlink w:anchor="_Toc120651937" w:history="1">
        <w:r w:rsidRPr="00242F38">
          <w:rPr>
            <w:rStyle w:val="Hypertextovodkaz"/>
            <w:rFonts w:eastAsia="RWXLTG+TimesNewRoman" w:cs="RWXLTG+TimesNewRoman"/>
            <w:noProof/>
          </w:rPr>
          <w:t xml:space="preserve">Tabulka 15: </w:t>
        </w:r>
        <w:r w:rsidRPr="00242F38">
          <w:rPr>
            <w:rStyle w:val="Hypertextovodkaz"/>
            <w:noProof/>
          </w:rPr>
          <w:t xml:space="preserve">Dopravní obslužnost obce Staré Buky autobusovými spoji podle jízdních řádů platných </w:t>
        </w:r>
        <w:r>
          <w:rPr>
            <w:rStyle w:val="Hypertextovodkaz"/>
            <w:noProof/>
          </w:rPr>
          <w:br/>
        </w:r>
        <w:r w:rsidRPr="00242F38">
          <w:rPr>
            <w:rStyle w:val="Hypertextovodkaz"/>
            <w:noProof/>
          </w:rPr>
          <w:t>do 10. 12. 2022</w:t>
        </w:r>
        <w:r>
          <w:rPr>
            <w:noProof/>
            <w:webHidden/>
          </w:rPr>
          <w:tab/>
        </w:r>
        <w:r>
          <w:rPr>
            <w:noProof/>
            <w:webHidden/>
          </w:rPr>
          <w:fldChar w:fldCharType="begin"/>
        </w:r>
        <w:r>
          <w:rPr>
            <w:noProof/>
            <w:webHidden/>
          </w:rPr>
          <w:instrText xml:space="preserve"> PAGEREF _Toc120651937 \h </w:instrText>
        </w:r>
        <w:r>
          <w:rPr>
            <w:noProof/>
            <w:webHidden/>
          </w:rPr>
        </w:r>
        <w:r>
          <w:rPr>
            <w:noProof/>
            <w:webHidden/>
          </w:rPr>
          <w:fldChar w:fldCharType="separate"/>
        </w:r>
        <w:r w:rsidR="00392EC3">
          <w:rPr>
            <w:noProof/>
            <w:webHidden/>
          </w:rPr>
          <w:t>37</w:t>
        </w:r>
        <w:r>
          <w:rPr>
            <w:noProof/>
            <w:webHidden/>
          </w:rPr>
          <w:fldChar w:fldCharType="end"/>
        </w:r>
      </w:hyperlink>
    </w:p>
    <w:p w14:paraId="07157CD9" w14:textId="0EF824C3" w:rsidR="00041A31" w:rsidRDefault="00041A31" w:rsidP="00041A31">
      <w:pPr>
        <w:pStyle w:val="Seznamobrzk"/>
        <w:tabs>
          <w:tab w:val="right" w:leader="dot" w:pos="9062"/>
        </w:tabs>
        <w:spacing w:after="120"/>
        <w:jc w:val="both"/>
        <w:rPr>
          <w:rFonts w:eastAsiaTheme="minorEastAsia"/>
          <w:noProof/>
          <w:lang w:eastAsia="cs-CZ"/>
        </w:rPr>
      </w:pPr>
      <w:hyperlink w:anchor="_Toc120651938" w:history="1">
        <w:r w:rsidRPr="00242F38">
          <w:rPr>
            <w:rStyle w:val="Hypertextovodkaz"/>
            <w:noProof/>
          </w:rPr>
          <w:t>Tabulka 16: Časová dostupnost vybraných měst autobusovou dopravou z obce Staré Buky podle jízdních řádů platných do 10. 12. 2022</w:t>
        </w:r>
        <w:r>
          <w:rPr>
            <w:noProof/>
            <w:webHidden/>
          </w:rPr>
          <w:tab/>
        </w:r>
        <w:r>
          <w:rPr>
            <w:noProof/>
            <w:webHidden/>
          </w:rPr>
          <w:fldChar w:fldCharType="begin"/>
        </w:r>
        <w:r>
          <w:rPr>
            <w:noProof/>
            <w:webHidden/>
          </w:rPr>
          <w:instrText xml:space="preserve"> PAGEREF _Toc120651938 \h </w:instrText>
        </w:r>
        <w:r>
          <w:rPr>
            <w:noProof/>
            <w:webHidden/>
          </w:rPr>
        </w:r>
        <w:r>
          <w:rPr>
            <w:noProof/>
            <w:webHidden/>
          </w:rPr>
          <w:fldChar w:fldCharType="separate"/>
        </w:r>
        <w:r w:rsidR="00392EC3">
          <w:rPr>
            <w:noProof/>
            <w:webHidden/>
          </w:rPr>
          <w:t>37</w:t>
        </w:r>
        <w:r>
          <w:rPr>
            <w:noProof/>
            <w:webHidden/>
          </w:rPr>
          <w:fldChar w:fldCharType="end"/>
        </w:r>
      </w:hyperlink>
    </w:p>
    <w:p w14:paraId="5E6354A4" w14:textId="02033242" w:rsidR="00041A31" w:rsidRDefault="00041A31" w:rsidP="00041A31">
      <w:pPr>
        <w:pStyle w:val="Seznamobrzk"/>
        <w:tabs>
          <w:tab w:val="right" w:leader="dot" w:pos="9062"/>
        </w:tabs>
        <w:spacing w:after="120"/>
        <w:jc w:val="both"/>
        <w:rPr>
          <w:rFonts w:eastAsiaTheme="minorEastAsia"/>
          <w:noProof/>
          <w:lang w:eastAsia="cs-CZ"/>
        </w:rPr>
      </w:pPr>
      <w:hyperlink w:anchor="_Toc120651939" w:history="1">
        <w:r w:rsidRPr="00242F38">
          <w:rPr>
            <w:rStyle w:val="Hypertextovodkaz"/>
            <w:noProof/>
          </w:rPr>
          <w:t>Tabulka 17: Informace o domovním a bytovém fondu v obci Staré Buky v roce 2001</w:t>
        </w:r>
        <w:r>
          <w:rPr>
            <w:noProof/>
            <w:webHidden/>
          </w:rPr>
          <w:tab/>
        </w:r>
        <w:r>
          <w:rPr>
            <w:noProof/>
            <w:webHidden/>
          </w:rPr>
          <w:fldChar w:fldCharType="begin"/>
        </w:r>
        <w:r>
          <w:rPr>
            <w:noProof/>
            <w:webHidden/>
          </w:rPr>
          <w:instrText xml:space="preserve"> PAGEREF _Toc120651939 \h </w:instrText>
        </w:r>
        <w:r>
          <w:rPr>
            <w:noProof/>
            <w:webHidden/>
          </w:rPr>
        </w:r>
        <w:r>
          <w:rPr>
            <w:noProof/>
            <w:webHidden/>
          </w:rPr>
          <w:fldChar w:fldCharType="separate"/>
        </w:r>
        <w:r w:rsidR="00392EC3">
          <w:rPr>
            <w:noProof/>
            <w:webHidden/>
          </w:rPr>
          <w:t>41</w:t>
        </w:r>
        <w:r>
          <w:rPr>
            <w:noProof/>
            <w:webHidden/>
          </w:rPr>
          <w:fldChar w:fldCharType="end"/>
        </w:r>
      </w:hyperlink>
    </w:p>
    <w:p w14:paraId="23B3002E" w14:textId="090169A6" w:rsidR="00041A31" w:rsidRDefault="00041A31" w:rsidP="00041A31">
      <w:pPr>
        <w:pStyle w:val="Seznamobrzk"/>
        <w:tabs>
          <w:tab w:val="right" w:leader="dot" w:pos="9062"/>
        </w:tabs>
        <w:spacing w:after="120"/>
        <w:jc w:val="both"/>
        <w:rPr>
          <w:rFonts w:eastAsiaTheme="minorEastAsia"/>
          <w:noProof/>
          <w:lang w:eastAsia="cs-CZ"/>
        </w:rPr>
      </w:pPr>
      <w:hyperlink w:anchor="_Toc120651940" w:history="1">
        <w:r w:rsidRPr="00242F38">
          <w:rPr>
            <w:rStyle w:val="Hypertextovodkaz"/>
            <w:noProof/>
          </w:rPr>
          <w:t>Tabulka 18: Informace o domovním a bytovém fondu v obci Staré Buky v roce 2011</w:t>
        </w:r>
        <w:r>
          <w:rPr>
            <w:noProof/>
            <w:webHidden/>
          </w:rPr>
          <w:tab/>
        </w:r>
        <w:r>
          <w:rPr>
            <w:noProof/>
            <w:webHidden/>
          </w:rPr>
          <w:fldChar w:fldCharType="begin"/>
        </w:r>
        <w:r>
          <w:rPr>
            <w:noProof/>
            <w:webHidden/>
          </w:rPr>
          <w:instrText xml:space="preserve"> PAGEREF _Toc120651940 \h </w:instrText>
        </w:r>
        <w:r>
          <w:rPr>
            <w:noProof/>
            <w:webHidden/>
          </w:rPr>
        </w:r>
        <w:r>
          <w:rPr>
            <w:noProof/>
            <w:webHidden/>
          </w:rPr>
          <w:fldChar w:fldCharType="separate"/>
        </w:r>
        <w:r w:rsidR="00392EC3">
          <w:rPr>
            <w:noProof/>
            <w:webHidden/>
          </w:rPr>
          <w:t>42</w:t>
        </w:r>
        <w:r>
          <w:rPr>
            <w:noProof/>
            <w:webHidden/>
          </w:rPr>
          <w:fldChar w:fldCharType="end"/>
        </w:r>
      </w:hyperlink>
    </w:p>
    <w:p w14:paraId="251AAE11" w14:textId="007CF43C" w:rsidR="00041A31" w:rsidRDefault="00041A31" w:rsidP="00041A31">
      <w:pPr>
        <w:pStyle w:val="Seznamobrzk"/>
        <w:tabs>
          <w:tab w:val="right" w:leader="dot" w:pos="9062"/>
        </w:tabs>
        <w:spacing w:after="120"/>
        <w:jc w:val="both"/>
        <w:rPr>
          <w:rFonts w:eastAsiaTheme="minorEastAsia"/>
          <w:noProof/>
          <w:lang w:eastAsia="cs-CZ"/>
        </w:rPr>
      </w:pPr>
      <w:hyperlink w:anchor="_Toc120651941" w:history="1">
        <w:r w:rsidRPr="00242F38">
          <w:rPr>
            <w:rStyle w:val="Hypertextovodkaz"/>
            <w:noProof/>
          </w:rPr>
          <w:t>Tabulka 19: Seznam nemovitých kulturních památek na území obce Staré Buky (ke květnu 2022)</w:t>
        </w:r>
        <w:r>
          <w:rPr>
            <w:noProof/>
            <w:webHidden/>
          </w:rPr>
          <w:tab/>
        </w:r>
        <w:r>
          <w:rPr>
            <w:noProof/>
            <w:webHidden/>
          </w:rPr>
          <w:fldChar w:fldCharType="begin"/>
        </w:r>
        <w:r>
          <w:rPr>
            <w:noProof/>
            <w:webHidden/>
          </w:rPr>
          <w:instrText xml:space="preserve"> PAGEREF _Toc120651941 \h </w:instrText>
        </w:r>
        <w:r>
          <w:rPr>
            <w:noProof/>
            <w:webHidden/>
          </w:rPr>
        </w:r>
        <w:r>
          <w:rPr>
            <w:noProof/>
            <w:webHidden/>
          </w:rPr>
          <w:fldChar w:fldCharType="separate"/>
        </w:r>
        <w:r w:rsidR="00392EC3">
          <w:rPr>
            <w:noProof/>
            <w:webHidden/>
          </w:rPr>
          <w:t>44</w:t>
        </w:r>
        <w:r>
          <w:rPr>
            <w:noProof/>
            <w:webHidden/>
          </w:rPr>
          <w:fldChar w:fldCharType="end"/>
        </w:r>
      </w:hyperlink>
    </w:p>
    <w:p w14:paraId="0B94955A" w14:textId="5A193D9C" w:rsidR="00041A31" w:rsidRDefault="00041A31" w:rsidP="00041A31">
      <w:pPr>
        <w:pStyle w:val="Seznamobrzk"/>
        <w:tabs>
          <w:tab w:val="right" w:leader="dot" w:pos="9062"/>
        </w:tabs>
        <w:spacing w:after="120"/>
        <w:jc w:val="both"/>
        <w:rPr>
          <w:rFonts w:eastAsiaTheme="minorEastAsia"/>
          <w:noProof/>
          <w:lang w:eastAsia="cs-CZ"/>
        </w:rPr>
      </w:pPr>
      <w:hyperlink w:anchor="_Toc120651942" w:history="1">
        <w:r w:rsidRPr="00242F38">
          <w:rPr>
            <w:rStyle w:val="Hypertextovodkaz"/>
            <w:noProof/>
          </w:rPr>
          <w:t>Tabulka 20: Zastoupení ZPF a nezemědělské půdy v jednotlivých katastrálních územích obce Staré Buky (k 8. 5. 2022)</w:t>
        </w:r>
        <w:r>
          <w:rPr>
            <w:noProof/>
            <w:webHidden/>
          </w:rPr>
          <w:tab/>
        </w:r>
        <w:r>
          <w:rPr>
            <w:noProof/>
            <w:webHidden/>
          </w:rPr>
          <w:fldChar w:fldCharType="begin"/>
        </w:r>
        <w:r>
          <w:rPr>
            <w:noProof/>
            <w:webHidden/>
          </w:rPr>
          <w:instrText xml:space="preserve"> PAGEREF _Toc120651942 \h </w:instrText>
        </w:r>
        <w:r>
          <w:rPr>
            <w:noProof/>
            <w:webHidden/>
          </w:rPr>
        </w:r>
        <w:r>
          <w:rPr>
            <w:noProof/>
            <w:webHidden/>
          </w:rPr>
          <w:fldChar w:fldCharType="separate"/>
        </w:r>
        <w:r w:rsidR="00392EC3">
          <w:rPr>
            <w:noProof/>
            <w:webHidden/>
          </w:rPr>
          <w:t>46</w:t>
        </w:r>
        <w:r>
          <w:rPr>
            <w:noProof/>
            <w:webHidden/>
          </w:rPr>
          <w:fldChar w:fldCharType="end"/>
        </w:r>
      </w:hyperlink>
    </w:p>
    <w:p w14:paraId="5E3242A2" w14:textId="3A522F2D" w:rsidR="00041A31" w:rsidRDefault="00041A31" w:rsidP="00041A31">
      <w:pPr>
        <w:pStyle w:val="Seznamobrzk"/>
        <w:tabs>
          <w:tab w:val="right" w:leader="dot" w:pos="9062"/>
        </w:tabs>
        <w:spacing w:after="120"/>
        <w:jc w:val="both"/>
        <w:rPr>
          <w:rFonts w:eastAsiaTheme="minorEastAsia"/>
          <w:noProof/>
          <w:lang w:eastAsia="cs-CZ"/>
        </w:rPr>
      </w:pPr>
      <w:hyperlink w:anchor="_Toc120651943" w:history="1">
        <w:r w:rsidRPr="00242F38">
          <w:rPr>
            <w:rStyle w:val="Hypertextovodkaz"/>
            <w:noProof/>
          </w:rPr>
          <w:t>Tabulka 21: Hodnoty KES v obci Staré Buky a jejích jednotlivých katastrálních územích (k 8. 5. 2022)</w:t>
        </w:r>
        <w:r>
          <w:rPr>
            <w:noProof/>
            <w:webHidden/>
          </w:rPr>
          <w:tab/>
        </w:r>
        <w:r>
          <w:rPr>
            <w:noProof/>
            <w:webHidden/>
          </w:rPr>
          <w:fldChar w:fldCharType="begin"/>
        </w:r>
        <w:r>
          <w:rPr>
            <w:noProof/>
            <w:webHidden/>
          </w:rPr>
          <w:instrText xml:space="preserve"> PAGEREF _Toc120651943 \h </w:instrText>
        </w:r>
        <w:r>
          <w:rPr>
            <w:noProof/>
            <w:webHidden/>
          </w:rPr>
        </w:r>
        <w:r>
          <w:rPr>
            <w:noProof/>
            <w:webHidden/>
          </w:rPr>
          <w:fldChar w:fldCharType="separate"/>
        </w:r>
        <w:r w:rsidR="00392EC3">
          <w:rPr>
            <w:noProof/>
            <w:webHidden/>
          </w:rPr>
          <w:t>54</w:t>
        </w:r>
        <w:r>
          <w:rPr>
            <w:noProof/>
            <w:webHidden/>
          </w:rPr>
          <w:fldChar w:fldCharType="end"/>
        </w:r>
      </w:hyperlink>
    </w:p>
    <w:p w14:paraId="49332FBF" w14:textId="62639D74" w:rsidR="00041A31" w:rsidRDefault="00041A31" w:rsidP="00041A31">
      <w:pPr>
        <w:pStyle w:val="Seznamobrzk"/>
        <w:tabs>
          <w:tab w:val="right" w:leader="dot" w:pos="9062"/>
        </w:tabs>
        <w:spacing w:after="120"/>
        <w:jc w:val="both"/>
        <w:rPr>
          <w:rFonts w:eastAsiaTheme="minorEastAsia"/>
          <w:noProof/>
          <w:lang w:eastAsia="cs-CZ"/>
        </w:rPr>
      </w:pPr>
      <w:hyperlink w:anchor="_Toc120651944" w:history="1">
        <w:r w:rsidRPr="00242F38">
          <w:rPr>
            <w:rStyle w:val="Hypertextovodkaz"/>
            <w:noProof/>
          </w:rPr>
          <w:t>Tabulka 22: Vývoj plánovaného a skutečného rozpočtu obce Staré Buky v období 2016 až 2021</w:t>
        </w:r>
        <w:r>
          <w:rPr>
            <w:noProof/>
            <w:webHidden/>
          </w:rPr>
          <w:tab/>
        </w:r>
        <w:r>
          <w:rPr>
            <w:noProof/>
            <w:webHidden/>
          </w:rPr>
          <w:fldChar w:fldCharType="begin"/>
        </w:r>
        <w:r>
          <w:rPr>
            <w:noProof/>
            <w:webHidden/>
          </w:rPr>
          <w:instrText xml:space="preserve"> PAGEREF _Toc120651944 \h </w:instrText>
        </w:r>
        <w:r>
          <w:rPr>
            <w:noProof/>
            <w:webHidden/>
          </w:rPr>
        </w:r>
        <w:r>
          <w:rPr>
            <w:noProof/>
            <w:webHidden/>
          </w:rPr>
          <w:fldChar w:fldCharType="separate"/>
        </w:r>
        <w:r w:rsidR="00392EC3">
          <w:rPr>
            <w:noProof/>
            <w:webHidden/>
          </w:rPr>
          <w:t>56</w:t>
        </w:r>
        <w:r>
          <w:rPr>
            <w:noProof/>
            <w:webHidden/>
          </w:rPr>
          <w:fldChar w:fldCharType="end"/>
        </w:r>
      </w:hyperlink>
    </w:p>
    <w:p w14:paraId="4BBB85A2" w14:textId="60C71A94" w:rsidR="00041A31" w:rsidRDefault="00041A31" w:rsidP="00041A31">
      <w:pPr>
        <w:pStyle w:val="Seznamobrzk"/>
        <w:tabs>
          <w:tab w:val="right" w:leader="dot" w:pos="9062"/>
        </w:tabs>
        <w:spacing w:after="120"/>
        <w:jc w:val="both"/>
        <w:rPr>
          <w:rFonts w:eastAsiaTheme="minorEastAsia"/>
          <w:noProof/>
          <w:lang w:eastAsia="cs-CZ"/>
        </w:rPr>
      </w:pPr>
      <w:hyperlink w:anchor="_Toc120651945" w:history="1">
        <w:r w:rsidRPr="00242F38">
          <w:rPr>
            <w:rStyle w:val="Hypertextovodkaz"/>
            <w:noProof/>
          </w:rPr>
          <w:t>Tabulka 23: Příklady investičních akcí, které proběhly v obci Staré Buky v období let 2016-2021</w:t>
        </w:r>
        <w:r>
          <w:rPr>
            <w:noProof/>
            <w:webHidden/>
          </w:rPr>
          <w:tab/>
        </w:r>
        <w:r>
          <w:rPr>
            <w:noProof/>
            <w:webHidden/>
          </w:rPr>
          <w:fldChar w:fldCharType="begin"/>
        </w:r>
        <w:r>
          <w:rPr>
            <w:noProof/>
            <w:webHidden/>
          </w:rPr>
          <w:instrText xml:space="preserve"> PAGEREF _Toc120651945 \h </w:instrText>
        </w:r>
        <w:r>
          <w:rPr>
            <w:noProof/>
            <w:webHidden/>
          </w:rPr>
        </w:r>
        <w:r>
          <w:rPr>
            <w:noProof/>
            <w:webHidden/>
          </w:rPr>
          <w:fldChar w:fldCharType="separate"/>
        </w:r>
        <w:r w:rsidR="00392EC3">
          <w:rPr>
            <w:noProof/>
            <w:webHidden/>
          </w:rPr>
          <w:t>58</w:t>
        </w:r>
        <w:r>
          <w:rPr>
            <w:noProof/>
            <w:webHidden/>
          </w:rPr>
          <w:fldChar w:fldCharType="end"/>
        </w:r>
      </w:hyperlink>
    </w:p>
    <w:p w14:paraId="74026A1F" w14:textId="0B13B97C" w:rsidR="00041A31" w:rsidRDefault="00041A31" w:rsidP="00041A31">
      <w:pPr>
        <w:pStyle w:val="Seznamobrzk"/>
        <w:tabs>
          <w:tab w:val="right" w:leader="dot" w:pos="9062"/>
        </w:tabs>
        <w:spacing w:after="120"/>
        <w:jc w:val="both"/>
        <w:rPr>
          <w:rFonts w:eastAsiaTheme="minorEastAsia"/>
          <w:noProof/>
          <w:lang w:eastAsia="cs-CZ"/>
        </w:rPr>
      </w:pPr>
      <w:hyperlink w:anchor="_Toc120651946" w:history="1">
        <w:r w:rsidRPr="00242F38">
          <w:rPr>
            <w:rStyle w:val="Hypertextovodkaz"/>
            <w:noProof/>
          </w:rPr>
          <w:t>Tabulka 24: Stavby ve vlastnictví obce Staré Buky podle jednotlivých katastrálních území (ke květnu 2022)</w:t>
        </w:r>
        <w:r>
          <w:rPr>
            <w:noProof/>
            <w:webHidden/>
          </w:rPr>
          <w:tab/>
        </w:r>
        <w:r>
          <w:rPr>
            <w:noProof/>
            <w:webHidden/>
          </w:rPr>
          <w:fldChar w:fldCharType="begin"/>
        </w:r>
        <w:r>
          <w:rPr>
            <w:noProof/>
            <w:webHidden/>
          </w:rPr>
          <w:instrText xml:space="preserve"> PAGEREF _Toc120651946 \h </w:instrText>
        </w:r>
        <w:r>
          <w:rPr>
            <w:noProof/>
            <w:webHidden/>
          </w:rPr>
        </w:r>
        <w:r>
          <w:rPr>
            <w:noProof/>
            <w:webHidden/>
          </w:rPr>
          <w:fldChar w:fldCharType="separate"/>
        </w:r>
        <w:r w:rsidR="00392EC3">
          <w:rPr>
            <w:noProof/>
            <w:webHidden/>
          </w:rPr>
          <w:t>60</w:t>
        </w:r>
        <w:r>
          <w:rPr>
            <w:noProof/>
            <w:webHidden/>
          </w:rPr>
          <w:fldChar w:fldCharType="end"/>
        </w:r>
      </w:hyperlink>
    </w:p>
    <w:p w14:paraId="1BAE1209" w14:textId="61DADF63" w:rsidR="00041A31" w:rsidRDefault="00041A31" w:rsidP="00041A31">
      <w:pPr>
        <w:pStyle w:val="Seznamobrzk"/>
        <w:tabs>
          <w:tab w:val="right" w:leader="dot" w:pos="9062"/>
        </w:tabs>
        <w:spacing w:after="120"/>
        <w:jc w:val="both"/>
        <w:rPr>
          <w:rFonts w:eastAsiaTheme="minorEastAsia"/>
          <w:noProof/>
          <w:lang w:eastAsia="cs-CZ"/>
        </w:rPr>
      </w:pPr>
      <w:hyperlink w:anchor="_Toc120651947" w:history="1">
        <w:r w:rsidRPr="00242F38">
          <w:rPr>
            <w:rStyle w:val="Hypertextovodkaz"/>
            <w:noProof/>
          </w:rPr>
          <w:t>Tabulka 25: Výsledky odpovědí u otázky č. 2</w:t>
        </w:r>
        <w:r>
          <w:rPr>
            <w:noProof/>
            <w:webHidden/>
          </w:rPr>
          <w:tab/>
        </w:r>
        <w:r>
          <w:rPr>
            <w:noProof/>
            <w:webHidden/>
          </w:rPr>
          <w:fldChar w:fldCharType="begin"/>
        </w:r>
        <w:r>
          <w:rPr>
            <w:noProof/>
            <w:webHidden/>
          </w:rPr>
          <w:instrText xml:space="preserve"> PAGEREF _Toc120651947 \h </w:instrText>
        </w:r>
        <w:r>
          <w:rPr>
            <w:noProof/>
            <w:webHidden/>
          </w:rPr>
        </w:r>
        <w:r>
          <w:rPr>
            <w:noProof/>
            <w:webHidden/>
          </w:rPr>
          <w:fldChar w:fldCharType="separate"/>
        </w:r>
        <w:r w:rsidR="00392EC3">
          <w:rPr>
            <w:noProof/>
            <w:webHidden/>
          </w:rPr>
          <w:t>65</w:t>
        </w:r>
        <w:r>
          <w:rPr>
            <w:noProof/>
            <w:webHidden/>
          </w:rPr>
          <w:fldChar w:fldCharType="end"/>
        </w:r>
      </w:hyperlink>
    </w:p>
    <w:p w14:paraId="7FF6B6F6" w14:textId="5E768613" w:rsidR="00041A31" w:rsidRDefault="00041A31" w:rsidP="00041A31">
      <w:pPr>
        <w:pStyle w:val="Seznamobrzk"/>
        <w:tabs>
          <w:tab w:val="right" w:leader="dot" w:pos="9062"/>
        </w:tabs>
        <w:spacing w:after="120"/>
        <w:jc w:val="both"/>
        <w:rPr>
          <w:rFonts w:eastAsiaTheme="minorEastAsia"/>
          <w:noProof/>
          <w:lang w:eastAsia="cs-CZ"/>
        </w:rPr>
      </w:pPr>
      <w:hyperlink w:anchor="_Toc120651948" w:history="1">
        <w:r w:rsidRPr="00242F38">
          <w:rPr>
            <w:rStyle w:val="Hypertextovodkaz"/>
            <w:noProof/>
          </w:rPr>
          <w:t>Tabulka 26: Výsledky odpovědí u otázky č. 3</w:t>
        </w:r>
        <w:r>
          <w:rPr>
            <w:noProof/>
            <w:webHidden/>
          </w:rPr>
          <w:tab/>
        </w:r>
        <w:r>
          <w:rPr>
            <w:noProof/>
            <w:webHidden/>
          </w:rPr>
          <w:fldChar w:fldCharType="begin"/>
        </w:r>
        <w:r>
          <w:rPr>
            <w:noProof/>
            <w:webHidden/>
          </w:rPr>
          <w:instrText xml:space="preserve"> PAGEREF _Toc120651948 \h </w:instrText>
        </w:r>
        <w:r>
          <w:rPr>
            <w:noProof/>
            <w:webHidden/>
          </w:rPr>
        </w:r>
        <w:r>
          <w:rPr>
            <w:noProof/>
            <w:webHidden/>
          </w:rPr>
          <w:fldChar w:fldCharType="separate"/>
        </w:r>
        <w:r w:rsidR="00392EC3">
          <w:rPr>
            <w:noProof/>
            <w:webHidden/>
          </w:rPr>
          <w:t>66</w:t>
        </w:r>
        <w:r>
          <w:rPr>
            <w:noProof/>
            <w:webHidden/>
          </w:rPr>
          <w:fldChar w:fldCharType="end"/>
        </w:r>
      </w:hyperlink>
    </w:p>
    <w:p w14:paraId="36D5F773" w14:textId="6A5D29A9" w:rsidR="00041A31" w:rsidRDefault="00041A31" w:rsidP="00041A31">
      <w:pPr>
        <w:pStyle w:val="Seznamobrzk"/>
        <w:tabs>
          <w:tab w:val="right" w:leader="dot" w:pos="9062"/>
        </w:tabs>
        <w:spacing w:after="120"/>
        <w:jc w:val="both"/>
        <w:rPr>
          <w:rFonts w:eastAsiaTheme="minorEastAsia"/>
          <w:noProof/>
          <w:lang w:eastAsia="cs-CZ"/>
        </w:rPr>
      </w:pPr>
      <w:hyperlink w:anchor="_Toc120651949" w:history="1">
        <w:r w:rsidRPr="00242F38">
          <w:rPr>
            <w:rStyle w:val="Hypertextovodkaz"/>
            <w:noProof/>
          </w:rPr>
          <w:t>Tabulka 27: Výsledky odpovědí u otázky č. 5</w:t>
        </w:r>
        <w:r>
          <w:rPr>
            <w:noProof/>
            <w:webHidden/>
          </w:rPr>
          <w:tab/>
        </w:r>
        <w:r>
          <w:rPr>
            <w:noProof/>
            <w:webHidden/>
          </w:rPr>
          <w:fldChar w:fldCharType="begin"/>
        </w:r>
        <w:r>
          <w:rPr>
            <w:noProof/>
            <w:webHidden/>
          </w:rPr>
          <w:instrText xml:space="preserve"> PAGEREF _Toc120651949 \h </w:instrText>
        </w:r>
        <w:r>
          <w:rPr>
            <w:noProof/>
            <w:webHidden/>
          </w:rPr>
        </w:r>
        <w:r>
          <w:rPr>
            <w:noProof/>
            <w:webHidden/>
          </w:rPr>
          <w:fldChar w:fldCharType="separate"/>
        </w:r>
        <w:r w:rsidR="00392EC3">
          <w:rPr>
            <w:noProof/>
            <w:webHidden/>
          </w:rPr>
          <w:t>69</w:t>
        </w:r>
        <w:r>
          <w:rPr>
            <w:noProof/>
            <w:webHidden/>
          </w:rPr>
          <w:fldChar w:fldCharType="end"/>
        </w:r>
      </w:hyperlink>
    </w:p>
    <w:p w14:paraId="4982C8D3" w14:textId="04CA10F0" w:rsidR="00041A31" w:rsidRDefault="00041A31" w:rsidP="00041A31">
      <w:pPr>
        <w:pStyle w:val="Seznamobrzk"/>
        <w:tabs>
          <w:tab w:val="right" w:leader="dot" w:pos="9062"/>
        </w:tabs>
        <w:spacing w:after="120"/>
        <w:jc w:val="both"/>
        <w:rPr>
          <w:rFonts w:eastAsiaTheme="minorEastAsia"/>
          <w:noProof/>
          <w:lang w:eastAsia="cs-CZ"/>
        </w:rPr>
      </w:pPr>
      <w:hyperlink w:anchor="_Toc120651950" w:history="1">
        <w:r w:rsidRPr="00242F38">
          <w:rPr>
            <w:rStyle w:val="Hypertextovodkaz"/>
            <w:noProof/>
          </w:rPr>
          <w:t>Tabulka 28: Výsledky odpovědí u otázky č. 12</w:t>
        </w:r>
        <w:r>
          <w:rPr>
            <w:noProof/>
            <w:webHidden/>
          </w:rPr>
          <w:tab/>
        </w:r>
        <w:r>
          <w:rPr>
            <w:noProof/>
            <w:webHidden/>
          </w:rPr>
          <w:fldChar w:fldCharType="begin"/>
        </w:r>
        <w:r>
          <w:rPr>
            <w:noProof/>
            <w:webHidden/>
          </w:rPr>
          <w:instrText xml:space="preserve"> PAGEREF _Toc120651950 \h </w:instrText>
        </w:r>
        <w:r>
          <w:rPr>
            <w:noProof/>
            <w:webHidden/>
          </w:rPr>
        </w:r>
        <w:r>
          <w:rPr>
            <w:noProof/>
            <w:webHidden/>
          </w:rPr>
          <w:fldChar w:fldCharType="separate"/>
        </w:r>
        <w:r w:rsidR="00392EC3">
          <w:rPr>
            <w:noProof/>
            <w:webHidden/>
          </w:rPr>
          <w:t>74</w:t>
        </w:r>
        <w:r>
          <w:rPr>
            <w:noProof/>
            <w:webHidden/>
          </w:rPr>
          <w:fldChar w:fldCharType="end"/>
        </w:r>
      </w:hyperlink>
    </w:p>
    <w:p w14:paraId="395F1C85" w14:textId="14F12428" w:rsidR="00041A31" w:rsidRDefault="00041A31" w:rsidP="00041A31">
      <w:pPr>
        <w:pStyle w:val="Seznamobrzk"/>
        <w:tabs>
          <w:tab w:val="right" w:leader="dot" w:pos="9062"/>
        </w:tabs>
        <w:spacing w:after="120"/>
        <w:jc w:val="both"/>
        <w:rPr>
          <w:rFonts w:eastAsiaTheme="minorEastAsia"/>
          <w:noProof/>
          <w:lang w:eastAsia="cs-CZ"/>
        </w:rPr>
      </w:pPr>
      <w:hyperlink w:anchor="_Toc120651951" w:history="1">
        <w:r w:rsidRPr="00242F38">
          <w:rPr>
            <w:rStyle w:val="Hypertextovodkaz"/>
            <w:noProof/>
          </w:rPr>
          <w:t>Tabulka 29: Výsledky odpovědí u otázky č. 13</w:t>
        </w:r>
        <w:r>
          <w:rPr>
            <w:noProof/>
            <w:webHidden/>
          </w:rPr>
          <w:tab/>
        </w:r>
        <w:r>
          <w:rPr>
            <w:noProof/>
            <w:webHidden/>
          </w:rPr>
          <w:fldChar w:fldCharType="begin"/>
        </w:r>
        <w:r>
          <w:rPr>
            <w:noProof/>
            <w:webHidden/>
          </w:rPr>
          <w:instrText xml:space="preserve"> PAGEREF _Toc120651951 \h </w:instrText>
        </w:r>
        <w:r>
          <w:rPr>
            <w:noProof/>
            <w:webHidden/>
          </w:rPr>
        </w:r>
        <w:r>
          <w:rPr>
            <w:noProof/>
            <w:webHidden/>
          </w:rPr>
          <w:fldChar w:fldCharType="separate"/>
        </w:r>
        <w:r w:rsidR="00392EC3">
          <w:rPr>
            <w:noProof/>
            <w:webHidden/>
          </w:rPr>
          <w:t>75</w:t>
        </w:r>
        <w:r>
          <w:rPr>
            <w:noProof/>
            <w:webHidden/>
          </w:rPr>
          <w:fldChar w:fldCharType="end"/>
        </w:r>
      </w:hyperlink>
    </w:p>
    <w:p w14:paraId="10D5FA4E" w14:textId="0F7A2661" w:rsidR="00041A31" w:rsidRDefault="00041A31" w:rsidP="00041A31">
      <w:pPr>
        <w:pStyle w:val="Seznamobrzk"/>
        <w:tabs>
          <w:tab w:val="right" w:leader="dot" w:pos="9062"/>
        </w:tabs>
        <w:spacing w:after="120"/>
        <w:jc w:val="both"/>
        <w:rPr>
          <w:rFonts w:eastAsiaTheme="minorEastAsia"/>
          <w:noProof/>
          <w:lang w:eastAsia="cs-CZ"/>
        </w:rPr>
      </w:pPr>
      <w:hyperlink w:anchor="_Toc120651952" w:history="1">
        <w:r w:rsidRPr="00242F38">
          <w:rPr>
            <w:rStyle w:val="Hypertextovodkaz"/>
            <w:noProof/>
          </w:rPr>
          <w:t>Tabulka 30: Výsledky odpovědí u otázky č. 16</w:t>
        </w:r>
        <w:r>
          <w:rPr>
            <w:noProof/>
            <w:webHidden/>
          </w:rPr>
          <w:tab/>
        </w:r>
        <w:r>
          <w:rPr>
            <w:noProof/>
            <w:webHidden/>
          </w:rPr>
          <w:fldChar w:fldCharType="begin"/>
        </w:r>
        <w:r>
          <w:rPr>
            <w:noProof/>
            <w:webHidden/>
          </w:rPr>
          <w:instrText xml:space="preserve"> PAGEREF _Toc120651952 \h </w:instrText>
        </w:r>
        <w:r>
          <w:rPr>
            <w:noProof/>
            <w:webHidden/>
          </w:rPr>
        </w:r>
        <w:r>
          <w:rPr>
            <w:noProof/>
            <w:webHidden/>
          </w:rPr>
          <w:fldChar w:fldCharType="separate"/>
        </w:r>
        <w:r w:rsidR="00392EC3">
          <w:rPr>
            <w:noProof/>
            <w:webHidden/>
          </w:rPr>
          <w:t>76</w:t>
        </w:r>
        <w:r>
          <w:rPr>
            <w:noProof/>
            <w:webHidden/>
          </w:rPr>
          <w:fldChar w:fldCharType="end"/>
        </w:r>
      </w:hyperlink>
    </w:p>
    <w:p w14:paraId="7BF02998" w14:textId="3040DC42" w:rsidR="00041A31" w:rsidRDefault="00041A31" w:rsidP="00041A31">
      <w:pPr>
        <w:pStyle w:val="Seznamobrzk"/>
        <w:tabs>
          <w:tab w:val="right" w:leader="dot" w:pos="9062"/>
        </w:tabs>
        <w:spacing w:after="120"/>
        <w:jc w:val="both"/>
        <w:rPr>
          <w:rFonts w:eastAsiaTheme="minorEastAsia"/>
          <w:noProof/>
          <w:lang w:eastAsia="cs-CZ"/>
        </w:rPr>
      </w:pPr>
      <w:hyperlink w:anchor="_Toc120651953" w:history="1">
        <w:r w:rsidRPr="00242F38">
          <w:rPr>
            <w:rStyle w:val="Hypertextovodkaz"/>
            <w:noProof/>
          </w:rPr>
          <w:t>Tabulka 31: Výsledky odpovědí u otázky č. 17</w:t>
        </w:r>
        <w:r>
          <w:rPr>
            <w:noProof/>
            <w:webHidden/>
          </w:rPr>
          <w:tab/>
        </w:r>
        <w:r>
          <w:rPr>
            <w:noProof/>
            <w:webHidden/>
          </w:rPr>
          <w:fldChar w:fldCharType="begin"/>
        </w:r>
        <w:r>
          <w:rPr>
            <w:noProof/>
            <w:webHidden/>
          </w:rPr>
          <w:instrText xml:space="preserve"> PAGEREF _Toc120651953 \h </w:instrText>
        </w:r>
        <w:r>
          <w:rPr>
            <w:noProof/>
            <w:webHidden/>
          </w:rPr>
        </w:r>
        <w:r>
          <w:rPr>
            <w:noProof/>
            <w:webHidden/>
          </w:rPr>
          <w:fldChar w:fldCharType="separate"/>
        </w:r>
        <w:r w:rsidR="00392EC3">
          <w:rPr>
            <w:noProof/>
            <w:webHidden/>
          </w:rPr>
          <w:t>77</w:t>
        </w:r>
        <w:r>
          <w:rPr>
            <w:noProof/>
            <w:webHidden/>
          </w:rPr>
          <w:fldChar w:fldCharType="end"/>
        </w:r>
      </w:hyperlink>
    </w:p>
    <w:p w14:paraId="4778B350" w14:textId="386E8FC9" w:rsidR="00041A31" w:rsidRDefault="00041A31" w:rsidP="00041A31">
      <w:pPr>
        <w:pStyle w:val="Seznamobrzk"/>
        <w:tabs>
          <w:tab w:val="right" w:leader="dot" w:pos="9062"/>
        </w:tabs>
        <w:spacing w:after="120"/>
        <w:jc w:val="both"/>
        <w:rPr>
          <w:rFonts w:eastAsiaTheme="minorEastAsia"/>
          <w:noProof/>
          <w:lang w:eastAsia="cs-CZ"/>
        </w:rPr>
      </w:pPr>
      <w:hyperlink w:anchor="_Toc120651954" w:history="1">
        <w:r w:rsidRPr="00242F38">
          <w:rPr>
            <w:rStyle w:val="Hypertextovodkaz"/>
            <w:noProof/>
          </w:rPr>
          <w:t>Tabulka 32: Výsledky odpovědí u otázky č. 18</w:t>
        </w:r>
        <w:r>
          <w:rPr>
            <w:noProof/>
            <w:webHidden/>
          </w:rPr>
          <w:tab/>
        </w:r>
        <w:r>
          <w:rPr>
            <w:noProof/>
            <w:webHidden/>
          </w:rPr>
          <w:fldChar w:fldCharType="begin"/>
        </w:r>
        <w:r>
          <w:rPr>
            <w:noProof/>
            <w:webHidden/>
          </w:rPr>
          <w:instrText xml:space="preserve"> PAGEREF _Toc120651954 \h </w:instrText>
        </w:r>
        <w:r>
          <w:rPr>
            <w:noProof/>
            <w:webHidden/>
          </w:rPr>
        </w:r>
        <w:r>
          <w:rPr>
            <w:noProof/>
            <w:webHidden/>
          </w:rPr>
          <w:fldChar w:fldCharType="separate"/>
        </w:r>
        <w:r w:rsidR="00392EC3">
          <w:rPr>
            <w:noProof/>
            <w:webHidden/>
          </w:rPr>
          <w:t>77</w:t>
        </w:r>
        <w:r>
          <w:rPr>
            <w:noProof/>
            <w:webHidden/>
          </w:rPr>
          <w:fldChar w:fldCharType="end"/>
        </w:r>
      </w:hyperlink>
    </w:p>
    <w:p w14:paraId="7C83F114" w14:textId="7751E73E" w:rsidR="00041A31" w:rsidRDefault="00041A31" w:rsidP="00041A31">
      <w:pPr>
        <w:pStyle w:val="Seznamobrzk"/>
        <w:tabs>
          <w:tab w:val="right" w:leader="dot" w:pos="9062"/>
        </w:tabs>
        <w:spacing w:after="120"/>
        <w:jc w:val="both"/>
        <w:rPr>
          <w:rFonts w:eastAsiaTheme="minorEastAsia"/>
          <w:noProof/>
          <w:lang w:eastAsia="cs-CZ"/>
        </w:rPr>
      </w:pPr>
      <w:hyperlink w:anchor="_Toc120651955" w:history="1">
        <w:r w:rsidRPr="00242F38">
          <w:rPr>
            <w:rStyle w:val="Hypertextovodkaz"/>
            <w:noProof/>
          </w:rPr>
          <w:t>Tabulka 33: Přehled strategických a územních dokumentů</w:t>
        </w:r>
        <w:r>
          <w:rPr>
            <w:noProof/>
            <w:webHidden/>
          </w:rPr>
          <w:tab/>
        </w:r>
        <w:r>
          <w:rPr>
            <w:noProof/>
            <w:webHidden/>
          </w:rPr>
          <w:fldChar w:fldCharType="begin"/>
        </w:r>
        <w:r>
          <w:rPr>
            <w:noProof/>
            <w:webHidden/>
          </w:rPr>
          <w:instrText xml:space="preserve"> PAGEREF _Toc120651955 \h </w:instrText>
        </w:r>
        <w:r>
          <w:rPr>
            <w:noProof/>
            <w:webHidden/>
          </w:rPr>
        </w:r>
        <w:r>
          <w:rPr>
            <w:noProof/>
            <w:webHidden/>
          </w:rPr>
          <w:fldChar w:fldCharType="separate"/>
        </w:r>
        <w:r w:rsidR="00392EC3">
          <w:rPr>
            <w:noProof/>
            <w:webHidden/>
          </w:rPr>
          <w:t>87</w:t>
        </w:r>
        <w:r>
          <w:rPr>
            <w:noProof/>
            <w:webHidden/>
          </w:rPr>
          <w:fldChar w:fldCharType="end"/>
        </w:r>
      </w:hyperlink>
    </w:p>
    <w:p w14:paraId="6CC4977B" w14:textId="3DE976D8" w:rsidR="00041A31" w:rsidRDefault="00041A31" w:rsidP="00041A31">
      <w:pPr>
        <w:pStyle w:val="Seznamobrzk"/>
        <w:tabs>
          <w:tab w:val="right" w:leader="dot" w:pos="9062"/>
        </w:tabs>
        <w:spacing w:after="120"/>
        <w:jc w:val="both"/>
        <w:rPr>
          <w:rFonts w:eastAsiaTheme="minorEastAsia"/>
          <w:noProof/>
          <w:lang w:eastAsia="cs-CZ"/>
        </w:rPr>
      </w:pPr>
      <w:hyperlink w:anchor="_Toc120651956" w:history="1">
        <w:r w:rsidRPr="00242F38">
          <w:rPr>
            <w:rStyle w:val="Hypertextovodkaz"/>
            <w:noProof/>
          </w:rPr>
          <w:t>Tabulka 34: Přehled klíčových oblastí rozvoje, strategických cílů a opatření</w:t>
        </w:r>
        <w:r>
          <w:rPr>
            <w:noProof/>
            <w:webHidden/>
          </w:rPr>
          <w:tab/>
        </w:r>
        <w:r>
          <w:rPr>
            <w:noProof/>
            <w:webHidden/>
          </w:rPr>
          <w:fldChar w:fldCharType="begin"/>
        </w:r>
        <w:r>
          <w:rPr>
            <w:noProof/>
            <w:webHidden/>
          </w:rPr>
          <w:instrText xml:space="preserve"> PAGEREF _Toc120651956 \h </w:instrText>
        </w:r>
        <w:r>
          <w:rPr>
            <w:noProof/>
            <w:webHidden/>
          </w:rPr>
        </w:r>
        <w:r>
          <w:rPr>
            <w:noProof/>
            <w:webHidden/>
          </w:rPr>
          <w:fldChar w:fldCharType="separate"/>
        </w:r>
        <w:r w:rsidR="00392EC3">
          <w:rPr>
            <w:noProof/>
            <w:webHidden/>
          </w:rPr>
          <w:t>93</w:t>
        </w:r>
        <w:r>
          <w:rPr>
            <w:noProof/>
            <w:webHidden/>
          </w:rPr>
          <w:fldChar w:fldCharType="end"/>
        </w:r>
      </w:hyperlink>
    </w:p>
    <w:p w14:paraId="4CF43667" w14:textId="2FBDEEDA" w:rsidR="00041A31" w:rsidRDefault="00041A31" w:rsidP="00041A31">
      <w:pPr>
        <w:pStyle w:val="Seznamobrzk"/>
        <w:tabs>
          <w:tab w:val="right" w:leader="dot" w:pos="9062"/>
        </w:tabs>
        <w:spacing w:after="120"/>
        <w:jc w:val="both"/>
        <w:rPr>
          <w:rFonts w:eastAsiaTheme="minorEastAsia"/>
          <w:noProof/>
          <w:lang w:eastAsia="cs-CZ"/>
        </w:rPr>
      </w:pPr>
      <w:hyperlink w:anchor="_Toc120651957" w:history="1">
        <w:r w:rsidRPr="00242F38">
          <w:rPr>
            <w:rStyle w:val="Hypertextovodkaz"/>
            <w:noProof/>
          </w:rPr>
          <w:t>Tabulka 35: Specifikace jednotlivých aktivit v rámci akčního plánu a zásobníku projektových záměrů</w:t>
        </w:r>
        <w:r>
          <w:rPr>
            <w:noProof/>
            <w:webHidden/>
          </w:rPr>
          <w:tab/>
        </w:r>
        <w:r>
          <w:rPr>
            <w:noProof/>
            <w:webHidden/>
          </w:rPr>
          <w:fldChar w:fldCharType="begin"/>
        </w:r>
        <w:r>
          <w:rPr>
            <w:noProof/>
            <w:webHidden/>
          </w:rPr>
          <w:instrText xml:space="preserve"> PAGEREF _Toc120651957 \h </w:instrText>
        </w:r>
        <w:r>
          <w:rPr>
            <w:noProof/>
            <w:webHidden/>
          </w:rPr>
        </w:r>
        <w:r>
          <w:rPr>
            <w:noProof/>
            <w:webHidden/>
          </w:rPr>
          <w:fldChar w:fldCharType="separate"/>
        </w:r>
        <w:r w:rsidR="00392EC3">
          <w:rPr>
            <w:noProof/>
            <w:webHidden/>
          </w:rPr>
          <w:t>120</w:t>
        </w:r>
        <w:r>
          <w:rPr>
            <w:noProof/>
            <w:webHidden/>
          </w:rPr>
          <w:fldChar w:fldCharType="end"/>
        </w:r>
      </w:hyperlink>
    </w:p>
    <w:p w14:paraId="4FD7FCD6" w14:textId="00EF53AE" w:rsidR="00041A31" w:rsidRDefault="00041A31" w:rsidP="00041A31">
      <w:pPr>
        <w:pStyle w:val="Seznamobrzk"/>
        <w:tabs>
          <w:tab w:val="right" w:leader="dot" w:pos="9062"/>
        </w:tabs>
        <w:spacing w:after="120"/>
        <w:jc w:val="both"/>
        <w:rPr>
          <w:rFonts w:eastAsiaTheme="minorEastAsia"/>
          <w:noProof/>
          <w:lang w:eastAsia="cs-CZ"/>
        </w:rPr>
      </w:pPr>
      <w:hyperlink w:anchor="_Toc120651958" w:history="1">
        <w:r w:rsidRPr="00242F38">
          <w:rPr>
            <w:rStyle w:val="Hypertextovodkaz"/>
            <w:noProof/>
          </w:rPr>
          <w:t>Tabulka 36: Sada monitorovacích ukazatelů klíčové oblasti rozvoje INFRASTRUKTURA</w:t>
        </w:r>
        <w:r>
          <w:rPr>
            <w:noProof/>
            <w:webHidden/>
          </w:rPr>
          <w:tab/>
        </w:r>
        <w:r>
          <w:rPr>
            <w:noProof/>
            <w:webHidden/>
          </w:rPr>
          <w:fldChar w:fldCharType="begin"/>
        </w:r>
        <w:r>
          <w:rPr>
            <w:noProof/>
            <w:webHidden/>
          </w:rPr>
          <w:instrText xml:space="preserve"> PAGEREF _Toc120651958 \h </w:instrText>
        </w:r>
        <w:r>
          <w:rPr>
            <w:noProof/>
            <w:webHidden/>
          </w:rPr>
        </w:r>
        <w:r>
          <w:rPr>
            <w:noProof/>
            <w:webHidden/>
          </w:rPr>
          <w:fldChar w:fldCharType="separate"/>
        </w:r>
        <w:r w:rsidR="00392EC3">
          <w:rPr>
            <w:noProof/>
            <w:webHidden/>
          </w:rPr>
          <w:t>137</w:t>
        </w:r>
        <w:r>
          <w:rPr>
            <w:noProof/>
            <w:webHidden/>
          </w:rPr>
          <w:fldChar w:fldCharType="end"/>
        </w:r>
      </w:hyperlink>
    </w:p>
    <w:p w14:paraId="2C0B7B67" w14:textId="14E9D26E" w:rsidR="00041A31" w:rsidRDefault="00041A31" w:rsidP="00041A31">
      <w:pPr>
        <w:pStyle w:val="Seznamobrzk"/>
        <w:tabs>
          <w:tab w:val="right" w:leader="dot" w:pos="9062"/>
        </w:tabs>
        <w:spacing w:after="120"/>
        <w:jc w:val="both"/>
        <w:rPr>
          <w:rFonts w:eastAsiaTheme="minorEastAsia"/>
          <w:noProof/>
          <w:lang w:eastAsia="cs-CZ"/>
        </w:rPr>
      </w:pPr>
      <w:hyperlink w:anchor="_Toc120651959" w:history="1">
        <w:r w:rsidRPr="00242F38">
          <w:rPr>
            <w:rStyle w:val="Hypertextovodkaz"/>
            <w:noProof/>
          </w:rPr>
          <w:t>Tabulka 37: Sada monitorovacích ukazatelů klíčové oblasti rozvoje VYBAVENOST A PROSTŘEDÍ OBCE</w:t>
        </w:r>
        <w:r>
          <w:rPr>
            <w:noProof/>
            <w:webHidden/>
          </w:rPr>
          <w:tab/>
        </w:r>
        <w:r>
          <w:rPr>
            <w:noProof/>
            <w:webHidden/>
          </w:rPr>
          <w:fldChar w:fldCharType="begin"/>
        </w:r>
        <w:r>
          <w:rPr>
            <w:noProof/>
            <w:webHidden/>
          </w:rPr>
          <w:instrText xml:space="preserve"> PAGEREF _Toc120651959 \h </w:instrText>
        </w:r>
        <w:r>
          <w:rPr>
            <w:noProof/>
            <w:webHidden/>
          </w:rPr>
        </w:r>
        <w:r>
          <w:rPr>
            <w:noProof/>
            <w:webHidden/>
          </w:rPr>
          <w:fldChar w:fldCharType="separate"/>
        </w:r>
        <w:r w:rsidR="00392EC3">
          <w:rPr>
            <w:noProof/>
            <w:webHidden/>
          </w:rPr>
          <w:t>139</w:t>
        </w:r>
        <w:r>
          <w:rPr>
            <w:noProof/>
            <w:webHidden/>
          </w:rPr>
          <w:fldChar w:fldCharType="end"/>
        </w:r>
      </w:hyperlink>
    </w:p>
    <w:p w14:paraId="4F89FA34" w14:textId="047C81EA" w:rsidR="00041A31" w:rsidRDefault="00041A31" w:rsidP="00041A31">
      <w:pPr>
        <w:pStyle w:val="Seznamobrzk"/>
        <w:tabs>
          <w:tab w:val="right" w:leader="dot" w:pos="9062"/>
        </w:tabs>
        <w:spacing w:after="120"/>
        <w:jc w:val="both"/>
        <w:rPr>
          <w:rFonts w:eastAsiaTheme="minorEastAsia"/>
          <w:noProof/>
          <w:lang w:eastAsia="cs-CZ"/>
        </w:rPr>
      </w:pPr>
      <w:hyperlink w:anchor="_Toc120651960" w:history="1">
        <w:r w:rsidRPr="00242F38">
          <w:rPr>
            <w:rStyle w:val="Hypertextovodkaz"/>
            <w:noProof/>
          </w:rPr>
          <w:t>Tabulka 38: Sada monitorovacích ukazatelů klíčové oblasti rozvoje VOLNÝ ČAS</w:t>
        </w:r>
        <w:r>
          <w:rPr>
            <w:noProof/>
            <w:webHidden/>
          </w:rPr>
          <w:tab/>
        </w:r>
        <w:r>
          <w:rPr>
            <w:noProof/>
            <w:webHidden/>
          </w:rPr>
          <w:fldChar w:fldCharType="begin"/>
        </w:r>
        <w:r>
          <w:rPr>
            <w:noProof/>
            <w:webHidden/>
          </w:rPr>
          <w:instrText xml:space="preserve"> PAGEREF _Toc120651960 \h </w:instrText>
        </w:r>
        <w:r>
          <w:rPr>
            <w:noProof/>
            <w:webHidden/>
          </w:rPr>
        </w:r>
        <w:r>
          <w:rPr>
            <w:noProof/>
            <w:webHidden/>
          </w:rPr>
          <w:fldChar w:fldCharType="separate"/>
        </w:r>
        <w:r w:rsidR="00392EC3">
          <w:rPr>
            <w:noProof/>
            <w:webHidden/>
          </w:rPr>
          <w:t>141</w:t>
        </w:r>
        <w:r>
          <w:rPr>
            <w:noProof/>
            <w:webHidden/>
          </w:rPr>
          <w:fldChar w:fldCharType="end"/>
        </w:r>
      </w:hyperlink>
    </w:p>
    <w:p w14:paraId="003C669E" w14:textId="7B508A48" w:rsidR="00364201" w:rsidRDefault="00041A31" w:rsidP="00837905">
      <w:pPr>
        <w:spacing w:after="160" w:line="259" w:lineRule="auto"/>
      </w:pPr>
      <w:r>
        <w:fldChar w:fldCharType="end"/>
      </w:r>
    </w:p>
    <w:p w14:paraId="401CE501" w14:textId="2AB23408" w:rsidR="00364201" w:rsidRDefault="00364201" w:rsidP="00364201">
      <w:pPr>
        <w:pStyle w:val="Nadpis2"/>
      </w:pPr>
      <w:bookmarkStart w:id="675" w:name="_Toc120652186"/>
      <w:r>
        <w:t>6.4 Seznam grafů</w:t>
      </w:r>
      <w:bookmarkEnd w:id="675"/>
    </w:p>
    <w:p w14:paraId="1690C543" w14:textId="4181AFE0" w:rsidR="00461CD9" w:rsidRDefault="00461CD9" w:rsidP="00461CD9">
      <w:pPr>
        <w:pStyle w:val="Seznamobrzk"/>
        <w:tabs>
          <w:tab w:val="right" w:leader="dot" w:pos="9062"/>
        </w:tabs>
        <w:spacing w:after="120"/>
        <w:jc w:val="both"/>
        <w:rPr>
          <w:rFonts w:eastAsiaTheme="minorEastAsia"/>
          <w:noProof/>
          <w:lang w:eastAsia="cs-CZ"/>
        </w:rPr>
      </w:pPr>
      <w:r>
        <w:fldChar w:fldCharType="begin"/>
      </w:r>
      <w:r>
        <w:instrText xml:space="preserve"> TOC \f G \h \z \t "GRAF" \c </w:instrText>
      </w:r>
      <w:r>
        <w:fldChar w:fldCharType="separate"/>
      </w:r>
      <w:hyperlink w:anchor="_Toc120651980" w:history="1">
        <w:r w:rsidRPr="008E2A63">
          <w:rPr>
            <w:rStyle w:val="Hypertextovodkaz"/>
            <w:rFonts w:eastAsia="RWXLTG+TimesNewRoman" w:cs="RWXLTG+TimesNewRoman"/>
            <w:noProof/>
          </w:rPr>
          <w:t xml:space="preserve">Graf 1: </w:t>
        </w:r>
        <w:r w:rsidRPr="008E2A63">
          <w:rPr>
            <w:rStyle w:val="Hypertextovodkaz"/>
            <w:noProof/>
          </w:rPr>
          <w:t>Struktura druhů pozemků v obci Staré Buky k 8. 5. 2022 (v %)</w:t>
        </w:r>
        <w:r>
          <w:rPr>
            <w:noProof/>
            <w:webHidden/>
          </w:rPr>
          <w:tab/>
        </w:r>
        <w:r>
          <w:rPr>
            <w:noProof/>
            <w:webHidden/>
          </w:rPr>
          <w:fldChar w:fldCharType="begin"/>
        </w:r>
        <w:r>
          <w:rPr>
            <w:noProof/>
            <w:webHidden/>
          </w:rPr>
          <w:instrText xml:space="preserve"> PAGEREF _Toc120651980 \h </w:instrText>
        </w:r>
        <w:r>
          <w:rPr>
            <w:noProof/>
            <w:webHidden/>
          </w:rPr>
        </w:r>
        <w:r>
          <w:rPr>
            <w:noProof/>
            <w:webHidden/>
          </w:rPr>
          <w:fldChar w:fldCharType="separate"/>
        </w:r>
        <w:r w:rsidR="00392EC3">
          <w:rPr>
            <w:noProof/>
            <w:webHidden/>
          </w:rPr>
          <w:t>14</w:t>
        </w:r>
        <w:r>
          <w:rPr>
            <w:noProof/>
            <w:webHidden/>
          </w:rPr>
          <w:fldChar w:fldCharType="end"/>
        </w:r>
      </w:hyperlink>
    </w:p>
    <w:p w14:paraId="4AEC60CC" w14:textId="1D57CFF7" w:rsidR="00461CD9" w:rsidRDefault="00461CD9" w:rsidP="00461CD9">
      <w:pPr>
        <w:pStyle w:val="Seznamobrzk"/>
        <w:tabs>
          <w:tab w:val="right" w:leader="dot" w:pos="9062"/>
        </w:tabs>
        <w:spacing w:after="120"/>
        <w:jc w:val="both"/>
        <w:rPr>
          <w:rFonts w:eastAsiaTheme="minorEastAsia"/>
          <w:noProof/>
          <w:lang w:eastAsia="cs-CZ"/>
        </w:rPr>
      </w:pPr>
      <w:hyperlink w:anchor="_Toc120651981" w:history="1">
        <w:r w:rsidRPr="008E2A63">
          <w:rPr>
            <w:rStyle w:val="Hypertextovodkaz"/>
            <w:noProof/>
          </w:rPr>
          <w:t>Graf 2: Struktura druhů pozemků půdního fondu v obci Staré Buky podle katastrálních území k 8. 5. 2022 (v %)</w:t>
        </w:r>
        <w:r>
          <w:rPr>
            <w:noProof/>
            <w:webHidden/>
          </w:rPr>
          <w:tab/>
        </w:r>
        <w:r>
          <w:rPr>
            <w:noProof/>
            <w:webHidden/>
          </w:rPr>
          <w:fldChar w:fldCharType="begin"/>
        </w:r>
        <w:r>
          <w:rPr>
            <w:noProof/>
            <w:webHidden/>
          </w:rPr>
          <w:instrText xml:space="preserve"> PAGEREF _Toc120651981 \h </w:instrText>
        </w:r>
        <w:r>
          <w:rPr>
            <w:noProof/>
            <w:webHidden/>
          </w:rPr>
        </w:r>
        <w:r>
          <w:rPr>
            <w:noProof/>
            <w:webHidden/>
          </w:rPr>
          <w:fldChar w:fldCharType="separate"/>
        </w:r>
        <w:r w:rsidR="00392EC3">
          <w:rPr>
            <w:noProof/>
            <w:webHidden/>
          </w:rPr>
          <w:t>15</w:t>
        </w:r>
        <w:r>
          <w:rPr>
            <w:noProof/>
            <w:webHidden/>
          </w:rPr>
          <w:fldChar w:fldCharType="end"/>
        </w:r>
      </w:hyperlink>
    </w:p>
    <w:p w14:paraId="694A5A8F" w14:textId="2D93F399" w:rsidR="00461CD9" w:rsidRDefault="00461CD9" w:rsidP="00461CD9">
      <w:pPr>
        <w:pStyle w:val="Seznamobrzk"/>
        <w:tabs>
          <w:tab w:val="right" w:leader="dot" w:pos="9062"/>
        </w:tabs>
        <w:spacing w:after="120"/>
        <w:jc w:val="both"/>
        <w:rPr>
          <w:rFonts w:eastAsiaTheme="minorEastAsia"/>
          <w:noProof/>
          <w:lang w:eastAsia="cs-CZ"/>
        </w:rPr>
      </w:pPr>
      <w:hyperlink w:anchor="_Toc120651982" w:history="1">
        <w:r w:rsidRPr="008E2A63">
          <w:rPr>
            <w:rStyle w:val="Hypertextovodkaz"/>
            <w:noProof/>
          </w:rPr>
          <w:t>Graf 3: Křivka vývoje počtu obyvatel v jednotlivých místních částech obce Staré Buky v období 1869-2021</w:t>
        </w:r>
        <w:r>
          <w:rPr>
            <w:noProof/>
            <w:webHidden/>
          </w:rPr>
          <w:tab/>
        </w:r>
        <w:r>
          <w:rPr>
            <w:noProof/>
            <w:webHidden/>
          </w:rPr>
          <w:fldChar w:fldCharType="begin"/>
        </w:r>
        <w:r>
          <w:rPr>
            <w:noProof/>
            <w:webHidden/>
          </w:rPr>
          <w:instrText xml:space="preserve"> PAGEREF _Toc120651982 \h </w:instrText>
        </w:r>
        <w:r>
          <w:rPr>
            <w:noProof/>
            <w:webHidden/>
          </w:rPr>
        </w:r>
        <w:r>
          <w:rPr>
            <w:noProof/>
            <w:webHidden/>
          </w:rPr>
          <w:fldChar w:fldCharType="separate"/>
        </w:r>
        <w:r w:rsidR="00392EC3">
          <w:rPr>
            <w:noProof/>
            <w:webHidden/>
          </w:rPr>
          <w:t>18</w:t>
        </w:r>
        <w:r>
          <w:rPr>
            <w:noProof/>
            <w:webHidden/>
          </w:rPr>
          <w:fldChar w:fldCharType="end"/>
        </w:r>
      </w:hyperlink>
    </w:p>
    <w:p w14:paraId="648101BB" w14:textId="14E131CF" w:rsidR="00461CD9" w:rsidRDefault="00461CD9" w:rsidP="00461CD9">
      <w:pPr>
        <w:pStyle w:val="Seznamobrzk"/>
        <w:tabs>
          <w:tab w:val="right" w:leader="dot" w:pos="9062"/>
        </w:tabs>
        <w:spacing w:after="120"/>
        <w:jc w:val="both"/>
        <w:rPr>
          <w:rFonts w:eastAsiaTheme="minorEastAsia"/>
          <w:noProof/>
          <w:lang w:eastAsia="cs-CZ"/>
        </w:rPr>
      </w:pPr>
      <w:hyperlink w:anchor="_Toc120651983" w:history="1">
        <w:r w:rsidRPr="008E2A63">
          <w:rPr>
            <w:rStyle w:val="Hypertextovodkaz"/>
            <w:noProof/>
          </w:rPr>
          <w:t>Graf 4: Přirozený přírůstek, saldo migrace a celkový přírůstek v obci Staré Buky v období 2011-2021</w:t>
        </w:r>
        <w:r>
          <w:rPr>
            <w:noProof/>
            <w:webHidden/>
          </w:rPr>
          <w:tab/>
        </w:r>
        <w:r>
          <w:rPr>
            <w:noProof/>
            <w:webHidden/>
          </w:rPr>
          <w:fldChar w:fldCharType="begin"/>
        </w:r>
        <w:r>
          <w:rPr>
            <w:noProof/>
            <w:webHidden/>
          </w:rPr>
          <w:instrText xml:space="preserve"> PAGEREF _Toc120651983 \h </w:instrText>
        </w:r>
        <w:r>
          <w:rPr>
            <w:noProof/>
            <w:webHidden/>
          </w:rPr>
        </w:r>
        <w:r>
          <w:rPr>
            <w:noProof/>
            <w:webHidden/>
          </w:rPr>
          <w:fldChar w:fldCharType="separate"/>
        </w:r>
        <w:r w:rsidR="00392EC3">
          <w:rPr>
            <w:noProof/>
            <w:webHidden/>
          </w:rPr>
          <w:t>20</w:t>
        </w:r>
        <w:r>
          <w:rPr>
            <w:noProof/>
            <w:webHidden/>
          </w:rPr>
          <w:fldChar w:fldCharType="end"/>
        </w:r>
      </w:hyperlink>
    </w:p>
    <w:p w14:paraId="442C3E59" w14:textId="2E3DB989" w:rsidR="00461CD9" w:rsidRDefault="00461CD9" w:rsidP="00461CD9">
      <w:pPr>
        <w:pStyle w:val="Seznamobrzk"/>
        <w:tabs>
          <w:tab w:val="right" w:leader="dot" w:pos="9062"/>
        </w:tabs>
        <w:spacing w:after="120"/>
        <w:jc w:val="both"/>
        <w:rPr>
          <w:rFonts w:eastAsiaTheme="minorEastAsia"/>
          <w:noProof/>
          <w:lang w:eastAsia="cs-CZ"/>
        </w:rPr>
      </w:pPr>
      <w:hyperlink w:anchor="_Toc120651984" w:history="1">
        <w:r w:rsidRPr="008E2A63">
          <w:rPr>
            <w:rStyle w:val="Hypertextovodkaz"/>
            <w:noProof/>
          </w:rPr>
          <w:t>Graf 5: Věková struktura obyvatelstva v obci Staré Buky v letech 2001, 2011 a 2021</w:t>
        </w:r>
        <w:r>
          <w:rPr>
            <w:noProof/>
            <w:webHidden/>
          </w:rPr>
          <w:tab/>
        </w:r>
        <w:r>
          <w:rPr>
            <w:noProof/>
            <w:webHidden/>
          </w:rPr>
          <w:fldChar w:fldCharType="begin"/>
        </w:r>
        <w:r>
          <w:rPr>
            <w:noProof/>
            <w:webHidden/>
          </w:rPr>
          <w:instrText xml:space="preserve"> PAGEREF _Toc120651984 \h </w:instrText>
        </w:r>
        <w:r>
          <w:rPr>
            <w:noProof/>
            <w:webHidden/>
          </w:rPr>
        </w:r>
        <w:r>
          <w:rPr>
            <w:noProof/>
            <w:webHidden/>
          </w:rPr>
          <w:fldChar w:fldCharType="separate"/>
        </w:r>
        <w:r w:rsidR="00392EC3">
          <w:rPr>
            <w:noProof/>
            <w:webHidden/>
          </w:rPr>
          <w:t>20</w:t>
        </w:r>
        <w:r>
          <w:rPr>
            <w:noProof/>
            <w:webHidden/>
          </w:rPr>
          <w:fldChar w:fldCharType="end"/>
        </w:r>
      </w:hyperlink>
    </w:p>
    <w:p w14:paraId="7060A6E2" w14:textId="50234273" w:rsidR="00461CD9" w:rsidRDefault="00461CD9" w:rsidP="00461CD9">
      <w:pPr>
        <w:pStyle w:val="Seznamobrzk"/>
        <w:tabs>
          <w:tab w:val="right" w:leader="dot" w:pos="9062"/>
        </w:tabs>
        <w:spacing w:after="120"/>
        <w:jc w:val="both"/>
        <w:rPr>
          <w:rFonts w:eastAsiaTheme="minorEastAsia"/>
          <w:noProof/>
          <w:lang w:eastAsia="cs-CZ"/>
        </w:rPr>
      </w:pPr>
      <w:hyperlink w:anchor="_Toc120651985" w:history="1">
        <w:r w:rsidRPr="008E2A63">
          <w:rPr>
            <w:rStyle w:val="Hypertextovodkaz"/>
            <w:noProof/>
          </w:rPr>
          <w:t>Graf 6: Struktura podnikatelských subjektů v obci Staré Buky k 31. 12. 2021 (v %)</w:t>
        </w:r>
        <w:r>
          <w:rPr>
            <w:noProof/>
            <w:webHidden/>
          </w:rPr>
          <w:tab/>
        </w:r>
        <w:r>
          <w:rPr>
            <w:noProof/>
            <w:webHidden/>
          </w:rPr>
          <w:fldChar w:fldCharType="begin"/>
        </w:r>
        <w:r>
          <w:rPr>
            <w:noProof/>
            <w:webHidden/>
          </w:rPr>
          <w:instrText xml:space="preserve"> PAGEREF _Toc120651985 \h </w:instrText>
        </w:r>
        <w:r>
          <w:rPr>
            <w:noProof/>
            <w:webHidden/>
          </w:rPr>
        </w:r>
        <w:r>
          <w:rPr>
            <w:noProof/>
            <w:webHidden/>
          </w:rPr>
          <w:fldChar w:fldCharType="separate"/>
        </w:r>
        <w:r w:rsidR="00392EC3">
          <w:rPr>
            <w:noProof/>
            <w:webHidden/>
          </w:rPr>
          <w:t>27</w:t>
        </w:r>
        <w:r>
          <w:rPr>
            <w:noProof/>
            <w:webHidden/>
          </w:rPr>
          <w:fldChar w:fldCharType="end"/>
        </w:r>
      </w:hyperlink>
    </w:p>
    <w:p w14:paraId="46EF220A" w14:textId="1DC13043" w:rsidR="00461CD9" w:rsidRDefault="00461CD9" w:rsidP="00461CD9">
      <w:pPr>
        <w:pStyle w:val="Seznamobrzk"/>
        <w:tabs>
          <w:tab w:val="right" w:leader="dot" w:pos="9062"/>
        </w:tabs>
        <w:spacing w:after="120"/>
        <w:jc w:val="both"/>
        <w:rPr>
          <w:rFonts w:eastAsiaTheme="minorEastAsia"/>
          <w:noProof/>
          <w:lang w:eastAsia="cs-CZ"/>
        </w:rPr>
      </w:pPr>
      <w:hyperlink w:anchor="_Toc120651986" w:history="1">
        <w:r w:rsidRPr="008E2A63">
          <w:rPr>
            <w:rStyle w:val="Hypertextovodkaz"/>
            <w:noProof/>
          </w:rPr>
          <w:t>Graf 7: Struktura podnikatelských subjektů podle právní formy v obci Staré Buky k 31. 12. 2021 (v %)</w:t>
        </w:r>
        <w:r>
          <w:rPr>
            <w:noProof/>
            <w:webHidden/>
          </w:rPr>
          <w:tab/>
        </w:r>
        <w:r>
          <w:rPr>
            <w:noProof/>
            <w:webHidden/>
          </w:rPr>
          <w:fldChar w:fldCharType="begin"/>
        </w:r>
        <w:r>
          <w:rPr>
            <w:noProof/>
            <w:webHidden/>
          </w:rPr>
          <w:instrText xml:space="preserve"> PAGEREF _Toc120651986 \h </w:instrText>
        </w:r>
        <w:r>
          <w:rPr>
            <w:noProof/>
            <w:webHidden/>
          </w:rPr>
        </w:r>
        <w:r>
          <w:rPr>
            <w:noProof/>
            <w:webHidden/>
          </w:rPr>
          <w:fldChar w:fldCharType="separate"/>
        </w:r>
        <w:r w:rsidR="00392EC3">
          <w:rPr>
            <w:noProof/>
            <w:webHidden/>
          </w:rPr>
          <w:t>28</w:t>
        </w:r>
        <w:r>
          <w:rPr>
            <w:noProof/>
            <w:webHidden/>
          </w:rPr>
          <w:fldChar w:fldCharType="end"/>
        </w:r>
      </w:hyperlink>
    </w:p>
    <w:p w14:paraId="5EF9AFE0" w14:textId="22645C87" w:rsidR="00461CD9" w:rsidRDefault="00461CD9" w:rsidP="00461CD9">
      <w:pPr>
        <w:pStyle w:val="Seznamobrzk"/>
        <w:tabs>
          <w:tab w:val="right" w:leader="dot" w:pos="9062"/>
        </w:tabs>
        <w:spacing w:after="120"/>
        <w:jc w:val="both"/>
        <w:rPr>
          <w:rFonts w:eastAsiaTheme="minorEastAsia"/>
          <w:noProof/>
          <w:lang w:eastAsia="cs-CZ"/>
        </w:rPr>
      </w:pPr>
      <w:hyperlink w:anchor="_Toc120651987" w:history="1">
        <w:r w:rsidRPr="008E2A63">
          <w:rPr>
            <w:rStyle w:val="Hypertextovodkaz"/>
            <w:noProof/>
          </w:rPr>
          <w:t>Graf 8: Podíl nezaměstnaných osob v % v obci Staré Buky v období 2014-2021</w:t>
        </w:r>
        <w:r>
          <w:rPr>
            <w:noProof/>
            <w:webHidden/>
          </w:rPr>
          <w:tab/>
        </w:r>
        <w:r>
          <w:rPr>
            <w:noProof/>
            <w:webHidden/>
          </w:rPr>
          <w:fldChar w:fldCharType="begin"/>
        </w:r>
        <w:r>
          <w:rPr>
            <w:noProof/>
            <w:webHidden/>
          </w:rPr>
          <w:instrText xml:space="preserve"> PAGEREF _Toc120651987 \h </w:instrText>
        </w:r>
        <w:r>
          <w:rPr>
            <w:noProof/>
            <w:webHidden/>
          </w:rPr>
        </w:r>
        <w:r>
          <w:rPr>
            <w:noProof/>
            <w:webHidden/>
          </w:rPr>
          <w:fldChar w:fldCharType="separate"/>
        </w:r>
        <w:r w:rsidR="00392EC3">
          <w:rPr>
            <w:noProof/>
            <w:webHidden/>
          </w:rPr>
          <w:t>30</w:t>
        </w:r>
        <w:r>
          <w:rPr>
            <w:noProof/>
            <w:webHidden/>
          </w:rPr>
          <w:fldChar w:fldCharType="end"/>
        </w:r>
      </w:hyperlink>
    </w:p>
    <w:p w14:paraId="2BDD00D7" w14:textId="18231AF9" w:rsidR="00461CD9" w:rsidRDefault="00461CD9" w:rsidP="00461CD9">
      <w:pPr>
        <w:pStyle w:val="Seznamobrzk"/>
        <w:tabs>
          <w:tab w:val="right" w:leader="dot" w:pos="9062"/>
        </w:tabs>
        <w:spacing w:after="120"/>
        <w:jc w:val="both"/>
        <w:rPr>
          <w:rFonts w:eastAsiaTheme="minorEastAsia"/>
          <w:noProof/>
          <w:lang w:eastAsia="cs-CZ"/>
        </w:rPr>
      </w:pPr>
      <w:hyperlink w:anchor="_Toc120651988" w:history="1">
        <w:r w:rsidRPr="008E2A63">
          <w:rPr>
            <w:rStyle w:val="Hypertextovodkaz"/>
            <w:noProof/>
          </w:rPr>
          <w:t>Graf 9: Porovnání podílu nezaměstnaných osob za územní jednotky obec Staré Buky, okres Trutnov a Královéhradecký kraj v období 2014-2021</w:t>
        </w:r>
        <w:r>
          <w:rPr>
            <w:noProof/>
            <w:webHidden/>
          </w:rPr>
          <w:tab/>
        </w:r>
        <w:r>
          <w:rPr>
            <w:noProof/>
            <w:webHidden/>
          </w:rPr>
          <w:fldChar w:fldCharType="begin"/>
        </w:r>
        <w:r>
          <w:rPr>
            <w:noProof/>
            <w:webHidden/>
          </w:rPr>
          <w:instrText xml:space="preserve"> PAGEREF _Toc120651988 \h </w:instrText>
        </w:r>
        <w:r>
          <w:rPr>
            <w:noProof/>
            <w:webHidden/>
          </w:rPr>
        </w:r>
        <w:r>
          <w:rPr>
            <w:noProof/>
            <w:webHidden/>
          </w:rPr>
          <w:fldChar w:fldCharType="separate"/>
        </w:r>
        <w:r w:rsidR="00392EC3">
          <w:rPr>
            <w:noProof/>
            <w:webHidden/>
          </w:rPr>
          <w:t>31</w:t>
        </w:r>
        <w:r>
          <w:rPr>
            <w:noProof/>
            <w:webHidden/>
          </w:rPr>
          <w:fldChar w:fldCharType="end"/>
        </w:r>
      </w:hyperlink>
    </w:p>
    <w:p w14:paraId="5875F120" w14:textId="2BCBAC4B" w:rsidR="00461CD9" w:rsidRDefault="00461CD9" w:rsidP="00461CD9">
      <w:pPr>
        <w:pStyle w:val="Seznamobrzk"/>
        <w:tabs>
          <w:tab w:val="right" w:leader="dot" w:pos="9062"/>
        </w:tabs>
        <w:spacing w:after="120"/>
        <w:jc w:val="both"/>
        <w:rPr>
          <w:rFonts w:eastAsiaTheme="minorEastAsia"/>
          <w:noProof/>
          <w:lang w:eastAsia="cs-CZ"/>
        </w:rPr>
      </w:pPr>
      <w:hyperlink w:anchor="_Toc120651989" w:history="1">
        <w:r w:rsidRPr="008E2A63">
          <w:rPr>
            <w:rStyle w:val="Hypertextovodkaz"/>
            <w:noProof/>
          </w:rPr>
          <w:t>Graf 10: Zemědělská půda na území obce Staré Buky podle zastoupení jednotlivých druhů pozemků  (v %)</w:t>
        </w:r>
        <w:r>
          <w:rPr>
            <w:noProof/>
            <w:webHidden/>
          </w:rPr>
          <w:tab/>
        </w:r>
        <w:r>
          <w:rPr>
            <w:noProof/>
            <w:webHidden/>
          </w:rPr>
          <w:fldChar w:fldCharType="begin"/>
        </w:r>
        <w:r>
          <w:rPr>
            <w:noProof/>
            <w:webHidden/>
          </w:rPr>
          <w:instrText xml:space="preserve"> PAGEREF _Toc120651989 \h </w:instrText>
        </w:r>
        <w:r>
          <w:rPr>
            <w:noProof/>
            <w:webHidden/>
          </w:rPr>
        </w:r>
        <w:r>
          <w:rPr>
            <w:noProof/>
            <w:webHidden/>
          </w:rPr>
          <w:fldChar w:fldCharType="separate"/>
        </w:r>
        <w:r w:rsidR="00392EC3">
          <w:rPr>
            <w:noProof/>
            <w:webHidden/>
          </w:rPr>
          <w:t>47</w:t>
        </w:r>
        <w:r>
          <w:rPr>
            <w:noProof/>
            <w:webHidden/>
          </w:rPr>
          <w:fldChar w:fldCharType="end"/>
        </w:r>
      </w:hyperlink>
    </w:p>
    <w:p w14:paraId="3FB03B3B" w14:textId="170FF37C" w:rsidR="00461CD9" w:rsidRDefault="00461CD9" w:rsidP="00461CD9">
      <w:pPr>
        <w:pStyle w:val="Seznamobrzk"/>
        <w:tabs>
          <w:tab w:val="right" w:leader="dot" w:pos="9062"/>
        </w:tabs>
        <w:spacing w:after="120"/>
        <w:jc w:val="both"/>
        <w:rPr>
          <w:rFonts w:eastAsiaTheme="minorEastAsia"/>
          <w:noProof/>
          <w:lang w:eastAsia="cs-CZ"/>
        </w:rPr>
      </w:pPr>
      <w:hyperlink w:anchor="_Toc120651990" w:history="1">
        <w:r w:rsidRPr="008E2A63">
          <w:rPr>
            <w:rStyle w:val="Hypertextovodkaz"/>
            <w:noProof/>
          </w:rPr>
          <w:t>Graf 11: Nezemědělská půda na území obce Staré Buky podle zastoupení jednotlivých druhů pozemků (v %)</w:t>
        </w:r>
        <w:r>
          <w:rPr>
            <w:noProof/>
            <w:webHidden/>
          </w:rPr>
          <w:tab/>
        </w:r>
        <w:r>
          <w:rPr>
            <w:noProof/>
            <w:webHidden/>
          </w:rPr>
          <w:fldChar w:fldCharType="begin"/>
        </w:r>
        <w:r>
          <w:rPr>
            <w:noProof/>
            <w:webHidden/>
          </w:rPr>
          <w:instrText xml:space="preserve"> PAGEREF _Toc120651990 \h </w:instrText>
        </w:r>
        <w:r>
          <w:rPr>
            <w:noProof/>
            <w:webHidden/>
          </w:rPr>
        </w:r>
        <w:r>
          <w:rPr>
            <w:noProof/>
            <w:webHidden/>
          </w:rPr>
          <w:fldChar w:fldCharType="separate"/>
        </w:r>
        <w:r w:rsidR="00392EC3">
          <w:rPr>
            <w:noProof/>
            <w:webHidden/>
          </w:rPr>
          <w:t>47</w:t>
        </w:r>
        <w:r>
          <w:rPr>
            <w:noProof/>
            <w:webHidden/>
          </w:rPr>
          <w:fldChar w:fldCharType="end"/>
        </w:r>
      </w:hyperlink>
    </w:p>
    <w:p w14:paraId="66DD21C5" w14:textId="4862E1A1" w:rsidR="00461CD9" w:rsidRDefault="00461CD9" w:rsidP="00461CD9">
      <w:pPr>
        <w:pStyle w:val="Seznamobrzk"/>
        <w:tabs>
          <w:tab w:val="right" w:leader="dot" w:pos="9062"/>
        </w:tabs>
        <w:spacing w:after="120"/>
        <w:jc w:val="both"/>
        <w:rPr>
          <w:rFonts w:eastAsiaTheme="minorEastAsia"/>
          <w:noProof/>
          <w:lang w:eastAsia="cs-CZ"/>
        </w:rPr>
      </w:pPr>
      <w:hyperlink w:anchor="_Toc120651991" w:history="1">
        <w:r w:rsidRPr="008E2A63">
          <w:rPr>
            <w:rStyle w:val="Hypertextovodkaz"/>
            <w:noProof/>
          </w:rPr>
          <w:t>Graf 12: Srovnání plánovaného a skutečného rozpočtu na příjmové a výdajové stránce v obci Staré Buky v období 2016-2021 (v milionech Kč)</w:t>
        </w:r>
        <w:r>
          <w:rPr>
            <w:noProof/>
            <w:webHidden/>
          </w:rPr>
          <w:tab/>
        </w:r>
        <w:r>
          <w:rPr>
            <w:noProof/>
            <w:webHidden/>
          </w:rPr>
          <w:fldChar w:fldCharType="begin"/>
        </w:r>
        <w:r>
          <w:rPr>
            <w:noProof/>
            <w:webHidden/>
          </w:rPr>
          <w:instrText xml:space="preserve"> PAGEREF _Toc120651991 \h </w:instrText>
        </w:r>
        <w:r>
          <w:rPr>
            <w:noProof/>
            <w:webHidden/>
          </w:rPr>
        </w:r>
        <w:r>
          <w:rPr>
            <w:noProof/>
            <w:webHidden/>
          </w:rPr>
          <w:fldChar w:fldCharType="separate"/>
        </w:r>
        <w:r w:rsidR="00392EC3">
          <w:rPr>
            <w:noProof/>
            <w:webHidden/>
          </w:rPr>
          <w:t>57</w:t>
        </w:r>
        <w:r>
          <w:rPr>
            <w:noProof/>
            <w:webHidden/>
          </w:rPr>
          <w:fldChar w:fldCharType="end"/>
        </w:r>
      </w:hyperlink>
    </w:p>
    <w:p w14:paraId="4C656C84" w14:textId="289AAC3E" w:rsidR="00461CD9" w:rsidRDefault="00461CD9" w:rsidP="00461CD9">
      <w:pPr>
        <w:pStyle w:val="Seznamobrzk"/>
        <w:tabs>
          <w:tab w:val="right" w:leader="dot" w:pos="9062"/>
        </w:tabs>
        <w:spacing w:after="120"/>
        <w:jc w:val="both"/>
        <w:rPr>
          <w:rFonts w:eastAsiaTheme="minorEastAsia"/>
          <w:noProof/>
          <w:lang w:eastAsia="cs-CZ"/>
        </w:rPr>
      </w:pPr>
      <w:hyperlink w:anchor="_Toc120651992" w:history="1">
        <w:r w:rsidRPr="008E2A63">
          <w:rPr>
            <w:rStyle w:val="Hypertextovodkaz"/>
            <w:noProof/>
          </w:rPr>
          <w:t>Graf 13: Stavby ve vlastnictví obce Staré Buky podle způsobu jejich využití (ke květnu 2022)</w:t>
        </w:r>
        <w:r>
          <w:rPr>
            <w:noProof/>
            <w:webHidden/>
          </w:rPr>
          <w:tab/>
        </w:r>
        <w:r>
          <w:rPr>
            <w:noProof/>
            <w:webHidden/>
          </w:rPr>
          <w:fldChar w:fldCharType="begin"/>
        </w:r>
        <w:r>
          <w:rPr>
            <w:noProof/>
            <w:webHidden/>
          </w:rPr>
          <w:instrText xml:space="preserve"> PAGEREF _Toc120651992 \h </w:instrText>
        </w:r>
        <w:r>
          <w:rPr>
            <w:noProof/>
            <w:webHidden/>
          </w:rPr>
        </w:r>
        <w:r>
          <w:rPr>
            <w:noProof/>
            <w:webHidden/>
          </w:rPr>
          <w:fldChar w:fldCharType="separate"/>
        </w:r>
        <w:r w:rsidR="00392EC3">
          <w:rPr>
            <w:noProof/>
            <w:webHidden/>
          </w:rPr>
          <w:t>59</w:t>
        </w:r>
        <w:r>
          <w:rPr>
            <w:noProof/>
            <w:webHidden/>
          </w:rPr>
          <w:fldChar w:fldCharType="end"/>
        </w:r>
      </w:hyperlink>
    </w:p>
    <w:p w14:paraId="6A00D7A5" w14:textId="1F16820D" w:rsidR="00461CD9" w:rsidRDefault="00461CD9" w:rsidP="00461CD9">
      <w:pPr>
        <w:pStyle w:val="Seznamobrzk"/>
        <w:tabs>
          <w:tab w:val="right" w:leader="dot" w:pos="9062"/>
        </w:tabs>
        <w:spacing w:after="120"/>
        <w:jc w:val="both"/>
        <w:rPr>
          <w:rFonts w:eastAsiaTheme="minorEastAsia"/>
          <w:noProof/>
          <w:lang w:eastAsia="cs-CZ"/>
        </w:rPr>
      </w:pPr>
      <w:hyperlink w:anchor="_Toc120651993" w:history="1">
        <w:r w:rsidRPr="008E2A63">
          <w:rPr>
            <w:rStyle w:val="Hypertextovodkaz"/>
            <w:noProof/>
          </w:rPr>
          <w:t>Graf 14: Výsledky odpovědí u otázky č. 1</w:t>
        </w:r>
        <w:r>
          <w:rPr>
            <w:noProof/>
            <w:webHidden/>
          </w:rPr>
          <w:tab/>
        </w:r>
        <w:r>
          <w:rPr>
            <w:noProof/>
            <w:webHidden/>
          </w:rPr>
          <w:fldChar w:fldCharType="begin"/>
        </w:r>
        <w:r>
          <w:rPr>
            <w:noProof/>
            <w:webHidden/>
          </w:rPr>
          <w:instrText xml:space="preserve"> PAGEREF _Toc120651993 \h </w:instrText>
        </w:r>
        <w:r>
          <w:rPr>
            <w:noProof/>
            <w:webHidden/>
          </w:rPr>
        </w:r>
        <w:r>
          <w:rPr>
            <w:noProof/>
            <w:webHidden/>
          </w:rPr>
          <w:fldChar w:fldCharType="separate"/>
        </w:r>
        <w:r w:rsidR="00392EC3">
          <w:rPr>
            <w:noProof/>
            <w:webHidden/>
          </w:rPr>
          <w:t>64</w:t>
        </w:r>
        <w:r>
          <w:rPr>
            <w:noProof/>
            <w:webHidden/>
          </w:rPr>
          <w:fldChar w:fldCharType="end"/>
        </w:r>
      </w:hyperlink>
    </w:p>
    <w:p w14:paraId="3D5DD106" w14:textId="21071252" w:rsidR="00461CD9" w:rsidRDefault="00461CD9" w:rsidP="00461CD9">
      <w:pPr>
        <w:pStyle w:val="Seznamobrzk"/>
        <w:tabs>
          <w:tab w:val="right" w:leader="dot" w:pos="9062"/>
        </w:tabs>
        <w:spacing w:after="120"/>
        <w:jc w:val="both"/>
        <w:rPr>
          <w:rFonts w:eastAsiaTheme="minorEastAsia"/>
          <w:noProof/>
          <w:lang w:eastAsia="cs-CZ"/>
        </w:rPr>
      </w:pPr>
      <w:hyperlink w:anchor="_Toc120651994" w:history="1">
        <w:r w:rsidRPr="008E2A63">
          <w:rPr>
            <w:rStyle w:val="Hypertextovodkaz"/>
            <w:noProof/>
          </w:rPr>
          <w:t>Graf 15: Výsledky odpovědí u otázky č. 6</w:t>
        </w:r>
        <w:r>
          <w:rPr>
            <w:noProof/>
            <w:webHidden/>
          </w:rPr>
          <w:tab/>
        </w:r>
        <w:r>
          <w:rPr>
            <w:noProof/>
            <w:webHidden/>
          </w:rPr>
          <w:fldChar w:fldCharType="begin"/>
        </w:r>
        <w:r>
          <w:rPr>
            <w:noProof/>
            <w:webHidden/>
          </w:rPr>
          <w:instrText xml:space="preserve"> PAGEREF _Toc120651994 \h </w:instrText>
        </w:r>
        <w:r>
          <w:rPr>
            <w:noProof/>
            <w:webHidden/>
          </w:rPr>
        </w:r>
        <w:r>
          <w:rPr>
            <w:noProof/>
            <w:webHidden/>
          </w:rPr>
          <w:fldChar w:fldCharType="separate"/>
        </w:r>
        <w:r w:rsidR="00392EC3">
          <w:rPr>
            <w:noProof/>
            <w:webHidden/>
          </w:rPr>
          <w:t>70</w:t>
        </w:r>
        <w:r>
          <w:rPr>
            <w:noProof/>
            <w:webHidden/>
          </w:rPr>
          <w:fldChar w:fldCharType="end"/>
        </w:r>
      </w:hyperlink>
    </w:p>
    <w:p w14:paraId="5328A53A" w14:textId="41F6DAAE" w:rsidR="00461CD9" w:rsidRDefault="00461CD9" w:rsidP="00461CD9">
      <w:pPr>
        <w:pStyle w:val="Seznamobrzk"/>
        <w:tabs>
          <w:tab w:val="right" w:leader="dot" w:pos="9062"/>
        </w:tabs>
        <w:spacing w:after="120"/>
        <w:jc w:val="both"/>
        <w:rPr>
          <w:rFonts w:eastAsiaTheme="minorEastAsia"/>
          <w:noProof/>
          <w:lang w:eastAsia="cs-CZ"/>
        </w:rPr>
      </w:pPr>
      <w:hyperlink w:anchor="_Toc120651995" w:history="1">
        <w:r w:rsidRPr="008E2A63">
          <w:rPr>
            <w:rStyle w:val="Hypertextovodkaz"/>
            <w:noProof/>
          </w:rPr>
          <w:t>Graf 16: Výsledky odpovědí u otázky č. 7</w:t>
        </w:r>
        <w:r>
          <w:rPr>
            <w:noProof/>
            <w:webHidden/>
          </w:rPr>
          <w:tab/>
        </w:r>
        <w:r>
          <w:rPr>
            <w:noProof/>
            <w:webHidden/>
          </w:rPr>
          <w:fldChar w:fldCharType="begin"/>
        </w:r>
        <w:r>
          <w:rPr>
            <w:noProof/>
            <w:webHidden/>
          </w:rPr>
          <w:instrText xml:space="preserve"> PAGEREF _Toc120651995 \h </w:instrText>
        </w:r>
        <w:r>
          <w:rPr>
            <w:noProof/>
            <w:webHidden/>
          </w:rPr>
        </w:r>
        <w:r>
          <w:rPr>
            <w:noProof/>
            <w:webHidden/>
          </w:rPr>
          <w:fldChar w:fldCharType="separate"/>
        </w:r>
        <w:r w:rsidR="00392EC3">
          <w:rPr>
            <w:noProof/>
            <w:webHidden/>
          </w:rPr>
          <w:t>70</w:t>
        </w:r>
        <w:r>
          <w:rPr>
            <w:noProof/>
            <w:webHidden/>
          </w:rPr>
          <w:fldChar w:fldCharType="end"/>
        </w:r>
      </w:hyperlink>
    </w:p>
    <w:p w14:paraId="595777F0" w14:textId="6E71CF69" w:rsidR="00461CD9" w:rsidRDefault="00461CD9" w:rsidP="00461CD9">
      <w:pPr>
        <w:pStyle w:val="Seznamobrzk"/>
        <w:tabs>
          <w:tab w:val="right" w:leader="dot" w:pos="9062"/>
        </w:tabs>
        <w:spacing w:after="120"/>
        <w:jc w:val="both"/>
        <w:rPr>
          <w:rFonts w:eastAsiaTheme="minorEastAsia"/>
          <w:noProof/>
          <w:lang w:eastAsia="cs-CZ"/>
        </w:rPr>
      </w:pPr>
      <w:hyperlink w:anchor="_Toc120651996" w:history="1">
        <w:r w:rsidRPr="008E2A63">
          <w:rPr>
            <w:rStyle w:val="Hypertextovodkaz"/>
            <w:noProof/>
          </w:rPr>
          <w:t>Graf 17: Výsledky odpovědí u otázky č. 8</w:t>
        </w:r>
        <w:r>
          <w:rPr>
            <w:noProof/>
            <w:webHidden/>
          </w:rPr>
          <w:tab/>
        </w:r>
        <w:r>
          <w:rPr>
            <w:noProof/>
            <w:webHidden/>
          </w:rPr>
          <w:fldChar w:fldCharType="begin"/>
        </w:r>
        <w:r>
          <w:rPr>
            <w:noProof/>
            <w:webHidden/>
          </w:rPr>
          <w:instrText xml:space="preserve"> PAGEREF _Toc120651996 \h </w:instrText>
        </w:r>
        <w:r>
          <w:rPr>
            <w:noProof/>
            <w:webHidden/>
          </w:rPr>
        </w:r>
        <w:r>
          <w:rPr>
            <w:noProof/>
            <w:webHidden/>
          </w:rPr>
          <w:fldChar w:fldCharType="separate"/>
        </w:r>
        <w:r w:rsidR="00392EC3">
          <w:rPr>
            <w:noProof/>
            <w:webHidden/>
          </w:rPr>
          <w:t>71</w:t>
        </w:r>
        <w:r>
          <w:rPr>
            <w:noProof/>
            <w:webHidden/>
          </w:rPr>
          <w:fldChar w:fldCharType="end"/>
        </w:r>
      </w:hyperlink>
    </w:p>
    <w:p w14:paraId="0BA1122D" w14:textId="649B925B" w:rsidR="00461CD9" w:rsidRDefault="00461CD9" w:rsidP="00461CD9">
      <w:pPr>
        <w:pStyle w:val="Seznamobrzk"/>
        <w:tabs>
          <w:tab w:val="right" w:leader="dot" w:pos="9062"/>
        </w:tabs>
        <w:spacing w:after="120"/>
        <w:jc w:val="both"/>
        <w:rPr>
          <w:rFonts w:eastAsiaTheme="minorEastAsia"/>
          <w:noProof/>
          <w:lang w:eastAsia="cs-CZ"/>
        </w:rPr>
      </w:pPr>
      <w:hyperlink w:anchor="_Toc120651997" w:history="1">
        <w:r w:rsidRPr="008E2A63">
          <w:rPr>
            <w:rStyle w:val="Hypertextovodkaz"/>
            <w:noProof/>
          </w:rPr>
          <w:t>Graf 18: Výsledky odpovědí u otázky č. 9</w:t>
        </w:r>
        <w:r>
          <w:rPr>
            <w:noProof/>
            <w:webHidden/>
          </w:rPr>
          <w:tab/>
        </w:r>
        <w:r>
          <w:rPr>
            <w:noProof/>
            <w:webHidden/>
          </w:rPr>
          <w:fldChar w:fldCharType="begin"/>
        </w:r>
        <w:r>
          <w:rPr>
            <w:noProof/>
            <w:webHidden/>
          </w:rPr>
          <w:instrText xml:space="preserve"> PAGEREF _Toc120651997 \h </w:instrText>
        </w:r>
        <w:r>
          <w:rPr>
            <w:noProof/>
            <w:webHidden/>
          </w:rPr>
        </w:r>
        <w:r>
          <w:rPr>
            <w:noProof/>
            <w:webHidden/>
          </w:rPr>
          <w:fldChar w:fldCharType="separate"/>
        </w:r>
        <w:r w:rsidR="00392EC3">
          <w:rPr>
            <w:noProof/>
            <w:webHidden/>
          </w:rPr>
          <w:t>72</w:t>
        </w:r>
        <w:r>
          <w:rPr>
            <w:noProof/>
            <w:webHidden/>
          </w:rPr>
          <w:fldChar w:fldCharType="end"/>
        </w:r>
      </w:hyperlink>
    </w:p>
    <w:p w14:paraId="3D42EF9C" w14:textId="2C0E75BC" w:rsidR="00461CD9" w:rsidRDefault="00461CD9" w:rsidP="00461CD9">
      <w:pPr>
        <w:pStyle w:val="Seznamobrzk"/>
        <w:tabs>
          <w:tab w:val="right" w:leader="dot" w:pos="9062"/>
        </w:tabs>
        <w:spacing w:after="120"/>
        <w:jc w:val="both"/>
        <w:rPr>
          <w:rFonts w:eastAsiaTheme="minorEastAsia"/>
          <w:noProof/>
          <w:lang w:eastAsia="cs-CZ"/>
        </w:rPr>
      </w:pPr>
      <w:hyperlink w:anchor="_Toc120651998" w:history="1">
        <w:r w:rsidRPr="008E2A63">
          <w:rPr>
            <w:rStyle w:val="Hypertextovodkaz"/>
            <w:noProof/>
          </w:rPr>
          <w:t>Graf 19: Výsledky odpovědí u otázky č. 10</w:t>
        </w:r>
        <w:r>
          <w:rPr>
            <w:noProof/>
            <w:webHidden/>
          </w:rPr>
          <w:tab/>
        </w:r>
        <w:r>
          <w:rPr>
            <w:noProof/>
            <w:webHidden/>
          </w:rPr>
          <w:fldChar w:fldCharType="begin"/>
        </w:r>
        <w:r>
          <w:rPr>
            <w:noProof/>
            <w:webHidden/>
          </w:rPr>
          <w:instrText xml:space="preserve"> PAGEREF _Toc120651998 \h </w:instrText>
        </w:r>
        <w:r>
          <w:rPr>
            <w:noProof/>
            <w:webHidden/>
          </w:rPr>
        </w:r>
        <w:r>
          <w:rPr>
            <w:noProof/>
            <w:webHidden/>
          </w:rPr>
          <w:fldChar w:fldCharType="separate"/>
        </w:r>
        <w:r w:rsidR="00392EC3">
          <w:rPr>
            <w:noProof/>
            <w:webHidden/>
          </w:rPr>
          <w:t>72</w:t>
        </w:r>
        <w:r>
          <w:rPr>
            <w:noProof/>
            <w:webHidden/>
          </w:rPr>
          <w:fldChar w:fldCharType="end"/>
        </w:r>
      </w:hyperlink>
    </w:p>
    <w:p w14:paraId="4BEF1467" w14:textId="19CCB29D" w:rsidR="00461CD9" w:rsidRDefault="00461CD9" w:rsidP="00461CD9">
      <w:pPr>
        <w:pStyle w:val="Seznamobrzk"/>
        <w:tabs>
          <w:tab w:val="right" w:leader="dot" w:pos="9062"/>
        </w:tabs>
        <w:spacing w:after="120"/>
        <w:jc w:val="both"/>
        <w:rPr>
          <w:rFonts w:eastAsiaTheme="minorEastAsia"/>
          <w:noProof/>
          <w:lang w:eastAsia="cs-CZ"/>
        </w:rPr>
      </w:pPr>
      <w:hyperlink w:anchor="_Toc120651999" w:history="1">
        <w:r w:rsidRPr="008E2A63">
          <w:rPr>
            <w:rStyle w:val="Hypertextovodkaz"/>
            <w:noProof/>
          </w:rPr>
          <w:t>Graf 20: Výsledky odpovědí u otázky č. 14</w:t>
        </w:r>
        <w:r>
          <w:rPr>
            <w:noProof/>
            <w:webHidden/>
          </w:rPr>
          <w:tab/>
        </w:r>
        <w:r>
          <w:rPr>
            <w:noProof/>
            <w:webHidden/>
          </w:rPr>
          <w:fldChar w:fldCharType="begin"/>
        </w:r>
        <w:r>
          <w:rPr>
            <w:noProof/>
            <w:webHidden/>
          </w:rPr>
          <w:instrText xml:space="preserve"> PAGEREF _Toc120651999 \h </w:instrText>
        </w:r>
        <w:r>
          <w:rPr>
            <w:noProof/>
            <w:webHidden/>
          </w:rPr>
        </w:r>
        <w:r>
          <w:rPr>
            <w:noProof/>
            <w:webHidden/>
          </w:rPr>
          <w:fldChar w:fldCharType="separate"/>
        </w:r>
        <w:r w:rsidR="00392EC3">
          <w:rPr>
            <w:noProof/>
            <w:webHidden/>
          </w:rPr>
          <w:t>75</w:t>
        </w:r>
        <w:r>
          <w:rPr>
            <w:noProof/>
            <w:webHidden/>
          </w:rPr>
          <w:fldChar w:fldCharType="end"/>
        </w:r>
      </w:hyperlink>
    </w:p>
    <w:p w14:paraId="2DEEA05D" w14:textId="063570B5" w:rsidR="00461CD9" w:rsidRDefault="00461CD9" w:rsidP="00461CD9">
      <w:pPr>
        <w:pStyle w:val="Seznamobrzk"/>
        <w:tabs>
          <w:tab w:val="right" w:leader="dot" w:pos="9062"/>
        </w:tabs>
        <w:spacing w:after="120"/>
        <w:jc w:val="both"/>
        <w:rPr>
          <w:rFonts w:eastAsiaTheme="minorEastAsia"/>
          <w:noProof/>
          <w:lang w:eastAsia="cs-CZ"/>
        </w:rPr>
      </w:pPr>
      <w:hyperlink w:anchor="_Toc120652000" w:history="1">
        <w:r w:rsidRPr="008E2A63">
          <w:rPr>
            <w:rStyle w:val="Hypertextovodkaz"/>
            <w:noProof/>
          </w:rPr>
          <w:t>Graf 21: Výsledky odpovědí u otázky č. 15</w:t>
        </w:r>
        <w:r>
          <w:rPr>
            <w:noProof/>
            <w:webHidden/>
          </w:rPr>
          <w:tab/>
        </w:r>
        <w:r>
          <w:rPr>
            <w:noProof/>
            <w:webHidden/>
          </w:rPr>
          <w:fldChar w:fldCharType="begin"/>
        </w:r>
        <w:r>
          <w:rPr>
            <w:noProof/>
            <w:webHidden/>
          </w:rPr>
          <w:instrText xml:space="preserve"> PAGEREF _Toc120652000 \h </w:instrText>
        </w:r>
        <w:r>
          <w:rPr>
            <w:noProof/>
            <w:webHidden/>
          </w:rPr>
        </w:r>
        <w:r>
          <w:rPr>
            <w:noProof/>
            <w:webHidden/>
          </w:rPr>
          <w:fldChar w:fldCharType="separate"/>
        </w:r>
        <w:r w:rsidR="00392EC3">
          <w:rPr>
            <w:noProof/>
            <w:webHidden/>
          </w:rPr>
          <w:t>76</w:t>
        </w:r>
        <w:r>
          <w:rPr>
            <w:noProof/>
            <w:webHidden/>
          </w:rPr>
          <w:fldChar w:fldCharType="end"/>
        </w:r>
      </w:hyperlink>
    </w:p>
    <w:p w14:paraId="1182DE64" w14:textId="368AEDAC" w:rsidR="00364201" w:rsidRDefault="00461CD9" w:rsidP="00461CD9">
      <w:pPr>
        <w:spacing w:after="120"/>
        <w:jc w:val="both"/>
      </w:pPr>
      <w:r>
        <w:fldChar w:fldCharType="end"/>
      </w:r>
    </w:p>
    <w:p w14:paraId="117E3EA1" w14:textId="49D711C3" w:rsidR="00364201" w:rsidRDefault="00364201" w:rsidP="00364201">
      <w:pPr>
        <w:pStyle w:val="Nadpis2"/>
      </w:pPr>
      <w:bookmarkStart w:id="676" w:name="_Toc120652187"/>
      <w:r>
        <w:t>6.5 Seznam obrázků</w:t>
      </w:r>
      <w:bookmarkEnd w:id="676"/>
    </w:p>
    <w:p w14:paraId="5881923B" w14:textId="448A2B5B" w:rsidR="00461CD9" w:rsidRDefault="00461CD9" w:rsidP="00461CD9">
      <w:pPr>
        <w:pStyle w:val="Seznamobrzk"/>
        <w:tabs>
          <w:tab w:val="right" w:leader="dot" w:pos="9062"/>
        </w:tabs>
        <w:spacing w:after="120"/>
        <w:jc w:val="both"/>
        <w:rPr>
          <w:rFonts w:eastAsiaTheme="minorEastAsia"/>
          <w:noProof/>
          <w:lang w:eastAsia="cs-CZ"/>
        </w:rPr>
      </w:pPr>
      <w:r>
        <w:fldChar w:fldCharType="begin"/>
      </w:r>
      <w:r>
        <w:instrText xml:space="preserve"> TOC \f O \h \z \t "OBRÁZEK" \c </w:instrText>
      </w:r>
      <w:r>
        <w:fldChar w:fldCharType="separate"/>
      </w:r>
      <w:hyperlink w:anchor="_Toc120652020" w:history="1">
        <w:r w:rsidRPr="002E6BD2">
          <w:rPr>
            <w:rStyle w:val="Hypertextovodkaz"/>
            <w:noProof/>
          </w:rPr>
          <w:t>Obrázek 1: Geografická poloha obce Staré Buky a její členění</w:t>
        </w:r>
        <w:r>
          <w:rPr>
            <w:noProof/>
            <w:webHidden/>
          </w:rPr>
          <w:tab/>
        </w:r>
        <w:r>
          <w:rPr>
            <w:noProof/>
            <w:webHidden/>
          </w:rPr>
          <w:fldChar w:fldCharType="begin"/>
        </w:r>
        <w:r>
          <w:rPr>
            <w:noProof/>
            <w:webHidden/>
          </w:rPr>
          <w:instrText xml:space="preserve"> PAGEREF _Toc120652020 \h </w:instrText>
        </w:r>
        <w:r>
          <w:rPr>
            <w:noProof/>
            <w:webHidden/>
          </w:rPr>
        </w:r>
        <w:r>
          <w:rPr>
            <w:noProof/>
            <w:webHidden/>
          </w:rPr>
          <w:fldChar w:fldCharType="separate"/>
        </w:r>
        <w:r w:rsidR="00392EC3">
          <w:rPr>
            <w:noProof/>
            <w:webHidden/>
          </w:rPr>
          <w:t>8</w:t>
        </w:r>
        <w:r>
          <w:rPr>
            <w:noProof/>
            <w:webHidden/>
          </w:rPr>
          <w:fldChar w:fldCharType="end"/>
        </w:r>
      </w:hyperlink>
    </w:p>
    <w:p w14:paraId="7DD3CB01" w14:textId="4B5CA21D" w:rsidR="00461CD9" w:rsidRDefault="00461CD9" w:rsidP="00461CD9">
      <w:pPr>
        <w:pStyle w:val="Seznamobrzk"/>
        <w:tabs>
          <w:tab w:val="right" w:leader="dot" w:pos="9062"/>
        </w:tabs>
        <w:spacing w:after="120"/>
        <w:jc w:val="both"/>
        <w:rPr>
          <w:rFonts w:eastAsiaTheme="minorEastAsia"/>
          <w:noProof/>
          <w:lang w:eastAsia="cs-CZ"/>
        </w:rPr>
      </w:pPr>
      <w:hyperlink w:anchor="_Toc120652021" w:history="1">
        <w:r w:rsidRPr="002E6BD2">
          <w:rPr>
            <w:rStyle w:val="Hypertextovodkaz"/>
            <w:noProof/>
          </w:rPr>
          <w:t>Obrázek 2: Znak a vlajka obce Staré Buky</w:t>
        </w:r>
        <w:r>
          <w:rPr>
            <w:noProof/>
            <w:webHidden/>
          </w:rPr>
          <w:tab/>
        </w:r>
        <w:r>
          <w:rPr>
            <w:noProof/>
            <w:webHidden/>
          </w:rPr>
          <w:fldChar w:fldCharType="begin"/>
        </w:r>
        <w:r>
          <w:rPr>
            <w:noProof/>
            <w:webHidden/>
          </w:rPr>
          <w:instrText xml:space="preserve"> PAGEREF _Toc120652021 \h </w:instrText>
        </w:r>
        <w:r>
          <w:rPr>
            <w:noProof/>
            <w:webHidden/>
          </w:rPr>
        </w:r>
        <w:r>
          <w:rPr>
            <w:noProof/>
            <w:webHidden/>
          </w:rPr>
          <w:fldChar w:fldCharType="separate"/>
        </w:r>
        <w:r w:rsidR="00392EC3">
          <w:rPr>
            <w:noProof/>
            <w:webHidden/>
          </w:rPr>
          <w:t>10</w:t>
        </w:r>
        <w:r>
          <w:rPr>
            <w:noProof/>
            <w:webHidden/>
          </w:rPr>
          <w:fldChar w:fldCharType="end"/>
        </w:r>
      </w:hyperlink>
    </w:p>
    <w:p w14:paraId="411FE2F1" w14:textId="68EB09C3" w:rsidR="00461CD9" w:rsidRDefault="00461CD9" w:rsidP="00461CD9">
      <w:pPr>
        <w:pStyle w:val="Seznamobrzk"/>
        <w:tabs>
          <w:tab w:val="right" w:leader="dot" w:pos="9062"/>
        </w:tabs>
        <w:spacing w:after="120"/>
        <w:jc w:val="both"/>
        <w:rPr>
          <w:rFonts w:eastAsiaTheme="minorEastAsia"/>
          <w:noProof/>
          <w:lang w:eastAsia="cs-CZ"/>
        </w:rPr>
      </w:pPr>
      <w:hyperlink w:anchor="_Toc120652022" w:history="1">
        <w:r w:rsidRPr="002E6BD2">
          <w:rPr>
            <w:rStyle w:val="Hypertextovodkaz"/>
            <w:noProof/>
          </w:rPr>
          <w:t>Obrázek 3: Geologické složení území obce Staré Buky</w:t>
        </w:r>
        <w:r>
          <w:rPr>
            <w:noProof/>
            <w:webHidden/>
          </w:rPr>
          <w:tab/>
        </w:r>
        <w:r>
          <w:rPr>
            <w:noProof/>
            <w:webHidden/>
          </w:rPr>
          <w:fldChar w:fldCharType="begin"/>
        </w:r>
        <w:r>
          <w:rPr>
            <w:noProof/>
            <w:webHidden/>
          </w:rPr>
          <w:instrText xml:space="preserve"> PAGEREF _Toc120652022 \h </w:instrText>
        </w:r>
        <w:r>
          <w:rPr>
            <w:noProof/>
            <w:webHidden/>
          </w:rPr>
        </w:r>
        <w:r>
          <w:rPr>
            <w:noProof/>
            <w:webHidden/>
          </w:rPr>
          <w:fldChar w:fldCharType="separate"/>
        </w:r>
        <w:r w:rsidR="00392EC3">
          <w:rPr>
            <w:noProof/>
            <w:webHidden/>
          </w:rPr>
          <w:t>11</w:t>
        </w:r>
        <w:r>
          <w:rPr>
            <w:noProof/>
            <w:webHidden/>
          </w:rPr>
          <w:fldChar w:fldCharType="end"/>
        </w:r>
      </w:hyperlink>
    </w:p>
    <w:p w14:paraId="7F5221DF" w14:textId="5AAB61EF" w:rsidR="00461CD9" w:rsidRDefault="00461CD9" w:rsidP="00461CD9">
      <w:pPr>
        <w:pStyle w:val="Seznamobrzk"/>
        <w:tabs>
          <w:tab w:val="right" w:leader="dot" w:pos="9062"/>
        </w:tabs>
        <w:spacing w:after="120"/>
        <w:jc w:val="both"/>
        <w:rPr>
          <w:rFonts w:eastAsiaTheme="minorEastAsia"/>
          <w:noProof/>
          <w:lang w:eastAsia="cs-CZ"/>
        </w:rPr>
      </w:pPr>
      <w:hyperlink w:anchor="_Toc120652023" w:history="1">
        <w:r w:rsidRPr="002E6BD2">
          <w:rPr>
            <w:rStyle w:val="Hypertextovodkaz"/>
            <w:noProof/>
          </w:rPr>
          <w:t>Obrázek 4: Rybník Dolce III – stav ke květnu 2022</w:t>
        </w:r>
        <w:r>
          <w:rPr>
            <w:noProof/>
            <w:webHidden/>
          </w:rPr>
          <w:tab/>
        </w:r>
        <w:r>
          <w:rPr>
            <w:noProof/>
            <w:webHidden/>
          </w:rPr>
          <w:fldChar w:fldCharType="begin"/>
        </w:r>
        <w:r>
          <w:rPr>
            <w:noProof/>
            <w:webHidden/>
          </w:rPr>
          <w:instrText xml:space="preserve"> PAGEREF _Toc120652023 \h </w:instrText>
        </w:r>
        <w:r>
          <w:rPr>
            <w:noProof/>
            <w:webHidden/>
          </w:rPr>
        </w:r>
        <w:r>
          <w:rPr>
            <w:noProof/>
            <w:webHidden/>
          </w:rPr>
          <w:fldChar w:fldCharType="separate"/>
        </w:r>
        <w:r w:rsidR="00392EC3">
          <w:rPr>
            <w:noProof/>
            <w:webHidden/>
          </w:rPr>
          <w:t>12</w:t>
        </w:r>
        <w:r>
          <w:rPr>
            <w:noProof/>
            <w:webHidden/>
          </w:rPr>
          <w:fldChar w:fldCharType="end"/>
        </w:r>
      </w:hyperlink>
    </w:p>
    <w:p w14:paraId="0CEA5E8D" w14:textId="4E4CF320" w:rsidR="00461CD9" w:rsidRDefault="00461CD9" w:rsidP="00461CD9">
      <w:pPr>
        <w:pStyle w:val="Seznamobrzk"/>
        <w:tabs>
          <w:tab w:val="right" w:leader="dot" w:pos="9062"/>
        </w:tabs>
        <w:spacing w:after="120"/>
        <w:jc w:val="both"/>
        <w:rPr>
          <w:rFonts w:eastAsiaTheme="minorEastAsia"/>
          <w:noProof/>
          <w:lang w:eastAsia="cs-CZ"/>
        </w:rPr>
      </w:pPr>
      <w:hyperlink w:anchor="_Toc120652024" w:history="1">
        <w:r w:rsidRPr="002E6BD2">
          <w:rPr>
            <w:rStyle w:val="Hypertextovodkaz"/>
            <w:noProof/>
            <w:shd w:val="clear" w:color="auto" w:fill="FFFFFF"/>
          </w:rPr>
          <w:t>Obrázek 5: Zastoupení půdních typů na území obce Staré Buky</w:t>
        </w:r>
        <w:r>
          <w:rPr>
            <w:noProof/>
            <w:webHidden/>
          </w:rPr>
          <w:tab/>
        </w:r>
        <w:r>
          <w:rPr>
            <w:noProof/>
            <w:webHidden/>
          </w:rPr>
          <w:fldChar w:fldCharType="begin"/>
        </w:r>
        <w:r>
          <w:rPr>
            <w:noProof/>
            <w:webHidden/>
          </w:rPr>
          <w:instrText xml:space="preserve"> PAGEREF _Toc120652024 \h </w:instrText>
        </w:r>
        <w:r>
          <w:rPr>
            <w:noProof/>
            <w:webHidden/>
          </w:rPr>
        </w:r>
        <w:r>
          <w:rPr>
            <w:noProof/>
            <w:webHidden/>
          </w:rPr>
          <w:fldChar w:fldCharType="separate"/>
        </w:r>
        <w:r w:rsidR="00392EC3">
          <w:rPr>
            <w:noProof/>
            <w:webHidden/>
          </w:rPr>
          <w:t>13</w:t>
        </w:r>
        <w:r>
          <w:rPr>
            <w:noProof/>
            <w:webHidden/>
          </w:rPr>
          <w:fldChar w:fldCharType="end"/>
        </w:r>
      </w:hyperlink>
    </w:p>
    <w:p w14:paraId="163A087D" w14:textId="23E8F926" w:rsidR="00461CD9" w:rsidRDefault="00461CD9" w:rsidP="00461CD9">
      <w:pPr>
        <w:pStyle w:val="Seznamobrzk"/>
        <w:tabs>
          <w:tab w:val="right" w:leader="dot" w:pos="9062"/>
        </w:tabs>
        <w:spacing w:after="120"/>
        <w:jc w:val="both"/>
        <w:rPr>
          <w:rFonts w:eastAsiaTheme="minorEastAsia"/>
          <w:noProof/>
          <w:lang w:eastAsia="cs-CZ"/>
        </w:rPr>
      </w:pPr>
      <w:hyperlink w:anchor="_Toc120652025" w:history="1">
        <w:r w:rsidRPr="002E6BD2">
          <w:rPr>
            <w:rStyle w:val="Hypertextovodkaz"/>
            <w:noProof/>
          </w:rPr>
          <w:t>Obrázek 6: Pomník obětem 2. světové války – stav ke květnu 2022</w:t>
        </w:r>
        <w:r>
          <w:rPr>
            <w:noProof/>
            <w:webHidden/>
          </w:rPr>
          <w:tab/>
        </w:r>
        <w:r>
          <w:rPr>
            <w:noProof/>
            <w:webHidden/>
          </w:rPr>
          <w:fldChar w:fldCharType="begin"/>
        </w:r>
        <w:r>
          <w:rPr>
            <w:noProof/>
            <w:webHidden/>
          </w:rPr>
          <w:instrText xml:space="preserve"> PAGEREF _Toc120652025 \h </w:instrText>
        </w:r>
        <w:r>
          <w:rPr>
            <w:noProof/>
            <w:webHidden/>
          </w:rPr>
        </w:r>
        <w:r>
          <w:rPr>
            <w:noProof/>
            <w:webHidden/>
          </w:rPr>
          <w:fldChar w:fldCharType="separate"/>
        </w:r>
        <w:r w:rsidR="00392EC3">
          <w:rPr>
            <w:noProof/>
            <w:webHidden/>
          </w:rPr>
          <w:t>24</w:t>
        </w:r>
        <w:r>
          <w:rPr>
            <w:noProof/>
            <w:webHidden/>
          </w:rPr>
          <w:fldChar w:fldCharType="end"/>
        </w:r>
      </w:hyperlink>
    </w:p>
    <w:p w14:paraId="4B645EE7" w14:textId="2736AECB" w:rsidR="00461CD9" w:rsidRDefault="00461CD9" w:rsidP="00461CD9">
      <w:pPr>
        <w:pStyle w:val="Seznamobrzk"/>
        <w:tabs>
          <w:tab w:val="right" w:leader="dot" w:pos="9062"/>
        </w:tabs>
        <w:spacing w:after="120"/>
        <w:jc w:val="both"/>
        <w:rPr>
          <w:rFonts w:eastAsiaTheme="minorEastAsia"/>
          <w:noProof/>
          <w:lang w:eastAsia="cs-CZ"/>
        </w:rPr>
      </w:pPr>
      <w:hyperlink w:anchor="_Toc120652026" w:history="1">
        <w:r w:rsidRPr="002E6BD2">
          <w:rPr>
            <w:rStyle w:val="Hypertextovodkaz"/>
            <w:noProof/>
          </w:rPr>
          <w:t>Obrázek 7: Rybářská bašta Severka – stav ke květnu 2022</w:t>
        </w:r>
        <w:r>
          <w:rPr>
            <w:noProof/>
            <w:webHidden/>
          </w:rPr>
          <w:tab/>
        </w:r>
        <w:r>
          <w:rPr>
            <w:noProof/>
            <w:webHidden/>
          </w:rPr>
          <w:fldChar w:fldCharType="begin"/>
        </w:r>
        <w:r>
          <w:rPr>
            <w:noProof/>
            <w:webHidden/>
          </w:rPr>
          <w:instrText xml:space="preserve"> PAGEREF _Toc120652026 \h </w:instrText>
        </w:r>
        <w:r>
          <w:rPr>
            <w:noProof/>
            <w:webHidden/>
          </w:rPr>
        </w:r>
        <w:r>
          <w:rPr>
            <w:noProof/>
            <w:webHidden/>
          </w:rPr>
          <w:fldChar w:fldCharType="separate"/>
        </w:r>
        <w:r w:rsidR="00392EC3">
          <w:rPr>
            <w:noProof/>
            <w:webHidden/>
          </w:rPr>
          <w:t>33</w:t>
        </w:r>
        <w:r>
          <w:rPr>
            <w:noProof/>
            <w:webHidden/>
          </w:rPr>
          <w:fldChar w:fldCharType="end"/>
        </w:r>
      </w:hyperlink>
    </w:p>
    <w:p w14:paraId="6499A64C" w14:textId="5BEEEFAB" w:rsidR="00461CD9" w:rsidRDefault="00461CD9" w:rsidP="00461CD9">
      <w:pPr>
        <w:pStyle w:val="Seznamobrzk"/>
        <w:tabs>
          <w:tab w:val="right" w:leader="dot" w:pos="9062"/>
        </w:tabs>
        <w:spacing w:after="120"/>
        <w:jc w:val="both"/>
        <w:rPr>
          <w:rFonts w:eastAsiaTheme="minorEastAsia"/>
          <w:noProof/>
          <w:lang w:eastAsia="cs-CZ"/>
        </w:rPr>
      </w:pPr>
      <w:hyperlink w:anchor="_Toc120652027" w:history="1">
        <w:r w:rsidRPr="002E6BD2">
          <w:rPr>
            <w:rStyle w:val="Hypertextovodkaz"/>
            <w:noProof/>
          </w:rPr>
          <w:t xml:space="preserve">Obrázek 8: Sběrné místo </w:t>
        </w:r>
        <w:r w:rsidRPr="002E6BD2">
          <w:rPr>
            <w:rStyle w:val="Hypertextovodkaz"/>
            <w:rFonts w:eastAsia="RWXLTG+TimesNewRoman" w:cs="RWXLTG+TimesNewRoman"/>
            <w:bCs/>
            <w:noProof/>
          </w:rPr>
          <w:t>u autobusové zastávky „Staré Buky, Horní Staré Buky, točna“</w:t>
        </w:r>
        <w:r w:rsidRPr="002E6BD2">
          <w:rPr>
            <w:rStyle w:val="Hypertextovodkaz"/>
            <w:noProof/>
          </w:rPr>
          <w:t xml:space="preserve"> – stav </w:t>
        </w:r>
        <w:r>
          <w:rPr>
            <w:rStyle w:val="Hypertextovodkaz"/>
            <w:noProof/>
          </w:rPr>
          <w:br/>
        </w:r>
        <w:r w:rsidRPr="002E6BD2">
          <w:rPr>
            <w:rStyle w:val="Hypertextovodkaz"/>
            <w:noProof/>
          </w:rPr>
          <w:t>ke květnu 2022</w:t>
        </w:r>
        <w:r>
          <w:rPr>
            <w:noProof/>
            <w:webHidden/>
          </w:rPr>
          <w:tab/>
        </w:r>
        <w:r>
          <w:rPr>
            <w:noProof/>
            <w:webHidden/>
          </w:rPr>
          <w:fldChar w:fldCharType="begin"/>
        </w:r>
        <w:r>
          <w:rPr>
            <w:noProof/>
            <w:webHidden/>
          </w:rPr>
          <w:instrText xml:space="preserve"> PAGEREF _Toc120652027 \h </w:instrText>
        </w:r>
        <w:r>
          <w:rPr>
            <w:noProof/>
            <w:webHidden/>
          </w:rPr>
        </w:r>
        <w:r>
          <w:rPr>
            <w:noProof/>
            <w:webHidden/>
          </w:rPr>
          <w:fldChar w:fldCharType="separate"/>
        </w:r>
        <w:r w:rsidR="00392EC3">
          <w:rPr>
            <w:noProof/>
            <w:webHidden/>
          </w:rPr>
          <w:t>40</w:t>
        </w:r>
        <w:r>
          <w:rPr>
            <w:noProof/>
            <w:webHidden/>
          </w:rPr>
          <w:fldChar w:fldCharType="end"/>
        </w:r>
      </w:hyperlink>
    </w:p>
    <w:p w14:paraId="758D9E67" w14:textId="17A3A336" w:rsidR="00461CD9" w:rsidRDefault="00461CD9" w:rsidP="00461CD9">
      <w:pPr>
        <w:pStyle w:val="Seznamobrzk"/>
        <w:tabs>
          <w:tab w:val="right" w:leader="dot" w:pos="9062"/>
        </w:tabs>
        <w:spacing w:after="120"/>
        <w:jc w:val="both"/>
        <w:rPr>
          <w:rFonts w:eastAsiaTheme="minorEastAsia"/>
          <w:noProof/>
          <w:lang w:eastAsia="cs-CZ"/>
        </w:rPr>
      </w:pPr>
      <w:hyperlink w:anchor="_Toc120652028" w:history="1">
        <w:r w:rsidRPr="002E6BD2">
          <w:rPr>
            <w:rStyle w:val="Hypertextovodkaz"/>
            <w:noProof/>
          </w:rPr>
          <w:t>Obrázek 9: Obecní hřiště se štěrkovým povrchem – stav ke květnu 2022</w:t>
        </w:r>
        <w:r>
          <w:rPr>
            <w:noProof/>
            <w:webHidden/>
          </w:rPr>
          <w:tab/>
        </w:r>
        <w:r>
          <w:rPr>
            <w:noProof/>
            <w:webHidden/>
          </w:rPr>
          <w:fldChar w:fldCharType="begin"/>
        </w:r>
        <w:r>
          <w:rPr>
            <w:noProof/>
            <w:webHidden/>
          </w:rPr>
          <w:instrText xml:space="preserve"> PAGEREF _Toc120652028 \h </w:instrText>
        </w:r>
        <w:r>
          <w:rPr>
            <w:noProof/>
            <w:webHidden/>
          </w:rPr>
        </w:r>
        <w:r>
          <w:rPr>
            <w:noProof/>
            <w:webHidden/>
          </w:rPr>
          <w:fldChar w:fldCharType="separate"/>
        </w:r>
        <w:r w:rsidR="00392EC3">
          <w:rPr>
            <w:noProof/>
            <w:webHidden/>
          </w:rPr>
          <w:t>45</w:t>
        </w:r>
        <w:r>
          <w:rPr>
            <w:noProof/>
            <w:webHidden/>
          </w:rPr>
          <w:fldChar w:fldCharType="end"/>
        </w:r>
      </w:hyperlink>
    </w:p>
    <w:p w14:paraId="5502CBBB" w14:textId="03082A9A" w:rsidR="00461CD9" w:rsidRDefault="00461CD9" w:rsidP="00461CD9">
      <w:pPr>
        <w:pStyle w:val="Seznamobrzk"/>
        <w:tabs>
          <w:tab w:val="right" w:leader="dot" w:pos="9062"/>
        </w:tabs>
        <w:spacing w:after="120"/>
        <w:jc w:val="both"/>
        <w:rPr>
          <w:rFonts w:eastAsiaTheme="minorEastAsia"/>
          <w:noProof/>
          <w:lang w:eastAsia="cs-CZ"/>
        </w:rPr>
      </w:pPr>
      <w:hyperlink w:anchor="_Toc120652029" w:history="1">
        <w:r w:rsidRPr="002E6BD2">
          <w:rPr>
            <w:rStyle w:val="Hypertextovodkaz"/>
            <w:noProof/>
          </w:rPr>
          <w:t>Obrázek 10: Ochrana ZPF na území obce Staré Buky (ke květnu 2022)</w:t>
        </w:r>
        <w:r>
          <w:rPr>
            <w:noProof/>
            <w:webHidden/>
          </w:rPr>
          <w:tab/>
        </w:r>
        <w:r>
          <w:rPr>
            <w:noProof/>
            <w:webHidden/>
          </w:rPr>
          <w:fldChar w:fldCharType="begin"/>
        </w:r>
        <w:r>
          <w:rPr>
            <w:noProof/>
            <w:webHidden/>
          </w:rPr>
          <w:instrText xml:space="preserve"> PAGEREF _Toc120652029 \h </w:instrText>
        </w:r>
        <w:r>
          <w:rPr>
            <w:noProof/>
            <w:webHidden/>
          </w:rPr>
        </w:r>
        <w:r>
          <w:rPr>
            <w:noProof/>
            <w:webHidden/>
          </w:rPr>
          <w:fldChar w:fldCharType="separate"/>
        </w:r>
        <w:r w:rsidR="00392EC3">
          <w:rPr>
            <w:noProof/>
            <w:webHidden/>
          </w:rPr>
          <w:t>49</w:t>
        </w:r>
        <w:r>
          <w:rPr>
            <w:noProof/>
            <w:webHidden/>
          </w:rPr>
          <w:fldChar w:fldCharType="end"/>
        </w:r>
      </w:hyperlink>
    </w:p>
    <w:p w14:paraId="674E9794" w14:textId="05EBBC15" w:rsidR="00461CD9" w:rsidRDefault="00461CD9" w:rsidP="00461CD9">
      <w:pPr>
        <w:pStyle w:val="Seznamobrzk"/>
        <w:tabs>
          <w:tab w:val="right" w:leader="dot" w:pos="9062"/>
        </w:tabs>
        <w:spacing w:after="120"/>
        <w:jc w:val="both"/>
        <w:rPr>
          <w:rFonts w:eastAsiaTheme="minorEastAsia"/>
          <w:noProof/>
          <w:lang w:eastAsia="cs-CZ"/>
        </w:rPr>
      </w:pPr>
      <w:hyperlink w:anchor="_Toc120652030" w:history="1">
        <w:r w:rsidRPr="002E6BD2">
          <w:rPr>
            <w:rStyle w:val="Hypertextovodkaz"/>
            <w:noProof/>
          </w:rPr>
          <w:t>Obrázek 11: Ohroženost půd vodní erozí na území obce Staré Buky (ke květnu 2022)</w:t>
        </w:r>
        <w:r>
          <w:rPr>
            <w:noProof/>
            <w:webHidden/>
          </w:rPr>
          <w:tab/>
        </w:r>
        <w:r>
          <w:rPr>
            <w:noProof/>
            <w:webHidden/>
          </w:rPr>
          <w:fldChar w:fldCharType="begin"/>
        </w:r>
        <w:r>
          <w:rPr>
            <w:noProof/>
            <w:webHidden/>
          </w:rPr>
          <w:instrText xml:space="preserve"> PAGEREF _Toc120652030 \h </w:instrText>
        </w:r>
        <w:r>
          <w:rPr>
            <w:noProof/>
            <w:webHidden/>
          </w:rPr>
        </w:r>
        <w:r>
          <w:rPr>
            <w:noProof/>
            <w:webHidden/>
          </w:rPr>
          <w:fldChar w:fldCharType="separate"/>
        </w:r>
        <w:r w:rsidR="00392EC3">
          <w:rPr>
            <w:noProof/>
            <w:webHidden/>
          </w:rPr>
          <w:t>50</w:t>
        </w:r>
        <w:r>
          <w:rPr>
            <w:noProof/>
            <w:webHidden/>
          </w:rPr>
          <w:fldChar w:fldCharType="end"/>
        </w:r>
      </w:hyperlink>
    </w:p>
    <w:p w14:paraId="4D19F004" w14:textId="405DF24A" w:rsidR="00461CD9" w:rsidRDefault="00461CD9" w:rsidP="00461CD9">
      <w:pPr>
        <w:pStyle w:val="Seznamobrzk"/>
        <w:tabs>
          <w:tab w:val="right" w:leader="dot" w:pos="9062"/>
        </w:tabs>
        <w:spacing w:after="120"/>
        <w:jc w:val="both"/>
        <w:rPr>
          <w:rFonts w:eastAsiaTheme="minorEastAsia"/>
          <w:noProof/>
          <w:lang w:eastAsia="cs-CZ"/>
        </w:rPr>
      </w:pPr>
      <w:hyperlink w:anchor="_Toc120652031" w:history="1">
        <w:r w:rsidRPr="002E6BD2">
          <w:rPr>
            <w:rStyle w:val="Hypertextovodkaz"/>
            <w:noProof/>
          </w:rPr>
          <w:t>Obrázek 12: Průměrná imisní koncentrace PM</w:t>
        </w:r>
        <w:r w:rsidRPr="002E6BD2">
          <w:rPr>
            <w:rStyle w:val="Hypertextovodkaz"/>
            <w:noProof/>
            <w:vertAlign w:val="subscript"/>
          </w:rPr>
          <w:t>10</w:t>
        </w:r>
        <w:r w:rsidRPr="002E6BD2">
          <w:rPr>
            <w:rStyle w:val="Hypertextovodkaz"/>
            <w:noProof/>
          </w:rPr>
          <w:t xml:space="preserve"> v ovzduší na území obce Staré Buky v roce 2019</w:t>
        </w:r>
        <w:r>
          <w:rPr>
            <w:noProof/>
            <w:webHidden/>
          </w:rPr>
          <w:tab/>
        </w:r>
        <w:r>
          <w:rPr>
            <w:noProof/>
            <w:webHidden/>
          </w:rPr>
          <w:fldChar w:fldCharType="begin"/>
        </w:r>
        <w:r>
          <w:rPr>
            <w:noProof/>
            <w:webHidden/>
          </w:rPr>
          <w:instrText xml:space="preserve"> PAGEREF _Toc120652031 \h </w:instrText>
        </w:r>
        <w:r>
          <w:rPr>
            <w:noProof/>
            <w:webHidden/>
          </w:rPr>
        </w:r>
        <w:r>
          <w:rPr>
            <w:noProof/>
            <w:webHidden/>
          </w:rPr>
          <w:fldChar w:fldCharType="separate"/>
        </w:r>
        <w:r w:rsidR="00392EC3">
          <w:rPr>
            <w:noProof/>
            <w:webHidden/>
          </w:rPr>
          <w:t>51</w:t>
        </w:r>
        <w:r>
          <w:rPr>
            <w:noProof/>
            <w:webHidden/>
          </w:rPr>
          <w:fldChar w:fldCharType="end"/>
        </w:r>
      </w:hyperlink>
    </w:p>
    <w:p w14:paraId="7719AED4" w14:textId="716F5954" w:rsidR="00461CD9" w:rsidRDefault="00461CD9" w:rsidP="00461CD9">
      <w:pPr>
        <w:pStyle w:val="Seznamobrzk"/>
        <w:tabs>
          <w:tab w:val="right" w:leader="dot" w:pos="9062"/>
        </w:tabs>
        <w:spacing w:after="120"/>
        <w:jc w:val="both"/>
        <w:rPr>
          <w:rFonts w:eastAsiaTheme="minorEastAsia"/>
          <w:noProof/>
          <w:lang w:eastAsia="cs-CZ"/>
        </w:rPr>
      </w:pPr>
      <w:hyperlink w:anchor="_Toc120652032" w:history="1">
        <w:r w:rsidRPr="002E6BD2">
          <w:rPr>
            <w:rStyle w:val="Hypertextovodkaz"/>
            <w:noProof/>
          </w:rPr>
          <w:t>Obrázek 13: Zásah územních systémů ekologické stability nadregionálního a regionálního významu  do území obce Staré Buky (ke květnu 2022)</w:t>
        </w:r>
        <w:r>
          <w:rPr>
            <w:noProof/>
            <w:webHidden/>
          </w:rPr>
          <w:tab/>
        </w:r>
        <w:r>
          <w:rPr>
            <w:noProof/>
            <w:webHidden/>
          </w:rPr>
          <w:fldChar w:fldCharType="begin"/>
        </w:r>
        <w:r>
          <w:rPr>
            <w:noProof/>
            <w:webHidden/>
          </w:rPr>
          <w:instrText xml:space="preserve"> PAGEREF _Toc120652032 \h </w:instrText>
        </w:r>
        <w:r>
          <w:rPr>
            <w:noProof/>
            <w:webHidden/>
          </w:rPr>
        </w:r>
        <w:r>
          <w:rPr>
            <w:noProof/>
            <w:webHidden/>
          </w:rPr>
          <w:fldChar w:fldCharType="separate"/>
        </w:r>
        <w:r w:rsidR="00392EC3">
          <w:rPr>
            <w:noProof/>
            <w:webHidden/>
          </w:rPr>
          <w:t>53</w:t>
        </w:r>
        <w:r>
          <w:rPr>
            <w:noProof/>
            <w:webHidden/>
          </w:rPr>
          <w:fldChar w:fldCharType="end"/>
        </w:r>
      </w:hyperlink>
    </w:p>
    <w:p w14:paraId="2F54F201" w14:textId="69B1DC6B" w:rsidR="00461CD9" w:rsidRDefault="00461CD9" w:rsidP="00461CD9">
      <w:pPr>
        <w:pStyle w:val="Seznamobrzk"/>
        <w:tabs>
          <w:tab w:val="right" w:leader="dot" w:pos="9062"/>
        </w:tabs>
        <w:spacing w:after="120"/>
        <w:jc w:val="both"/>
        <w:rPr>
          <w:rFonts w:eastAsiaTheme="minorEastAsia"/>
          <w:noProof/>
          <w:lang w:eastAsia="cs-CZ"/>
        </w:rPr>
      </w:pPr>
      <w:hyperlink w:anchor="_Toc120652033" w:history="1">
        <w:r w:rsidRPr="002E6BD2">
          <w:rPr>
            <w:rStyle w:val="Hypertextovodkaz"/>
            <w:noProof/>
          </w:rPr>
          <w:t>Obrázek 14: Budova zámečku – stav ke květnu 2022</w:t>
        </w:r>
        <w:r>
          <w:rPr>
            <w:noProof/>
            <w:webHidden/>
          </w:rPr>
          <w:tab/>
        </w:r>
        <w:r>
          <w:rPr>
            <w:noProof/>
            <w:webHidden/>
          </w:rPr>
          <w:fldChar w:fldCharType="begin"/>
        </w:r>
        <w:r>
          <w:rPr>
            <w:noProof/>
            <w:webHidden/>
          </w:rPr>
          <w:instrText xml:space="preserve"> PAGEREF _Toc120652033 \h </w:instrText>
        </w:r>
        <w:r>
          <w:rPr>
            <w:noProof/>
            <w:webHidden/>
          </w:rPr>
        </w:r>
        <w:r>
          <w:rPr>
            <w:noProof/>
            <w:webHidden/>
          </w:rPr>
          <w:fldChar w:fldCharType="separate"/>
        </w:r>
        <w:r w:rsidR="00392EC3">
          <w:rPr>
            <w:noProof/>
            <w:webHidden/>
          </w:rPr>
          <w:t>61</w:t>
        </w:r>
        <w:r>
          <w:rPr>
            <w:noProof/>
            <w:webHidden/>
          </w:rPr>
          <w:fldChar w:fldCharType="end"/>
        </w:r>
      </w:hyperlink>
    </w:p>
    <w:p w14:paraId="68D4D4EC" w14:textId="32D5D928" w:rsidR="00461CD9" w:rsidRDefault="00461CD9" w:rsidP="00461CD9">
      <w:pPr>
        <w:pStyle w:val="Seznamobrzk"/>
        <w:tabs>
          <w:tab w:val="right" w:leader="dot" w:pos="9062"/>
        </w:tabs>
        <w:spacing w:after="120"/>
        <w:jc w:val="both"/>
        <w:rPr>
          <w:rFonts w:eastAsiaTheme="minorEastAsia"/>
          <w:noProof/>
          <w:lang w:eastAsia="cs-CZ"/>
        </w:rPr>
      </w:pPr>
      <w:hyperlink w:anchor="_Toc120652034" w:history="1">
        <w:r w:rsidRPr="002E6BD2">
          <w:rPr>
            <w:rStyle w:val="Hypertextovodkaz"/>
            <w:noProof/>
          </w:rPr>
          <w:t>Obrázek 15: Komunikace propojující Staré Buky a Nový Rokytník – stav k červenci 2022</w:t>
        </w:r>
        <w:r>
          <w:rPr>
            <w:noProof/>
            <w:webHidden/>
          </w:rPr>
          <w:tab/>
        </w:r>
        <w:r>
          <w:rPr>
            <w:noProof/>
            <w:webHidden/>
          </w:rPr>
          <w:fldChar w:fldCharType="begin"/>
        </w:r>
        <w:r>
          <w:rPr>
            <w:noProof/>
            <w:webHidden/>
          </w:rPr>
          <w:instrText xml:space="preserve"> PAGEREF _Toc120652034 \h </w:instrText>
        </w:r>
        <w:r>
          <w:rPr>
            <w:noProof/>
            <w:webHidden/>
          </w:rPr>
        </w:r>
        <w:r>
          <w:rPr>
            <w:noProof/>
            <w:webHidden/>
          </w:rPr>
          <w:fldChar w:fldCharType="separate"/>
        </w:r>
        <w:r w:rsidR="00392EC3">
          <w:rPr>
            <w:noProof/>
            <w:webHidden/>
          </w:rPr>
          <w:t>95</w:t>
        </w:r>
        <w:r>
          <w:rPr>
            <w:noProof/>
            <w:webHidden/>
          </w:rPr>
          <w:fldChar w:fldCharType="end"/>
        </w:r>
      </w:hyperlink>
    </w:p>
    <w:p w14:paraId="47F9434A" w14:textId="6AE9F7AE" w:rsidR="00461CD9" w:rsidRDefault="00461CD9" w:rsidP="00461CD9">
      <w:pPr>
        <w:pStyle w:val="Seznamobrzk"/>
        <w:tabs>
          <w:tab w:val="right" w:leader="dot" w:pos="9062"/>
        </w:tabs>
        <w:spacing w:after="120"/>
        <w:jc w:val="both"/>
        <w:rPr>
          <w:rFonts w:eastAsiaTheme="minorEastAsia"/>
          <w:noProof/>
          <w:lang w:eastAsia="cs-CZ"/>
        </w:rPr>
      </w:pPr>
      <w:hyperlink w:anchor="_Toc120652035" w:history="1">
        <w:r w:rsidRPr="002E6BD2">
          <w:rPr>
            <w:rStyle w:val="Hypertextovodkaz"/>
            <w:noProof/>
          </w:rPr>
          <w:t>Obrázek 16: Komunikace v okolí autobusové zastávky „Staré Buky, Horní Staré Buky, točna“ – stav k červenci 2022</w:t>
        </w:r>
        <w:r>
          <w:rPr>
            <w:noProof/>
            <w:webHidden/>
          </w:rPr>
          <w:tab/>
        </w:r>
        <w:r>
          <w:rPr>
            <w:noProof/>
            <w:webHidden/>
          </w:rPr>
          <w:fldChar w:fldCharType="begin"/>
        </w:r>
        <w:r>
          <w:rPr>
            <w:noProof/>
            <w:webHidden/>
          </w:rPr>
          <w:instrText xml:space="preserve"> PAGEREF _Toc120652035 \h </w:instrText>
        </w:r>
        <w:r>
          <w:rPr>
            <w:noProof/>
            <w:webHidden/>
          </w:rPr>
        </w:r>
        <w:r>
          <w:rPr>
            <w:noProof/>
            <w:webHidden/>
          </w:rPr>
          <w:fldChar w:fldCharType="separate"/>
        </w:r>
        <w:r w:rsidR="00392EC3">
          <w:rPr>
            <w:noProof/>
            <w:webHidden/>
          </w:rPr>
          <w:t>96</w:t>
        </w:r>
        <w:r>
          <w:rPr>
            <w:noProof/>
            <w:webHidden/>
          </w:rPr>
          <w:fldChar w:fldCharType="end"/>
        </w:r>
      </w:hyperlink>
    </w:p>
    <w:p w14:paraId="40975AC1" w14:textId="36FE5A92" w:rsidR="00461CD9" w:rsidRDefault="00461CD9" w:rsidP="00461CD9">
      <w:pPr>
        <w:pStyle w:val="Seznamobrzk"/>
        <w:tabs>
          <w:tab w:val="right" w:leader="dot" w:pos="9062"/>
        </w:tabs>
        <w:spacing w:after="120"/>
        <w:jc w:val="both"/>
        <w:rPr>
          <w:rFonts w:eastAsiaTheme="minorEastAsia"/>
          <w:noProof/>
          <w:lang w:eastAsia="cs-CZ"/>
        </w:rPr>
      </w:pPr>
      <w:hyperlink w:anchor="_Toc120652036" w:history="1">
        <w:r w:rsidRPr="002E6BD2">
          <w:rPr>
            <w:rStyle w:val="Hypertextovodkaz"/>
            <w:noProof/>
          </w:rPr>
          <w:t>Obrázek 17: Most na hlavní příjezdové silnici do obce III/30018 – stav k červenci 2022</w:t>
        </w:r>
        <w:r>
          <w:rPr>
            <w:noProof/>
            <w:webHidden/>
          </w:rPr>
          <w:tab/>
        </w:r>
        <w:r>
          <w:rPr>
            <w:noProof/>
            <w:webHidden/>
          </w:rPr>
          <w:fldChar w:fldCharType="begin"/>
        </w:r>
        <w:r>
          <w:rPr>
            <w:noProof/>
            <w:webHidden/>
          </w:rPr>
          <w:instrText xml:space="preserve"> PAGEREF _Toc120652036 \h </w:instrText>
        </w:r>
        <w:r>
          <w:rPr>
            <w:noProof/>
            <w:webHidden/>
          </w:rPr>
        </w:r>
        <w:r>
          <w:rPr>
            <w:noProof/>
            <w:webHidden/>
          </w:rPr>
          <w:fldChar w:fldCharType="separate"/>
        </w:r>
        <w:r w:rsidR="00392EC3">
          <w:rPr>
            <w:noProof/>
            <w:webHidden/>
          </w:rPr>
          <w:t>97</w:t>
        </w:r>
        <w:r>
          <w:rPr>
            <w:noProof/>
            <w:webHidden/>
          </w:rPr>
          <w:fldChar w:fldCharType="end"/>
        </w:r>
      </w:hyperlink>
    </w:p>
    <w:p w14:paraId="09817509" w14:textId="37390BD2" w:rsidR="00461CD9" w:rsidRDefault="00461CD9" w:rsidP="00461CD9">
      <w:pPr>
        <w:pStyle w:val="Seznamobrzk"/>
        <w:tabs>
          <w:tab w:val="right" w:leader="dot" w:pos="9062"/>
        </w:tabs>
        <w:spacing w:after="120"/>
        <w:jc w:val="both"/>
        <w:rPr>
          <w:rFonts w:eastAsiaTheme="minorEastAsia"/>
          <w:noProof/>
          <w:lang w:eastAsia="cs-CZ"/>
        </w:rPr>
      </w:pPr>
      <w:hyperlink w:anchor="_Toc120652037" w:history="1">
        <w:r w:rsidRPr="002E6BD2">
          <w:rPr>
            <w:rStyle w:val="Hypertextovodkaz"/>
            <w:noProof/>
          </w:rPr>
          <w:t>Obrázek 18: Nezpevněný úsek cesty vedoucí ze Starých Buků přes rekreační areál Dolce do Trutnova – stav k červenci 2022</w:t>
        </w:r>
        <w:r>
          <w:rPr>
            <w:noProof/>
            <w:webHidden/>
          </w:rPr>
          <w:tab/>
        </w:r>
        <w:r>
          <w:rPr>
            <w:noProof/>
            <w:webHidden/>
          </w:rPr>
          <w:fldChar w:fldCharType="begin"/>
        </w:r>
        <w:r>
          <w:rPr>
            <w:noProof/>
            <w:webHidden/>
          </w:rPr>
          <w:instrText xml:space="preserve"> PAGEREF _Toc120652037 \h </w:instrText>
        </w:r>
        <w:r>
          <w:rPr>
            <w:noProof/>
            <w:webHidden/>
          </w:rPr>
        </w:r>
        <w:r>
          <w:rPr>
            <w:noProof/>
            <w:webHidden/>
          </w:rPr>
          <w:fldChar w:fldCharType="separate"/>
        </w:r>
        <w:r w:rsidR="00392EC3">
          <w:rPr>
            <w:noProof/>
            <w:webHidden/>
          </w:rPr>
          <w:t>100</w:t>
        </w:r>
        <w:r>
          <w:rPr>
            <w:noProof/>
            <w:webHidden/>
          </w:rPr>
          <w:fldChar w:fldCharType="end"/>
        </w:r>
      </w:hyperlink>
    </w:p>
    <w:p w14:paraId="4673825B" w14:textId="3BA217C6" w:rsidR="00461CD9" w:rsidRDefault="00461CD9" w:rsidP="00461CD9">
      <w:pPr>
        <w:pStyle w:val="Seznamobrzk"/>
        <w:tabs>
          <w:tab w:val="right" w:leader="dot" w:pos="9062"/>
        </w:tabs>
        <w:spacing w:after="120"/>
        <w:jc w:val="both"/>
        <w:rPr>
          <w:rFonts w:eastAsiaTheme="minorEastAsia"/>
          <w:noProof/>
          <w:lang w:eastAsia="cs-CZ"/>
        </w:rPr>
      </w:pPr>
      <w:hyperlink w:anchor="_Toc120652038" w:history="1">
        <w:r w:rsidRPr="002E6BD2">
          <w:rPr>
            <w:rStyle w:val="Hypertextovodkaz"/>
            <w:noProof/>
          </w:rPr>
          <w:t>Obrázek 19: Budova s č. p. 50 – stav k červenci 2022</w:t>
        </w:r>
        <w:r>
          <w:rPr>
            <w:noProof/>
            <w:webHidden/>
          </w:rPr>
          <w:tab/>
        </w:r>
        <w:r>
          <w:rPr>
            <w:noProof/>
            <w:webHidden/>
          </w:rPr>
          <w:fldChar w:fldCharType="begin"/>
        </w:r>
        <w:r>
          <w:rPr>
            <w:noProof/>
            <w:webHidden/>
          </w:rPr>
          <w:instrText xml:space="preserve"> PAGEREF _Toc120652038 \h </w:instrText>
        </w:r>
        <w:r>
          <w:rPr>
            <w:noProof/>
            <w:webHidden/>
          </w:rPr>
        </w:r>
        <w:r>
          <w:rPr>
            <w:noProof/>
            <w:webHidden/>
          </w:rPr>
          <w:fldChar w:fldCharType="separate"/>
        </w:r>
        <w:r w:rsidR="00392EC3">
          <w:rPr>
            <w:noProof/>
            <w:webHidden/>
          </w:rPr>
          <w:t>102</w:t>
        </w:r>
        <w:r>
          <w:rPr>
            <w:noProof/>
            <w:webHidden/>
          </w:rPr>
          <w:fldChar w:fldCharType="end"/>
        </w:r>
      </w:hyperlink>
    </w:p>
    <w:p w14:paraId="585CBDB7" w14:textId="6F015E17" w:rsidR="00461CD9" w:rsidRDefault="00461CD9" w:rsidP="00461CD9">
      <w:pPr>
        <w:pStyle w:val="Seznamobrzk"/>
        <w:tabs>
          <w:tab w:val="right" w:leader="dot" w:pos="9062"/>
        </w:tabs>
        <w:spacing w:after="120"/>
        <w:jc w:val="both"/>
        <w:rPr>
          <w:rFonts w:eastAsiaTheme="minorEastAsia"/>
          <w:noProof/>
          <w:lang w:eastAsia="cs-CZ"/>
        </w:rPr>
      </w:pPr>
      <w:hyperlink w:anchor="_Toc120652039" w:history="1">
        <w:r w:rsidRPr="002E6BD2">
          <w:rPr>
            <w:rStyle w:val="Hypertextovodkaz"/>
            <w:noProof/>
          </w:rPr>
          <w:t>Obrázek 20: Domek hrobníka – stav k červenci 2022</w:t>
        </w:r>
        <w:r>
          <w:rPr>
            <w:noProof/>
            <w:webHidden/>
          </w:rPr>
          <w:tab/>
        </w:r>
        <w:r>
          <w:rPr>
            <w:noProof/>
            <w:webHidden/>
          </w:rPr>
          <w:fldChar w:fldCharType="begin"/>
        </w:r>
        <w:r>
          <w:rPr>
            <w:noProof/>
            <w:webHidden/>
          </w:rPr>
          <w:instrText xml:space="preserve"> PAGEREF _Toc120652039 \h </w:instrText>
        </w:r>
        <w:r>
          <w:rPr>
            <w:noProof/>
            <w:webHidden/>
          </w:rPr>
        </w:r>
        <w:r>
          <w:rPr>
            <w:noProof/>
            <w:webHidden/>
          </w:rPr>
          <w:fldChar w:fldCharType="separate"/>
        </w:r>
        <w:r w:rsidR="00392EC3">
          <w:rPr>
            <w:noProof/>
            <w:webHidden/>
          </w:rPr>
          <w:t>103</w:t>
        </w:r>
        <w:r>
          <w:rPr>
            <w:noProof/>
            <w:webHidden/>
          </w:rPr>
          <w:fldChar w:fldCharType="end"/>
        </w:r>
      </w:hyperlink>
    </w:p>
    <w:p w14:paraId="78E6FB74" w14:textId="2BABECB4" w:rsidR="00461CD9" w:rsidRDefault="00461CD9" w:rsidP="00461CD9">
      <w:pPr>
        <w:pStyle w:val="Seznamobrzk"/>
        <w:tabs>
          <w:tab w:val="right" w:leader="dot" w:pos="9062"/>
        </w:tabs>
        <w:spacing w:after="120"/>
        <w:jc w:val="both"/>
        <w:rPr>
          <w:rFonts w:eastAsiaTheme="minorEastAsia"/>
          <w:noProof/>
          <w:lang w:eastAsia="cs-CZ"/>
        </w:rPr>
      </w:pPr>
      <w:hyperlink w:anchor="_Toc120652040" w:history="1">
        <w:r w:rsidRPr="002E6BD2">
          <w:rPr>
            <w:rStyle w:val="Hypertextovodkaz"/>
            <w:noProof/>
          </w:rPr>
          <w:t>Obrázek 21: Schody nacházející se poblíž sochy sv. Jana Nepomuckého – stav k červenci 2022</w:t>
        </w:r>
        <w:r>
          <w:rPr>
            <w:noProof/>
            <w:webHidden/>
          </w:rPr>
          <w:tab/>
        </w:r>
        <w:r>
          <w:rPr>
            <w:noProof/>
            <w:webHidden/>
          </w:rPr>
          <w:fldChar w:fldCharType="begin"/>
        </w:r>
        <w:r>
          <w:rPr>
            <w:noProof/>
            <w:webHidden/>
          </w:rPr>
          <w:instrText xml:space="preserve"> PAGEREF _Toc120652040 \h </w:instrText>
        </w:r>
        <w:r>
          <w:rPr>
            <w:noProof/>
            <w:webHidden/>
          </w:rPr>
        </w:r>
        <w:r>
          <w:rPr>
            <w:noProof/>
            <w:webHidden/>
          </w:rPr>
          <w:fldChar w:fldCharType="separate"/>
        </w:r>
        <w:r w:rsidR="00392EC3">
          <w:rPr>
            <w:noProof/>
            <w:webHidden/>
          </w:rPr>
          <w:t>104</w:t>
        </w:r>
        <w:r>
          <w:rPr>
            <w:noProof/>
            <w:webHidden/>
          </w:rPr>
          <w:fldChar w:fldCharType="end"/>
        </w:r>
      </w:hyperlink>
    </w:p>
    <w:p w14:paraId="50499982" w14:textId="2A34DD58" w:rsidR="00461CD9" w:rsidRDefault="00461CD9" w:rsidP="00461CD9">
      <w:pPr>
        <w:pStyle w:val="Seznamobrzk"/>
        <w:tabs>
          <w:tab w:val="right" w:leader="dot" w:pos="9062"/>
        </w:tabs>
        <w:spacing w:after="120"/>
        <w:jc w:val="both"/>
        <w:rPr>
          <w:rFonts w:eastAsiaTheme="minorEastAsia"/>
          <w:noProof/>
          <w:lang w:eastAsia="cs-CZ"/>
        </w:rPr>
      </w:pPr>
      <w:hyperlink w:anchor="_Toc120652041" w:history="1">
        <w:r w:rsidRPr="002E6BD2">
          <w:rPr>
            <w:rStyle w:val="Hypertextovodkaz"/>
            <w:noProof/>
          </w:rPr>
          <w:t>Obrázek 22: Starobucký potok – stav k červenci 2022</w:t>
        </w:r>
        <w:r>
          <w:rPr>
            <w:noProof/>
            <w:webHidden/>
          </w:rPr>
          <w:tab/>
        </w:r>
        <w:r>
          <w:rPr>
            <w:noProof/>
            <w:webHidden/>
          </w:rPr>
          <w:fldChar w:fldCharType="begin"/>
        </w:r>
        <w:r>
          <w:rPr>
            <w:noProof/>
            <w:webHidden/>
          </w:rPr>
          <w:instrText xml:space="preserve"> PAGEREF _Toc120652041 \h </w:instrText>
        </w:r>
        <w:r>
          <w:rPr>
            <w:noProof/>
            <w:webHidden/>
          </w:rPr>
        </w:r>
        <w:r>
          <w:rPr>
            <w:noProof/>
            <w:webHidden/>
          </w:rPr>
          <w:fldChar w:fldCharType="separate"/>
        </w:r>
        <w:r w:rsidR="00392EC3">
          <w:rPr>
            <w:noProof/>
            <w:webHidden/>
          </w:rPr>
          <w:t>111</w:t>
        </w:r>
        <w:r>
          <w:rPr>
            <w:noProof/>
            <w:webHidden/>
          </w:rPr>
          <w:fldChar w:fldCharType="end"/>
        </w:r>
      </w:hyperlink>
    </w:p>
    <w:p w14:paraId="5AD13F27" w14:textId="3293008C" w:rsidR="00364201" w:rsidRDefault="00461CD9" w:rsidP="00837905">
      <w:pPr>
        <w:spacing w:after="160" w:line="259" w:lineRule="auto"/>
      </w:pPr>
      <w:r>
        <w:fldChar w:fldCharType="end"/>
      </w:r>
    </w:p>
    <w:p w14:paraId="05081D43" w14:textId="134BDF63" w:rsidR="00364201" w:rsidRDefault="00364201" w:rsidP="00364201">
      <w:pPr>
        <w:pStyle w:val="Nadpis2"/>
      </w:pPr>
      <w:bookmarkStart w:id="677" w:name="_Toc120652188"/>
      <w:r>
        <w:t>6.6 Seznam schémat</w:t>
      </w:r>
      <w:bookmarkEnd w:id="677"/>
    </w:p>
    <w:p w14:paraId="2A6321FD" w14:textId="5C517B83" w:rsidR="00461CD9" w:rsidRDefault="00461CD9" w:rsidP="00461CD9">
      <w:pPr>
        <w:pStyle w:val="Seznamobrzk"/>
        <w:tabs>
          <w:tab w:val="right" w:leader="dot" w:pos="9062"/>
        </w:tabs>
        <w:spacing w:after="120"/>
        <w:jc w:val="both"/>
        <w:rPr>
          <w:rFonts w:eastAsiaTheme="minorEastAsia"/>
          <w:noProof/>
          <w:lang w:eastAsia="cs-CZ"/>
        </w:rPr>
      </w:pPr>
      <w:r>
        <w:fldChar w:fldCharType="begin"/>
      </w:r>
      <w:r>
        <w:instrText xml:space="preserve"> TOC \f S \h \z \t "SCHÉMA" \c </w:instrText>
      </w:r>
      <w:r>
        <w:fldChar w:fldCharType="separate"/>
      </w:r>
      <w:hyperlink w:anchor="_Toc120652065" w:history="1">
        <w:r w:rsidRPr="00580D32">
          <w:rPr>
            <w:rStyle w:val="Hypertextovodkaz"/>
            <w:noProof/>
          </w:rPr>
          <w:t>Schéma 1: Zařazení obce Staré Buky z pohledu geomorfologického členění</w:t>
        </w:r>
        <w:r>
          <w:rPr>
            <w:noProof/>
            <w:webHidden/>
          </w:rPr>
          <w:tab/>
        </w:r>
        <w:r>
          <w:rPr>
            <w:noProof/>
            <w:webHidden/>
          </w:rPr>
          <w:fldChar w:fldCharType="begin"/>
        </w:r>
        <w:r>
          <w:rPr>
            <w:noProof/>
            <w:webHidden/>
          </w:rPr>
          <w:instrText xml:space="preserve"> PAGEREF _Toc120652065 \h </w:instrText>
        </w:r>
        <w:r>
          <w:rPr>
            <w:noProof/>
            <w:webHidden/>
          </w:rPr>
        </w:r>
        <w:r>
          <w:rPr>
            <w:noProof/>
            <w:webHidden/>
          </w:rPr>
          <w:fldChar w:fldCharType="separate"/>
        </w:r>
        <w:r w:rsidR="00392EC3">
          <w:rPr>
            <w:noProof/>
            <w:webHidden/>
          </w:rPr>
          <w:t>10</w:t>
        </w:r>
        <w:r>
          <w:rPr>
            <w:noProof/>
            <w:webHidden/>
          </w:rPr>
          <w:fldChar w:fldCharType="end"/>
        </w:r>
      </w:hyperlink>
    </w:p>
    <w:p w14:paraId="381BA9D2" w14:textId="31A107E0" w:rsidR="00461CD9" w:rsidRDefault="00461CD9" w:rsidP="00461CD9">
      <w:pPr>
        <w:pStyle w:val="Seznamobrzk"/>
        <w:tabs>
          <w:tab w:val="right" w:leader="dot" w:pos="9062"/>
        </w:tabs>
        <w:spacing w:after="120"/>
        <w:jc w:val="both"/>
        <w:rPr>
          <w:rFonts w:eastAsiaTheme="minorEastAsia"/>
          <w:noProof/>
          <w:lang w:eastAsia="cs-CZ"/>
        </w:rPr>
      </w:pPr>
      <w:hyperlink w:anchor="_Toc120652066" w:history="1">
        <w:r w:rsidRPr="00580D32">
          <w:rPr>
            <w:rStyle w:val="Hypertextovodkaz"/>
            <w:noProof/>
          </w:rPr>
          <w:t>Schéma 2: Obecná struktura strategické části PRO Staré Buky na období let 2022-2031</w:t>
        </w:r>
        <w:r>
          <w:rPr>
            <w:noProof/>
            <w:webHidden/>
          </w:rPr>
          <w:tab/>
        </w:r>
        <w:r>
          <w:rPr>
            <w:noProof/>
            <w:webHidden/>
          </w:rPr>
          <w:fldChar w:fldCharType="begin"/>
        </w:r>
        <w:r>
          <w:rPr>
            <w:noProof/>
            <w:webHidden/>
          </w:rPr>
          <w:instrText xml:space="preserve"> PAGEREF _Toc120652066 \h </w:instrText>
        </w:r>
        <w:r>
          <w:rPr>
            <w:noProof/>
            <w:webHidden/>
          </w:rPr>
        </w:r>
        <w:r>
          <w:rPr>
            <w:noProof/>
            <w:webHidden/>
          </w:rPr>
          <w:fldChar w:fldCharType="separate"/>
        </w:r>
        <w:r w:rsidR="00392EC3">
          <w:rPr>
            <w:noProof/>
            <w:webHidden/>
          </w:rPr>
          <w:t>91</w:t>
        </w:r>
        <w:r>
          <w:rPr>
            <w:noProof/>
            <w:webHidden/>
          </w:rPr>
          <w:fldChar w:fldCharType="end"/>
        </w:r>
      </w:hyperlink>
    </w:p>
    <w:p w14:paraId="184EBF00" w14:textId="6ECCCBE9" w:rsidR="00461CD9" w:rsidRDefault="00461CD9" w:rsidP="00461CD9">
      <w:pPr>
        <w:pStyle w:val="Seznamobrzk"/>
        <w:tabs>
          <w:tab w:val="right" w:leader="dot" w:pos="9062"/>
        </w:tabs>
        <w:spacing w:after="120"/>
        <w:jc w:val="both"/>
        <w:rPr>
          <w:rFonts w:eastAsiaTheme="minorEastAsia"/>
          <w:noProof/>
          <w:lang w:eastAsia="cs-CZ"/>
        </w:rPr>
      </w:pPr>
      <w:hyperlink w:anchor="_Toc120652067" w:history="1">
        <w:r w:rsidRPr="00580D32">
          <w:rPr>
            <w:rStyle w:val="Hypertextovodkaz"/>
            <w:noProof/>
          </w:rPr>
          <w:t>Schéma 3: Znázornění systému řízení a organizačního zajištění naplňování PRO Staré Buky na období let 2022-2031</w:t>
        </w:r>
        <w:r>
          <w:rPr>
            <w:noProof/>
            <w:webHidden/>
          </w:rPr>
          <w:tab/>
        </w:r>
        <w:r>
          <w:rPr>
            <w:noProof/>
            <w:webHidden/>
          </w:rPr>
          <w:fldChar w:fldCharType="begin"/>
        </w:r>
        <w:r>
          <w:rPr>
            <w:noProof/>
            <w:webHidden/>
          </w:rPr>
          <w:instrText xml:space="preserve"> PAGEREF _Toc120652067 \h </w:instrText>
        </w:r>
        <w:r>
          <w:rPr>
            <w:noProof/>
            <w:webHidden/>
          </w:rPr>
        </w:r>
        <w:r>
          <w:rPr>
            <w:noProof/>
            <w:webHidden/>
          </w:rPr>
          <w:fldChar w:fldCharType="separate"/>
        </w:r>
        <w:r w:rsidR="00392EC3">
          <w:rPr>
            <w:noProof/>
            <w:webHidden/>
          </w:rPr>
          <w:t>133</w:t>
        </w:r>
        <w:r>
          <w:rPr>
            <w:noProof/>
            <w:webHidden/>
          </w:rPr>
          <w:fldChar w:fldCharType="end"/>
        </w:r>
      </w:hyperlink>
    </w:p>
    <w:p w14:paraId="20021115" w14:textId="3EB3B34D" w:rsidR="00461CD9" w:rsidRDefault="00461CD9" w:rsidP="00461CD9">
      <w:pPr>
        <w:pStyle w:val="Seznamobrzk"/>
        <w:tabs>
          <w:tab w:val="right" w:leader="dot" w:pos="9062"/>
        </w:tabs>
        <w:spacing w:after="120"/>
        <w:jc w:val="both"/>
        <w:rPr>
          <w:rFonts w:eastAsiaTheme="minorEastAsia"/>
          <w:noProof/>
          <w:lang w:eastAsia="cs-CZ"/>
        </w:rPr>
      </w:pPr>
      <w:hyperlink w:anchor="_Toc120652068" w:history="1">
        <w:r w:rsidRPr="00580D32">
          <w:rPr>
            <w:rStyle w:val="Hypertextovodkaz"/>
            <w:noProof/>
          </w:rPr>
          <w:t>Schéma 4: Vazby systému financování PRO Staré Buky</w:t>
        </w:r>
        <w:r w:rsidRPr="00580D32">
          <w:rPr>
            <w:rStyle w:val="Hypertextovodkaz"/>
            <w:rFonts w:eastAsia="Calibri" w:cs="Times New Roman"/>
            <w:noProof/>
          </w:rPr>
          <w:t xml:space="preserve"> </w:t>
        </w:r>
        <w:r w:rsidRPr="00580D32">
          <w:rPr>
            <w:rStyle w:val="Hypertextovodkaz"/>
            <w:noProof/>
          </w:rPr>
          <w:t>na období let 2022-2031</w:t>
        </w:r>
        <w:r>
          <w:rPr>
            <w:noProof/>
            <w:webHidden/>
          </w:rPr>
          <w:tab/>
        </w:r>
        <w:r>
          <w:rPr>
            <w:noProof/>
            <w:webHidden/>
          </w:rPr>
          <w:fldChar w:fldCharType="begin"/>
        </w:r>
        <w:r>
          <w:rPr>
            <w:noProof/>
            <w:webHidden/>
          </w:rPr>
          <w:instrText xml:space="preserve"> PAGEREF _Toc120652068 \h </w:instrText>
        </w:r>
        <w:r>
          <w:rPr>
            <w:noProof/>
            <w:webHidden/>
          </w:rPr>
        </w:r>
        <w:r>
          <w:rPr>
            <w:noProof/>
            <w:webHidden/>
          </w:rPr>
          <w:fldChar w:fldCharType="separate"/>
        </w:r>
        <w:r w:rsidR="00392EC3">
          <w:rPr>
            <w:noProof/>
            <w:webHidden/>
          </w:rPr>
          <w:t>135</w:t>
        </w:r>
        <w:r>
          <w:rPr>
            <w:noProof/>
            <w:webHidden/>
          </w:rPr>
          <w:fldChar w:fldCharType="end"/>
        </w:r>
      </w:hyperlink>
    </w:p>
    <w:p w14:paraId="60C59A3A" w14:textId="0A56214F" w:rsidR="00364201" w:rsidRDefault="00461CD9" w:rsidP="00837905">
      <w:pPr>
        <w:spacing w:after="160" w:line="259" w:lineRule="auto"/>
      </w:pPr>
      <w:r>
        <w:fldChar w:fldCharType="end"/>
      </w:r>
    </w:p>
    <w:p w14:paraId="698A5A7A" w14:textId="76EE4331" w:rsidR="00364201" w:rsidRDefault="00364201" w:rsidP="00364201">
      <w:pPr>
        <w:pStyle w:val="Nadpis2"/>
      </w:pPr>
      <w:bookmarkStart w:id="678" w:name="_Toc120652189"/>
      <w:r>
        <w:t>6.7 Seznam příloh</w:t>
      </w:r>
      <w:bookmarkEnd w:id="678"/>
    </w:p>
    <w:p w14:paraId="07E8EEA5" w14:textId="06AA8BB6" w:rsidR="00461CD9" w:rsidRDefault="00461CD9" w:rsidP="00461CD9">
      <w:pPr>
        <w:pStyle w:val="Seznamobrzk"/>
        <w:tabs>
          <w:tab w:val="right" w:leader="dot" w:pos="9062"/>
        </w:tabs>
        <w:spacing w:after="120"/>
        <w:rPr>
          <w:rFonts w:eastAsiaTheme="minorEastAsia"/>
          <w:noProof/>
          <w:lang w:eastAsia="cs-CZ"/>
        </w:rPr>
      </w:pPr>
      <w:r>
        <w:fldChar w:fldCharType="begin"/>
      </w:r>
      <w:r>
        <w:instrText xml:space="preserve"> TOC \f P \h \z \t "PŘÍLOHA" \c </w:instrText>
      </w:r>
      <w:r>
        <w:fldChar w:fldCharType="separate"/>
      </w:r>
      <w:hyperlink w:anchor="_Toc120652091" w:history="1">
        <w:r w:rsidRPr="0086464E">
          <w:rPr>
            <w:rStyle w:val="Hypertextovodkaz"/>
            <w:noProof/>
          </w:rPr>
          <w:t>Příloha 1: Zásobník projektových záměrů</w:t>
        </w:r>
        <w:r>
          <w:rPr>
            <w:noProof/>
            <w:webHidden/>
          </w:rPr>
          <w:tab/>
        </w:r>
        <w:r>
          <w:rPr>
            <w:noProof/>
            <w:webHidden/>
          </w:rPr>
          <w:fldChar w:fldCharType="begin"/>
        </w:r>
        <w:r>
          <w:rPr>
            <w:noProof/>
            <w:webHidden/>
          </w:rPr>
          <w:instrText xml:space="preserve"> PAGEREF _Toc120652091 \h </w:instrText>
        </w:r>
        <w:r>
          <w:rPr>
            <w:noProof/>
            <w:webHidden/>
          </w:rPr>
        </w:r>
        <w:r>
          <w:rPr>
            <w:noProof/>
            <w:webHidden/>
          </w:rPr>
          <w:fldChar w:fldCharType="separate"/>
        </w:r>
        <w:r w:rsidR="00392EC3">
          <w:rPr>
            <w:noProof/>
            <w:webHidden/>
          </w:rPr>
          <w:t>153</w:t>
        </w:r>
        <w:r>
          <w:rPr>
            <w:noProof/>
            <w:webHidden/>
          </w:rPr>
          <w:fldChar w:fldCharType="end"/>
        </w:r>
      </w:hyperlink>
    </w:p>
    <w:p w14:paraId="0E17EFA2" w14:textId="3FCF2048" w:rsidR="00461CD9" w:rsidRDefault="00461CD9" w:rsidP="00461CD9">
      <w:pPr>
        <w:pStyle w:val="Seznamobrzk"/>
        <w:tabs>
          <w:tab w:val="right" w:leader="dot" w:pos="9062"/>
        </w:tabs>
        <w:spacing w:after="120"/>
        <w:rPr>
          <w:rFonts w:eastAsiaTheme="minorEastAsia"/>
          <w:noProof/>
          <w:lang w:eastAsia="cs-CZ"/>
        </w:rPr>
      </w:pPr>
      <w:hyperlink w:anchor="_Toc120652092" w:history="1">
        <w:r w:rsidRPr="0086464E">
          <w:rPr>
            <w:rStyle w:val="Hypertextovodkaz"/>
            <w:noProof/>
          </w:rPr>
          <w:t>Příloha 2: Dotazník pro občany a organizace/subjekty působící v obci Staré Buky</w:t>
        </w:r>
        <w:r>
          <w:rPr>
            <w:noProof/>
            <w:webHidden/>
          </w:rPr>
          <w:tab/>
        </w:r>
        <w:r>
          <w:rPr>
            <w:noProof/>
            <w:webHidden/>
          </w:rPr>
          <w:fldChar w:fldCharType="begin"/>
        </w:r>
        <w:r>
          <w:rPr>
            <w:noProof/>
            <w:webHidden/>
          </w:rPr>
          <w:instrText xml:space="preserve"> PAGEREF _Toc120652092 \h </w:instrText>
        </w:r>
        <w:r>
          <w:rPr>
            <w:noProof/>
            <w:webHidden/>
          </w:rPr>
        </w:r>
        <w:r>
          <w:rPr>
            <w:noProof/>
            <w:webHidden/>
          </w:rPr>
          <w:fldChar w:fldCharType="separate"/>
        </w:r>
        <w:r w:rsidR="00392EC3">
          <w:rPr>
            <w:noProof/>
            <w:webHidden/>
          </w:rPr>
          <w:t>201</w:t>
        </w:r>
        <w:r>
          <w:rPr>
            <w:noProof/>
            <w:webHidden/>
          </w:rPr>
          <w:fldChar w:fldCharType="end"/>
        </w:r>
      </w:hyperlink>
    </w:p>
    <w:p w14:paraId="2D949BAC" w14:textId="4750DC76" w:rsidR="00364201" w:rsidRPr="00E31B32" w:rsidRDefault="00461CD9" w:rsidP="00837905">
      <w:pPr>
        <w:spacing w:after="160" w:line="259" w:lineRule="auto"/>
      </w:pPr>
      <w:r>
        <w:fldChar w:fldCharType="end"/>
      </w:r>
    </w:p>
    <w:p w14:paraId="78AFB6E9" w14:textId="77777777" w:rsidR="00502AA3" w:rsidRPr="00962D34" w:rsidRDefault="00502AA3" w:rsidP="00962D34">
      <w:pPr>
        <w:spacing w:after="60" w:line="259" w:lineRule="auto"/>
        <w:rPr>
          <w:rFonts w:ascii="Calibri" w:eastAsia="Calibri" w:hAnsi="Calibri" w:cs="Times New Roman"/>
        </w:rPr>
      </w:pPr>
    </w:p>
    <w:p w14:paraId="1C56BE21" w14:textId="77777777" w:rsidR="00E25C73" w:rsidRDefault="00E25C73" w:rsidP="00B86EC0">
      <w:pPr>
        <w:spacing w:after="160" w:line="259" w:lineRule="auto"/>
        <w:jc w:val="both"/>
        <w:rPr>
          <w:rFonts w:ascii="Calibri" w:eastAsia="Calibri" w:hAnsi="Calibri" w:cs="Times New Roman"/>
        </w:rPr>
        <w:sectPr w:rsidR="00E25C73" w:rsidSect="00837905">
          <w:headerReference w:type="default" r:id="rId271"/>
          <w:footerReference w:type="default" r:id="rId272"/>
          <w:pgSz w:w="11906" w:h="16838"/>
          <w:pgMar w:top="1417" w:right="1417" w:bottom="1417" w:left="1417" w:header="708" w:footer="708" w:gutter="0"/>
          <w:cols w:space="708"/>
          <w:docGrid w:linePitch="360"/>
        </w:sectPr>
      </w:pPr>
    </w:p>
    <w:p w14:paraId="535D7504" w14:textId="77777777" w:rsidR="00E25C73" w:rsidRPr="00E25C73" w:rsidRDefault="00E25C73" w:rsidP="00E25C73">
      <w:pPr>
        <w:pStyle w:val="PLOHA"/>
      </w:pPr>
      <w:bookmarkStart w:id="679" w:name="_Toc441222065"/>
      <w:bookmarkStart w:id="680" w:name="_Toc120652091"/>
      <w:r w:rsidRPr="00E25C73">
        <w:lastRenderedPageBreak/>
        <w:t>Příloha 1: Zásobník projektových záměrů</w:t>
      </w:r>
      <w:bookmarkEnd w:id="679"/>
      <w:bookmarkEnd w:id="680"/>
    </w:p>
    <w:p w14:paraId="435EED40" w14:textId="77777777" w:rsidR="00E25C73" w:rsidRPr="00E25C73" w:rsidRDefault="00E25C73" w:rsidP="00E25C73">
      <w:pPr>
        <w:spacing w:before="120" w:after="160" w:line="259" w:lineRule="auto"/>
        <w:jc w:val="both"/>
        <w:rPr>
          <w:rFonts w:ascii="Calibri" w:eastAsia="Calibri" w:hAnsi="Calibri" w:cs="Calibri"/>
        </w:rPr>
      </w:pPr>
      <w:r w:rsidRPr="00E25C73">
        <w:rPr>
          <w:rFonts w:ascii="Calibri" w:eastAsia="Calibri" w:hAnsi="Calibri" w:cs="Calibri"/>
        </w:rPr>
        <w:t xml:space="preserve">V rámci tabulek </w:t>
      </w:r>
      <w:r w:rsidRPr="00E25C73">
        <w:rPr>
          <w:rFonts w:ascii="Calibri" w:eastAsia="Calibri" w:hAnsi="Calibri" w:cs="Times New Roman"/>
        </w:rPr>
        <w:t>Zásobníku projektových záměrů</w:t>
      </w:r>
      <w:r w:rsidRPr="00E25C73">
        <w:rPr>
          <w:rFonts w:ascii="Calibri" w:eastAsia="Calibri" w:hAnsi="Calibri" w:cs="Calibri"/>
        </w:rPr>
        <w:t xml:space="preserve"> jsou používány následující zkratky:</w:t>
      </w:r>
    </w:p>
    <w:p w14:paraId="2BC07F13"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ČEZ = České energetické závody</w:t>
      </w:r>
    </w:p>
    <w:p w14:paraId="12D7D90B"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č. p. = číslo popisné</w:t>
      </w:r>
    </w:p>
    <w:p w14:paraId="7DAE2600"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ČR = Česká republika</w:t>
      </w:r>
    </w:p>
    <w:p w14:paraId="1CF4D83F"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DP = dotační program</w:t>
      </w:r>
    </w:p>
    <w:p w14:paraId="7818A14E"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DT = dotační titul</w:t>
      </w:r>
    </w:p>
    <w:p w14:paraId="63F124EB"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EU = Evropská unie</w:t>
      </w:r>
    </w:p>
    <w:p w14:paraId="352247AE" w14:textId="77777777" w:rsidR="00E25C73" w:rsidRPr="00E25C73" w:rsidRDefault="00E25C73" w:rsidP="00E25C73">
      <w:pPr>
        <w:spacing w:after="60"/>
        <w:rPr>
          <w:rFonts w:ascii="Calibri" w:eastAsia="Calibri" w:hAnsi="Calibri" w:cs="Times New Roman"/>
        </w:rPr>
      </w:pPr>
      <w:r w:rsidRPr="00E25C73">
        <w:rPr>
          <w:rFonts w:ascii="Calibri" w:eastAsia="Calibri" w:hAnsi="Calibri" w:cs="Times New Roman"/>
        </w:rPr>
        <w:t>IROP = Integrovaný regionální operační program</w:t>
      </w:r>
    </w:p>
    <w:p w14:paraId="7F249ECC" w14:textId="77777777" w:rsidR="00E25C73" w:rsidRPr="00E25C73" w:rsidRDefault="00E25C73" w:rsidP="00E25C73">
      <w:pPr>
        <w:spacing w:after="60"/>
        <w:rPr>
          <w:rFonts w:ascii="Calibri" w:eastAsia="Calibri" w:hAnsi="Calibri" w:cs="Calibri"/>
        </w:rPr>
      </w:pPr>
      <w:r w:rsidRPr="00E25C73">
        <w:rPr>
          <w:rFonts w:ascii="Calibri" w:eastAsia="Calibri" w:hAnsi="Calibri" w:cs="Times New Roman"/>
        </w:rPr>
        <w:t xml:space="preserve">KHK kraj </w:t>
      </w:r>
      <w:r w:rsidRPr="00E25C73">
        <w:rPr>
          <w:rFonts w:ascii="Calibri" w:eastAsia="Calibri" w:hAnsi="Calibri" w:cs="Calibri"/>
        </w:rPr>
        <w:t>= Královéhradecký kraj</w:t>
      </w:r>
    </w:p>
    <w:p w14:paraId="3AECE7FA"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KN = katastr nemovitostí</w:t>
      </w:r>
    </w:p>
    <w:p w14:paraId="2D8C4301"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KoPÚ = komplexní pozemkové úpravy</w:t>
      </w:r>
    </w:p>
    <w:p w14:paraId="78F34764"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k. ú. = katastrální území</w:t>
      </w:r>
    </w:p>
    <w:p w14:paraId="2806B2DA"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MAS KJH = Místní akční skupina Království – Jestřebí hory, o.p.s.</w:t>
      </w:r>
    </w:p>
    <w:p w14:paraId="240821D9"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MD = Ministerstvo dopravy</w:t>
      </w:r>
    </w:p>
    <w:p w14:paraId="670754B3"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MFČR = Ministerstvo financí České republiky</w:t>
      </w:r>
    </w:p>
    <w:p w14:paraId="1F495330" w14:textId="77777777" w:rsidR="00E25C73" w:rsidRPr="00E25C73" w:rsidRDefault="00E25C73" w:rsidP="00E25C73">
      <w:pPr>
        <w:spacing w:after="60"/>
        <w:rPr>
          <w:rFonts w:ascii="Calibri" w:eastAsia="Calibri" w:hAnsi="Calibri" w:cs="Calibri"/>
        </w:rPr>
      </w:pPr>
      <w:r w:rsidRPr="00E25C73">
        <w:rPr>
          <w:rFonts w:ascii="Calibri" w:eastAsia="Times New Roman" w:hAnsi="Calibri" w:cs="Calibri"/>
          <w:color w:val="000000"/>
          <w:lang w:eastAsia="cs-CZ"/>
        </w:rPr>
        <w:t xml:space="preserve">MMR </w:t>
      </w:r>
      <w:r w:rsidRPr="00E25C73">
        <w:rPr>
          <w:rFonts w:ascii="Calibri" w:eastAsia="Calibri" w:hAnsi="Calibri" w:cs="Calibri"/>
        </w:rPr>
        <w:t>= Ministerstvo pro místní rozvoj</w:t>
      </w:r>
    </w:p>
    <w:p w14:paraId="5B090B16"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MPSV = Ministerstvo práce a sociálních věcí</w:t>
      </w:r>
    </w:p>
    <w:p w14:paraId="04FB431B" w14:textId="77777777" w:rsidR="00E25C73" w:rsidRPr="00E25C73" w:rsidRDefault="00E25C73" w:rsidP="00E25C73">
      <w:pPr>
        <w:spacing w:after="60"/>
        <w:rPr>
          <w:rFonts w:ascii="Calibri" w:eastAsia="Calibri" w:hAnsi="Calibri" w:cs="Calibri"/>
        </w:rPr>
      </w:pPr>
      <w:r w:rsidRPr="00E25C73">
        <w:rPr>
          <w:rFonts w:ascii="Calibri" w:eastAsia="Calibri" w:hAnsi="Calibri" w:cs="Times New Roman"/>
        </w:rPr>
        <w:t xml:space="preserve">MZe = </w:t>
      </w:r>
      <w:r w:rsidRPr="00E25C73">
        <w:rPr>
          <w:rFonts w:ascii="Calibri" w:eastAsia="Calibri" w:hAnsi="Calibri" w:cs="Calibri"/>
        </w:rPr>
        <w:t>Ministerstvo zemědělství</w:t>
      </w:r>
    </w:p>
    <w:p w14:paraId="364A1CCE"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MŽP = Ministerstvo životního prostředí</w:t>
      </w:r>
    </w:p>
    <w:p w14:paraId="543FD4F0" w14:textId="77777777" w:rsidR="00E25C73" w:rsidRPr="00E25C73" w:rsidRDefault="00E25C73" w:rsidP="00E25C73">
      <w:pPr>
        <w:spacing w:after="60"/>
        <w:rPr>
          <w:rFonts w:ascii="Calibri" w:eastAsia="Calibri" w:hAnsi="Calibri" w:cs="Times New Roman"/>
        </w:rPr>
      </w:pPr>
      <w:r w:rsidRPr="00E25C73">
        <w:rPr>
          <w:rFonts w:ascii="Calibri" w:eastAsia="Calibri" w:hAnsi="Calibri" w:cs="Calibri"/>
        </w:rPr>
        <w:t>NPO = Národní plán obnovy</w:t>
      </w:r>
    </w:p>
    <w:p w14:paraId="2FD8EDAE" w14:textId="77777777" w:rsidR="00E25C73" w:rsidRPr="00E25C73" w:rsidRDefault="00E25C73" w:rsidP="00E25C73">
      <w:pPr>
        <w:spacing w:after="60"/>
        <w:rPr>
          <w:rFonts w:ascii="Calibri" w:eastAsia="Calibri" w:hAnsi="Calibri" w:cs="Times New Roman"/>
        </w:rPr>
      </w:pPr>
      <w:r w:rsidRPr="00E25C73">
        <w:rPr>
          <w:rFonts w:ascii="Calibri" w:eastAsia="Calibri" w:hAnsi="Calibri" w:cs="Times New Roman"/>
        </w:rPr>
        <w:t>OP ŽP = Operační program Životní prostředí</w:t>
      </w:r>
    </w:p>
    <w:p w14:paraId="3022F4AB" w14:textId="77777777" w:rsidR="00E25C73" w:rsidRPr="00E25C73" w:rsidRDefault="00E25C73" w:rsidP="00E25C73">
      <w:pPr>
        <w:spacing w:after="60"/>
        <w:rPr>
          <w:rFonts w:ascii="Calibri" w:eastAsia="Calibri" w:hAnsi="Calibri" w:cs="Times New Roman"/>
        </w:rPr>
      </w:pPr>
      <w:r w:rsidRPr="00E25C73">
        <w:rPr>
          <w:rFonts w:ascii="Calibri" w:eastAsia="Calibri" w:hAnsi="Calibri" w:cs="Times New Roman"/>
        </w:rPr>
        <w:t>ORP = obec s rozšířenou působností</w:t>
      </w:r>
    </w:p>
    <w:p w14:paraId="48111066" w14:textId="77777777" w:rsidR="00E25C73" w:rsidRPr="00E25C73" w:rsidRDefault="00E25C73" w:rsidP="00E25C73">
      <w:pPr>
        <w:spacing w:after="60"/>
        <w:rPr>
          <w:rFonts w:ascii="Calibri" w:eastAsia="Times New Roman" w:hAnsi="Calibri" w:cs="Calibri"/>
          <w:color w:val="000000"/>
          <w:lang w:eastAsia="cs-CZ"/>
        </w:rPr>
      </w:pPr>
      <w:r w:rsidRPr="00E25C73">
        <w:rPr>
          <w:rFonts w:ascii="Calibri" w:eastAsia="Times New Roman" w:hAnsi="Calibri" w:cs="Calibri"/>
          <w:color w:val="000000"/>
          <w:lang w:eastAsia="cs-CZ"/>
        </w:rPr>
        <w:t xml:space="preserve">PORV </w:t>
      </w:r>
      <w:r w:rsidRPr="00E25C73">
        <w:rPr>
          <w:rFonts w:ascii="Calibri" w:eastAsia="Calibri" w:hAnsi="Calibri" w:cs="Calibri"/>
        </w:rPr>
        <w:t>= Podpora obnovy a rozvoje venkova</w:t>
      </w:r>
    </w:p>
    <w:p w14:paraId="51AEEF72" w14:textId="77777777" w:rsidR="00E25C73" w:rsidRPr="00E25C73" w:rsidRDefault="00E25C73" w:rsidP="00E25C73">
      <w:pPr>
        <w:spacing w:after="60"/>
        <w:rPr>
          <w:rFonts w:ascii="Calibri" w:eastAsia="Calibri" w:hAnsi="Calibri" w:cs="Calibri"/>
        </w:rPr>
      </w:pPr>
      <w:r w:rsidRPr="00E25C73">
        <w:rPr>
          <w:rFonts w:ascii="Calibri" w:eastAsia="Times New Roman" w:hAnsi="Calibri" w:cs="Calibri"/>
          <w:color w:val="000000"/>
          <w:lang w:eastAsia="cs-CZ"/>
        </w:rPr>
        <w:t xml:space="preserve">POV KHK </w:t>
      </w:r>
      <w:r w:rsidRPr="00E25C73">
        <w:rPr>
          <w:rFonts w:ascii="Calibri" w:eastAsia="Calibri" w:hAnsi="Calibri" w:cs="Calibri"/>
        </w:rPr>
        <w:t>= Program obnovy Královéhradeckého kraje</w:t>
      </w:r>
    </w:p>
    <w:p w14:paraId="3F24D2D0"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PRO = Program rozvoje obce</w:t>
      </w:r>
    </w:p>
    <w:p w14:paraId="02B84CB5"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PRV = Program rozvoje venkova</w:t>
      </w:r>
    </w:p>
    <w:p w14:paraId="736378BE"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SFDI = Státní fond dopravní infrastruktury</w:t>
      </w:r>
    </w:p>
    <w:p w14:paraId="4A1C0BAF"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SFPI = Státní fond podpory investic</w:t>
      </w:r>
    </w:p>
    <w:p w14:paraId="30F91051"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SFŽP = Státní fond životního prostředí</w:t>
      </w:r>
    </w:p>
    <w:p w14:paraId="5DF3C1CD"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SP = strategická priorita</w:t>
      </w:r>
    </w:p>
    <w:p w14:paraId="6B5EAF29"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s. p. = státní podnik</w:t>
      </w:r>
    </w:p>
    <w:p w14:paraId="2A72A1FF" w14:textId="77777777" w:rsidR="00E25C73" w:rsidRPr="00E25C73" w:rsidRDefault="00E25C73" w:rsidP="00E25C73">
      <w:pPr>
        <w:spacing w:after="60"/>
        <w:rPr>
          <w:rFonts w:ascii="Calibri" w:eastAsia="Calibri" w:hAnsi="Calibri" w:cs="Calibri"/>
        </w:rPr>
      </w:pPr>
      <w:r w:rsidRPr="00E25C73">
        <w:rPr>
          <w:rFonts w:ascii="Calibri" w:eastAsia="Calibri" w:hAnsi="Calibri" w:cs="Calibri"/>
        </w:rPr>
        <w:t>SPÚ = Státní pozemkový úřad</w:t>
      </w:r>
    </w:p>
    <w:p w14:paraId="0ABD6EE9" w14:textId="77777777" w:rsidR="00E25C73" w:rsidRPr="00E25C73" w:rsidRDefault="00E25C73" w:rsidP="00E25C73">
      <w:pPr>
        <w:spacing w:after="60"/>
        <w:rPr>
          <w:rFonts w:ascii="Calibri" w:eastAsia="Times New Roman" w:hAnsi="Calibri" w:cs="Calibri"/>
          <w:color w:val="000000"/>
          <w:lang w:eastAsia="cs-CZ"/>
        </w:rPr>
      </w:pPr>
      <w:r w:rsidRPr="00E25C73">
        <w:rPr>
          <w:rFonts w:ascii="Calibri" w:eastAsia="Times New Roman" w:hAnsi="Calibri" w:cs="Calibri"/>
          <w:color w:val="000000"/>
          <w:lang w:eastAsia="cs-CZ"/>
        </w:rPr>
        <w:t>SS KHK = Správa silnic Královéhradeckého kraje</w:t>
      </w:r>
    </w:p>
    <w:p w14:paraId="205487C2" w14:textId="77777777" w:rsidR="00E25C73" w:rsidRPr="00E25C73" w:rsidRDefault="00E25C73" w:rsidP="00E25C73">
      <w:pPr>
        <w:spacing w:after="200" w:line="276" w:lineRule="auto"/>
        <w:jc w:val="both"/>
        <w:rPr>
          <w:rFonts w:ascii="Calibri" w:eastAsia="Calibri" w:hAnsi="Calibri" w:cs="Calibri"/>
        </w:rPr>
      </w:pPr>
      <w:r w:rsidRPr="00E25C73">
        <w:rPr>
          <w:rFonts w:ascii="Calibri" w:eastAsia="Calibri" w:hAnsi="Calibri" w:cs="Calibri"/>
        </w:rPr>
        <w:t>StC = strategický cíl</w:t>
      </w:r>
    </w:p>
    <w:p w14:paraId="65E8F045" w14:textId="77777777" w:rsidR="00E25C73" w:rsidRPr="00E25C73" w:rsidRDefault="00E25C73" w:rsidP="00E25C73">
      <w:pPr>
        <w:spacing w:after="200" w:line="276" w:lineRule="auto"/>
        <w:jc w:val="both"/>
        <w:rPr>
          <w:rFonts w:ascii="Calibri" w:eastAsia="Calibri" w:hAnsi="Calibri" w:cs="Calibri"/>
        </w:rPr>
      </w:pPr>
      <w:r w:rsidRPr="00E25C73">
        <w:rPr>
          <w:rFonts w:ascii="Calibri" w:eastAsia="Calibri" w:hAnsi="Calibri" w:cs="Calibri"/>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74E9A6BF"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34567C41"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Rekonstruovat komunikaci propojující Staré Buky a Nový Rokytník</w:t>
            </w:r>
          </w:p>
        </w:tc>
      </w:tr>
      <w:tr w:rsidR="00E25C73" w:rsidRPr="00E25C73" w14:paraId="602F9587" w14:textId="77777777" w:rsidTr="009A7AC2">
        <w:trPr>
          <w:trHeight w:val="340"/>
          <w:jc w:val="center"/>
        </w:trPr>
        <w:tc>
          <w:tcPr>
            <w:tcW w:w="2057" w:type="dxa"/>
            <w:shd w:val="clear" w:color="auto" w:fill="auto"/>
            <w:vAlign w:val="center"/>
            <w:hideMark/>
          </w:tcPr>
          <w:p w14:paraId="42AEE51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4A98BA4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5009A05A" w14:textId="77777777" w:rsidTr="009A7AC2">
        <w:trPr>
          <w:trHeight w:val="340"/>
          <w:jc w:val="center"/>
        </w:trPr>
        <w:tc>
          <w:tcPr>
            <w:tcW w:w="2057" w:type="dxa"/>
            <w:shd w:val="clear" w:color="auto" w:fill="auto"/>
            <w:vAlign w:val="center"/>
          </w:tcPr>
          <w:p w14:paraId="1C88446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32B597A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p w14:paraId="7B88F41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59985D10" w14:textId="77777777" w:rsidTr="009A7AC2">
        <w:trPr>
          <w:trHeight w:val="340"/>
          <w:jc w:val="center"/>
        </w:trPr>
        <w:tc>
          <w:tcPr>
            <w:tcW w:w="2057" w:type="dxa"/>
            <w:shd w:val="clear" w:color="auto" w:fill="auto"/>
            <w:vAlign w:val="center"/>
            <w:hideMark/>
          </w:tcPr>
          <w:p w14:paraId="1C596FF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2E2842D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fyzické a právnické osoby mající ve vlastnictví řadu parcel, na kterých se komunikace rozprostírá</w:t>
            </w:r>
          </w:p>
        </w:tc>
      </w:tr>
      <w:tr w:rsidR="00E25C73" w:rsidRPr="00E25C73" w14:paraId="46324E12" w14:textId="77777777" w:rsidTr="009A7AC2">
        <w:trPr>
          <w:trHeight w:val="340"/>
          <w:jc w:val="center"/>
        </w:trPr>
        <w:tc>
          <w:tcPr>
            <w:tcW w:w="2057" w:type="dxa"/>
            <w:shd w:val="clear" w:color="auto" w:fill="auto"/>
            <w:vAlign w:val="center"/>
            <w:hideMark/>
          </w:tcPr>
          <w:p w14:paraId="4537026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6A652B1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zkvalitnění dopravní infrastruktury na území obce a v jejím blízkém okolí</w:t>
            </w:r>
          </w:p>
        </w:tc>
      </w:tr>
      <w:tr w:rsidR="00E25C73" w:rsidRPr="00E25C73" w14:paraId="2B03EA61" w14:textId="77777777" w:rsidTr="009A7AC2">
        <w:trPr>
          <w:trHeight w:val="48"/>
          <w:jc w:val="center"/>
        </w:trPr>
        <w:tc>
          <w:tcPr>
            <w:tcW w:w="2057" w:type="dxa"/>
            <w:shd w:val="clear" w:color="auto" w:fill="auto"/>
            <w:vAlign w:val="center"/>
            <w:hideMark/>
          </w:tcPr>
          <w:p w14:paraId="12E9DE0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30F7BC6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39E49C3C" w14:textId="77777777" w:rsidTr="009A7AC2">
        <w:trPr>
          <w:trHeight w:val="340"/>
          <w:jc w:val="center"/>
        </w:trPr>
        <w:tc>
          <w:tcPr>
            <w:tcW w:w="2057" w:type="dxa"/>
            <w:shd w:val="clear" w:color="auto" w:fill="auto"/>
            <w:vAlign w:val="center"/>
            <w:hideMark/>
          </w:tcPr>
          <w:p w14:paraId="504343B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3F8A5B7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17D0EB28" w14:textId="77777777" w:rsidTr="009A7AC2">
        <w:trPr>
          <w:trHeight w:val="340"/>
          <w:jc w:val="center"/>
        </w:trPr>
        <w:tc>
          <w:tcPr>
            <w:tcW w:w="2057" w:type="dxa"/>
            <w:shd w:val="clear" w:color="auto" w:fill="auto"/>
            <w:vAlign w:val="center"/>
            <w:hideMark/>
          </w:tcPr>
          <w:p w14:paraId="124A6AC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4BEE80D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mil. Kč</w:t>
            </w:r>
          </w:p>
        </w:tc>
      </w:tr>
      <w:tr w:rsidR="00E25C73" w:rsidRPr="00E25C73" w14:paraId="12B9C4B6" w14:textId="77777777" w:rsidTr="009A7AC2">
        <w:trPr>
          <w:trHeight w:val="340"/>
          <w:jc w:val="center"/>
        </w:trPr>
        <w:tc>
          <w:tcPr>
            <w:tcW w:w="2057" w:type="dxa"/>
            <w:shd w:val="clear" w:color="auto" w:fill="auto"/>
            <w:vAlign w:val="center"/>
            <w:hideMark/>
          </w:tcPr>
          <w:p w14:paraId="44DA227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7F690D43"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rozvoje regionů, podprogram PORV – DT Podpora obnovy místních komunikací</w:t>
            </w:r>
          </w:p>
          <w:p w14:paraId="7C2EC1F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MFČR – program 29823 Podpora rozvoje a obnovy obecní infrastruktury a občanské vybavenosti</w:t>
            </w:r>
          </w:p>
          <w:p w14:paraId="28D42009"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6CDDC41F"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01C27EB2" w14:textId="77777777" w:rsidTr="009A7AC2">
        <w:trPr>
          <w:trHeight w:val="340"/>
          <w:jc w:val="center"/>
        </w:trPr>
        <w:tc>
          <w:tcPr>
            <w:tcW w:w="2057" w:type="dxa"/>
            <w:shd w:val="clear" w:color="auto" w:fill="auto"/>
            <w:vAlign w:val="center"/>
            <w:hideMark/>
          </w:tcPr>
          <w:p w14:paraId="7BBC3FD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7FEB5255" w14:textId="77777777" w:rsidR="00E25C73" w:rsidRPr="00E25C73" w:rsidRDefault="00E25C73" w:rsidP="00E25C73">
            <w:pPr>
              <w:spacing w:before="60" w:after="60" w:line="259" w:lineRule="auto"/>
              <w:jc w:val="both"/>
              <w:rPr>
                <w:rFonts w:ascii="Calibri" w:eastAsia="Calibri" w:hAnsi="Calibri" w:cs="Calibri"/>
                <w:color w:val="000000"/>
                <w:sz w:val="20"/>
                <w:szCs w:val="20"/>
              </w:rPr>
            </w:pPr>
            <w:r w:rsidRPr="00E25C73">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3.1.2: Zlepšení dopravní dostupnosti regionů kraje a přeshraniční dostupnosti včetně bezpečnosti dopravy)</w:t>
            </w:r>
          </w:p>
        </w:tc>
      </w:tr>
      <w:tr w:rsidR="00E25C73" w:rsidRPr="00E25C73" w14:paraId="27B4B132" w14:textId="77777777" w:rsidTr="009A7AC2">
        <w:trPr>
          <w:trHeight w:val="340"/>
          <w:jc w:val="center"/>
        </w:trPr>
        <w:tc>
          <w:tcPr>
            <w:tcW w:w="2057" w:type="dxa"/>
            <w:shd w:val="clear" w:color="auto" w:fill="auto"/>
            <w:vAlign w:val="center"/>
            <w:hideMark/>
          </w:tcPr>
          <w:p w14:paraId="1D8310D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482AA97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komunikace propojující Staré Buky a Nový Rokytník</w:t>
            </w:r>
          </w:p>
        </w:tc>
      </w:tr>
      <w:tr w:rsidR="00E25C73" w:rsidRPr="00E25C73" w14:paraId="3352A927" w14:textId="77777777" w:rsidTr="009A7AC2">
        <w:trPr>
          <w:trHeight w:val="340"/>
          <w:jc w:val="center"/>
        </w:trPr>
        <w:tc>
          <w:tcPr>
            <w:tcW w:w="2057" w:type="dxa"/>
            <w:shd w:val="clear" w:color="auto" w:fill="auto"/>
            <w:vAlign w:val="center"/>
            <w:hideMark/>
          </w:tcPr>
          <w:p w14:paraId="59FE990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1740FDB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 komunikaci propojující Staré Buky a Nový Rokytník rekonstruovat</w:t>
            </w:r>
          </w:p>
        </w:tc>
      </w:tr>
      <w:tr w:rsidR="00E25C73" w:rsidRPr="00E25C73" w14:paraId="570BA1E6" w14:textId="77777777" w:rsidTr="009A7AC2">
        <w:trPr>
          <w:trHeight w:val="340"/>
          <w:jc w:val="center"/>
        </w:trPr>
        <w:tc>
          <w:tcPr>
            <w:tcW w:w="2057" w:type="dxa"/>
            <w:shd w:val="clear" w:color="auto" w:fill="auto"/>
            <w:vAlign w:val="center"/>
            <w:hideMark/>
          </w:tcPr>
          <w:p w14:paraId="05301C2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21B5D07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24B2C267" w14:textId="77777777" w:rsidTr="009A7AC2">
        <w:trPr>
          <w:trHeight w:val="340"/>
          <w:jc w:val="center"/>
        </w:trPr>
        <w:tc>
          <w:tcPr>
            <w:tcW w:w="2057" w:type="dxa"/>
            <w:shd w:val="clear" w:color="auto" w:fill="auto"/>
            <w:vAlign w:val="center"/>
            <w:hideMark/>
          </w:tcPr>
          <w:p w14:paraId="744EDCA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1072F1C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136EDCCF" w14:textId="77777777" w:rsidTr="009A7AC2">
        <w:trPr>
          <w:trHeight w:val="340"/>
          <w:jc w:val="center"/>
        </w:trPr>
        <w:tc>
          <w:tcPr>
            <w:tcW w:w="2057" w:type="dxa"/>
            <w:shd w:val="clear" w:color="auto" w:fill="auto"/>
            <w:vAlign w:val="center"/>
          </w:tcPr>
          <w:p w14:paraId="78D8B21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2C354A4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w:t>
            </w:r>
          </w:p>
        </w:tc>
      </w:tr>
    </w:tbl>
    <w:p w14:paraId="1F19BD54"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261BA7BC"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398107F9"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Řešit stav příjezdové komunikace do lokality Dolníky</w:t>
            </w:r>
          </w:p>
        </w:tc>
      </w:tr>
      <w:tr w:rsidR="00E25C73" w:rsidRPr="00E25C73" w14:paraId="630A7162" w14:textId="77777777" w:rsidTr="009A7AC2">
        <w:trPr>
          <w:trHeight w:val="340"/>
          <w:jc w:val="center"/>
        </w:trPr>
        <w:tc>
          <w:tcPr>
            <w:tcW w:w="2057" w:type="dxa"/>
            <w:shd w:val="clear" w:color="auto" w:fill="auto"/>
            <w:vAlign w:val="center"/>
            <w:hideMark/>
          </w:tcPr>
          <w:p w14:paraId="0DFEADB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7E5A235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Město Trutnov a Obec Staré Buky</w:t>
            </w:r>
          </w:p>
        </w:tc>
      </w:tr>
      <w:tr w:rsidR="00E25C73" w:rsidRPr="00E25C73" w14:paraId="4A5F8DC3" w14:textId="77777777" w:rsidTr="009A7AC2">
        <w:trPr>
          <w:trHeight w:val="340"/>
          <w:jc w:val="center"/>
        </w:trPr>
        <w:tc>
          <w:tcPr>
            <w:tcW w:w="2057" w:type="dxa"/>
            <w:shd w:val="clear" w:color="auto" w:fill="auto"/>
            <w:vAlign w:val="center"/>
          </w:tcPr>
          <w:p w14:paraId="22ACA00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53842E2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p w14:paraId="10EC0A9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07FE9D0E" w14:textId="77777777" w:rsidTr="009A7AC2">
        <w:trPr>
          <w:trHeight w:val="340"/>
          <w:jc w:val="center"/>
        </w:trPr>
        <w:tc>
          <w:tcPr>
            <w:tcW w:w="2057" w:type="dxa"/>
            <w:shd w:val="clear" w:color="auto" w:fill="auto"/>
            <w:vAlign w:val="center"/>
            <w:hideMark/>
          </w:tcPr>
          <w:p w14:paraId="4ECE472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5A8DABA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 a Město Trutnov</w:t>
            </w:r>
          </w:p>
        </w:tc>
      </w:tr>
      <w:tr w:rsidR="00E25C73" w:rsidRPr="00E25C73" w14:paraId="78381EB3" w14:textId="77777777" w:rsidTr="009A7AC2">
        <w:trPr>
          <w:trHeight w:val="340"/>
          <w:jc w:val="center"/>
        </w:trPr>
        <w:tc>
          <w:tcPr>
            <w:tcW w:w="2057" w:type="dxa"/>
            <w:shd w:val="clear" w:color="auto" w:fill="auto"/>
            <w:vAlign w:val="center"/>
            <w:hideMark/>
          </w:tcPr>
          <w:p w14:paraId="4DDBD9D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06409F9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zkvalitnění dopravní infrastruktury na území obce</w:t>
            </w:r>
          </w:p>
        </w:tc>
      </w:tr>
      <w:tr w:rsidR="00E25C73" w:rsidRPr="00E25C73" w14:paraId="395E30DB" w14:textId="77777777" w:rsidTr="009A7AC2">
        <w:trPr>
          <w:trHeight w:val="48"/>
          <w:jc w:val="center"/>
        </w:trPr>
        <w:tc>
          <w:tcPr>
            <w:tcW w:w="2057" w:type="dxa"/>
            <w:shd w:val="clear" w:color="auto" w:fill="auto"/>
            <w:vAlign w:val="center"/>
            <w:hideMark/>
          </w:tcPr>
          <w:p w14:paraId="1BFEC2F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178A8D5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03DD95FC" w14:textId="77777777" w:rsidTr="009A7AC2">
        <w:trPr>
          <w:trHeight w:val="340"/>
          <w:jc w:val="center"/>
        </w:trPr>
        <w:tc>
          <w:tcPr>
            <w:tcW w:w="2057" w:type="dxa"/>
            <w:shd w:val="clear" w:color="auto" w:fill="auto"/>
            <w:vAlign w:val="center"/>
            <w:hideMark/>
          </w:tcPr>
          <w:p w14:paraId="6D85160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25A9F30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30DF0994" w14:textId="77777777" w:rsidTr="009A7AC2">
        <w:trPr>
          <w:trHeight w:val="340"/>
          <w:jc w:val="center"/>
        </w:trPr>
        <w:tc>
          <w:tcPr>
            <w:tcW w:w="2057" w:type="dxa"/>
            <w:shd w:val="clear" w:color="auto" w:fill="auto"/>
            <w:vAlign w:val="center"/>
            <w:hideMark/>
          </w:tcPr>
          <w:p w14:paraId="66CFA5B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4715F82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stovek tis. až jednotek mil. Kč</w:t>
            </w:r>
          </w:p>
        </w:tc>
      </w:tr>
      <w:tr w:rsidR="00E25C73" w:rsidRPr="00E25C73" w14:paraId="2096DCD7" w14:textId="77777777" w:rsidTr="009A7AC2">
        <w:trPr>
          <w:trHeight w:val="340"/>
          <w:jc w:val="center"/>
        </w:trPr>
        <w:tc>
          <w:tcPr>
            <w:tcW w:w="2057" w:type="dxa"/>
            <w:shd w:val="clear" w:color="auto" w:fill="auto"/>
            <w:vAlign w:val="center"/>
            <w:hideMark/>
          </w:tcPr>
          <w:p w14:paraId="777F38D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66B3CA1F"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rozvoje regionů, podprogram Podpora obcí s více než 10 000 obyvateli – DT Podpora obnovy místních komunikací</w:t>
            </w:r>
          </w:p>
          <w:p w14:paraId="1A5DEE9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35E1F958" w14:textId="77777777" w:rsidTr="009A7AC2">
        <w:trPr>
          <w:trHeight w:val="340"/>
          <w:jc w:val="center"/>
        </w:trPr>
        <w:tc>
          <w:tcPr>
            <w:tcW w:w="2057" w:type="dxa"/>
            <w:shd w:val="clear" w:color="auto" w:fill="auto"/>
            <w:vAlign w:val="center"/>
            <w:hideMark/>
          </w:tcPr>
          <w:p w14:paraId="56A2F09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43F5559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3.1.2: Zlepšení dopravní dostupnosti regionů kraje a přeshraniční dostupnosti včetně bezpečnosti dopravy)</w:t>
            </w:r>
          </w:p>
        </w:tc>
      </w:tr>
      <w:tr w:rsidR="00E25C73" w:rsidRPr="00E25C73" w14:paraId="7A2040B2" w14:textId="77777777" w:rsidTr="009A7AC2">
        <w:trPr>
          <w:trHeight w:val="340"/>
          <w:jc w:val="center"/>
        </w:trPr>
        <w:tc>
          <w:tcPr>
            <w:tcW w:w="2057" w:type="dxa"/>
            <w:shd w:val="clear" w:color="auto" w:fill="auto"/>
            <w:vAlign w:val="center"/>
            <w:hideMark/>
          </w:tcPr>
          <w:p w14:paraId="39277D3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3AFC3F9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parcely KN 654, KN 709/2, KN 709/12, KN 709/18 (vše k. ú. Volanov)</w:t>
            </w:r>
          </w:p>
        </w:tc>
      </w:tr>
      <w:tr w:rsidR="00E25C73" w:rsidRPr="00E25C73" w14:paraId="175DC17B" w14:textId="77777777" w:rsidTr="009A7AC2">
        <w:trPr>
          <w:trHeight w:val="340"/>
          <w:jc w:val="center"/>
        </w:trPr>
        <w:tc>
          <w:tcPr>
            <w:tcW w:w="2057" w:type="dxa"/>
            <w:shd w:val="clear" w:color="auto" w:fill="auto"/>
            <w:vAlign w:val="center"/>
            <w:hideMark/>
          </w:tcPr>
          <w:p w14:paraId="425ED96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4BC6740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 stav příjezdové komunikace do lokality Dolníky vyřešit</w:t>
            </w:r>
          </w:p>
        </w:tc>
      </w:tr>
      <w:tr w:rsidR="00E25C73" w:rsidRPr="00E25C73" w14:paraId="60D92A39" w14:textId="77777777" w:rsidTr="009A7AC2">
        <w:trPr>
          <w:trHeight w:val="340"/>
          <w:jc w:val="center"/>
        </w:trPr>
        <w:tc>
          <w:tcPr>
            <w:tcW w:w="2057" w:type="dxa"/>
            <w:shd w:val="clear" w:color="auto" w:fill="auto"/>
            <w:vAlign w:val="center"/>
            <w:hideMark/>
          </w:tcPr>
          <w:p w14:paraId="02D4411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23D2963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města Trutnov ve spolupráci se Zastupitelstvem obce Staré Buky</w:t>
            </w:r>
          </w:p>
        </w:tc>
      </w:tr>
      <w:tr w:rsidR="00E25C73" w:rsidRPr="00E25C73" w14:paraId="49EE51F6" w14:textId="77777777" w:rsidTr="009A7AC2">
        <w:trPr>
          <w:trHeight w:val="340"/>
          <w:jc w:val="center"/>
        </w:trPr>
        <w:tc>
          <w:tcPr>
            <w:tcW w:w="2057" w:type="dxa"/>
            <w:shd w:val="clear" w:color="auto" w:fill="auto"/>
            <w:vAlign w:val="center"/>
            <w:hideMark/>
          </w:tcPr>
          <w:p w14:paraId="0635BBA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566DB60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0323A83C" w14:textId="77777777" w:rsidTr="009A7AC2">
        <w:trPr>
          <w:trHeight w:val="340"/>
          <w:jc w:val="center"/>
        </w:trPr>
        <w:tc>
          <w:tcPr>
            <w:tcW w:w="2057" w:type="dxa"/>
            <w:shd w:val="clear" w:color="auto" w:fill="auto"/>
            <w:vAlign w:val="center"/>
          </w:tcPr>
          <w:p w14:paraId="56CB358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4CD0D90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w:t>
            </w:r>
          </w:p>
        </w:tc>
      </w:tr>
    </w:tbl>
    <w:p w14:paraId="09F9B77A"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4B4FDC74"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4C008735"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 xml:space="preserve">Usilovat o úpravu komunikace v okolí autobusové zastávky </w:t>
            </w:r>
            <w:r w:rsidRPr="00E25C73">
              <w:rPr>
                <w:rFonts w:ascii="Calibri" w:eastAsia="Times New Roman" w:hAnsi="Calibri" w:cs="Calibri"/>
                <w:b/>
                <w:color w:val="000000"/>
                <w:sz w:val="24"/>
                <w:szCs w:val="24"/>
                <w:lang w:eastAsia="cs-CZ"/>
              </w:rPr>
              <w:br/>
              <w:t>„Staré Buky, Horní Staré Buky, točna“</w:t>
            </w:r>
          </w:p>
        </w:tc>
      </w:tr>
      <w:tr w:rsidR="00E25C73" w:rsidRPr="00E25C73" w14:paraId="6259D991" w14:textId="77777777" w:rsidTr="009A7AC2">
        <w:trPr>
          <w:trHeight w:val="340"/>
          <w:jc w:val="center"/>
        </w:trPr>
        <w:tc>
          <w:tcPr>
            <w:tcW w:w="2057" w:type="dxa"/>
            <w:shd w:val="clear" w:color="auto" w:fill="auto"/>
            <w:vAlign w:val="center"/>
            <w:hideMark/>
          </w:tcPr>
          <w:p w14:paraId="51C9216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2C12A53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1338D22B" w14:textId="77777777" w:rsidTr="009A7AC2">
        <w:trPr>
          <w:trHeight w:val="340"/>
          <w:jc w:val="center"/>
        </w:trPr>
        <w:tc>
          <w:tcPr>
            <w:tcW w:w="2057" w:type="dxa"/>
            <w:shd w:val="clear" w:color="auto" w:fill="auto"/>
            <w:vAlign w:val="center"/>
          </w:tcPr>
          <w:p w14:paraId="2BFC89A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1239E72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p w14:paraId="52654C9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09795940" w14:textId="77777777" w:rsidTr="009A7AC2">
        <w:trPr>
          <w:trHeight w:val="340"/>
          <w:jc w:val="center"/>
        </w:trPr>
        <w:tc>
          <w:tcPr>
            <w:tcW w:w="2057" w:type="dxa"/>
            <w:shd w:val="clear" w:color="auto" w:fill="auto"/>
            <w:vAlign w:val="center"/>
            <w:hideMark/>
          </w:tcPr>
          <w:p w14:paraId="05E378C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029CB31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SPÚ</w:t>
            </w:r>
          </w:p>
          <w:p w14:paraId="508E986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soukromí vlastníci, kteří spoluvlastní parcely KN 142 a KN 1696 v k. ú. Horní Staré Buky</w:t>
            </w:r>
          </w:p>
        </w:tc>
      </w:tr>
      <w:tr w:rsidR="00E25C73" w:rsidRPr="00E25C73" w14:paraId="59CB52C9" w14:textId="77777777" w:rsidTr="009A7AC2">
        <w:trPr>
          <w:trHeight w:val="340"/>
          <w:jc w:val="center"/>
        </w:trPr>
        <w:tc>
          <w:tcPr>
            <w:tcW w:w="2057" w:type="dxa"/>
            <w:shd w:val="clear" w:color="auto" w:fill="auto"/>
            <w:vAlign w:val="center"/>
            <w:hideMark/>
          </w:tcPr>
          <w:p w14:paraId="0F61AEB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31785A6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zkvalitnění dopravní infrastruktury na území obce</w:t>
            </w:r>
          </w:p>
          <w:p w14:paraId="7130020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zkvalitnění stavu veřejného prostranství v obci</w:t>
            </w:r>
          </w:p>
        </w:tc>
      </w:tr>
      <w:tr w:rsidR="00E25C73" w:rsidRPr="00E25C73" w14:paraId="59FAE04D" w14:textId="77777777" w:rsidTr="009A7AC2">
        <w:trPr>
          <w:trHeight w:val="48"/>
          <w:jc w:val="center"/>
        </w:trPr>
        <w:tc>
          <w:tcPr>
            <w:tcW w:w="2057" w:type="dxa"/>
            <w:shd w:val="clear" w:color="auto" w:fill="auto"/>
            <w:vAlign w:val="center"/>
            <w:hideMark/>
          </w:tcPr>
          <w:p w14:paraId="6833CD5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2659B17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3DD58194" w14:textId="77777777" w:rsidTr="009A7AC2">
        <w:trPr>
          <w:trHeight w:val="340"/>
          <w:jc w:val="center"/>
        </w:trPr>
        <w:tc>
          <w:tcPr>
            <w:tcW w:w="2057" w:type="dxa"/>
            <w:shd w:val="clear" w:color="auto" w:fill="auto"/>
            <w:vAlign w:val="center"/>
            <w:hideMark/>
          </w:tcPr>
          <w:p w14:paraId="087BC64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0F72AFF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584B9C7B" w14:textId="77777777" w:rsidTr="009A7AC2">
        <w:trPr>
          <w:trHeight w:val="340"/>
          <w:jc w:val="center"/>
        </w:trPr>
        <w:tc>
          <w:tcPr>
            <w:tcW w:w="2057" w:type="dxa"/>
            <w:shd w:val="clear" w:color="auto" w:fill="auto"/>
            <w:vAlign w:val="center"/>
            <w:hideMark/>
          </w:tcPr>
          <w:p w14:paraId="42D8E55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15E39EB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stovek tis. Kč</w:t>
            </w:r>
          </w:p>
        </w:tc>
      </w:tr>
      <w:tr w:rsidR="00E25C73" w:rsidRPr="00E25C73" w14:paraId="2BD94BE2" w14:textId="77777777" w:rsidTr="009A7AC2">
        <w:trPr>
          <w:trHeight w:val="340"/>
          <w:jc w:val="center"/>
        </w:trPr>
        <w:tc>
          <w:tcPr>
            <w:tcW w:w="2057" w:type="dxa"/>
            <w:shd w:val="clear" w:color="auto" w:fill="auto"/>
            <w:vAlign w:val="center"/>
            <w:hideMark/>
          </w:tcPr>
          <w:p w14:paraId="67BEECA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2289B7EF"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rozvoje regionů, podprogram PORV – DT Podpora obnovy místních komunikací či DT Revitalizace veřejných ploch v zastavěném území obce</w:t>
            </w:r>
          </w:p>
          <w:p w14:paraId="1862099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MFČR – program 29823 Podpora rozvoje a obnovy obecní infrastruktury a občanské vybavenosti</w:t>
            </w:r>
          </w:p>
          <w:p w14:paraId="0415CCEE"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5363845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09EF5BEE" w14:textId="77777777" w:rsidTr="009A7AC2">
        <w:trPr>
          <w:trHeight w:val="340"/>
          <w:jc w:val="center"/>
        </w:trPr>
        <w:tc>
          <w:tcPr>
            <w:tcW w:w="2057" w:type="dxa"/>
            <w:shd w:val="clear" w:color="auto" w:fill="auto"/>
            <w:vAlign w:val="center"/>
            <w:hideMark/>
          </w:tcPr>
          <w:p w14:paraId="4A40F91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39A1A979" w14:textId="77777777" w:rsidR="00E25C73" w:rsidRPr="00E25C73" w:rsidRDefault="00E25C73" w:rsidP="00E25C73">
            <w:pPr>
              <w:spacing w:before="60" w:after="60"/>
              <w:jc w:val="both"/>
              <w:rPr>
                <w:rFonts w:ascii="Calibri" w:eastAsia="Calibri" w:hAnsi="Calibri" w:cs="Calibri"/>
                <w:color w:val="000000"/>
                <w:sz w:val="20"/>
                <w:szCs w:val="20"/>
              </w:rPr>
            </w:pPr>
            <w:r w:rsidRPr="00E25C73">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3.1.2: Zlepšení dopravní dostupnosti regionů kraje a přeshraniční dostupnosti včetně bezpečnosti dopravy)</w:t>
            </w:r>
          </w:p>
        </w:tc>
      </w:tr>
      <w:tr w:rsidR="00E25C73" w:rsidRPr="00E25C73" w14:paraId="0D3D2268" w14:textId="77777777" w:rsidTr="009A7AC2">
        <w:trPr>
          <w:trHeight w:val="340"/>
          <w:jc w:val="center"/>
        </w:trPr>
        <w:tc>
          <w:tcPr>
            <w:tcW w:w="2057" w:type="dxa"/>
            <w:shd w:val="clear" w:color="auto" w:fill="auto"/>
            <w:vAlign w:val="center"/>
            <w:hideMark/>
          </w:tcPr>
          <w:p w14:paraId="3EA66C3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1191462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parcely KN 136/2, KN 136/4, KN 142, KN st. 145, KN 183, KN 184, KN 1588/2, KN 1694, KN 1695, KN 1696 (vše v k. ú. Horní Staré Buky)</w:t>
            </w:r>
          </w:p>
        </w:tc>
      </w:tr>
      <w:tr w:rsidR="00E25C73" w:rsidRPr="00E25C73" w14:paraId="0C7A0A03" w14:textId="77777777" w:rsidTr="009A7AC2">
        <w:trPr>
          <w:trHeight w:val="340"/>
          <w:jc w:val="center"/>
        </w:trPr>
        <w:tc>
          <w:tcPr>
            <w:tcW w:w="2057" w:type="dxa"/>
            <w:shd w:val="clear" w:color="auto" w:fill="auto"/>
            <w:vAlign w:val="center"/>
            <w:hideMark/>
          </w:tcPr>
          <w:p w14:paraId="7D5DBA4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0FBF64F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 xml:space="preserve">2025 a dále – do doby, než se podaří úpravu komunikace v okolí autobusové zastávky </w:t>
            </w:r>
          </w:p>
          <w:p w14:paraId="3C90723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„Staré Buky, Horní Staré Buky, točna“ zrealizovat</w:t>
            </w:r>
          </w:p>
        </w:tc>
      </w:tr>
      <w:tr w:rsidR="00E25C73" w:rsidRPr="00E25C73" w14:paraId="086AE07B" w14:textId="77777777" w:rsidTr="009A7AC2">
        <w:trPr>
          <w:trHeight w:val="340"/>
          <w:jc w:val="center"/>
        </w:trPr>
        <w:tc>
          <w:tcPr>
            <w:tcW w:w="2057" w:type="dxa"/>
            <w:shd w:val="clear" w:color="auto" w:fill="auto"/>
            <w:vAlign w:val="center"/>
            <w:hideMark/>
          </w:tcPr>
          <w:p w14:paraId="40DED5C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3FBB1D9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70C21EC6" w14:textId="77777777" w:rsidTr="009A7AC2">
        <w:trPr>
          <w:trHeight w:val="340"/>
          <w:jc w:val="center"/>
        </w:trPr>
        <w:tc>
          <w:tcPr>
            <w:tcW w:w="2057" w:type="dxa"/>
            <w:shd w:val="clear" w:color="auto" w:fill="auto"/>
            <w:vAlign w:val="center"/>
            <w:hideMark/>
          </w:tcPr>
          <w:p w14:paraId="0732921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3A1C750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3CAB1BE8" w14:textId="77777777" w:rsidTr="009A7AC2">
        <w:trPr>
          <w:trHeight w:val="340"/>
          <w:jc w:val="center"/>
        </w:trPr>
        <w:tc>
          <w:tcPr>
            <w:tcW w:w="2057" w:type="dxa"/>
            <w:shd w:val="clear" w:color="auto" w:fill="auto"/>
            <w:vAlign w:val="center"/>
          </w:tcPr>
          <w:p w14:paraId="6223899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086242D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w:t>
            </w:r>
          </w:p>
        </w:tc>
      </w:tr>
    </w:tbl>
    <w:p w14:paraId="0B5A590B"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15CE4285"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2416B298"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Podle potřeby řešit opravu dalších místních a účelových komunikací</w:t>
            </w:r>
          </w:p>
        </w:tc>
      </w:tr>
      <w:tr w:rsidR="00E25C73" w:rsidRPr="00E25C73" w14:paraId="0739B3C8" w14:textId="77777777" w:rsidTr="009A7AC2">
        <w:trPr>
          <w:trHeight w:val="340"/>
          <w:jc w:val="center"/>
        </w:trPr>
        <w:tc>
          <w:tcPr>
            <w:tcW w:w="2057" w:type="dxa"/>
            <w:shd w:val="clear" w:color="auto" w:fill="auto"/>
            <w:vAlign w:val="center"/>
            <w:hideMark/>
          </w:tcPr>
          <w:p w14:paraId="24DA9ED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720D671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6A0ECEE2" w14:textId="77777777" w:rsidTr="009A7AC2">
        <w:trPr>
          <w:trHeight w:val="340"/>
          <w:jc w:val="center"/>
        </w:trPr>
        <w:tc>
          <w:tcPr>
            <w:tcW w:w="2057" w:type="dxa"/>
            <w:shd w:val="clear" w:color="auto" w:fill="auto"/>
            <w:vAlign w:val="center"/>
          </w:tcPr>
          <w:p w14:paraId="4BB2B70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22246A4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453A5A9E" w14:textId="77777777" w:rsidTr="009A7AC2">
        <w:trPr>
          <w:trHeight w:val="340"/>
          <w:jc w:val="center"/>
        </w:trPr>
        <w:tc>
          <w:tcPr>
            <w:tcW w:w="2057" w:type="dxa"/>
            <w:shd w:val="clear" w:color="auto" w:fill="auto"/>
            <w:vAlign w:val="center"/>
            <w:hideMark/>
          </w:tcPr>
          <w:p w14:paraId="552395C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5136FAA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MMR, MFČR, KHK kraj</w:t>
            </w:r>
          </w:p>
        </w:tc>
      </w:tr>
      <w:tr w:rsidR="00E25C73" w:rsidRPr="00E25C73" w14:paraId="2842CA4C" w14:textId="77777777" w:rsidTr="009A7AC2">
        <w:trPr>
          <w:trHeight w:val="340"/>
          <w:jc w:val="center"/>
        </w:trPr>
        <w:tc>
          <w:tcPr>
            <w:tcW w:w="2057" w:type="dxa"/>
            <w:shd w:val="clear" w:color="auto" w:fill="auto"/>
            <w:vAlign w:val="center"/>
            <w:hideMark/>
          </w:tcPr>
          <w:p w14:paraId="6AB32E9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770F7D3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zkvalitnění dopravní infrastruktury na území obce</w:t>
            </w:r>
          </w:p>
        </w:tc>
      </w:tr>
      <w:tr w:rsidR="00E25C73" w:rsidRPr="00E25C73" w14:paraId="6D540BA7" w14:textId="77777777" w:rsidTr="009A7AC2">
        <w:trPr>
          <w:trHeight w:val="48"/>
          <w:jc w:val="center"/>
        </w:trPr>
        <w:tc>
          <w:tcPr>
            <w:tcW w:w="2057" w:type="dxa"/>
            <w:shd w:val="clear" w:color="auto" w:fill="auto"/>
            <w:vAlign w:val="center"/>
            <w:hideMark/>
          </w:tcPr>
          <w:p w14:paraId="2557851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2998FDF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4F210767" w14:textId="77777777" w:rsidTr="009A7AC2">
        <w:trPr>
          <w:trHeight w:val="340"/>
          <w:jc w:val="center"/>
        </w:trPr>
        <w:tc>
          <w:tcPr>
            <w:tcW w:w="2057" w:type="dxa"/>
            <w:shd w:val="clear" w:color="auto" w:fill="auto"/>
            <w:vAlign w:val="center"/>
            <w:hideMark/>
          </w:tcPr>
          <w:p w14:paraId="4C4FE97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30BC9EB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34EE1AEA" w14:textId="77777777" w:rsidTr="009A7AC2">
        <w:trPr>
          <w:trHeight w:val="340"/>
          <w:jc w:val="center"/>
        </w:trPr>
        <w:tc>
          <w:tcPr>
            <w:tcW w:w="2057" w:type="dxa"/>
            <w:shd w:val="clear" w:color="auto" w:fill="auto"/>
            <w:vAlign w:val="center"/>
            <w:hideMark/>
          </w:tcPr>
          <w:p w14:paraId="4125D41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6346F9E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stovek tis. Kč až jednotek mil. Kč/komunikace</w:t>
            </w:r>
          </w:p>
        </w:tc>
      </w:tr>
      <w:tr w:rsidR="00E25C73" w:rsidRPr="00E25C73" w14:paraId="6A280634" w14:textId="77777777" w:rsidTr="009A7AC2">
        <w:trPr>
          <w:trHeight w:val="340"/>
          <w:jc w:val="center"/>
        </w:trPr>
        <w:tc>
          <w:tcPr>
            <w:tcW w:w="2057" w:type="dxa"/>
            <w:shd w:val="clear" w:color="auto" w:fill="auto"/>
            <w:vAlign w:val="center"/>
            <w:hideMark/>
          </w:tcPr>
          <w:p w14:paraId="2D8B507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549B77D7"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rozvoje regionů, podprogram PORV – DT Podpora obnovy místních komunikací či DT Revitalizace veřejných ploch v zastavěném území obce</w:t>
            </w:r>
          </w:p>
          <w:p w14:paraId="6B51684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MFČR – program 29823 Podpora rozvoje a obnovy obecní infrastruktury a občanské vybavenosti</w:t>
            </w:r>
          </w:p>
          <w:p w14:paraId="2D1AE262"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7B6B9B0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66C5CF67" w14:textId="77777777" w:rsidTr="009A7AC2">
        <w:trPr>
          <w:trHeight w:val="340"/>
          <w:jc w:val="center"/>
        </w:trPr>
        <w:tc>
          <w:tcPr>
            <w:tcW w:w="2057" w:type="dxa"/>
            <w:shd w:val="clear" w:color="auto" w:fill="auto"/>
            <w:vAlign w:val="center"/>
            <w:hideMark/>
          </w:tcPr>
          <w:p w14:paraId="1C82F9F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67BD5DD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3.1.2: Zlepšení dopravní dostupnosti regionů kraje a přeshraniční dostupnosti včetně bezpečnosti dopravy)</w:t>
            </w:r>
          </w:p>
        </w:tc>
      </w:tr>
      <w:tr w:rsidR="00E25C73" w:rsidRPr="00E25C73" w14:paraId="3CA5531A" w14:textId="77777777" w:rsidTr="009A7AC2">
        <w:trPr>
          <w:trHeight w:val="340"/>
          <w:jc w:val="center"/>
        </w:trPr>
        <w:tc>
          <w:tcPr>
            <w:tcW w:w="2057" w:type="dxa"/>
            <w:shd w:val="clear" w:color="auto" w:fill="auto"/>
            <w:vAlign w:val="center"/>
            <w:hideMark/>
          </w:tcPr>
          <w:p w14:paraId="4DB29B8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58046BB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území obce Staré Buky</w:t>
            </w:r>
          </w:p>
        </w:tc>
      </w:tr>
      <w:tr w:rsidR="00E25C73" w:rsidRPr="00E25C73" w14:paraId="04487219" w14:textId="77777777" w:rsidTr="009A7AC2">
        <w:trPr>
          <w:trHeight w:val="340"/>
          <w:jc w:val="center"/>
        </w:trPr>
        <w:tc>
          <w:tcPr>
            <w:tcW w:w="2057" w:type="dxa"/>
            <w:shd w:val="clear" w:color="auto" w:fill="auto"/>
            <w:vAlign w:val="center"/>
            <w:hideMark/>
          </w:tcPr>
          <w:p w14:paraId="2D71DD7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04491F7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průběžné po celé programové období</w:t>
            </w:r>
          </w:p>
        </w:tc>
      </w:tr>
      <w:tr w:rsidR="00E25C73" w:rsidRPr="00E25C73" w14:paraId="4466EBA0" w14:textId="77777777" w:rsidTr="009A7AC2">
        <w:trPr>
          <w:trHeight w:val="340"/>
          <w:jc w:val="center"/>
        </w:trPr>
        <w:tc>
          <w:tcPr>
            <w:tcW w:w="2057" w:type="dxa"/>
            <w:shd w:val="clear" w:color="auto" w:fill="auto"/>
            <w:vAlign w:val="center"/>
            <w:hideMark/>
          </w:tcPr>
          <w:p w14:paraId="6A4DCB1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457569C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48894431" w14:textId="77777777" w:rsidTr="009A7AC2">
        <w:trPr>
          <w:trHeight w:val="340"/>
          <w:jc w:val="center"/>
        </w:trPr>
        <w:tc>
          <w:tcPr>
            <w:tcW w:w="2057" w:type="dxa"/>
            <w:shd w:val="clear" w:color="auto" w:fill="auto"/>
            <w:vAlign w:val="center"/>
            <w:hideMark/>
          </w:tcPr>
          <w:p w14:paraId="3B6A432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769EE37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3B8B655B" w14:textId="77777777" w:rsidTr="009A7AC2">
        <w:trPr>
          <w:trHeight w:val="340"/>
          <w:jc w:val="center"/>
        </w:trPr>
        <w:tc>
          <w:tcPr>
            <w:tcW w:w="2057" w:type="dxa"/>
            <w:shd w:val="clear" w:color="auto" w:fill="auto"/>
            <w:vAlign w:val="center"/>
          </w:tcPr>
          <w:p w14:paraId="5509DE4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76A1E2E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w:t>
            </w:r>
          </w:p>
        </w:tc>
      </w:tr>
    </w:tbl>
    <w:p w14:paraId="6DBC2401"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4CC2CB0B"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65BE334C"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Usilovat o opravu mostu v Dolních Starých Bukách</w:t>
            </w:r>
          </w:p>
        </w:tc>
      </w:tr>
      <w:tr w:rsidR="00E25C73" w:rsidRPr="00E25C73" w14:paraId="70797BB0" w14:textId="77777777" w:rsidTr="009A7AC2">
        <w:trPr>
          <w:trHeight w:val="340"/>
          <w:jc w:val="center"/>
        </w:trPr>
        <w:tc>
          <w:tcPr>
            <w:tcW w:w="2057" w:type="dxa"/>
            <w:shd w:val="clear" w:color="auto" w:fill="auto"/>
            <w:vAlign w:val="center"/>
            <w:hideMark/>
          </w:tcPr>
          <w:p w14:paraId="67F4361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1ECB188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SS KHK</w:t>
            </w:r>
          </w:p>
        </w:tc>
      </w:tr>
      <w:tr w:rsidR="00E25C73" w:rsidRPr="00E25C73" w14:paraId="6D599503" w14:textId="77777777" w:rsidTr="009A7AC2">
        <w:trPr>
          <w:trHeight w:val="340"/>
          <w:jc w:val="center"/>
        </w:trPr>
        <w:tc>
          <w:tcPr>
            <w:tcW w:w="2057" w:type="dxa"/>
            <w:shd w:val="clear" w:color="auto" w:fill="auto"/>
            <w:vAlign w:val="center"/>
          </w:tcPr>
          <w:p w14:paraId="7F8AFE0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1241475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tc>
      </w:tr>
      <w:tr w:rsidR="00E25C73" w:rsidRPr="00E25C73" w14:paraId="0D8EB9FB" w14:textId="77777777" w:rsidTr="009A7AC2">
        <w:trPr>
          <w:trHeight w:val="340"/>
          <w:jc w:val="center"/>
        </w:trPr>
        <w:tc>
          <w:tcPr>
            <w:tcW w:w="2057" w:type="dxa"/>
            <w:shd w:val="clear" w:color="auto" w:fill="auto"/>
            <w:vAlign w:val="center"/>
            <w:hideMark/>
          </w:tcPr>
          <w:p w14:paraId="20B682D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14C6113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 KHK kraj</w:t>
            </w:r>
          </w:p>
        </w:tc>
      </w:tr>
      <w:tr w:rsidR="00E25C73" w:rsidRPr="00E25C73" w14:paraId="39731BFA" w14:textId="77777777" w:rsidTr="009A7AC2">
        <w:trPr>
          <w:trHeight w:val="340"/>
          <w:jc w:val="center"/>
        </w:trPr>
        <w:tc>
          <w:tcPr>
            <w:tcW w:w="2057" w:type="dxa"/>
            <w:shd w:val="clear" w:color="auto" w:fill="auto"/>
            <w:vAlign w:val="center"/>
            <w:hideMark/>
          </w:tcPr>
          <w:p w14:paraId="37818D9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0022285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zajištění odpovídajícího stavu mostu na hlavní příjezdové komunikaci do obce</w:t>
            </w:r>
          </w:p>
        </w:tc>
      </w:tr>
      <w:tr w:rsidR="00E25C73" w:rsidRPr="00E25C73" w14:paraId="1CCA69B7" w14:textId="77777777" w:rsidTr="009A7AC2">
        <w:trPr>
          <w:trHeight w:val="48"/>
          <w:jc w:val="center"/>
        </w:trPr>
        <w:tc>
          <w:tcPr>
            <w:tcW w:w="2057" w:type="dxa"/>
            <w:shd w:val="clear" w:color="auto" w:fill="auto"/>
            <w:vAlign w:val="center"/>
            <w:hideMark/>
          </w:tcPr>
          <w:p w14:paraId="1005156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2E12A82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1D201921" w14:textId="77777777" w:rsidTr="009A7AC2">
        <w:trPr>
          <w:trHeight w:val="340"/>
          <w:jc w:val="center"/>
        </w:trPr>
        <w:tc>
          <w:tcPr>
            <w:tcW w:w="2057" w:type="dxa"/>
            <w:shd w:val="clear" w:color="auto" w:fill="auto"/>
            <w:vAlign w:val="center"/>
            <w:hideMark/>
          </w:tcPr>
          <w:p w14:paraId="1C46612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53090C0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vysoká</w:t>
            </w:r>
          </w:p>
        </w:tc>
      </w:tr>
      <w:tr w:rsidR="00E25C73" w:rsidRPr="00E25C73" w14:paraId="0EC5FCB9" w14:textId="77777777" w:rsidTr="009A7AC2">
        <w:trPr>
          <w:trHeight w:val="340"/>
          <w:jc w:val="center"/>
        </w:trPr>
        <w:tc>
          <w:tcPr>
            <w:tcW w:w="2057" w:type="dxa"/>
            <w:shd w:val="clear" w:color="auto" w:fill="auto"/>
            <w:vAlign w:val="center"/>
            <w:hideMark/>
          </w:tcPr>
          <w:p w14:paraId="7370C89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48CD807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mil. Kč</w:t>
            </w:r>
          </w:p>
        </w:tc>
      </w:tr>
      <w:tr w:rsidR="00E25C73" w:rsidRPr="00E25C73" w14:paraId="7055AEB1" w14:textId="77777777" w:rsidTr="009A7AC2">
        <w:trPr>
          <w:trHeight w:val="340"/>
          <w:jc w:val="center"/>
        </w:trPr>
        <w:tc>
          <w:tcPr>
            <w:tcW w:w="2057" w:type="dxa"/>
            <w:shd w:val="clear" w:color="auto" w:fill="auto"/>
            <w:vAlign w:val="center"/>
            <w:hideMark/>
          </w:tcPr>
          <w:p w14:paraId="5C7CEE1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3FC7D57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zdroje SS KHK</w:t>
            </w:r>
          </w:p>
        </w:tc>
      </w:tr>
      <w:tr w:rsidR="00E25C73" w:rsidRPr="00E25C73" w14:paraId="5950B914" w14:textId="77777777" w:rsidTr="009A7AC2">
        <w:trPr>
          <w:trHeight w:val="340"/>
          <w:jc w:val="center"/>
        </w:trPr>
        <w:tc>
          <w:tcPr>
            <w:tcW w:w="2057" w:type="dxa"/>
            <w:shd w:val="clear" w:color="auto" w:fill="auto"/>
            <w:vAlign w:val="center"/>
            <w:hideMark/>
          </w:tcPr>
          <w:p w14:paraId="221BA26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19331F9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3.1.2: Zlepšení dopravní dostupnosti regionů kraje a přeshraniční dostupnosti včetně bezpečnosti dopravy)</w:t>
            </w:r>
          </w:p>
        </w:tc>
      </w:tr>
      <w:tr w:rsidR="00E25C73" w:rsidRPr="00E25C73" w14:paraId="4BC4185C" w14:textId="77777777" w:rsidTr="009A7AC2">
        <w:trPr>
          <w:trHeight w:val="340"/>
          <w:jc w:val="center"/>
        </w:trPr>
        <w:tc>
          <w:tcPr>
            <w:tcW w:w="2057" w:type="dxa"/>
            <w:shd w:val="clear" w:color="auto" w:fill="auto"/>
            <w:vAlign w:val="center"/>
            <w:hideMark/>
          </w:tcPr>
          <w:p w14:paraId="08D9157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0B18A6C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parcely KN 1361, KN 1366, KN 1369 (vše v k. ú. Pilníkov III)</w:t>
            </w:r>
          </w:p>
        </w:tc>
      </w:tr>
      <w:tr w:rsidR="00E25C73" w:rsidRPr="00E25C73" w14:paraId="1D2974D6" w14:textId="77777777" w:rsidTr="009A7AC2">
        <w:trPr>
          <w:trHeight w:val="340"/>
          <w:jc w:val="center"/>
        </w:trPr>
        <w:tc>
          <w:tcPr>
            <w:tcW w:w="2057" w:type="dxa"/>
            <w:shd w:val="clear" w:color="auto" w:fill="auto"/>
            <w:vAlign w:val="center"/>
            <w:hideMark/>
          </w:tcPr>
          <w:p w14:paraId="3CE74E0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10A821E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 opravu mostu v Dolních Starých Bukách vyřešit</w:t>
            </w:r>
          </w:p>
        </w:tc>
      </w:tr>
      <w:tr w:rsidR="00E25C73" w:rsidRPr="00E25C73" w14:paraId="22666398" w14:textId="77777777" w:rsidTr="009A7AC2">
        <w:trPr>
          <w:trHeight w:val="340"/>
          <w:jc w:val="center"/>
        </w:trPr>
        <w:tc>
          <w:tcPr>
            <w:tcW w:w="2057" w:type="dxa"/>
            <w:shd w:val="clear" w:color="auto" w:fill="auto"/>
            <w:vAlign w:val="center"/>
            <w:hideMark/>
          </w:tcPr>
          <w:p w14:paraId="5A73E80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2B98DD1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SS KHK</w:t>
            </w:r>
          </w:p>
        </w:tc>
      </w:tr>
      <w:tr w:rsidR="00E25C73" w:rsidRPr="00E25C73" w14:paraId="6F9BCF58" w14:textId="77777777" w:rsidTr="009A7AC2">
        <w:trPr>
          <w:trHeight w:val="340"/>
          <w:jc w:val="center"/>
        </w:trPr>
        <w:tc>
          <w:tcPr>
            <w:tcW w:w="2057" w:type="dxa"/>
            <w:shd w:val="clear" w:color="auto" w:fill="auto"/>
            <w:vAlign w:val="center"/>
            <w:hideMark/>
          </w:tcPr>
          <w:p w14:paraId="4D07867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34BDC78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746433BF" w14:textId="77777777" w:rsidTr="009A7AC2">
        <w:trPr>
          <w:trHeight w:val="340"/>
          <w:jc w:val="center"/>
        </w:trPr>
        <w:tc>
          <w:tcPr>
            <w:tcW w:w="2057" w:type="dxa"/>
            <w:shd w:val="clear" w:color="auto" w:fill="auto"/>
            <w:vAlign w:val="center"/>
          </w:tcPr>
          <w:p w14:paraId="476E4C3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6D6FC84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w:t>
            </w:r>
          </w:p>
        </w:tc>
      </w:tr>
    </w:tbl>
    <w:p w14:paraId="4322174E"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1FB1D29C"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0DE4DAFD"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Zahájit jednání s vlastníky komunikací u tzv. „Holandských domků“</w:t>
            </w:r>
          </w:p>
        </w:tc>
      </w:tr>
      <w:tr w:rsidR="00E25C73" w:rsidRPr="00E25C73" w14:paraId="7F161940" w14:textId="77777777" w:rsidTr="009A7AC2">
        <w:trPr>
          <w:trHeight w:val="340"/>
          <w:jc w:val="center"/>
        </w:trPr>
        <w:tc>
          <w:tcPr>
            <w:tcW w:w="2057" w:type="dxa"/>
            <w:shd w:val="clear" w:color="auto" w:fill="auto"/>
            <w:vAlign w:val="center"/>
            <w:hideMark/>
          </w:tcPr>
          <w:p w14:paraId="03E9751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2E3D41E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57349D00" w14:textId="77777777" w:rsidTr="009A7AC2">
        <w:trPr>
          <w:trHeight w:val="340"/>
          <w:jc w:val="center"/>
        </w:trPr>
        <w:tc>
          <w:tcPr>
            <w:tcW w:w="2057" w:type="dxa"/>
            <w:shd w:val="clear" w:color="auto" w:fill="auto"/>
            <w:vAlign w:val="center"/>
          </w:tcPr>
          <w:p w14:paraId="0DD3A06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0ABCE4C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p w14:paraId="0BA1BF4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32A0CC85" w14:textId="77777777" w:rsidTr="009A7AC2">
        <w:trPr>
          <w:trHeight w:val="340"/>
          <w:jc w:val="center"/>
        </w:trPr>
        <w:tc>
          <w:tcPr>
            <w:tcW w:w="2057" w:type="dxa"/>
            <w:shd w:val="clear" w:color="auto" w:fill="auto"/>
            <w:vAlign w:val="center"/>
            <w:hideMark/>
          </w:tcPr>
          <w:p w14:paraId="1877F36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4CC1673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vlastníci komunikací u tzv. „Holandských domků“</w:t>
            </w:r>
          </w:p>
        </w:tc>
      </w:tr>
      <w:tr w:rsidR="00E25C73" w:rsidRPr="00E25C73" w14:paraId="54589C5F" w14:textId="77777777" w:rsidTr="009A7AC2">
        <w:trPr>
          <w:trHeight w:val="340"/>
          <w:jc w:val="center"/>
        </w:trPr>
        <w:tc>
          <w:tcPr>
            <w:tcW w:w="2057" w:type="dxa"/>
            <w:shd w:val="clear" w:color="auto" w:fill="auto"/>
            <w:vAlign w:val="center"/>
            <w:hideMark/>
          </w:tcPr>
          <w:p w14:paraId="5DD2DE9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7DB2EDC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řešení problému souvisejícího s ničením obecní komunikace náplavami štěrku</w:t>
            </w:r>
          </w:p>
        </w:tc>
      </w:tr>
      <w:tr w:rsidR="00E25C73" w:rsidRPr="00E25C73" w14:paraId="550DA0D9" w14:textId="77777777" w:rsidTr="009A7AC2">
        <w:trPr>
          <w:trHeight w:val="48"/>
          <w:jc w:val="center"/>
        </w:trPr>
        <w:tc>
          <w:tcPr>
            <w:tcW w:w="2057" w:type="dxa"/>
            <w:shd w:val="clear" w:color="auto" w:fill="auto"/>
            <w:vAlign w:val="center"/>
            <w:hideMark/>
          </w:tcPr>
          <w:p w14:paraId="6673C17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01D149E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 i neinvestiční</w:t>
            </w:r>
          </w:p>
        </w:tc>
      </w:tr>
      <w:tr w:rsidR="00E25C73" w:rsidRPr="00E25C73" w14:paraId="4B144FBF" w14:textId="77777777" w:rsidTr="009A7AC2">
        <w:trPr>
          <w:trHeight w:val="340"/>
          <w:jc w:val="center"/>
        </w:trPr>
        <w:tc>
          <w:tcPr>
            <w:tcW w:w="2057" w:type="dxa"/>
            <w:shd w:val="clear" w:color="auto" w:fill="auto"/>
            <w:vAlign w:val="center"/>
            <w:hideMark/>
          </w:tcPr>
          <w:p w14:paraId="06E094E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70BE2EB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nízká</w:t>
            </w:r>
          </w:p>
        </w:tc>
      </w:tr>
      <w:tr w:rsidR="00E25C73" w:rsidRPr="00E25C73" w14:paraId="3F08A166" w14:textId="77777777" w:rsidTr="009A7AC2">
        <w:trPr>
          <w:trHeight w:val="340"/>
          <w:jc w:val="center"/>
        </w:trPr>
        <w:tc>
          <w:tcPr>
            <w:tcW w:w="2057" w:type="dxa"/>
            <w:shd w:val="clear" w:color="auto" w:fill="auto"/>
            <w:vAlign w:val="center"/>
            <w:hideMark/>
          </w:tcPr>
          <w:p w14:paraId="65441DB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0133D7D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samotná jednání – zanedbatelné náklady</w:t>
            </w:r>
          </w:p>
          <w:p w14:paraId="3CEBD9A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případný převod do vlastnictví obce – náklady se budou odvíjet od dohody obce s vlastníky</w:t>
            </w:r>
          </w:p>
        </w:tc>
      </w:tr>
      <w:tr w:rsidR="00E25C73" w:rsidRPr="00E25C73" w14:paraId="47E82537" w14:textId="77777777" w:rsidTr="009A7AC2">
        <w:trPr>
          <w:trHeight w:val="340"/>
          <w:jc w:val="center"/>
        </w:trPr>
        <w:tc>
          <w:tcPr>
            <w:tcW w:w="2057" w:type="dxa"/>
            <w:shd w:val="clear" w:color="auto" w:fill="auto"/>
            <w:vAlign w:val="center"/>
            <w:hideMark/>
          </w:tcPr>
          <w:p w14:paraId="492495E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1B98971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2F356574" w14:textId="77777777" w:rsidTr="009A7AC2">
        <w:trPr>
          <w:trHeight w:val="340"/>
          <w:jc w:val="center"/>
        </w:trPr>
        <w:tc>
          <w:tcPr>
            <w:tcW w:w="2057" w:type="dxa"/>
            <w:shd w:val="clear" w:color="auto" w:fill="auto"/>
            <w:vAlign w:val="center"/>
            <w:hideMark/>
          </w:tcPr>
          <w:p w14:paraId="2FE8981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0920179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bez vazby na strategické dokumenty</w:t>
            </w:r>
          </w:p>
        </w:tc>
      </w:tr>
      <w:tr w:rsidR="00E25C73" w:rsidRPr="00E25C73" w14:paraId="7E562854" w14:textId="77777777" w:rsidTr="009A7AC2">
        <w:trPr>
          <w:trHeight w:val="340"/>
          <w:jc w:val="center"/>
        </w:trPr>
        <w:tc>
          <w:tcPr>
            <w:tcW w:w="2057" w:type="dxa"/>
            <w:shd w:val="clear" w:color="auto" w:fill="auto"/>
            <w:vAlign w:val="center"/>
            <w:hideMark/>
          </w:tcPr>
          <w:p w14:paraId="2E81E11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47A41F6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lokalita u tzv. „Holandských domků“</w:t>
            </w:r>
          </w:p>
        </w:tc>
      </w:tr>
      <w:tr w:rsidR="00E25C73" w:rsidRPr="00E25C73" w14:paraId="2BC5FF20" w14:textId="77777777" w:rsidTr="009A7AC2">
        <w:trPr>
          <w:trHeight w:val="340"/>
          <w:jc w:val="center"/>
        </w:trPr>
        <w:tc>
          <w:tcPr>
            <w:tcW w:w="2057" w:type="dxa"/>
            <w:shd w:val="clear" w:color="auto" w:fill="auto"/>
            <w:vAlign w:val="center"/>
            <w:hideMark/>
          </w:tcPr>
          <w:p w14:paraId="4A56244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65BA010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 určité dohody dosáhnout</w:t>
            </w:r>
          </w:p>
        </w:tc>
      </w:tr>
      <w:tr w:rsidR="00E25C73" w:rsidRPr="00E25C73" w14:paraId="7AE5B3CA" w14:textId="77777777" w:rsidTr="009A7AC2">
        <w:trPr>
          <w:trHeight w:val="340"/>
          <w:jc w:val="center"/>
        </w:trPr>
        <w:tc>
          <w:tcPr>
            <w:tcW w:w="2057" w:type="dxa"/>
            <w:shd w:val="clear" w:color="auto" w:fill="auto"/>
            <w:vAlign w:val="center"/>
            <w:hideMark/>
          </w:tcPr>
          <w:p w14:paraId="65D92E1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57C9FC6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2401701C" w14:textId="77777777" w:rsidTr="009A7AC2">
        <w:trPr>
          <w:trHeight w:val="340"/>
          <w:jc w:val="center"/>
        </w:trPr>
        <w:tc>
          <w:tcPr>
            <w:tcW w:w="2057" w:type="dxa"/>
            <w:shd w:val="clear" w:color="auto" w:fill="auto"/>
            <w:vAlign w:val="center"/>
            <w:hideMark/>
          </w:tcPr>
          <w:p w14:paraId="592F568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081836F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6B78C66D" w14:textId="77777777" w:rsidTr="009A7AC2">
        <w:trPr>
          <w:trHeight w:val="340"/>
          <w:jc w:val="center"/>
        </w:trPr>
        <w:tc>
          <w:tcPr>
            <w:tcW w:w="2057" w:type="dxa"/>
            <w:shd w:val="clear" w:color="auto" w:fill="auto"/>
            <w:vAlign w:val="center"/>
          </w:tcPr>
          <w:p w14:paraId="6636957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5712133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w:t>
            </w:r>
          </w:p>
        </w:tc>
      </w:tr>
    </w:tbl>
    <w:p w14:paraId="13613771"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5FD7A19C"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139896A3"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Řešit přístupovou komunikaci ke Kostelu sv. Anny</w:t>
            </w:r>
          </w:p>
        </w:tc>
      </w:tr>
      <w:tr w:rsidR="00E25C73" w:rsidRPr="00E25C73" w14:paraId="41E0D4F7" w14:textId="77777777" w:rsidTr="009A7AC2">
        <w:trPr>
          <w:trHeight w:val="340"/>
          <w:jc w:val="center"/>
        </w:trPr>
        <w:tc>
          <w:tcPr>
            <w:tcW w:w="2057" w:type="dxa"/>
            <w:shd w:val="clear" w:color="auto" w:fill="auto"/>
            <w:vAlign w:val="center"/>
            <w:hideMark/>
          </w:tcPr>
          <w:p w14:paraId="6E5FD8E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6E11F49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65360771" w14:textId="77777777" w:rsidTr="009A7AC2">
        <w:trPr>
          <w:trHeight w:val="340"/>
          <w:jc w:val="center"/>
        </w:trPr>
        <w:tc>
          <w:tcPr>
            <w:tcW w:w="2057" w:type="dxa"/>
            <w:shd w:val="clear" w:color="auto" w:fill="auto"/>
            <w:vAlign w:val="center"/>
          </w:tcPr>
          <w:p w14:paraId="6956E3A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4568EC1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7EDD528C" w14:textId="77777777" w:rsidTr="009A7AC2">
        <w:trPr>
          <w:trHeight w:val="340"/>
          <w:jc w:val="center"/>
        </w:trPr>
        <w:tc>
          <w:tcPr>
            <w:tcW w:w="2057" w:type="dxa"/>
            <w:shd w:val="clear" w:color="auto" w:fill="auto"/>
            <w:vAlign w:val="center"/>
            <w:hideMark/>
          </w:tcPr>
          <w:p w14:paraId="64C8792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79DBC33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MFČR, KHK kraj</w:t>
            </w:r>
          </w:p>
        </w:tc>
      </w:tr>
      <w:tr w:rsidR="00E25C73" w:rsidRPr="00E25C73" w14:paraId="1C7CA73D" w14:textId="77777777" w:rsidTr="009A7AC2">
        <w:trPr>
          <w:trHeight w:val="340"/>
          <w:jc w:val="center"/>
        </w:trPr>
        <w:tc>
          <w:tcPr>
            <w:tcW w:w="2057" w:type="dxa"/>
            <w:shd w:val="clear" w:color="auto" w:fill="auto"/>
            <w:vAlign w:val="center"/>
            <w:hideMark/>
          </w:tcPr>
          <w:p w14:paraId="0BB4B3F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2E69660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existence optimální přístupové komunikace pro motorová vozidla vedoucí ke Kostelu sv. Anny</w:t>
            </w:r>
          </w:p>
        </w:tc>
      </w:tr>
      <w:tr w:rsidR="00E25C73" w:rsidRPr="00E25C73" w14:paraId="00DB6586" w14:textId="77777777" w:rsidTr="009A7AC2">
        <w:trPr>
          <w:trHeight w:val="48"/>
          <w:jc w:val="center"/>
        </w:trPr>
        <w:tc>
          <w:tcPr>
            <w:tcW w:w="2057" w:type="dxa"/>
            <w:shd w:val="clear" w:color="auto" w:fill="auto"/>
            <w:vAlign w:val="center"/>
            <w:hideMark/>
          </w:tcPr>
          <w:p w14:paraId="7528909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303F20D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5BE3421E" w14:textId="77777777" w:rsidTr="009A7AC2">
        <w:trPr>
          <w:trHeight w:val="340"/>
          <w:jc w:val="center"/>
        </w:trPr>
        <w:tc>
          <w:tcPr>
            <w:tcW w:w="2057" w:type="dxa"/>
            <w:shd w:val="clear" w:color="auto" w:fill="auto"/>
            <w:vAlign w:val="center"/>
            <w:hideMark/>
          </w:tcPr>
          <w:p w14:paraId="7BD2667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51B3056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251CFAC3" w14:textId="77777777" w:rsidTr="009A7AC2">
        <w:trPr>
          <w:trHeight w:val="340"/>
          <w:jc w:val="center"/>
        </w:trPr>
        <w:tc>
          <w:tcPr>
            <w:tcW w:w="2057" w:type="dxa"/>
            <w:shd w:val="clear" w:color="auto" w:fill="auto"/>
            <w:vAlign w:val="center"/>
            <w:hideMark/>
          </w:tcPr>
          <w:p w14:paraId="386C62D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3118F28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mil. Kč</w:t>
            </w:r>
          </w:p>
        </w:tc>
      </w:tr>
      <w:tr w:rsidR="00E25C73" w:rsidRPr="00E25C73" w14:paraId="16058461" w14:textId="77777777" w:rsidTr="009A7AC2">
        <w:trPr>
          <w:trHeight w:val="340"/>
          <w:jc w:val="center"/>
        </w:trPr>
        <w:tc>
          <w:tcPr>
            <w:tcW w:w="2057" w:type="dxa"/>
            <w:shd w:val="clear" w:color="auto" w:fill="auto"/>
            <w:vAlign w:val="center"/>
            <w:hideMark/>
          </w:tcPr>
          <w:p w14:paraId="63CCDCE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4542C65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MFČR – program 29823 Podpora rozvoje a obnovy obecní infrastruktury a občanské vybavenosti</w:t>
            </w:r>
          </w:p>
          <w:p w14:paraId="2DBF8ADD"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283F0DE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7AF261C0" w14:textId="77777777" w:rsidTr="009A7AC2">
        <w:trPr>
          <w:trHeight w:val="340"/>
          <w:jc w:val="center"/>
        </w:trPr>
        <w:tc>
          <w:tcPr>
            <w:tcW w:w="2057" w:type="dxa"/>
            <w:shd w:val="clear" w:color="auto" w:fill="auto"/>
            <w:vAlign w:val="center"/>
            <w:hideMark/>
          </w:tcPr>
          <w:p w14:paraId="6CB443D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5A9AAD2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3.1.2: Zlepšení dopravní dostupnosti regionů kraje a přeshraniční dostupnosti včetně bezpečnosti dopravy)</w:t>
            </w:r>
          </w:p>
        </w:tc>
      </w:tr>
      <w:tr w:rsidR="00E25C73" w:rsidRPr="00E25C73" w14:paraId="087E67C5" w14:textId="77777777" w:rsidTr="009A7AC2">
        <w:trPr>
          <w:trHeight w:val="340"/>
          <w:jc w:val="center"/>
        </w:trPr>
        <w:tc>
          <w:tcPr>
            <w:tcW w:w="2057" w:type="dxa"/>
            <w:shd w:val="clear" w:color="auto" w:fill="auto"/>
            <w:vAlign w:val="center"/>
            <w:hideMark/>
          </w:tcPr>
          <w:p w14:paraId="3F9CEAC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01E6A61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 xml:space="preserve">parcely KN 35/2, KN  281/1, KN  281/2, </w:t>
            </w:r>
            <w:r w:rsidRPr="00E25C73">
              <w:rPr>
                <w:rFonts w:ascii="Calibri" w:eastAsia="Calibri" w:hAnsi="Calibri" w:cs="Times New Roman"/>
                <w:sz w:val="20"/>
                <w:szCs w:val="20"/>
              </w:rPr>
              <w:t xml:space="preserve">KN 1184 (vše k. ú. Dolní Staré Buky) a parcely </w:t>
            </w:r>
            <w:r w:rsidRPr="00E25C73">
              <w:rPr>
                <w:rFonts w:ascii="Calibri" w:eastAsia="Times New Roman" w:hAnsi="Calibri" w:cs="Calibri"/>
                <w:color w:val="000000"/>
                <w:sz w:val="20"/>
                <w:szCs w:val="20"/>
                <w:lang w:eastAsia="cs-CZ"/>
              </w:rPr>
              <w:t xml:space="preserve">KN 1028, </w:t>
            </w:r>
            <w:r w:rsidRPr="00E25C73">
              <w:rPr>
                <w:rFonts w:ascii="Calibri" w:eastAsia="Calibri" w:hAnsi="Calibri" w:cs="Times New Roman"/>
                <w:sz w:val="20"/>
                <w:szCs w:val="20"/>
              </w:rPr>
              <w:t>KN 2389 a KN 2390 (vše k. ú. Prostřední Staré Buky)</w:t>
            </w:r>
          </w:p>
        </w:tc>
      </w:tr>
      <w:tr w:rsidR="00E25C73" w:rsidRPr="00E25C73" w14:paraId="3026927A" w14:textId="77777777" w:rsidTr="009A7AC2">
        <w:trPr>
          <w:trHeight w:val="340"/>
          <w:jc w:val="center"/>
        </w:trPr>
        <w:tc>
          <w:tcPr>
            <w:tcW w:w="2057" w:type="dxa"/>
            <w:shd w:val="clear" w:color="auto" w:fill="auto"/>
            <w:vAlign w:val="center"/>
            <w:hideMark/>
          </w:tcPr>
          <w:p w14:paraId="745FB8D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17443EB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w:t>
            </w:r>
            <w:r w:rsidRPr="00E25C73">
              <w:rPr>
                <w:rFonts w:ascii="Calibri" w:eastAsia="Calibri" w:hAnsi="Calibri" w:cs="Times New Roman"/>
              </w:rPr>
              <w:t xml:space="preserve"> </w:t>
            </w:r>
            <w:r w:rsidRPr="00E25C73">
              <w:rPr>
                <w:rFonts w:ascii="Calibri" w:eastAsia="Times New Roman" w:hAnsi="Calibri" w:cs="Calibri"/>
                <w:color w:val="000000"/>
                <w:sz w:val="20"/>
                <w:szCs w:val="20"/>
                <w:lang w:eastAsia="cs-CZ"/>
              </w:rPr>
              <w:t>přístupovou komunikaci pro motorová vozidla vedoucí ke Kostelu sv. Anny zrealizovat</w:t>
            </w:r>
          </w:p>
        </w:tc>
      </w:tr>
      <w:tr w:rsidR="00E25C73" w:rsidRPr="00E25C73" w14:paraId="64036CAA" w14:textId="77777777" w:rsidTr="009A7AC2">
        <w:trPr>
          <w:trHeight w:val="340"/>
          <w:jc w:val="center"/>
        </w:trPr>
        <w:tc>
          <w:tcPr>
            <w:tcW w:w="2057" w:type="dxa"/>
            <w:shd w:val="clear" w:color="auto" w:fill="auto"/>
            <w:vAlign w:val="center"/>
            <w:hideMark/>
          </w:tcPr>
          <w:p w14:paraId="52CE1B4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47FA2FA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39A6252A" w14:textId="77777777" w:rsidTr="009A7AC2">
        <w:trPr>
          <w:trHeight w:val="340"/>
          <w:jc w:val="center"/>
        </w:trPr>
        <w:tc>
          <w:tcPr>
            <w:tcW w:w="2057" w:type="dxa"/>
            <w:shd w:val="clear" w:color="auto" w:fill="auto"/>
            <w:vAlign w:val="center"/>
            <w:hideMark/>
          </w:tcPr>
          <w:p w14:paraId="726CA2C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4CAD912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652ACA1A" w14:textId="77777777" w:rsidTr="009A7AC2">
        <w:trPr>
          <w:trHeight w:val="340"/>
          <w:jc w:val="center"/>
        </w:trPr>
        <w:tc>
          <w:tcPr>
            <w:tcW w:w="2057" w:type="dxa"/>
            <w:shd w:val="clear" w:color="auto" w:fill="auto"/>
            <w:vAlign w:val="center"/>
          </w:tcPr>
          <w:p w14:paraId="35EC853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4DC04BD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w:t>
            </w:r>
          </w:p>
        </w:tc>
      </w:tr>
    </w:tbl>
    <w:p w14:paraId="35983478"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43BA7833"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2B219E16"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Usilovat o propojení Dolníků a Prostředních Starých Buků komunikací</w:t>
            </w:r>
          </w:p>
        </w:tc>
      </w:tr>
      <w:tr w:rsidR="00E25C73" w:rsidRPr="00E25C73" w14:paraId="428549A3" w14:textId="77777777" w:rsidTr="009A7AC2">
        <w:trPr>
          <w:trHeight w:val="340"/>
          <w:jc w:val="center"/>
        </w:trPr>
        <w:tc>
          <w:tcPr>
            <w:tcW w:w="2057" w:type="dxa"/>
            <w:shd w:val="clear" w:color="auto" w:fill="auto"/>
            <w:vAlign w:val="center"/>
            <w:hideMark/>
          </w:tcPr>
          <w:p w14:paraId="63A21DE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5D6338C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45141794" w14:textId="77777777" w:rsidTr="009A7AC2">
        <w:trPr>
          <w:trHeight w:val="340"/>
          <w:jc w:val="center"/>
        </w:trPr>
        <w:tc>
          <w:tcPr>
            <w:tcW w:w="2057" w:type="dxa"/>
            <w:shd w:val="clear" w:color="auto" w:fill="auto"/>
            <w:vAlign w:val="center"/>
          </w:tcPr>
          <w:p w14:paraId="0E66BFE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16DD5BB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1F2ECF20" w14:textId="77777777" w:rsidTr="009A7AC2">
        <w:trPr>
          <w:trHeight w:val="340"/>
          <w:jc w:val="center"/>
        </w:trPr>
        <w:tc>
          <w:tcPr>
            <w:tcW w:w="2057" w:type="dxa"/>
            <w:shd w:val="clear" w:color="auto" w:fill="auto"/>
            <w:vAlign w:val="center"/>
            <w:hideMark/>
          </w:tcPr>
          <w:p w14:paraId="2ED9670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65523E5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MFČR, KHK kraj</w:t>
            </w:r>
          </w:p>
        </w:tc>
      </w:tr>
      <w:tr w:rsidR="00E25C73" w:rsidRPr="00E25C73" w14:paraId="70F17DFA" w14:textId="77777777" w:rsidTr="009A7AC2">
        <w:trPr>
          <w:trHeight w:val="340"/>
          <w:jc w:val="center"/>
        </w:trPr>
        <w:tc>
          <w:tcPr>
            <w:tcW w:w="2057" w:type="dxa"/>
            <w:shd w:val="clear" w:color="auto" w:fill="auto"/>
            <w:vAlign w:val="center"/>
            <w:hideMark/>
          </w:tcPr>
          <w:p w14:paraId="61CCBC9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066BCF0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zajištění lepšího propojení centra obce s Dolníky pro potřeby motorových vozidel</w:t>
            </w:r>
          </w:p>
        </w:tc>
      </w:tr>
      <w:tr w:rsidR="00E25C73" w:rsidRPr="00E25C73" w14:paraId="7A40860C" w14:textId="77777777" w:rsidTr="009A7AC2">
        <w:trPr>
          <w:trHeight w:val="48"/>
          <w:jc w:val="center"/>
        </w:trPr>
        <w:tc>
          <w:tcPr>
            <w:tcW w:w="2057" w:type="dxa"/>
            <w:shd w:val="clear" w:color="auto" w:fill="auto"/>
            <w:vAlign w:val="center"/>
            <w:hideMark/>
          </w:tcPr>
          <w:p w14:paraId="7B7AE27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344FF39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0D36726B" w14:textId="77777777" w:rsidTr="009A7AC2">
        <w:trPr>
          <w:trHeight w:val="340"/>
          <w:jc w:val="center"/>
        </w:trPr>
        <w:tc>
          <w:tcPr>
            <w:tcW w:w="2057" w:type="dxa"/>
            <w:shd w:val="clear" w:color="auto" w:fill="auto"/>
            <w:vAlign w:val="center"/>
            <w:hideMark/>
          </w:tcPr>
          <w:p w14:paraId="1863824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3C89CAD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0BBCC66C" w14:textId="77777777" w:rsidTr="009A7AC2">
        <w:trPr>
          <w:trHeight w:val="340"/>
          <w:jc w:val="center"/>
        </w:trPr>
        <w:tc>
          <w:tcPr>
            <w:tcW w:w="2057" w:type="dxa"/>
            <w:shd w:val="clear" w:color="auto" w:fill="auto"/>
            <w:vAlign w:val="center"/>
            <w:hideMark/>
          </w:tcPr>
          <w:p w14:paraId="7CD0391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5B2A95A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mil. Kč</w:t>
            </w:r>
          </w:p>
        </w:tc>
      </w:tr>
      <w:tr w:rsidR="00E25C73" w:rsidRPr="00E25C73" w14:paraId="0DA7A87C" w14:textId="77777777" w:rsidTr="009A7AC2">
        <w:trPr>
          <w:trHeight w:val="340"/>
          <w:jc w:val="center"/>
        </w:trPr>
        <w:tc>
          <w:tcPr>
            <w:tcW w:w="2057" w:type="dxa"/>
            <w:shd w:val="clear" w:color="auto" w:fill="auto"/>
            <w:vAlign w:val="center"/>
            <w:hideMark/>
          </w:tcPr>
          <w:p w14:paraId="6414D60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0E63BE9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MFČR – program 29823 Podpora rozvoje a obnovy obecní infrastruktury a občanské vybavenosti</w:t>
            </w:r>
          </w:p>
          <w:p w14:paraId="23942803"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05CFBD8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4E666BE0" w14:textId="77777777" w:rsidTr="009A7AC2">
        <w:trPr>
          <w:trHeight w:val="340"/>
          <w:jc w:val="center"/>
        </w:trPr>
        <w:tc>
          <w:tcPr>
            <w:tcW w:w="2057" w:type="dxa"/>
            <w:shd w:val="clear" w:color="auto" w:fill="auto"/>
            <w:vAlign w:val="center"/>
            <w:hideMark/>
          </w:tcPr>
          <w:p w14:paraId="73F763D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74BE94F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3.1.2: Zlepšení dopravní dostupnosti regionů kraje a přeshraniční dostupnosti včetně bezpečnosti dopravy)</w:t>
            </w:r>
          </w:p>
        </w:tc>
      </w:tr>
      <w:tr w:rsidR="00E25C73" w:rsidRPr="00E25C73" w14:paraId="7EDDC0CF" w14:textId="77777777" w:rsidTr="009A7AC2">
        <w:trPr>
          <w:trHeight w:val="340"/>
          <w:jc w:val="center"/>
        </w:trPr>
        <w:tc>
          <w:tcPr>
            <w:tcW w:w="2057" w:type="dxa"/>
            <w:shd w:val="clear" w:color="auto" w:fill="auto"/>
            <w:vAlign w:val="center"/>
            <w:hideMark/>
          </w:tcPr>
          <w:p w14:paraId="4A45529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607EE32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parcela KN 1855 (k. ú. Prostřední Staré Buky) a parcela KN 1634/1 (k. ú. Horní Staré Buky)</w:t>
            </w:r>
          </w:p>
        </w:tc>
      </w:tr>
      <w:tr w:rsidR="00E25C73" w:rsidRPr="00E25C73" w14:paraId="17215372" w14:textId="77777777" w:rsidTr="009A7AC2">
        <w:trPr>
          <w:trHeight w:val="340"/>
          <w:jc w:val="center"/>
        </w:trPr>
        <w:tc>
          <w:tcPr>
            <w:tcW w:w="2057" w:type="dxa"/>
            <w:shd w:val="clear" w:color="auto" w:fill="auto"/>
            <w:vAlign w:val="center"/>
            <w:hideMark/>
          </w:tcPr>
          <w:p w14:paraId="1C3ABD6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14803FE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w:t>
            </w:r>
            <w:r w:rsidRPr="00E25C73">
              <w:rPr>
                <w:rFonts w:ascii="Calibri" w:eastAsia="Calibri" w:hAnsi="Calibri" w:cs="Times New Roman"/>
              </w:rPr>
              <w:t xml:space="preserve"> </w:t>
            </w:r>
            <w:r w:rsidRPr="00E25C73">
              <w:rPr>
                <w:rFonts w:ascii="Calibri" w:eastAsia="Times New Roman" w:hAnsi="Calibri" w:cs="Calibri"/>
                <w:color w:val="000000"/>
                <w:sz w:val="20"/>
                <w:szCs w:val="20"/>
                <w:lang w:eastAsia="cs-CZ"/>
              </w:rPr>
              <w:t>propojení Dolníků a Prostředních Starých Buků komunikací vhodnou pro motorová vozidla</w:t>
            </w:r>
          </w:p>
        </w:tc>
      </w:tr>
      <w:tr w:rsidR="00E25C73" w:rsidRPr="00E25C73" w14:paraId="3900625F" w14:textId="77777777" w:rsidTr="009A7AC2">
        <w:trPr>
          <w:trHeight w:val="340"/>
          <w:jc w:val="center"/>
        </w:trPr>
        <w:tc>
          <w:tcPr>
            <w:tcW w:w="2057" w:type="dxa"/>
            <w:shd w:val="clear" w:color="auto" w:fill="auto"/>
            <w:vAlign w:val="center"/>
            <w:hideMark/>
          </w:tcPr>
          <w:p w14:paraId="748B08E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4E1E44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308AC5D6" w14:textId="77777777" w:rsidTr="009A7AC2">
        <w:trPr>
          <w:trHeight w:val="340"/>
          <w:jc w:val="center"/>
        </w:trPr>
        <w:tc>
          <w:tcPr>
            <w:tcW w:w="2057" w:type="dxa"/>
            <w:shd w:val="clear" w:color="auto" w:fill="auto"/>
            <w:vAlign w:val="center"/>
            <w:hideMark/>
          </w:tcPr>
          <w:p w14:paraId="5ECAAEC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209FE11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3F4BD34A" w14:textId="77777777" w:rsidTr="009A7AC2">
        <w:trPr>
          <w:trHeight w:val="340"/>
          <w:jc w:val="center"/>
        </w:trPr>
        <w:tc>
          <w:tcPr>
            <w:tcW w:w="2057" w:type="dxa"/>
            <w:shd w:val="clear" w:color="auto" w:fill="auto"/>
            <w:vAlign w:val="center"/>
          </w:tcPr>
          <w:p w14:paraId="56D4691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2DD0D36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w:t>
            </w:r>
          </w:p>
        </w:tc>
      </w:tr>
    </w:tbl>
    <w:p w14:paraId="5AF59DCA"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45FAC345"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1BB33B68"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Usilovat o zvýšení množství bezpečnostních prvků v obci</w:t>
            </w:r>
          </w:p>
        </w:tc>
      </w:tr>
      <w:tr w:rsidR="00E25C73" w:rsidRPr="00E25C73" w14:paraId="49C2F5E6" w14:textId="77777777" w:rsidTr="009A7AC2">
        <w:trPr>
          <w:trHeight w:val="340"/>
          <w:jc w:val="center"/>
        </w:trPr>
        <w:tc>
          <w:tcPr>
            <w:tcW w:w="2057" w:type="dxa"/>
            <w:shd w:val="clear" w:color="auto" w:fill="auto"/>
            <w:vAlign w:val="center"/>
            <w:hideMark/>
          </w:tcPr>
          <w:p w14:paraId="40221AA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7764C09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p w14:paraId="6F3E72B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SS KHK</w:t>
            </w:r>
          </w:p>
        </w:tc>
      </w:tr>
      <w:tr w:rsidR="00E25C73" w:rsidRPr="00E25C73" w14:paraId="106771CA" w14:textId="77777777" w:rsidTr="009A7AC2">
        <w:trPr>
          <w:trHeight w:val="340"/>
          <w:jc w:val="center"/>
        </w:trPr>
        <w:tc>
          <w:tcPr>
            <w:tcW w:w="2057" w:type="dxa"/>
            <w:shd w:val="clear" w:color="auto" w:fill="auto"/>
            <w:vAlign w:val="center"/>
          </w:tcPr>
          <w:p w14:paraId="57604D4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2482472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p w14:paraId="34F0AE9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102319C2" w14:textId="77777777" w:rsidTr="009A7AC2">
        <w:trPr>
          <w:trHeight w:val="340"/>
          <w:jc w:val="center"/>
        </w:trPr>
        <w:tc>
          <w:tcPr>
            <w:tcW w:w="2057" w:type="dxa"/>
            <w:shd w:val="clear" w:color="auto" w:fill="auto"/>
            <w:vAlign w:val="center"/>
            <w:hideMark/>
          </w:tcPr>
          <w:p w14:paraId="6B85011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6886A2D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KHK kraj, ORP Trutnov, Policie ČR</w:t>
            </w:r>
          </w:p>
        </w:tc>
      </w:tr>
      <w:tr w:rsidR="00E25C73" w:rsidRPr="00E25C73" w14:paraId="5C5FD812" w14:textId="77777777" w:rsidTr="009A7AC2">
        <w:trPr>
          <w:trHeight w:val="340"/>
          <w:jc w:val="center"/>
        </w:trPr>
        <w:tc>
          <w:tcPr>
            <w:tcW w:w="2057" w:type="dxa"/>
            <w:shd w:val="clear" w:color="auto" w:fill="auto"/>
            <w:vAlign w:val="center"/>
            <w:hideMark/>
          </w:tcPr>
          <w:p w14:paraId="2D9FEBA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6B20977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zvýšení bezpečnosti ve vybraných dopravních úsecích</w:t>
            </w:r>
          </w:p>
        </w:tc>
      </w:tr>
      <w:tr w:rsidR="00E25C73" w:rsidRPr="00E25C73" w14:paraId="56112108" w14:textId="77777777" w:rsidTr="009A7AC2">
        <w:trPr>
          <w:trHeight w:val="48"/>
          <w:jc w:val="center"/>
        </w:trPr>
        <w:tc>
          <w:tcPr>
            <w:tcW w:w="2057" w:type="dxa"/>
            <w:shd w:val="clear" w:color="auto" w:fill="auto"/>
            <w:vAlign w:val="center"/>
            <w:hideMark/>
          </w:tcPr>
          <w:p w14:paraId="63F0FF9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2F89D73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 i neinvestiční</w:t>
            </w:r>
          </w:p>
        </w:tc>
      </w:tr>
      <w:tr w:rsidR="00E25C73" w:rsidRPr="00E25C73" w14:paraId="641184CB" w14:textId="77777777" w:rsidTr="009A7AC2">
        <w:trPr>
          <w:trHeight w:val="340"/>
          <w:jc w:val="center"/>
        </w:trPr>
        <w:tc>
          <w:tcPr>
            <w:tcW w:w="2057" w:type="dxa"/>
            <w:shd w:val="clear" w:color="auto" w:fill="auto"/>
            <w:vAlign w:val="center"/>
            <w:hideMark/>
          </w:tcPr>
          <w:p w14:paraId="6A2D0C8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5D46114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51CFEA5E" w14:textId="77777777" w:rsidTr="009A7AC2">
        <w:trPr>
          <w:trHeight w:val="340"/>
          <w:jc w:val="center"/>
        </w:trPr>
        <w:tc>
          <w:tcPr>
            <w:tcW w:w="2057" w:type="dxa"/>
            <w:shd w:val="clear" w:color="auto" w:fill="auto"/>
            <w:vAlign w:val="center"/>
            <w:hideMark/>
          </w:tcPr>
          <w:p w14:paraId="0F203BD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62A43D4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desítek tis. Kč</w:t>
            </w:r>
          </w:p>
        </w:tc>
      </w:tr>
      <w:tr w:rsidR="00E25C73" w:rsidRPr="00E25C73" w14:paraId="341F0C87" w14:textId="77777777" w:rsidTr="009A7AC2">
        <w:trPr>
          <w:trHeight w:val="340"/>
          <w:jc w:val="center"/>
        </w:trPr>
        <w:tc>
          <w:tcPr>
            <w:tcW w:w="2057" w:type="dxa"/>
            <w:shd w:val="clear" w:color="auto" w:fill="auto"/>
            <w:vAlign w:val="center"/>
            <w:hideMark/>
          </w:tcPr>
          <w:p w14:paraId="305EF19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4567E93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prostředky SS KHK</w:t>
            </w:r>
          </w:p>
          <w:p w14:paraId="3E6B441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76BF792D" w14:textId="77777777" w:rsidTr="009A7AC2">
        <w:trPr>
          <w:trHeight w:val="340"/>
          <w:jc w:val="center"/>
        </w:trPr>
        <w:tc>
          <w:tcPr>
            <w:tcW w:w="2057" w:type="dxa"/>
            <w:shd w:val="clear" w:color="auto" w:fill="auto"/>
            <w:vAlign w:val="center"/>
            <w:hideMark/>
          </w:tcPr>
          <w:p w14:paraId="2630746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2BEE79B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3.1.2: Zlepšení dopravní dostupnosti regionů kraje a přeshraniční dostupnosti včetně bezpečnosti dopravy)</w:t>
            </w:r>
          </w:p>
        </w:tc>
      </w:tr>
      <w:tr w:rsidR="00E25C73" w:rsidRPr="00E25C73" w14:paraId="317F96B5" w14:textId="77777777" w:rsidTr="009A7AC2">
        <w:trPr>
          <w:trHeight w:val="340"/>
          <w:jc w:val="center"/>
        </w:trPr>
        <w:tc>
          <w:tcPr>
            <w:tcW w:w="2057" w:type="dxa"/>
            <w:shd w:val="clear" w:color="auto" w:fill="auto"/>
            <w:vAlign w:val="center"/>
            <w:hideMark/>
          </w:tcPr>
          <w:p w14:paraId="2A98B98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4012EFA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území obce Staré Buky</w:t>
            </w:r>
          </w:p>
        </w:tc>
      </w:tr>
      <w:tr w:rsidR="00E25C73" w:rsidRPr="00E25C73" w14:paraId="6E017A6C" w14:textId="77777777" w:rsidTr="009A7AC2">
        <w:trPr>
          <w:trHeight w:val="340"/>
          <w:jc w:val="center"/>
        </w:trPr>
        <w:tc>
          <w:tcPr>
            <w:tcW w:w="2057" w:type="dxa"/>
            <w:shd w:val="clear" w:color="auto" w:fill="auto"/>
            <w:vAlign w:val="center"/>
            <w:hideMark/>
          </w:tcPr>
          <w:p w14:paraId="06C55F7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5CEC3D8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14B25823" w14:textId="77777777" w:rsidTr="009A7AC2">
        <w:trPr>
          <w:trHeight w:val="340"/>
          <w:jc w:val="center"/>
        </w:trPr>
        <w:tc>
          <w:tcPr>
            <w:tcW w:w="2057" w:type="dxa"/>
            <w:shd w:val="clear" w:color="auto" w:fill="auto"/>
            <w:vAlign w:val="center"/>
            <w:hideMark/>
          </w:tcPr>
          <w:p w14:paraId="49C2704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435A352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ORP Trutnov</w:t>
            </w:r>
          </w:p>
          <w:p w14:paraId="76B4E49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SS KHK</w:t>
            </w:r>
          </w:p>
        </w:tc>
      </w:tr>
      <w:tr w:rsidR="00E25C73" w:rsidRPr="00E25C73" w14:paraId="4DAFB884" w14:textId="77777777" w:rsidTr="009A7AC2">
        <w:trPr>
          <w:trHeight w:val="340"/>
          <w:jc w:val="center"/>
        </w:trPr>
        <w:tc>
          <w:tcPr>
            <w:tcW w:w="2057" w:type="dxa"/>
            <w:shd w:val="clear" w:color="auto" w:fill="auto"/>
            <w:vAlign w:val="center"/>
            <w:hideMark/>
          </w:tcPr>
          <w:p w14:paraId="18EC041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3166BEB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28442E00" w14:textId="77777777" w:rsidTr="009A7AC2">
        <w:trPr>
          <w:trHeight w:val="340"/>
          <w:jc w:val="center"/>
        </w:trPr>
        <w:tc>
          <w:tcPr>
            <w:tcW w:w="2057" w:type="dxa"/>
            <w:shd w:val="clear" w:color="auto" w:fill="auto"/>
            <w:vAlign w:val="center"/>
          </w:tcPr>
          <w:p w14:paraId="69467CB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502B4D6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w:t>
            </w:r>
          </w:p>
        </w:tc>
      </w:tr>
    </w:tbl>
    <w:p w14:paraId="5AA56C79"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6F99FB49"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173F39D2"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Vybudovat chodník v žádoucích místech v centru obce</w:t>
            </w:r>
          </w:p>
        </w:tc>
      </w:tr>
      <w:tr w:rsidR="00E25C73" w:rsidRPr="00E25C73" w14:paraId="3CDAA736" w14:textId="77777777" w:rsidTr="009A7AC2">
        <w:trPr>
          <w:trHeight w:val="340"/>
          <w:jc w:val="center"/>
        </w:trPr>
        <w:tc>
          <w:tcPr>
            <w:tcW w:w="2057" w:type="dxa"/>
            <w:shd w:val="clear" w:color="auto" w:fill="auto"/>
            <w:vAlign w:val="center"/>
            <w:hideMark/>
          </w:tcPr>
          <w:p w14:paraId="014A231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1431281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6038E037" w14:textId="77777777" w:rsidTr="009A7AC2">
        <w:trPr>
          <w:trHeight w:val="340"/>
          <w:jc w:val="center"/>
        </w:trPr>
        <w:tc>
          <w:tcPr>
            <w:tcW w:w="2057" w:type="dxa"/>
            <w:shd w:val="clear" w:color="auto" w:fill="auto"/>
            <w:vAlign w:val="center"/>
          </w:tcPr>
          <w:p w14:paraId="2B4D86D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583ABB8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6BB3BE7F" w14:textId="77777777" w:rsidTr="009A7AC2">
        <w:trPr>
          <w:trHeight w:val="340"/>
          <w:jc w:val="center"/>
        </w:trPr>
        <w:tc>
          <w:tcPr>
            <w:tcW w:w="2057" w:type="dxa"/>
            <w:shd w:val="clear" w:color="auto" w:fill="auto"/>
            <w:vAlign w:val="center"/>
            <w:hideMark/>
          </w:tcPr>
          <w:p w14:paraId="00FE845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3F278F5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MMR, MD, MFČR, KHK kraj</w:t>
            </w:r>
          </w:p>
        </w:tc>
      </w:tr>
      <w:tr w:rsidR="00E25C73" w:rsidRPr="00E25C73" w14:paraId="0E760912" w14:textId="77777777" w:rsidTr="009A7AC2">
        <w:trPr>
          <w:trHeight w:val="340"/>
          <w:jc w:val="center"/>
        </w:trPr>
        <w:tc>
          <w:tcPr>
            <w:tcW w:w="2057" w:type="dxa"/>
            <w:shd w:val="clear" w:color="auto" w:fill="auto"/>
            <w:vAlign w:val="center"/>
            <w:hideMark/>
          </w:tcPr>
          <w:p w14:paraId="69A0000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3A2DE9F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zvýšení bezpečnosti chodců</w:t>
            </w:r>
          </w:p>
        </w:tc>
      </w:tr>
      <w:tr w:rsidR="00E25C73" w:rsidRPr="00E25C73" w14:paraId="02E7346C" w14:textId="77777777" w:rsidTr="009A7AC2">
        <w:trPr>
          <w:trHeight w:val="48"/>
          <w:jc w:val="center"/>
        </w:trPr>
        <w:tc>
          <w:tcPr>
            <w:tcW w:w="2057" w:type="dxa"/>
            <w:shd w:val="clear" w:color="auto" w:fill="auto"/>
            <w:vAlign w:val="center"/>
            <w:hideMark/>
          </w:tcPr>
          <w:p w14:paraId="6146A49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6E24553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2E033EB9" w14:textId="77777777" w:rsidTr="009A7AC2">
        <w:trPr>
          <w:trHeight w:val="340"/>
          <w:jc w:val="center"/>
        </w:trPr>
        <w:tc>
          <w:tcPr>
            <w:tcW w:w="2057" w:type="dxa"/>
            <w:shd w:val="clear" w:color="auto" w:fill="auto"/>
            <w:vAlign w:val="center"/>
            <w:hideMark/>
          </w:tcPr>
          <w:p w14:paraId="7AD2C15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024F0F1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vysoká</w:t>
            </w:r>
          </w:p>
        </w:tc>
      </w:tr>
      <w:tr w:rsidR="00E25C73" w:rsidRPr="00E25C73" w14:paraId="409FB8FB" w14:textId="77777777" w:rsidTr="009A7AC2">
        <w:trPr>
          <w:trHeight w:val="340"/>
          <w:jc w:val="center"/>
        </w:trPr>
        <w:tc>
          <w:tcPr>
            <w:tcW w:w="2057" w:type="dxa"/>
            <w:shd w:val="clear" w:color="auto" w:fill="auto"/>
            <w:vAlign w:val="center"/>
            <w:hideMark/>
          </w:tcPr>
          <w:p w14:paraId="4D8A16B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4596AE0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mil. Kč</w:t>
            </w:r>
          </w:p>
        </w:tc>
      </w:tr>
      <w:tr w:rsidR="00E25C73" w:rsidRPr="00E25C73" w14:paraId="7857E0E0" w14:textId="77777777" w:rsidTr="009A7AC2">
        <w:trPr>
          <w:trHeight w:val="340"/>
          <w:jc w:val="center"/>
        </w:trPr>
        <w:tc>
          <w:tcPr>
            <w:tcW w:w="2057" w:type="dxa"/>
            <w:shd w:val="clear" w:color="auto" w:fill="auto"/>
            <w:vAlign w:val="center"/>
            <w:hideMark/>
          </w:tcPr>
          <w:p w14:paraId="4A885EF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6CB0AF4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EU – IROP 2021-2027</w:t>
            </w:r>
          </w:p>
          <w:p w14:paraId="5142214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SFDI – program Zvyšování bezpečnosti, bezbariérové úpravy chodníků</w:t>
            </w:r>
          </w:p>
          <w:p w14:paraId="7104320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MFČR – program 29823 Podpora rozvoje a obnovy obecní infrastruktury a občanské vybavenosti</w:t>
            </w:r>
          </w:p>
          <w:p w14:paraId="49012DE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4D4C049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5AA9AAC9" w14:textId="77777777" w:rsidTr="009A7AC2">
        <w:trPr>
          <w:trHeight w:val="340"/>
          <w:jc w:val="center"/>
        </w:trPr>
        <w:tc>
          <w:tcPr>
            <w:tcW w:w="2057" w:type="dxa"/>
            <w:shd w:val="clear" w:color="auto" w:fill="auto"/>
            <w:vAlign w:val="center"/>
            <w:hideMark/>
          </w:tcPr>
          <w:p w14:paraId="5E5AE60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6037E06D" w14:textId="77777777" w:rsidR="00E25C73" w:rsidRPr="00E25C73" w:rsidRDefault="00E25C73" w:rsidP="00E25C73">
            <w:pPr>
              <w:spacing w:before="60" w:after="60" w:line="259" w:lineRule="auto"/>
              <w:jc w:val="both"/>
              <w:rPr>
                <w:rFonts w:ascii="Calibri" w:eastAsia="Calibri" w:hAnsi="Calibri" w:cs="Calibri"/>
                <w:color w:val="000000"/>
                <w:sz w:val="20"/>
                <w:szCs w:val="20"/>
              </w:rPr>
            </w:pPr>
            <w:r w:rsidRPr="00E25C73">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3.1.2: Zlepšení dopravní dostupnosti regionů kraje a přeshraniční dostupnosti včetně bezpečnosti dopravy)</w:t>
            </w:r>
          </w:p>
        </w:tc>
      </w:tr>
      <w:tr w:rsidR="00E25C73" w:rsidRPr="00E25C73" w14:paraId="40AAE2CC" w14:textId="77777777" w:rsidTr="009A7AC2">
        <w:trPr>
          <w:trHeight w:val="340"/>
          <w:jc w:val="center"/>
        </w:trPr>
        <w:tc>
          <w:tcPr>
            <w:tcW w:w="2057" w:type="dxa"/>
            <w:shd w:val="clear" w:color="auto" w:fill="auto"/>
            <w:vAlign w:val="center"/>
            <w:hideMark/>
          </w:tcPr>
          <w:p w14:paraId="3A09BE2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22D0D5E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úsek od budovy s č. p. 85 po areál nacházející se v okolí zámečku</w:t>
            </w:r>
          </w:p>
        </w:tc>
      </w:tr>
      <w:tr w:rsidR="00E25C73" w:rsidRPr="00E25C73" w14:paraId="0CB302A3" w14:textId="77777777" w:rsidTr="009A7AC2">
        <w:trPr>
          <w:trHeight w:val="340"/>
          <w:jc w:val="center"/>
        </w:trPr>
        <w:tc>
          <w:tcPr>
            <w:tcW w:w="2057" w:type="dxa"/>
            <w:shd w:val="clear" w:color="auto" w:fill="auto"/>
            <w:vAlign w:val="center"/>
            <w:hideMark/>
          </w:tcPr>
          <w:p w14:paraId="76CB8AD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7999648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 chodník v žádoucích místech v centru obce vybudovat</w:t>
            </w:r>
          </w:p>
        </w:tc>
      </w:tr>
      <w:tr w:rsidR="00E25C73" w:rsidRPr="00E25C73" w14:paraId="5FD921FB" w14:textId="77777777" w:rsidTr="009A7AC2">
        <w:trPr>
          <w:trHeight w:val="340"/>
          <w:jc w:val="center"/>
        </w:trPr>
        <w:tc>
          <w:tcPr>
            <w:tcW w:w="2057" w:type="dxa"/>
            <w:shd w:val="clear" w:color="auto" w:fill="auto"/>
            <w:vAlign w:val="center"/>
            <w:hideMark/>
          </w:tcPr>
          <w:p w14:paraId="4A78EE7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C6167D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4E9B662B" w14:textId="77777777" w:rsidTr="009A7AC2">
        <w:trPr>
          <w:trHeight w:val="340"/>
          <w:jc w:val="center"/>
        </w:trPr>
        <w:tc>
          <w:tcPr>
            <w:tcW w:w="2057" w:type="dxa"/>
            <w:shd w:val="clear" w:color="auto" w:fill="auto"/>
            <w:vAlign w:val="center"/>
            <w:hideMark/>
          </w:tcPr>
          <w:p w14:paraId="27F97E9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297A299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zpracována studie proveditelnosti</w:t>
            </w:r>
          </w:p>
        </w:tc>
      </w:tr>
      <w:tr w:rsidR="00E25C73" w:rsidRPr="00E25C73" w14:paraId="52E7A05E" w14:textId="77777777" w:rsidTr="009A7AC2">
        <w:trPr>
          <w:trHeight w:val="340"/>
          <w:jc w:val="center"/>
        </w:trPr>
        <w:tc>
          <w:tcPr>
            <w:tcW w:w="2057" w:type="dxa"/>
            <w:shd w:val="clear" w:color="auto" w:fill="auto"/>
            <w:vAlign w:val="center"/>
          </w:tcPr>
          <w:p w14:paraId="3AAB5C4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5B0110A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w:t>
            </w:r>
          </w:p>
        </w:tc>
      </w:tr>
    </w:tbl>
    <w:p w14:paraId="1B00129D"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07125DB2"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6CD6CA0E"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Zpevnit cestu vedoucí ze Starých Buků přes rekreační areál Dolce do Trutnova</w:t>
            </w:r>
          </w:p>
        </w:tc>
      </w:tr>
      <w:tr w:rsidR="00E25C73" w:rsidRPr="00E25C73" w14:paraId="6919B3F3" w14:textId="77777777" w:rsidTr="009A7AC2">
        <w:trPr>
          <w:trHeight w:val="340"/>
          <w:jc w:val="center"/>
        </w:trPr>
        <w:tc>
          <w:tcPr>
            <w:tcW w:w="2057" w:type="dxa"/>
            <w:shd w:val="clear" w:color="auto" w:fill="auto"/>
            <w:vAlign w:val="center"/>
            <w:hideMark/>
          </w:tcPr>
          <w:p w14:paraId="66A12AA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4FED992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50504FDA" w14:textId="77777777" w:rsidTr="009A7AC2">
        <w:trPr>
          <w:trHeight w:val="340"/>
          <w:jc w:val="center"/>
        </w:trPr>
        <w:tc>
          <w:tcPr>
            <w:tcW w:w="2057" w:type="dxa"/>
            <w:shd w:val="clear" w:color="auto" w:fill="auto"/>
            <w:vAlign w:val="center"/>
          </w:tcPr>
          <w:p w14:paraId="1A196D5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5C85347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p w14:paraId="7D3AB57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5A3B2EA7" w14:textId="77777777" w:rsidTr="009A7AC2">
        <w:trPr>
          <w:trHeight w:val="340"/>
          <w:jc w:val="center"/>
        </w:trPr>
        <w:tc>
          <w:tcPr>
            <w:tcW w:w="2057" w:type="dxa"/>
            <w:shd w:val="clear" w:color="auto" w:fill="auto"/>
            <w:vAlign w:val="center"/>
            <w:hideMark/>
          </w:tcPr>
          <w:p w14:paraId="34142BE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04E4D7E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vlastníci dotčených pozemků</w:t>
            </w:r>
          </w:p>
        </w:tc>
      </w:tr>
      <w:tr w:rsidR="00E25C73" w:rsidRPr="00E25C73" w14:paraId="7BA21A7D" w14:textId="77777777" w:rsidTr="009A7AC2">
        <w:trPr>
          <w:trHeight w:val="340"/>
          <w:jc w:val="center"/>
        </w:trPr>
        <w:tc>
          <w:tcPr>
            <w:tcW w:w="2057" w:type="dxa"/>
            <w:shd w:val="clear" w:color="auto" w:fill="auto"/>
            <w:vAlign w:val="center"/>
            <w:hideMark/>
          </w:tcPr>
          <w:p w14:paraId="2B799AE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7339634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existence zpevněné cesty vedoucí ze Starých Buků přes rekreační areál Dolce do Trutnova v plném rozsahu</w:t>
            </w:r>
          </w:p>
        </w:tc>
      </w:tr>
      <w:tr w:rsidR="00E25C73" w:rsidRPr="00E25C73" w14:paraId="65640EB4" w14:textId="77777777" w:rsidTr="009A7AC2">
        <w:trPr>
          <w:trHeight w:val="48"/>
          <w:jc w:val="center"/>
        </w:trPr>
        <w:tc>
          <w:tcPr>
            <w:tcW w:w="2057" w:type="dxa"/>
            <w:shd w:val="clear" w:color="auto" w:fill="auto"/>
            <w:vAlign w:val="center"/>
            <w:hideMark/>
          </w:tcPr>
          <w:p w14:paraId="14DF381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52781FA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 i neinvestiční</w:t>
            </w:r>
          </w:p>
        </w:tc>
      </w:tr>
      <w:tr w:rsidR="00E25C73" w:rsidRPr="00E25C73" w14:paraId="11BBE9A0" w14:textId="77777777" w:rsidTr="009A7AC2">
        <w:trPr>
          <w:trHeight w:val="340"/>
          <w:jc w:val="center"/>
        </w:trPr>
        <w:tc>
          <w:tcPr>
            <w:tcW w:w="2057" w:type="dxa"/>
            <w:shd w:val="clear" w:color="auto" w:fill="auto"/>
            <w:vAlign w:val="center"/>
            <w:hideMark/>
          </w:tcPr>
          <w:p w14:paraId="4A950DF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5344CEB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373F6A90" w14:textId="77777777" w:rsidTr="009A7AC2">
        <w:trPr>
          <w:trHeight w:val="340"/>
          <w:jc w:val="center"/>
        </w:trPr>
        <w:tc>
          <w:tcPr>
            <w:tcW w:w="2057" w:type="dxa"/>
            <w:shd w:val="clear" w:color="auto" w:fill="auto"/>
            <w:vAlign w:val="center"/>
            <w:hideMark/>
          </w:tcPr>
          <w:p w14:paraId="70FE651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6A79AFA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samotná jednání s vlastníky – náklady zanedbatelné</w:t>
            </w:r>
          </w:p>
          <w:p w14:paraId="595544D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případě varianty řešení odkupu části pozemků a následné realizace – v řádu stovek tis. až jednotek mil. Kč</w:t>
            </w:r>
          </w:p>
        </w:tc>
      </w:tr>
      <w:tr w:rsidR="00E25C73" w:rsidRPr="00E25C73" w14:paraId="45D094F4" w14:textId="77777777" w:rsidTr="009A7AC2">
        <w:trPr>
          <w:trHeight w:val="340"/>
          <w:jc w:val="center"/>
        </w:trPr>
        <w:tc>
          <w:tcPr>
            <w:tcW w:w="2057" w:type="dxa"/>
            <w:shd w:val="clear" w:color="auto" w:fill="auto"/>
            <w:vAlign w:val="center"/>
            <w:hideMark/>
          </w:tcPr>
          <w:p w14:paraId="16E7EA7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5A1A63A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p w14:paraId="416E76C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SFDI – program Cyklostezky, cyklopruhy (pouze za předpokladu, že se bude jednat o výstavbu cyklistické stezky)</w:t>
            </w:r>
          </w:p>
        </w:tc>
      </w:tr>
      <w:tr w:rsidR="00E25C73" w:rsidRPr="00E25C73" w14:paraId="29B32078" w14:textId="77777777" w:rsidTr="009A7AC2">
        <w:trPr>
          <w:trHeight w:val="340"/>
          <w:jc w:val="center"/>
        </w:trPr>
        <w:tc>
          <w:tcPr>
            <w:tcW w:w="2057" w:type="dxa"/>
            <w:shd w:val="clear" w:color="auto" w:fill="auto"/>
            <w:vAlign w:val="center"/>
            <w:hideMark/>
          </w:tcPr>
          <w:p w14:paraId="6DEF1F7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0998103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3.1.3: Rozvoj udržitelné dopravy a čisté mobility)</w:t>
            </w:r>
          </w:p>
        </w:tc>
      </w:tr>
      <w:tr w:rsidR="00E25C73" w:rsidRPr="00E25C73" w14:paraId="133AABFF" w14:textId="77777777" w:rsidTr="009A7AC2">
        <w:trPr>
          <w:trHeight w:val="340"/>
          <w:jc w:val="center"/>
        </w:trPr>
        <w:tc>
          <w:tcPr>
            <w:tcW w:w="2057" w:type="dxa"/>
            <w:shd w:val="clear" w:color="auto" w:fill="auto"/>
            <w:vAlign w:val="center"/>
            <w:hideMark/>
          </w:tcPr>
          <w:p w14:paraId="57F1533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6011501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Parcely KN 1902, KN 1917, KN 1924, KN 1925, KN 1962, KN 1963, KN 1965 (vše v k. ú. Prostřední Staré Buky)</w:t>
            </w:r>
          </w:p>
        </w:tc>
      </w:tr>
      <w:tr w:rsidR="00E25C73" w:rsidRPr="00E25C73" w14:paraId="5C07C086" w14:textId="77777777" w:rsidTr="009A7AC2">
        <w:trPr>
          <w:trHeight w:val="340"/>
          <w:jc w:val="center"/>
        </w:trPr>
        <w:tc>
          <w:tcPr>
            <w:tcW w:w="2057" w:type="dxa"/>
            <w:shd w:val="clear" w:color="auto" w:fill="auto"/>
            <w:vAlign w:val="center"/>
            <w:hideMark/>
          </w:tcPr>
          <w:p w14:paraId="4CE5121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0AF45FB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 cestu vedoucí ze Starých Buků přes rekreační areál Dolce do Trutnova v plném rozsahu zpevnit</w:t>
            </w:r>
          </w:p>
        </w:tc>
      </w:tr>
      <w:tr w:rsidR="00E25C73" w:rsidRPr="00E25C73" w14:paraId="3EBC0DA0" w14:textId="77777777" w:rsidTr="009A7AC2">
        <w:trPr>
          <w:trHeight w:val="340"/>
          <w:jc w:val="center"/>
        </w:trPr>
        <w:tc>
          <w:tcPr>
            <w:tcW w:w="2057" w:type="dxa"/>
            <w:shd w:val="clear" w:color="auto" w:fill="auto"/>
            <w:vAlign w:val="center"/>
            <w:hideMark/>
          </w:tcPr>
          <w:p w14:paraId="3071A98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3805EA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2366AF67" w14:textId="77777777" w:rsidTr="009A7AC2">
        <w:trPr>
          <w:trHeight w:val="340"/>
          <w:jc w:val="center"/>
        </w:trPr>
        <w:tc>
          <w:tcPr>
            <w:tcW w:w="2057" w:type="dxa"/>
            <w:shd w:val="clear" w:color="auto" w:fill="auto"/>
            <w:vAlign w:val="center"/>
            <w:hideMark/>
          </w:tcPr>
          <w:p w14:paraId="4F638E9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3962EE8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37B6999D" w14:textId="77777777" w:rsidTr="009A7AC2">
        <w:trPr>
          <w:trHeight w:val="340"/>
          <w:jc w:val="center"/>
        </w:trPr>
        <w:tc>
          <w:tcPr>
            <w:tcW w:w="2057" w:type="dxa"/>
            <w:shd w:val="clear" w:color="auto" w:fill="auto"/>
            <w:vAlign w:val="center"/>
          </w:tcPr>
          <w:p w14:paraId="3563D8E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5284477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 3</w:t>
            </w:r>
          </w:p>
        </w:tc>
      </w:tr>
    </w:tbl>
    <w:p w14:paraId="732FFFC3"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5D719377"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1373D2FB"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Řešit lepší zpřístupnění pro cyklisty a pěší ve směru na Pilníkov</w:t>
            </w:r>
          </w:p>
        </w:tc>
      </w:tr>
      <w:tr w:rsidR="00E25C73" w:rsidRPr="00E25C73" w14:paraId="12E63570" w14:textId="77777777" w:rsidTr="009A7AC2">
        <w:trPr>
          <w:trHeight w:val="340"/>
          <w:jc w:val="center"/>
        </w:trPr>
        <w:tc>
          <w:tcPr>
            <w:tcW w:w="2057" w:type="dxa"/>
            <w:shd w:val="clear" w:color="auto" w:fill="auto"/>
            <w:vAlign w:val="center"/>
            <w:hideMark/>
          </w:tcPr>
          <w:p w14:paraId="6933237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69E50B0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779963EB" w14:textId="77777777" w:rsidTr="009A7AC2">
        <w:trPr>
          <w:trHeight w:val="340"/>
          <w:jc w:val="center"/>
        </w:trPr>
        <w:tc>
          <w:tcPr>
            <w:tcW w:w="2057" w:type="dxa"/>
            <w:shd w:val="clear" w:color="auto" w:fill="auto"/>
            <w:vAlign w:val="center"/>
          </w:tcPr>
          <w:p w14:paraId="249CCE4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2EA1287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1501838F" w14:textId="77777777" w:rsidTr="009A7AC2">
        <w:trPr>
          <w:trHeight w:val="340"/>
          <w:jc w:val="center"/>
        </w:trPr>
        <w:tc>
          <w:tcPr>
            <w:tcW w:w="2057" w:type="dxa"/>
            <w:shd w:val="clear" w:color="auto" w:fill="auto"/>
            <w:vAlign w:val="center"/>
            <w:hideMark/>
          </w:tcPr>
          <w:p w14:paraId="529B2BA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25E6741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Město Pilníkov</w:t>
            </w:r>
          </w:p>
        </w:tc>
      </w:tr>
      <w:tr w:rsidR="00E25C73" w:rsidRPr="00E25C73" w14:paraId="408FD5BE" w14:textId="77777777" w:rsidTr="009A7AC2">
        <w:trPr>
          <w:trHeight w:val="340"/>
          <w:jc w:val="center"/>
        </w:trPr>
        <w:tc>
          <w:tcPr>
            <w:tcW w:w="2057" w:type="dxa"/>
            <w:shd w:val="clear" w:color="auto" w:fill="auto"/>
            <w:vAlign w:val="center"/>
            <w:hideMark/>
          </w:tcPr>
          <w:p w14:paraId="7620C48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6221AA5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lepší zpřístupnění pro cyklisty a pěší ve směru na Pilníkov → lepší propojenost obcí pro pěší a cyklisty</w:t>
            </w:r>
          </w:p>
        </w:tc>
      </w:tr>
      <w:tr w:rsidR="00E25C73" w:rsidRPr="00E25C73" w14:paraId="18E314C3" w14:textId="77777777" w:rsidTr="009A7AC2">
        <w:trPr>
          <w:trHeight w:val="48"/>
          <w:jc w:val="center"/>
        </w:trPr>
        <w:tc>
          <w:tcPr>
            <w:tcW w:w="2057" w:type="dxa"/>
            <w:shd w:val="clear" w:color="auto" w:fill="auto"/>
            <w:vAlign w:val="center"/>
            <w:hideMark/>
          </w:tcPr>
          <w:p w14:paraId="6907BE9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6927047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0FE9243A" w14:textId="77777777" w:rsidTr="009A7AC2">
        <w:trPr>
          <w:trHeight w:val="340"/>
          <w:jc w:val="center"/>
        </w:trPr>
        <w:tc>
          <w:tcPr>
            <w:tcW w:w="2057" w:type="dxa"/>
            <w:shd w:val="clear" w:color="auto" w:fill="auto"/>
            <w:vAlign w:val="center"/>
            <w:hideMark/>
          </w:tcPr>
          <w:p w14:paraId="5AA033E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4EF45EE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625EB793" w14:textId="77777777" w:rsidTr="009A7AC2">
        <w:trPr>
          <w:trHeight w:val="340"/>
          <w:jc w:val="center"/>
        </w:trPr>
        <w:tc>
          <w:tcPr>
            <w:tcW w:w="2057" w:type="dxa"/>
            <w:shd w:val="clear" w:color="auto" w:fill="auto"/>
            <w:vAlign w:val="center"/>
            <w:hideMark/>
          </w:tcPr>
          <w:p w14:paraId="7E1F7EE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1954B98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mil. Kč</w:t>
            </w:r>
          </w:p>
        </w:tc>
      </w:tr>
      <w:tr w:rsidR="00E25C73" w:rsidRPr="00E25C73" w14:paraId="4F52F243" w14:textId="77777777" w:rsidTr="009A7AC2">
        <w:trPr>
          <w:trHeight w:val="340"/>
          <w:jc w:val="center"/>
        </w:trPr>
        <w:tc>
          <w:tcPr>
            <w:tcW w:w="2057" w:type="dxa"/>
            <w:shd w:val="clear" w:color="auto" w:fill="auto"/>
            <w:vAlign w:val="center"/>
            <w:hideMark/>
          </w:tcPr>
          <w:p w14:paraId="66B5777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5AB3F94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p w14:paraId="456DE5D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zdroje města Pilníkov</w:t>
            </w:r>
          </w:p>
          <w:p w14:paraId="2418326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SFDI – program Cyklostezky, cyklopruhy (pouze za předpokladu, že se bude jednat o výstavbu cyklistické stezky)</w:t>
            </w:r>
          </w:p>
        </w:tc>
      </w:tr>
      <w:tr w:rsidR="00E25C73" w:rsidRPr="00E25C73" w14:paraId="3A821394" w14:textId="77777777" w:rsidTr="009A7AC2">
        <w:trPr>
          <w:trHeight w:val="340"/>
          <w:jc w:val="center"/>
        </w:trPr>
        <w:tc>
          <w:tcPr>
            <w:tcW w:w="2057" w:type="dxa"/>
            <w:shd w:val="clear" w:color="auto" w:fill="auto"/>
            <w:vAlign w:val="center"/>
            <w:hideMark/>
          </w:tcPr>
          <w:p w14:paraId="3C24C17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691DE25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3.1.3: Rozvoj udržitelné dopravy a čisté mobility)</w:t>
            </w:r>
          </w:p>
        </w:tc>
      </w:tr>
      <w:tr w:rsidR="00E25C73" w:rsidRPr="00E25C73" w14:paraId="50342F7F" w14:textId="77777777" w:rsidTr="009A7AC2">
        <w:trPr>
          <w:trHeight w:val="340"/>
          <w:jc w:val="center"/>
        </w:trPr>
        <w:tc>
          <w:tcPr>
            <w:tcW w:w="2057" w:type="dxa"/>
            <w:shd w:val="clear" w:color="auto" w:fill="auto"/>
            <w:vAlign w:val="center"/>
            <w:hideMark/>
          </w:tcPr>
          <w:p w14:paraId="2B35F00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4F461F8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pozemky v lokalitě s místně zažitým názvem Nad Buky a v jejím okolí</w:t>
            </w:r>
          </w:p>
        </w:tc>
      </w:tr>
      <w:tr w:rsidR="00E25C73" w:rsidRPr="00E25C73" w14:paraId="6174A5DF" w14:textId="77777777" w:rsidTr="009A7AC2">
        <w:trPr>
          <w:trHeight w:val="340"/>
          <w:jc w:val="center"/>
        </w:trPr>
        <w:tc>
          <w:tcPr>
            <w:tcW w:w="2057" w:type="dxa"/>
            <w:shd w:val="clear" w:color="auto" w:fill="auto"/>
            <w:vAlign w:val="center"/>
            <w:hideMark/>
          </w:tcPr>
          <w:p w14:paraId="7D0EF07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412C744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w:t>
            </w:r>
            <w:r w:rsidRPr="00E25C73">
              <w:rPr>
                <w:rFonts w:ascii="Calibri" w:eastAsia="Calibri" w:hAnsi="Calibri" w:cs="Times New Roman"/>
              </w:rPr>
              <w:t xml:space="preserve"> </w:t>
            </w:r>
            <w:r w:rsidRPr="00E25C73">
              <w:rPr>
                <w:rFonts w:ascii="Calibri" w:eastAsia="Times New Roman" w:hAnsi="Calibri" w:cs="Calibri"/>
                <w:color w:val="000000"/>
                <w:sz w:val="20"/>
                <w:szCs w:val="20"/>
                <w:lang w:eastAsia="cs-CZ"/>
              </w:rPr>
              <w:t>lepší zpřístupnění pro cyklisty a pěší ve směru na Pilníkov vyřešit</w:t>
            </w:r>
          </w:p>
        </w:tc>
      </w:tr>
      <w:tr w:rsidR="00E25C73" w:rsidRPr="00E25C73" w14:paraId="2AA94A78" w14:textId="77777777" w:rsidTr="009A7AC2">
        <w:trPr>
          <w:trHeight w:val="340"/>
          <w:jc w:val="center"/>
        </w:trPr>
        <w:tc>
          <w:tcPr>
            <w:tcW w:w="2057" w:type="dxa"/>
            <w:shd w:val="clear" w:color="auto" w:fill="auto"/>
            <w:vAlign w:val="center"/>
            <w:hideMark/>
          </w:tcPr>
          <w:p w14:paraId="530C480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9353E7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 a Zastupitelstvo města Pilníkov</w:t>
            </w:r>
          </w:p>
        </w:tc>
      </w:tr>
      <w:tr w:rsidR="00E25C73" w:rsidRPr="00E25C73" w14:paraId="64736A17" w14:textId="77777777" w:rsidTr="009A7AC2">
        <w:trPr>
          <w:trHeight w:val="340"/>
          <w:jc w:val="center"/>
        </w:trPr>
        <w:tc>
          <w:tcPr>
            <w:tcW w:w="2057" w:type="dxa"/>
            <w:shd w:val="clear" w:color="auto" w:fill="auto"/>
            <w:vAlign w:val="center"/>
            <w:hideMark/>
          </w:tcPr>
          <w:p w14:paraId="3B9ABA2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39E36A5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3520B366" w14:textId="77777777" w:rsidTr="009A7AC2">
        <w:trPr>
          <w:trHeight w:val="340"/>
          <w:jc w:val="center"/>
        </w:trPr>
        <w:tc>
          <w:tcPr>
            <w:tcW w:w="2057" w:type="dxa"/>
            <w:shd w:val="clear" w:color="auto" w:fill="auto"/>
            <w:vAlign w:val="center"/>
          </w:tcPr>
          <w:p w14:paraId="3AB9D01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0570029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 3</w:t>
            </w:r>
          </w:p>
        </w:tc>
      </w:tr>
    </w:tbl>
    <w:p w14:paraId="428F27A5"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18C519F5"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08F0CBBF"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Řešit tématiku vodovodu a vodovodní sítě</w:t>
            </w:r>
          </w:p>
        </w:tc>
      </w:tr>
      <w:tr w:rsidR="00E25C73" w:rsidRPr="00E25C73" w14:paraId="415412D1" w14:textId="77777777" w:rsidTr="009A7AC2">
        <w:trPr>
          <w:trHeight w:val="340"/>
          <w:jc w:val="center"/>
        </w:trPr>
        <w:tc>
          <w:tcPr>
            <w:tcW w:w="2057" w:type="dxa"/>
            <w:shd w:val="clear" w:color="auto" w:fill="auto"/>
            <w:vAlign w:val="center"/>
            <w:hideMark/>
          </w:tcPr>
          <w:p w14:paraId="5C818EF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7157689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06276783" w14:textId="77777777" w:rsidTr="009A7AC2">
        <w:trPr>
          <w:trHeight w:val="340"/>
          <w:jc w:val="center"/>
        </w:trPr>
        <w:tc>
          <w:tcPr>
            <w:tcW w:w="2057" w:type="dxa"/>
            <w:shd w:val="clear" w:color="auto" w:fill="auto"/>
            <w:vAlign w:val="center"/>
          </w:tcPr>
          <w:p w14:paraId="5162AAF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5146047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48EC88EE" w14:textId="77777777" w:rsidTr="009A7AC2">
        <w:trPr>
          <w:trHeight w:val="340"/>
          <w:jc w:val="center"/>
        </w:trPr>
        <w:tc>
          <w:tcPr>
            <w:tcW w:w="2057" w:type="dxa"/>
            <w:shd w:val="clear" w:color="auto" w:fill="auto"/>
            <w:vAlign w:val="center"/>
            <w:hideMark/>
          </w:tcPr>
          <w:p w14:paraId="30BACB3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09136A9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MŽP, MZe, KHK kraj</w:t>
            </w:r>
          </w:p>
        </w:tc>
      </w:tr>
      <w:tr w:rsidR="00E25C73" w:rsidRPr="00E25C73" w14:paraId="220670EC" w14:textId="77777777" w:rsidTr="009A7AC2">
        <w:trPr>
          <w:trHeight w:val="340"/>
          <w:jc w:val="center"/>
        </w:trPr>
        <w:tc>
          <w:tcPr>
            <w:tcW w:w="2057" w:type="dxa"/>
            <w:shd w:val="clear" w:color="auto" w:fill="auto"/>
            <w:vAlign w:val="center"/>
            <w:hideMark/>
          </w:tcPr>
          <w:p w14:paraId="354DF22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0A4F4D9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zabezpečení odpovídajícího stavu technické infrastruktury</w:t>
            </w:r>
          </w:p>
          <w:p w14:paraId="1F5F31C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zajištění existence vodovodu v žádoucích lokalitách</w:t>
            </w:r>
          </w:p>
        </w:tc>
      </w:tr>
      <w:tr w:rsidR="00E25C73" w:rsidRPr="00E25C73" w14:paraId="50C137D0" w14:textId="77777777" w:rsidTr="009A7AC2">
        <w:trPr>
          <w:trHeight w:val="48"/>
          <w:jc w:val="center"/>
        </w:trPr>
        <w:tc>
          <w:tcPr>
            <w:tcW w:w="2057" w:type="dxa"/>
            <w:shd w:val="clear" w:color="auto" w:fill="auto"/>
            <w:vAlign w:val="center"/>
            <w:hideMark/>
          </w:tcPr>
          <w:p w14:paraId="6C26D35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2886A6F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6C7FBB5A" w14:textId="77777777" w:rsidTr="009A7AC2">
        <w:trPr>
          <w:trHeight w:val="340"/>
          <w:jc w:val="center"/>
        </w:trPr>
        <w:tc>
          <w:tcPr>
            <w:tcW w:w="2057" w:type="dxa"/>
            <w:shd w:val="clear" w:color="auto" w:fill="auto"/>
            <w:vAlign w:val="center"/>
            <w:hideMark/>
          </w:tcPr>
          <w:p w14:paraId="1F8702B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19805D1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6309F267" w14:textId="77777777" w:rsidTr="009A7AC2">
        <w:trPr>
          <w:trHeight w:val="340"/>
          <w:jc w:val="center"/>
        </w:trPr>
        <w:tc>
          <w:tcPr>
            <w:tcW w:w="2057" w:type="dxa"/>
            <w:shd w:val="clear" w:color="auto" w:fill="auto"/>
            <w:vAlign w:val="center"/>
            <w:hideMark/>
          </w:tcPr>
          <w:p w14:paraId="7B436BE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648F284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až desítek mil. Kč</w:t>
            </w:r>
          </w:p>
        </w:tc>
      </w:tr>
      <w:tr w:rsidR="00E25C73" w:rsidRPr="00E25C73" w14:paraId="0EE926B4" w14:textId="77777777" w:rsidTr="009A7AC2">
        <w:trPr>
          <w:trHeight w:val="340"/>
          <w:jc w:val="center"/>
        </w:trPr>
        <w:tc>
          <w:tcPr>
            <w:tcW w:w="2057" w:type="dxa"/>
            <w:shd w:val="clear" w:color="auto" w:fill="auto"/>
            <w:vAlign w:val="center"/>
            <w:hideMark/>
          </w:tcPr>
          <w:p w14:paraId="0FA550D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541BA99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EU – OP ŽP 2021-2027</w:t>
            </w:r>
          </w:p>
          <w:p w14:paraId="4444E88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MZe – Program Výstavba a technické zhodnocení infrastruktury vodovodů a kanalizací II (týká se pouze výstavby nových vodovodních řadů)</w:t>
            </w:r>
          </w:p>
          <w:p w14:paraId="22988BF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Rozvoj infrastruktury v oblasti zásobování pitnou vodou a odvádění odpadních vod (týká se pouze výstavby nových vodovodních řadů)</w:t>
            </w:r>
          </w:p>
          <w:p w14:paraId="513F045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79961D2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13B20BB1" w14:textId="77777777" w:rsidTr="009A7AC2">
        <w:trPr>
          <w:trHeight w:val="340"/>
          <w:jc w:val="center"/>
        </w:trPr>
        <w:tc>
          <w:tcPr>
            <w:tcW w:w="2057" w:type="dxa"/>
            <w:shd w:val="clear" w:color="auto" w:fill="auto"/>
            <w:vAlign w:val="center"/>
            <w:hideMark/>
          </w:tcPr>
          <w:p w14:paraId="217E907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0F784314" w14:textId="77777777" w:rsidR="00E25C73" w:rsidRPr="00E25C73" w:rsidRDefault="00E25C73" w:rsidP="00E25C73">
            <w:pPr>
              <w:spacing w:before="60" w:after="60"/>
              <w:jc w:val="both"/>
              <w:rPr>
                <w:rFonts w:ascii="Calibri" w:eastAsia="Calibri" w:hAnsi="Calibri" w:cs="Calibri"/>
                <w:color w:val="000000"/>
                <w:sz w:val="20"/>
                <w:szCs w:val="20"/>
              </w:rPr>
            </w:pPr>
            <w:r w:rsidRPr="00E25C73">
              <w:rPr>
                <w:rFonts w:ascii="Calibri" w:eastAsia="Calibri" w:hAnsi="Calibri" w:cs="Calibri"/>
                <w:color w:val="000000"/>
                <w:sz w:val="20"/>
                <w:szCs w:val="20"/>
              </w:rPr>
              <w:t>Strategie rozvoje Královéhradeckého kraje na období 2021–2027 (SP 4: Kvalitní a čisté životní prostředí, StC 4.3: Eliminace negativních dopadů činností člověka na životní prostředí, Opatření 4.3.5: Výstavba a modernizace vodovodní a kanalizační infrastruktury)</w:t>
            </w:r>
          </w:p>
        </w:tc>
      </w:tr>
      <w:tr w:rsidR="00E25C73" w:rsidRPr="00E25C73" w14:paraId="159E0196" w14:textId="77777777" w:rsidTr="009A7AC2">
        <w:trPr>
          <w:trHeight w:val="340"/>
          <w:jc w:val="center"/>
        </w:trPr>
        <w:tc>
          <w:tcPr>
            <w:tcW w:w="2057" w:type="dxa"/>
            <w:shd w:val="clear" w:color="auto" w:fill="auto"/>
            <w:vAlign w:val="center"/>
            <w:hideMark/>
          </w:tcPr>
          <w:p w14:paraId="30774C5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6BB83A3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území obce Staré Buky</w:t>
            </w:r>
          </w:p>
        </w:tc>
      </w:tr>
      <w:tr w:rsidR="00E25C73" w:rsidRPr="00E25C73" w14:paraId="147EB39A" w14:textId="77777777" w:rsidTr="009A7AC2">
        <w:trPr>
          <w:trHeight w:val="340"/>
          <w:jc w:val="center"/>
        </w:trPr>
        <w:tc>
          <w:tcPr>
            <w:tcW w:w="2057" w:type="dxa"/>
            <w:shd w:val="clear" w:color="auto" w:fill="auto"/>
            <w:vAlign w:val="center"/>
            <w:hideMark/>
          </w:tcPr>
          <w:p w14:paraId="69AF948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0FE30D3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průběžné po celé programové období</w:t>
            </w:r>
          </w:p>
        </w:tc>
      </w:tr>
      <w:tr w:rsidR="00E25C73" w:rsidRPr="00E25C73" w14:paraId="3E9F30A0" w14:textId="77777777" w:rsidTr="009A7AC2">
        <w:trPr>
          <w:trHeight w:val="340"/>
          <w:jc w:val="center"/>
        </w:trPr>
        <w:tc>
          <w:tcPr>
            <w:tcW w:w="2057" w:type="dxa"/>
            <w:shd w:val="clear" w:color="auto" w:fill="auto"/>
            <w:vAlign w:val="center"/>
            <w:hideMark/>
          </w:tcPr>
          <w:p w14:paraId="5BBCCC6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74FA3A6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65EA2472" w14:textId="77777777" w:rsidTr="009A7AC2">
        <w:trPr>
          <w:trHeight w:val="340"/>
          <w:jc w:val="center"/>
        </w:trPr>
        <w:tc>
          <w:tcPr>
            <w:tcW w:w="2057" w:type="dxa"/>
            <w:shd w:val="clear" w:color="auto" w:fill="auto"/>
            <w:vAlign w:val="center"/>
            <w:hideMark/>
          </w:tcPr>
          <w:p w14:paraId="7C192E6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6D1551A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395F09EA" w14:textId="77777777" w:rsidTr="009A7AC2">
        <w:trPr>
          <w:trHeight w:val="340"/>
          <w:jc w:val="center"/>
        </w:trPr>
        <w:tc>
          <w:tcPr>
            <w:tcW w:w="2057" w:type="dxa"/>
            <w:shd w:val="clear" w:color="auto" w:fill="auto"/>
            <w:vAlign w:val="center"/>
          </w:tcPr>
          <w:p w14:paraId="62850CD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254A95B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w:t>
            </w:r>
          </w:p>
        </w:tc>
      </w:tr>
    </w:tbl>
    <w:p w14:paraId="0E0C2DD4"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2B332835"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0446CD00"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Řešit problematiku kanalizace a kanalizační sítě</w:t>
            </w:r>
          </w:p>
        </w:tc>
      </w:tr>
      <w:tr w:rsidR="00E25C73" w:rsidRPr="00E25C73" w14:paraId="4D7C8E6D" w14:textId="77777777" w:rsidTr="009A7AC2">
        <w:trPr>
          <w:trHeight w:val="340"/>
          <w:jc w:val="center"/>
        </w:trPr>
        <w:tc>
          <w:tcPr>
            <w:tcW w:w="2057" w:type="dxa"/>
            <w:shd w:val="clear" w:color="auto" w:fill="auto"/>
            <w:vAlign w:val="center"/>
            <w:hideMark/>
          </w:tcPr>
          <w:p w14:paraId="649A3D5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0C30F6E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63B8B75B" w14:textId="77777777" w:rsidTr="009A7AC2">
        <w:trPr>
          <w:trHeight w:val="340"/>
          <w:jc w:val="center"/>
        </w:trPr>
        <w:tc>
          <w:tcPr>
            <w:tcW w:w="2057" w:type="dxa"/>
            <w:shd w:val="clear" w:color="auto" w:fill="auto"/>
            <w:vAlign w:val="center"/>
          </w:tcPr>
          <w:p w14:paraId="3E70C04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068CD44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1B50F526" w14:textId="77777777" w:rsidTr="009A7AC2">
        <w:trPr>
          <w:trHeight w:val="340"/>
          <w:jc w:val="center"/>
        </w:trPr>
        <w:tc>
          <w:tcPr>
            <w:tcW w:w="2057" w:type="dxa"/>
            <w:shd w:val="clear" w:color="auto" w:fill="auto"/>
            <w:vAlign w:val="center"/>
            <w:hideMark/>
          </w:tcPr>
          <w:p w14:paraId="405EF8C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167B82A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MŽP, MZe, KHK kraj</w:t>
            </w:r>
          </w:p>
        </w:tc>
      </w:tr>
      <w:tr w:rsidR="00E25C73" w:rsidRPr="00E25C73" w14:paraId="75FB1F8F" w14:textId="77777777" w:rsidTr="009A7AC2">
        <w:trPr>
          <w:trHeight w:val="340"/>
          <w:jc w:val="center"/>
        </w:trPr>
        <w:tc>
          <w:tcPr>
            <w:tcW w:w="2057" w:type="dxa"/>
            <w:shd w:val="clear" w:color="auto" w:fill="auto"/>
            <w:vAlign w:val="center"/>
            <w:hideMark/>
          </w:tcPr>
          <w:p w14:paraId="0BD9858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32E453E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zabezpečení odpovídajícího stavu technické infrastruktury</w:t>
            </w:r>
          </w:p>
          <w:p w14:paraId="7C737FC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zajištění existence kanalizace v žádoucích lokalitách</w:t>
            </w:r>
          </w:p>
        </w:tc>
      </w:tr>
      <w:tr w:rsidR="00E25C73" w:rsidRPr="00E25C73" w14:paraId="65A6CF72" w14:textId="77777777" w:rsidTr="009A7AC2">
        <w:trPr>
          <w:trHeight w:val="48"/>
          <w:jc w:val="center"/>
        </w:trPr>
        <w:tc>
          <w:tcPr>
            <w:tcW w:w="2057" w:type="dxa"/>
            <w:shd w:val="clear" w:color="auto" w:fill="auto"/>
            <w:vAlign w:val="center"/>
            <w:hideMark/>
          </w:tcPr>
          <w:p w14:paraId="3DF6986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3842619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6727325A" w14:textId="77777777" w:rsidTr="009A7AC2">
        <w:trPr>
          <w:trHeight w:val="340"/>
          <w:jc w:val="center"/>
        </w:trPr>
        <w:tc>
          <w:tcPr>
            <w:tcW w:w="2057" w:type="dxa"/>
            <w:shd w:val="clear" w:color="auto" w:fill="auto"/>
            <w:vAlign w:val="center"/>
            <w:hideMark/>
          </w:tcPr>
          <w:p w14:paraId="4B71305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505850F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3E878997" w14:textId="77777777" w:rsidTr="009A7AC2">
        <w:trPr>
          <w:trHeight w:val="340"/>
          <w:jc w:val="center"/>
        </w:trPr>
        <w:tc>
          <w:tcPr>
            <w:tcW w:w="2057" w:type="dxa"/>
            <w:shd w:val="clear" w:color="auto" w:fill="auto"/>
            <w:vAlign w:val="center"/>
            <w:hideMark/>
          </w:tcPr>
          <w:p w14:paraId="65C394F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1B37962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až desítek mil. Kč</w:t>
            </w:r>
          </w:p>
        </w:tc>
      </w:tr>
      <w:tr w:rsidR="00E25C73" w:rsidRPr="00E25C73" w14:paraId="1FA6B979" w14:textId="77777777" w:rsidTr="009A7AC2">
        <w:trPr>
          <w:trHeight w:val="340"/>
          <w:jc w:val="center"/>
        </w:trPr>
        <w:tc>
          <w:tcPr>
            <w:tcW w:w="2057" w:type="dxa"/>
            <w:shd w:val="clear" w:color="auto" w:fill="auto"/>
            <w:vAlign w:val="center"/>
            <w:hideMark/>
          </w:tcPr>
          <w:p w14:paraId="70B64DA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1CCD094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EU – OP ŽP 2021-2027</w:t>
            </w:r>
          </w:p>
          <w:p w14:paraId="00E9E94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MZe – Program Výstavba a technické zhodnocení infrastruktury vodovodů a kanalizací II (týká se pouze výstavby nové kanalizace či rozšíření stávající)</w:t>
            </w:r>
          </w:p>
          <w:p w14:paraId="28A7CFC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Rozvoj infrastruktury v oblasti zásobování pitnou vodou a odvádění odpadních vod (týká se pouze výstavby nové kanalizace či rozšíření stávající)</w:t>
            </w:r>
          </w:p>
          <w:p w14:paraId="48DB67A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24244CE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5690AA0E" w14:textId="77777777" w:rsidTr="009A7AC2">
        <w:trPr>
          <w:trHeight w:val="340"/>
          <w:jc w:val="center"/>
        </w:trPr>
        <w:tc>
          <w:tcPr>
            <w:tcW w:w="2057" w:type="dxa"/>
            <w:shd w:val="clear" w:color="auto" w:fill="auto"/>
            <w:vAlign w:val="center"/>
            <w:hideMark/>
          </w:tcPr>
          <w:p w14:paraId="5A2606F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7FE6DBF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4: Kvalitní a čisté životní prostředí, StC 4.3: Eliminace negativních dopadů činností člověka na životní prostředí, Opatření 4.3.5: Výstavba a modernizace vodovodní a kanalizační infrastruktury)</w:t>
            </w:r>
          </w:p>
        </w:tc>
      </w:tr>
      <w:tr w:rsidR="00E25C73" w:rsidRPr="00E25C73" w14:paraId="749585F5" w14:textId="77777777" w:rsidTr="009A7AC2">
        <w:trPr>
          <w:trHeight w:val="340"/>
          <w:jc w:val="center"/>
        </w:trPr>
        <w:tc>
          <w:tcPr>
            <w:tcW w:w="2057" w:type="dxa"/>
            <w:shd w:val="clear" w:color="auto" w:fill="auto"/>
            <w:vAlign w:val="center"/>
            <w:hideMark/>
          </w:tcPr>
          <w:p w14:paraId="06D8BE8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4411A93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území obce Staré Buky</w:t>
            </w:r>
          </w:p>
        </w:tc>
      </w:tr>
      <w:tr w:rsidR="00E25C73" w:rsidRPr="00E25C73" w14:paraId="3210F471" w14:textId="77777777" w:rsidTr="009A7AC2">
        <w:trPr>
          <w:trHeight w:val="340"/>
          <w:jc w:val="center"/>
        </w:trPr>
        <w:tc>
          <w:tcPr>
            <w:tcW w:w="2057" w:type="dxa"/>
            <w:shd w:val="clear" w:color="auto" w:fill="auto"/>
            <w:vAlign w:val="center"/>
            <w:hideMark/>
          </w:tcPr>
          <w:p w14:paraId="2741062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04970E6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průběžné po celé programové období</w:t>
            </w:r>
          </w:p>
        </w:tc>
      </w:tr>
      <w:tr w:rsidR="00E25C73" w:rsidRPr="00E25C73" w14:paraId="5CD46B99" w14:textId="77777777" w:rsidTr="009A7AC2">
        <w:trPr>
          <w:trHeight w:val="340"/>
          <w:jc w:val="center"/>
        </w:trPr>
        <w:tc>
          <w:tcPr>
            <w:tcW w:w="2057" w:type="dxa"/>
            <w:shd w:val="clear" w:color="auto" w:fill="auto"/>
            <w:vAlign w:val="center"/>
            <w:hideMark/>
          </w:tcPr>
          <w:p w14:paraId="4F7E572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3CE29E0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307E6937" w14:textId="77777777" w:rsidTr="009A7AC2">
        <w:trPr>
          <w:trHeight w:val="340"/>
          <w:jc w:val="center"/>
        </w:trPr>
        <w:tc>
          <w:tcPr>
            <w:tcW w:w="2057" w:type="dxa"/>
            <w:shd w:val="clear" w:color="auto" w:fill="auto"/>
            <w:vAlign w:val="center"/>
            <w:hideMark/>
          </w:tcPr>
          <w:p w14:paraId="5C30A14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50A6F7D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76754E97" w14:textId="77777777" w:rsidTr="009A7AC2">
        <w:trPr>
          <w:trHeight w:val="340"/>
          <w:jc w:val="center"/>
        </w:trPr>
        <w:tc>
          <w:tcPr>
            <w:tcW w:w="2057" w:type="dxa"/>
            <w:shd w:val="clear" w:color="auto" w:fill="auto"/>
            <w:vAlign w:val="center"/>
          </w:tcPr>
          <w:p w14:paraId="7C973DB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5127946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w:t>
            </w:r>
          </w:p>
        </w:tc>
      </w:tr>
    </w:tbl>
    <w:p w14:paraId="0D54FDE1"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5A2EFE71"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109C6081"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Zajistit komplexní rekonstrukci budovy s č. p. 50</w:t>
            </w:r>
          </w:p>
        </w:tc>
      </w:tr>
      <w:tr w:rsidR="00E25C73" w:rsidRPr="00E25C73" w14:paraId="1F41291E" w14:textId="77777777" w:rsidTr="009A7AC2">
        <w:trPr>
          <w:trHeight w:val="340"/>
          <w:jc w:val="center"/>
        </w:trPr>
        <w:tc>
          <w:tcPr>
            <w:tcW w:w="2057" w:type="dxa"/>
            <w:shd w:val="clear" w:color="auto" w:fill="auto"/>
            <w:vAlign w:val="center"/>
            <w:hideMark/>
          </w:tcPr>
          <w:p w14:paraId="57E41D2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653E39E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754AD64E" w14:textId="77777777" w:rsidTr="009A7AC2">
        <w:trPr>
          <w:trHeight w:val="340"/>
          <w:jc w:val="center"/>
        </w:trPr>
        <w:tc>
          <w:tcPr>
            <w:tcW w:w="2057" w:type="dxa"/>
            <w:shd w:val="clear" w:color="auto" w:fill="auto"/>
            <w:vAlign w:val="center"/>
          </w:tcPr>
          <w:p w14:paraId="21D32C9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3D620AF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7F41EF45" w14:textId="77777777" w:rsidTr="009A7AC2">
        <w:trPr>
          <w:trHeight w:val="340"/>
          <w:jc w:val="center"/>
        </w:trPr>
        <w:tc>
          <w:tcPr>
            <w:tcW w:w="2057" w:type="dxa"/>
            <w:shd w:val="clear" w:color="auto" w:fill="auto"/>
            <w:vAlign w:val="center"/>
            <w:hideMark/>
          </w:tcPr>
          <w:p w14:paraId="530C59D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1BE0199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MŽP, MMR, KHK kraj</w:t>
            </w:r>
          </w:p>
        </w:tc>
      </w:tr>
      <w:tr w:rsidR="00E25C73" w:rsidRPr="00E25C73" w14:paraId="053B37D4" w14:textId="77777777" w:rsidTr="009A7AC2">
        <w:trPr>
          <w:trHeight w:val="340"/>
          <w:jc w:val="center"/>
        </w:trPr>
        <w:tc>
          <w:tcPr>
            <w:tcW w:w="2057" w:type="dxa"/>
            <w:shd w:val="clear" w:color="auto" w:fill="auto"/>
            <w:vAlign w:val="center"/>
            <w:hideMark/>
          </w:tcPr>
          <w:p w14:paraId="1F85263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521831C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zkvalitnění technického stavu veřejné budovy, snížení energetické náročnosti budovy a v důsledku toho úspora finančních prostředků vydaných za energie + modernizovaný interiér budovy</w:t>
            </w:r>
          </w:p>
        </w:tc>
      </w:tr>
      <w:tr w:rsidR="00E25C73" w:rsidRPr="00E25C73" w14:paraId="57A37D4E" w14:textId="77777777" w:rsidTr="009A7AC2">
        <w:trPr>
          <w:trHeight w:val="48"/>
          <w:jc w:val="center"/>
        </w:trPr>
        <w:tc>
          <w:tcPr>
            <w:tcW w:w="2057" w:type="dxa"/>
            <w:shd w:val="clear" w:color="auto" w:fill="auto"/>
            <w:vAlign w:val="center"/>
            <w:hideMark/>
          </w:tcPr>
          <w:p w14:paraId="4BD975E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708C764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3F2F2F8D" w14:textId="77777777" w:rsidTr="009A7AC2">
        <w:trPr>
          <w:trHeight w:val="340"/>
          <w:jc w:val="center"/>
        </w:trPr>
        <w:tc>
          <w:tcPr>
            <w:tcW w:w="2057" w:type="dxa"/>
            <w:shd w:val="clear" w:color="auto" w:fill="auto"/>
            <w:vAlign w:val="center"/>
            <w:hideMark/>
          </w:tcPr>
          <w:p w14:paraId="360AF3A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5D31163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580FB31A" w14:textId="77777777" w:rsidTr="009A7AC2">
        <w:trPr>
          <w:trHeight w:val="340"/>
          <w:jc w:val="center"/>
        </w:trPr>
        <w:tc>
          <w:tcPr>
            <w:tcW w:w="2057" w:type="dxa"/>
            <w:shd w:val="clear" w:color="auto" w:fill="auto"/>
            <w:vAlign w:val="center"/>
            <w:hideMark/>
          </w:tcPr>
          <w:p w14:paraId="104004B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0300FDA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mil. Kč</w:t>
            </w:r>
          </w:p>
        </w:tc>
      </w:tr>
      <w:tr w:rsidR="00E25C73" w:rsidRPr="00E25C73" w14:paraId="335EFA2C" w14:textId="77777777" w:rsidTr="009A7AC2">
        <w:trPr>
          <w:trHeight w:val="340"/>
          <w:jc w:val="center"/>
        </w:trPr>
        <w:tc>
          <w:tcPr>
            <w:tcW w:w="2057" w:type="dxa"/>
            <w:shd w:val="clear" w:color="auto" w:fill="auto"/>
            <w:vAlign w:val="center"/>
            <w:hideMark/>
          </w:tcPr>
          <w:p w14:paraId="6D56D89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37BF27A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EU – OP ŽP 2021-2027</w:t>
            </w:r>
          </w:p>
          <w:p w14:paraId="3B6086E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MŽP – SFŽP – NPO – Energetické úspory veřejných budov</w:t>
            </w:r>
          </w:p>
          <w:p w14:paraId="012370C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rozvoje regionů, podprogram PORV – DT Rekonstrukce a přestavba veřejných budov</w:t>
            </w:r>
          </w:p>
          <w:p w14:paraId="47AB6D7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16937E3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3CAD9233" w14:textId="77777777" w:rsidTr="009A7AC2">
        <w:trPr>
          <w:trHeight w:val="340"/>
          <w:jc w:val="center"/>
        </w:trPr>
        <w:tc>
          <w:tcPr>
            <w:tcW w:w="2057" w:type="dxa"/>
            <w:shd w:val="clear" w:color="auto" w:fill="auto"/>
            <w:vAlign w:val="center"/>
            <w:hideMark/>
          </w:tcPr>
          <w:p w14:paraId="5DB0482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4ECD7FD3" w14:textId="77777777" w:rsidR="00E25C73" w:rsidRPr="00E25C73" w:rsidRDefault="00E25C73" w:rsidP="00E25C73">
            <w:pPr>
              <w:spacing w:before="60" w:after="60"/>
              <w:jc w:val="both"/>
              <w:rPr>
                <w:rFonts w:ascii="Calibri" w:eastAsia="Calibri" w:hAnsi="Calibri" w:cs="Calibri"/>
                <w:color w:val="000000"/>
                <w:sz w:val="20"/>
                <w:szCs w:val="20"/>
              </w:rPr>
            </w:pPr>
            <w:r w:rsidRPr="00E25C73">
              <w:rPr>
                <w:rFonts w:ascii="Calibri" w:eastAsia="Calibri" w:hAnsi="Calibri" w:cs="Calibri"/>
                <w:color w:val="000000"/>
                <w:sz w:val="20"/>
                <w:szCs w:val="20"/>
              </w:rPr>
              <w:t>Strategie rozvoje Královéhradeckého kraje na období 2021–2027 (SP 3: Efektivní infrastruktura a dostupnost, StC 3.3: Efektivně využívané energetické zdroje, Opatření 3.3.2: Zvýšení energetických úspor)</w:t>
            </w:r>
          </w:p>
        </w:tc>
      </w:tr>
      <w:tr w:rsidR="00E25C73" w:rsidRPr="00E25C73" w14:paraId="1EEEDBEC" w14:textId="77777777" w:rsidTr="009A7AC2">
        <w:trPr>
          <w:trHeight w:val="340"/>
          <w:jc w:val="center"/>
        </w:trPr>
        <w:tc>
          <w:tcPr>
            <w:tcW w:w="2057" w:type="dxa"/>
            <w:shd w:val="clear" w:color="auto" w:fill="auto"/>
            <w:vAlign w:val="center"/>
            <w:hideMark/>
          </w:tcPr>
          <w:p w14:paraId="69CE927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34D65E5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budova s č. p. 50, parcela KN st. 42 (k. ú. Prostřední Staré Buky)</w:t>
            </w:r>
          </w:p>
        </w:tc>
      </w:tr>
      <w:tr w:rsidR="00E25C73" w:rsidRPr="00E25C73" w14:paraId="39868466" w14:textId="77777777" w:rsidTr="009A7AC2">
        <w:trPr>
          <w:trHeight w:val="340"/>
          <w:jc w:val="center"/>
        </w:trPr>
        <w:tc>
          <w:tcPr>
            <w:tcW w:w="2057" w:type="dxa"/>
            <w:shd w:val="clear" w:color="auto" w:fill="auto"/>
            <w:vAlign w:val="center"/>
            <w:hideMark/>
          </w:tcPr>
          <w:p w14:paraId="4C77A0C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2461084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w:t>
            </w:r>
            <w:r w:rsidRPr="00E25C73">
              <w:rPr>
                <w:rFonts w:ascii="Calibri" w:eastAsia="Calibri" w:hAnsi="Calibri" w:cs="Times New Roman"/>
              </w:rPr>
              <w:t xml:space="preserve"> </w:t>
            </w:r>
            <w:r w:rsidRPr="00E25C73">
              <w:rPr>
                <w:rFonts w:ascii="Calibri" w:eastAsia="Times New Roman" w:hAnsi="Calibri" w:cs="Calibri"/>
                <w:color w:val="000000"/>
                <w:sz w:val="20"/>
                <w:szCs w:val="20"/>
                <w:lang w:eastAsia="cs-CZ"/>
              </w:rPr>
              <w:t>komplexní rekonstrukci budovy s č. p. 50 zajistit</w:t>
            </w:r>
          </w:p>
        </w:tc>
      </w:tr>
      <w:tr w:rsidR="00E25C73" w:rsidRPr="00E25C73" w14:paraId="5FA90652" w14:textId="77777777" w:rsidTr="009A7AC2">
        <w:trPr>
          <w:trHeight w:val="340"/>
          <w:jc w:val="center"/>
        </w:trPr>
        <w:tc>
          <w:tcPr>
            <w:tcW w:w="2057" w:type="dxa"/>
            <w:shd w:val="clear" w:color="auto" w:fill="auto"/>
            <w:vAlign w:val="center"/>
            <w:hideMark/>
          </w:tcPr>
          <w:p w14:paraId="78920E4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63A8FB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776D950B" w14:textId="77777777" w:rsidTr="009A7AC2">
        <w:trPr>
          <w:trHeight w:val="340"/>
          <w:jc w:val="center"/>
        </w:trPr>
        <w:tc>
          <w:tcPr>
            <w:tcW w:w="2057" w:type="dxa"/>
            <w:shd w:val="clear" w:color="auto" w:fill="auto"/>
            <w:vAlign w:val="center"/>
            <w:hideMark/>
          </w:tcPr>
          <w:p w14:paraId="72646E9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11F4CD1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427F380D" w14:textId="77777777" w:rsidTr="009A7AC2">
        <w:trPr>
          <w:trHeight w:val="340"/>
          <w:jc w:val="center"/>
        </w:trPr>
        <w:tc>
          <w:tcPr>
            <w:tcW w:w="2057" w:type="dxa"/>
            <w:shd w:val="clear" w:color="auto" w:fill="auto"/>
            <w:vAlign w:val="center"/>
          </w:tcPr>
          <w:p w14:paraId="41FBBA1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711EB7D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w:t>
            </w:r>
          </w:p>
        </w:tc>
      </w:tr>
    </w:tbl>
    <w:p w14:paraId="25962444"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100BEA60"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0BF9FA81"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Rekonstruovat domek hrobníka</w:t>
            </w:r>
          </w:p>
        </w:tc>
      </w:tr>
      <w:tr w:rsidR="00E25C73" w:rsidRPr="00E25C73" w14:paraId="347C82B1" w14:textId="77777777" w:rsidTr="009A7AC2">
        <w:trPr>
          <w:trHeight w:val="340"/>
          <w:jc w:val="center"/>
        </w:trPr>
        <w:tc>
          <w:tcPr>
            <w:tcW w:w="2057" w:type="dxa"/>
            <w:shd w:val="clear" w:color="auto" w:fill="auto"/>
            <w:vAlign w:val="center"/>
            <w:hideMark/>
          </w:tcPr>
          <w:p w14:paraId="342B319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781ABAC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617A7F93" w14:textId="77777777" w:rsidTr="009A7AC2">
        <w:trPr>
          <w:trHeight w:val="340"/>
          <w:jc w:val="center"/>
        </w:trPr>
        <w:tc>
          <w:tcPr>
            <w:tcW w:w="2057" w:type="dxa"/>
            <w:shd w:val="clear" w:color="auto" w:fill="auto"/>
            <w:vAlign w:val="center"/>
          </w:tcPr>
          <w:p w14:paraId="27AE99D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7050A94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0858769A" w14:textId="77777777" w:rsidTr="009A7AC2">
        <w:trPr>
          <w:trHeight w:val="340"/>
          <w:jc w:val="center"/>
        </w:trPr>
        <w:tc>
          <w:tcPr>
            <w:tcW w:w="2057" w:type="dxa"/>
            <w:shd w:val="clear" w:color="auto" w:fill="auto"/>
            <w:vAlign w:val="center"/>
            <w:hideMark/>
          </w:tcPr>
          <w:p w14:paraId="337D1D9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61E4247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MMR, KHK kraj</w:t>
            </w:r>
          </w:p>
        </w:tc>
      </w:tr>
      <w:tr w:rsidR="00E25C73" w:rsidRPr="00E25C73" w14:paraId="0E5EC0C9" w14:textId="77777777" w:rsidTr="009A7AC2">
        <w:trPr>
          <w:trHeight w:val="340"/>
          <w:jc w:val="center"/>
        </w:trPr>
        <w:tc>
          <w:tcPr>
            <w:tcW w:w="2057" w:type="dxa"/>
            <w:shd w:val="clear" w:color="auto" w:fill="auto"/>
            <w:vAlign w:val="center"/>
            <w:hideMark/>
          </w:tcPr>
          <w:p w14:paraId="44CAA55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2D36120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zajištění optimálního stavu domku hrobníka</w:t>
            </w:r>
          </w:p>
        </w:tc>
      </w:tr>
      <w:tr w:rsidR="00E25C73" w:rsidRPr="00E25C73" w14:paraId="71742714" w14:textId="77777777" w:rsidTr="009A7AC2">
        <w:trPr>
          <w:trHeight w:val="48"/>
          <w:jc w:val="center"/>
        </w:trPr>
        <w:tc>
          <w:tcPr>
            <w:tcW w:w="2057" w:type="dxa"/>
            <w:shd w:val="clear" w:color="auto" w:fill="auto"/>
            <w:vAlign w:val="center"/>
            <w:hideMark/>
          </w:tcPr>
          <w:p w14:paraId="6416868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4F32F88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2B3F078D" w14:textId="77777777" w:rsidTr="009A7AC2">
        <w:trPr>
          <w:trHeight w:val="340"/>
          <w:jc w:val="center"/>
        </w:trPr>
        <w:tc>
          <w:tcPr>
            <w:tcW w:w="2057" w:type="dxa"/>
            <w:shd w:val="clear" w:color="auto" w:fill="auto"/>
            <w:vAlign w:val="center"/>
            <w:hideMark/>
          </w:tcPr>
          <w:p w14:paraId="100C2FA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3E8C665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00EF6EA6" w14:textId="77777777" w:rsidTr="009A7AC2">
        <w:trPr>
          <w:trHeight w:val="340"/>
          <w:jc w:val="center"/>
        </w:trPr>
        <w:tc>
          <w:tcPr>
            <w:tcW w:w="2057" w:type="dxa"/>
            <w:shd w:val="clear" w:color="auto" w:fill="auto"/>
            <w:vAlign w:val="center"/>
            <w:hideMark/>
          </w:tcPr>
          <w:p w14:paraId="2C116DF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33B34F2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mil. Kč</w:t>
            </w:r>
          </w:p>
        </w:tc>
      </w:tr>
      <w:tr w:rsidR="00E25C73" w:rsidRPr="00E25C73" w14:paraId="52A9B888" w14:textId="77777777" w:rsidTr="009A7AC2">
        <w:trPr>
          <w:trHeight w:val="340"/>
          <w:jc w:val="center"/>
        </w:trPr>
        <w:tc>
          <w:tcPr>
            <w:tcW w:w="2057" w:type="dxa"/>
            <w:shd w:val="clear" w:color="auto" w:fill="auto"/>
            <w:vAlign w:val="center"/>
            <w:hideMark/>
          </w:tcPr>
          <w:p w14:paraId="7C74789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1B444CF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rozvoje regionů, podprogram PORV – DT Obnova drobných sakrálních staveb a hřbitovů</w:t>
            </w:r>
          </w:p>
          <w:p w14:paraId="2648B58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4E69FA0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22E905EC" w14:textId="77777777" w:rsidTr="009A7AC2">
        <w:trPr>
          <w:trHeight w:val="340"/>
          <w:jc w:val="center"/>
        </w:trPr>
        <w:tc>
          <w:tcPr>
            <w:tcW w:w="2057" w:type="dxa"/>
            <w:shd w:val="clear" w:color="auto" w:fill="auto"/>
            <w:vAlign w:val="center"/>
            <w:hideMark/>
          </w:tcPr>
          <w:p w14:paraId="5419190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61E17F9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bez vazby na strategické dokumenty</w:t>
            </w:r>
          </w:p>
        </w:tc>
      </w:tr>
      <w:tr w:rsidR="00E25C73" w:rsidRPr="00E25C73" w14:paraId="7D492A1F" w14:textId="77777777" w:rsidTr="009A7AC2">
        <w:trPr>
          <w:trHeight w:val="340"/>
          <w:jc w:val="center"/>
        </w:trPr>
        <w:tc>
          <w:tcPr>
            <w:tcW w:w="2057" w:type="dxa"/>
            <w:shd w:val="clear" w:color="auto" w:fill="auto"/>
            <w:vAlign w:val="center"/>
            <w:hideMark/>
          </w:tcPr>
          <w:p w14:paraId="6094F37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4D4C258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parcela KN st. 212 (k. ú. Prostřední Staré buky)</w:t>
            </w:r>
          </w:p>
        </w:tc>
      </w:tr>
      <w:tr w:rsidR="00E25C73" w:rsidRPr="00E25C73" w14:paraId="1FEAE54C" w14:textId="77777777" w:rsidTr="009A7AC2">
        <w:trPr>
          <w:trHeight w:val="340"/>
          <w:jc w:val="center"/>
        </w:trPr>
        <w:tc>
          <w:tcPr>
            <w:tcW w:w="2057" w:type="dxa"/>
            <w:shd w:val="clear" w:color="auto" w:fill="auto"/>
            <w:vAlign w:val="center"/>
            <w:hideMark/>
          </w:tcPr>
          <w:p w14:paraId="7AE1E54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472635C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w:t>
            </w:r>
            <w:r w:rsidRPr="00E25C73">
              <w:rPr>
                <w:rFonts w:ascii="Calibri" w:eastAsia="Calibri" w:hAnsi="Calibri" w:cs="Times New Roman"/>
              </w:rPr>
              <w:t xml:space="preserve"> </w:t>
            </w:r>
            <w:r w:rsidRPr="00E25C73">
              <w:rPr>
                <w:rFonts w:ascii="Calibri" w:eastAsia="Times New Roman" w:hAnsi="Calibri" w:cs="Calibri"/>
                <w:color w:val="000000"/>
                <w:sz w:val="20"/>
                <w:szCs w:val="20"/>
                <w:lang w:eastAsia="cs-CZ"/>
              </w:rPr>
              <w:t>domek hrobníka rekonstruovat</w:t>
            </w:r>
          </w:p>
        </w:tc>
      </w:tr>
      <w:tr w:rsidR="00E25C73" w:rsidRPr="00E25C73" w14:paraId="6D550CD3" w14:textId="77777777" w:rsidTr="009A7AC2">
        <w:trPr>
          <w:trHeight w:val="340"/>
          <w:jc w:val="center"/>
        </w:trPr>
        <w:tc>
          <w:tcPr>
            <w:tcW w:w="2057" w:type="dxa"/>
            <w:shd w:val="clear" w:color="auto" w:fill="auto"/>
            <w:vAlign w:val="center"/>
            <w:hideMark/>
          </w:tcPr>
          <w:p w14:paraId="116B56B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5DE9CC7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0179B014" w14:textId="77777777" w:rsidTr="009A7AC2">
        <w:trPr>
          <w:trHeight w:val="340"/>
          <w:jc w:val="center"/>
        </w:trPr>
        <w:tc>
          <w:tcPr>
            <w:tcW w:w="2057" w:type="dxa"/>
            <w:shd w:val="clear" w:color="auto" w:fill="auto"/>
            <w:vAlign w:val="center"/>
            <w:hideMark/>
          </w:tcPr>
          <w:p w14:paraId="72D9EB9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2D2F0FB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39ABE7E9" w14:textId="77777777" w:rsidTr="009A7AC2">
        <w:trPr>
          <w:trHeight w:val="340"/>
          <w:jc w:val="center"/>
        </w:trPr>
        <w:tc>
          <w:tcPr>
            <w:tcW w:w="2057" w:type="dxa"/>
            <w:shd w:val="clear" w:color="auto" w:fill="auto"/>
            <w:vAlign w:val="center"/>
          </w:tcPr>
          <w:p w14:paraId="34649A4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127F535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w:t>
            </w:r>
          </w:p>
        </w:tc>
      </w:tr>
    </w:tbl>
    <w:p w14:paraId="12ECAE8D"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664E2589"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1CF10B60"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Zlepšit stav interiéru Kostela sv. Anny</w:t>
            </w:r>
          </w:p>
        </w:tc>
      </w:tr>
      <w:tr w:rsidR="00E25C73" w:rsidRPr="00E25C73" w14:paraId="6FF3A227" w14:textId="77777777" w:rsidTr="009A7AC2">
        <w:trPr>
          <w:trHeight w:val="340"/>
          <w:jc w:val="center"/>
        </w:trPr>
        <w:tc>
          <w:tcPr>
            <w:tcW w:w="2057" w:type="dxa"/>
            <w:shd w:val="clear" w:color="auto" w:fill="auto"/>
            <w:vAlign w:val="center"/>
            <w:hideMark/>
          </w:tcPr>
          <w:p w14:paraId="5F02D36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0A761AE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44133F58" w14:textId="77777777" w:rsidTr="009A7AC2">
        <w:trPr>
          <w:trHeight w:val="340"/>
          <w:jc w:val="center"/>
        </w:trPr>
        <w:tc>
          <w:tcPr>
            <w:tcW w:w="2057" w:type="dxa"/>
            <w:shd w:val="clear" w:color="auto" w:fill="auto"/>
            <w:vAlign w:val="center"/>
          </w:tcPr>
          <w:p w14:paraId="70A0AAE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5EC8453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42ABDFE2" w14:textId="77777777" w:rsidTr="009A7AC2">
        <w:trPr>
          <w:trHeight w:val="340"/>
          <w:jc w:val="center"/>
        </w:trPr>
        <w:tc>
          <w:tcPr>
            <w:tcW w:w="2057" w:type="dxa"/>
            <w:shd w:val="clear" w:color="auto" w:fill="auto"/>
            <w:vAlign w:val="center"/>
            <w:hideMark/>
          </w:tcPr>
          <w:p w14:paraId="3171E4F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7968C07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MMR, KHK kraj</w:t>
            </w:r>
          </w:p>
        </w:tc>
      </w:tr>
      <w:tr w:rsidR="00E25C73" w:rsidRPr="00E25C73" w14:paraId="1F7CC378" w14:textId="77777777" w:rsidTr="009A7AC2">
        <w:trPr>
          <w:trHeight w:val="340"/>
          <w:jc w:val="center"/>
        </w:trPr>
        <w:tc>
          <w:tcPr>
            <w:tcW w:w="2057" w:type="dxa"/>
            <w:shd w:val="clear" w:color="auto" w:fill="auto"/>
            <w:vAlign w:val="center"/>
            <w:hideMark/>
          </w:tcPr>
          <w:p w14:paraId="56B8AE5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060596F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zlepšení stavu interiéru kostela, využití potenciálu interiéru kostela, který nabízí</w:t>
            </w:r>
          </w:p>
        </w:tc>
      </w:tr>
      <w:tr w:rsidR="00E25C73" w:rsidRPr="00E25C73" w14:paraId="0D5C19D7" w14:textId="77777777" w:rsidTr="009A7AC2">
        <w:trPr>
          <w:trHeight w:val="48"/>
          <w:jc w:val="center"/>
        </w:trPr>
        <w:tc>
          <w:tcPr>
            <w:tcW w:w="2057" w:type="dxa"/>
            <w:shd w:val="clear" w:color="auto" w:fill="auto"/>
            <w:vAlign w:val="center"/>
            <w:hideMark/>
          </w:tcPr>
          <w:p w14:paraId="1063883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556E8E7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05C5DFF6" w14:textId="77777777" w:rsidTr="009A7AC2">
        <w:trPr>
          <w:trHeight w:val="340"/>
          <w:jc w:val="center"/>
        </w:trPr>
        <w:tc>
          <w:tcPr>
            <w:tcW w:w="2057" w:type="dxa"/>
            <w:shd w:val="clear" w:color="auto" w:fill="auto"/>
            <w:vAlign w:val="center"/>
            <w:hideMark/>
          </w:tcPr>
          <w:p w14:paraId="2157FFD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47FE671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42894DE2" w14:textId="77777777" w:rsidTr="009A7AC2">
        <w:trPr>
          <w:trHeight w:val="340"/>
          <w:jc w:val="center"/>
        </w:trPr>
        <w:tc>
          <w:tcPr>
            <w:tcW w:w="2057" w:type="dxa"/>
            <w:shd w:val="clear" w:color="auto" w:fill="auto"/>
            <w:vAlign w:val="center"/>
            <w:hideMark/>
          </w:tcPr>
          <w:p w14:paraId="132D847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544051A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desítek až stovek tis. Kč</w:t>
            </w:r>
          </w:p>
        </w:tc>
      </w:tr>
      <w:tr w:rsidR="00E25C73" w:rsidRPr="00E25C73" w14:paraId="65C25CD5" w14:textId="77777777" w:rsidTr="009A7AC2">
        <w:trPr>
          <w:trHeight w:val="340"/>
          <w:jc w:val="center"/>
        </w:trPr>
        <w:tc>
          <w:tcPr>
            <w:tcW w:w="2057" w:type="dxa"/>
            <w:shd w:val="clear" w:color="auto" w:fill="auto"/>
            <w:vAlign w:val="center"/>
            <w:hideMark/>
          </w:tcPr>
          <w:p w14:paraId="287DA54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7739736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rozvoje regionů, podprogram PORV – DT Obnova drobných sakrálních staveb a hřbitovů</w:t>
            </w:r>
          </w:p>
          <w:p w14:paraId="720CE02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730018B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420041A2" w14:textId="77777777" w:rsidTr="009A7AC2">
        <w:trPr>
          <w:trHeight w:val="340"/>
          <w:jc w:val="center"/>
        </w:trPr>
        <w:tc>
          <w:tcPr>
            <w:tcW w:w="2057" w:type="dxa"/>
            <w:shd w:val="clear" w:color="auto" w:fill="auto"/>
            <w:vAlign w:val="center"/>
            <w:hideMark/>
          </w:tcPr>
          <w:p w14:paraId="6C70448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2A02A1A7" w14:textId="77777777" w:rsidR="00E25C73" w:rsidRPr="00E25C73" w:rsidRDefault="00E25C73" w:rsidP="00E25C73">
            <w:pPr>
              <w:spacing w:before="60" w:after="60"/>
              <w:jc w:val="both"/>
              <w:rPr>
                <w:rFonts w:ascii="Calibri" w:eastAsia="Calibri" w:hAnsi="Calibri" w:cs="Calibri"/>
                <w:color w:val="000000"/>
                <w:sz w:val="20"/>
                <w:szCs w:val="20"/>
              </w:rPr>
            </w:pPr>
            <w:r w:rsidRPr="00E25C73">
              <w:rPr>
                <w:rFonts w:ascii="Calibri" w:eastAsia="Calibri" w:hAnsi="Calibri" w:cs="Calibri"/>
                <w:color w:val="000000"/>
                <w:sz w:val="20"/>
                <w:szCs w:val="20"/>
              </w:rPr>
              <w:t>Strategie rozvoje Královéhradeckého kraje na období 2021–2027 (SP 2: Zdravá, stabilní a soudržná společnost, StC 2.3: Vysoká úroveň kultury a trávení volného času, Opatření 2.3.2: Péče o kulturně-historické dědictví regionu, rozvoj paměťových institucí a dalších kulturních zařízení)</w:t>
            </w:r>
          </w:p>
        </w:tc>
      </w:tr>
      <w:tr w:rsidR="00E25C73" w:rsidRPr="00E25C73" w14:paraId="487E13B6" w14:textId="77777777" w:rsidTr="009A7AC2">
        <w:trPr>
          <w:trHeight w:val="340"/>
          <w:jc w:val="center"/>
        </w:trPr>
        <w:tc>
          <w:tcPr>
            <w:tcW w:w="2057" w:type="dxa"/>
            <w:shd w:val="clear" w:color="auto" w:fill="auto"/>
            <w:vAlign w:val="center"/>
            <w:hideMark/>
          </w:tcPr>
          <w:p w14:paraId="1EE2C60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7CD3129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parcela KN st. 6 (k. ú. Prostřední Staré Buky)</w:t>
            </w:r>
          </w:p>
        </w:tc>
      </w:tr>
      <w:tr w:rsidR="00E25C73" w:rsidRPr="00E25C73" w14:paraId="3C38907C" w14:textId="77777777" w:rsidTr="009A7AC2">
        <w:trPr>
          <w:trHeight w:val="340"/>
          <w:jc w:val="center"/>
        </w:trPr>
        <w:tc>
          <w:tcPr>
            <w:tcW w:w="2057" w:type="dxa"/>
            <w:shd w:val="clear" w:color="auto" w:fill="auto"/>
            <w:vAlign w:val="center"/>
            <w:hideMark/>
          </w:tcPr>
          <w:p w14:paraId="27C6FE9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1820C52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w:t>
            </w:r>
            <w:r w:rsidRPr="00E25C73">
              <w:rPr>
                <w:rFonts w:ascii="Calibri" w:eastAsia="Calibri" w:hAnsi="Calibri" w:cs="Times New Roman"/>
              </w:rPr>
              <w:t xml:space="preserve"> </w:t>
            </w:r>
            <w:r w:rsidRPr="00E25C73">
              <w:rPr>
                <w:rFonts w:ascii="Calibri" w:eastAsia="Times New Roman" w:hAnsi="Calibri" w:cs="Calibri"/>
                <w:color w:val="000000"/>
                <w:sz w:val="20"/>
                <w:szCs w:val="20"/>
                <w:lang w:eastAsia="cs-CZ"/>
              </w:rPr>
              <w:t>stav interiéru Kostela sv. Anny zlepšit</w:t>
            </w:r>
          </w:p>
        </w:tc>
      </w:tr>
      <w:tr w:rsidR="00E25C73" w:rsidRPr="00E25C73" w14:paraId="1C820C4D" w14:textId="77777777" w:rsidTr="009A7AC2">
        <w:trPr>
          <w:trHeight w:val="340"/>
          <w:jc w:val="center"/>
        </w:trPr>
        <w:tc>
          <w:tcPr>
            <w:tcW w:w="2057" w:type="dxa"/>
            <w:shd w:val="clear" w:color="auto" w:fill="auto"/>
            <w:vAlign w:val="center"/>
            <w:hideMark/>
          </w:tcPr>
          <w:p w14:paraId="610BAFA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85F566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4D9D5326" w14:textId="77777777" w:rsidTr="009A7AC2">
        <w:trPr>
          <w:trHeight w:val="340"/>
          <w:jc w:val="center"/>
        </w:trPr>
        <w:tc>
          <w:tcPr>
            <w:tcW w:w="2057" w:type="dxa"/>
            <w:shd w:val="clear" w:color="auto" w:fill="auto"/>
            <w:vAlign w:val="center"/>
            <w:hideMark/>
          </w:tcPr>
          <w:p w14:paraId="441EB4D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690DB31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67BE203A" w14:textId="77777777" w:rsidTr="009A7AC2">
        <w:trPr>
          <w:trHeight w:val="340"/>
          <w:jc w:val="center"/>
        </w:trPr>
        <w:tc>
          <w:tcPr>
            <w:tcW w:w="2057" w:type="dxa"/>
            <w:shd w:val="clear" w:color="auto" w:fill="auto"/>
            <w:vAlign w:val="center"/>
          </w:tcPr>
          <w:p w14:paraId="278BBD1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36E0C3A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w:t>
            </w:r>
          </w:p>
        </w:tc>
      </w:tr>
    </w:tbl>
    <w:p w14:paraId="03E72D03"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318DD7C1"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56B67AB2"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Opravit schody nacházející se poblíž sochy sv. Jana Nepomuckého</w:t>
            </w:r>
          </w:p>
        </w:tc>
      </w:tr>
      <w:tr w:rsidR="00E25C73" w:rsidRPr="00E25C73" w14:paraId="7C6F1C17" w14:textId="77777777" w:rsidTr="009A7AC2">
        <w:trPr>
          <w:trHeight w:val="340"/>
          <w:jc w:val="center"/>
        </w:trPr>
        <w:tc>
          <w:tcPr>
            <w:tcW w:w="2057" w:type="dxa"/>
            <w:shd w:val="clear" w:color="auto" w:fill="auto"/>
            <w:vAlign w:val="center"/>
            <w:hideMark/>
          </w:tcPr>
          <w:p w14:paraId="299ADFD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3589A44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3ACE5B2C" w14:textId="77777777" w:rsidTr="009A7AC2">
        <w:trPr>
          <w:trHeight w:val="340"/>
          <w:jc w:val="center"/>
        </w:trPr>
        <w:tc>
          <w:tcPr>
            <w:tcW w:w="2057" w:type="dxa"/>
            <w:shd w:val="clear" w:color="auto" w:fill="auto"/>
            <w:vAlign w:val="center"/>
          </w:tcPr>
          <w:p w14:paraId="4D958D5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7D5B837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20437E48" w14:textId="77777777" w:rsidTr="009A7AC2">
        <w:trPr>
          <w:trHeight w:val="340"/>
          <w:jc w:val="center"/>
        </w:trPr>
        <w:tc>
          <w:tcPr>
            <w:tcW w:w="2057" w:type="dxa"/>
            <w:shd w:val="clear" w:color="auto" w:fill="auto"/>
            <w:vAlign w:val="center"/>
            <w:hideMark/>
          </w:tcPr>
          <w:p w14:paraId="198C67A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3A711BC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bez relevantních partnerů</w:t>
            </w:r>
          </w:p>
        </w:tc>
      </w:tr>
      <w:tr w:rsidR="00E25C73" w:rsidRPr="00E25C73" w14:paraId="4F3C5BC8" w14:textId="77777777" w:rsidTr="009A7AC2">
        <w:trPr>
          <w:trHeight w:val="340"/>
          <w:jc w:val="center"/>
        </w:trPr>
        <w:tc>
          <w:tcPr>
            <w:tcW w:w="2057" w:type="dxa"/>
            <w:shd w:val="clear" w:color="auto" w:fill="auto"/>
            <w:vAlign w:val="center"/>
            <w:hideMark/>
          </w:tcPr>
          <w:p w14:paraId="5850539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1CA3B3F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 xml:space="preserve">zlepšení stavu schodů nacházejících se poblíž sochy sv. Jana Nepomuckého → zvýšení bezpečnosti chodců využívajících schody </w:t>
            </w:r>
          </w:p>
        </w:tc>
      </w:tr>
      <w:tr w:rsidR="00E25C73" w:rsidRPr="00E25C73" w14:paraId="6887350D" w14:textId="77777777" w:rsidTr="009A7AC2">
        <w:trPr>
          <w:trHeight w:val="48"/>
          <w:jc w:val="center"/>
        </w:trPr>
        <w:tc>
          <w:tcPr>
            <w:tcW w:w="2057" w:type="dxa"/>
            <w:shd w:val="clear" w:color="auto" w:fill="auto"/>
            <w:vAlign w:val="center"/>
            <w:hideMark/>
          </w:tcPr>
          <w:p w14:paraId="5999D8F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7E24E58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06799A24" w14:textId="77777777" w:rsidTr="009A7AC2">
        <w:trPr>
          <w:trHeight w:val="340"/>
          <w:jc w:val="center"/>
        </w:trPr>
        <w:tc>
          <w:tcPr>
            <w:tcW w:w="2057" w:type="dxa"/>
            <w:shd w:val="clear" w:color="auto" w:fill="auto"/>
            <w:vAlign w:val="center"/>
            <w:hideMark/>
          </w:tcPr>
          <w:p w14:paraId="260B240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1472783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nízká</w:t>
            </w:r>
          </w:p>
        </w:tc>
      </w:tr>
      <w:tr w:rsidR="00E25C73" w:rsidRPr="00E25C73" w14:paraId="5343AB40" w14:textId="77777777" w:rsidTr="009A7AC2">
        <w:trPr>
          <w:trHeight w:val="340"/>
          <w:jc w:val="center"/>
        </w:trPr>
        <w:tc>
          <w:tcPr>
            <w:tcW w:w="2057" w:type="dxa"/>
            <w:shd w:val="clear" w:color="auto" w:fill="auto"/>
            <w:vAlign w:val="center"/>
            <w:hideMark/>
          </w:tcPr>
          <w:p w14:paraId="021AFC3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604BB3F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desítek až stovek tis. Kč</w:t>
            </w:r>
          </w:p>
        </w:tc>
      </w:tr>
      <w:tr w:rsidR="00E25C73" w:rsidRPr="00E25C73" w14:paraId="20CE13C5" w14:textId="77777777" w:rsidTr="009A7AC2">
        <w:trPr>
          <w:trHeight w:val="340"/>
          <w:jc w:val="center"/>
        </w:trPr>
        <w:tc>
          <w:tcPr>
            <w:tcW w:w="2057" w:type="dxa"/>
            <w:shd w:val="clear" w:color="auto" w:fill="auto"/>
            <w:vAlign w:val="center"/>
            <w:hideMark/>
          </w:tcPr>
          <w:p w14:paraId="660DA0A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33D8D77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14A500A0" w14:textId="77777777" w:rsidTr="009A7AC2">
        <w:trPr>
          <w:trHeight w:val="340"/>
          <w:jc w:val="center"/>
        </w:trPr>
        <w:tc>
          <w:tcPr>
            <w:tcW w:w="2057" w:type="dxa"/>
            <w:shd w:val="clear" w:color="auto" w:fill="auto"/>
            <w:vAlign w:val="center"/>
            <w:hideMark/>
          </w:tcPr>
          <w:p w14:paraId="1CD940D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559A1F0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bez vazby na strategické dokumenty</w:t>
            </w:r>
          </w:p>
        </w:tc>
      </w:tr>
      <w:tr w:rsidR="00E25C73" w:rsidRPr="00E25C73" w14:paraId="77572C35" w14:textId="77777777" w:rsidTr="009A7AC2">
        <w:trPr>
          <w:trHeight w:val="340"/>
          <w:jc w:val="center"/>
        </w:trPr>
        <w:tc>
          <w:tcPr>
            <w:tcW w:w="2057" w:type="dxa"/>
            <w:shd w:val="clear" w:color="auto" w:fill="auto"/>
            <w:vAlign w:val="center"/>
            <w:hideMark/>
          </w:tcPr>
          <w:p w14:paraId="1915ACA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6F8C604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parcely KN 2397 a KN 2555 (oboje k. ú. Prostřední Staré Buky)</w:t>
            </w:r>
          </w:p>
        </w:tc>
      </w:tr>
      <w:tr w:rsidR="00E25C73" w:rsidRPr="00E25C73" w14:paraId="6D683EA9" w14:textId="77777777" w:rsidTr="009A7AC2">
        <w:trPr>
          <w:trHeight w:val="340"/>
          <w:jc w:val="center"/>
        </w:trPr>
        <w:tc>
          <w:tcPr>
            <w:tcW w:w="2057" w:type="dxa"/>
            <w:shd w:val="clear" w:color="auto" w:fill="auto"/>
            <w:vAlign w:val="center"/>
            <w:hideMark/>
          </w:tcPr>
          <w:p w14:paraId="6647DCF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6DF50FB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 stav schodů nacházejících se poblíž sochy sv. Jana Nepomuckého zlepšit</w:t>
            </w:r>
          </w:p>
        </w:tc>
      </w:tr>
      <w:tr w:rsidR="00E25C73" w:rsidRPr="00E25C73" w14:paraId="2629C1ED" w14:textId="77777777" w:rsidTr="009A7AC2">
        <w:trPr>
          <w:trHeight w:val="340"/>
          <w:jc w:val="center"/>
        </w:trPr>
        <w:tc>
          <w:tcPr>
            <w:tcW w:w="2057" w:type="dxa"/>
            <w:shd w:val="clear" w:color="auto" w:fill="auto"/>
            <w:vAlign w:val="center"/>
            <w:hideMark/>
          </w:tcPr>
          <w:p w14:paraId="5338C45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43D0390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1CF66197" w14:textId="77777777" w:rsidTr="009A7AC2">
        <w:trPr>
          <w:trHeight w:val="340"/>
          <w:jc w:val="center"/>
        </w:trPr>
        <w:tc>
          <w:tcPr>
            <w:tcW w:w="2057" w:type="dxa"/>
            <w:shd w:val="clear" w:color="auto" w:fill="auto"/>
            <w:vAlign w:val="center"/>
            <w:hideMark/>
          </w:tcPr>
          <w:p w14:paraId="2B0173E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71C7E70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1BDCDDE1" w14:textId="77777777" w:rsidTr="009A7AC2">
        <w:trPr>
          <w:trHeight w:val="340"/>
          <w:jc w:val="center"/>
        </w:trPr>
        <w:tc>
          <w:tcPr>
            <w:tcW w:w="2057" w:type="dxa"/>
            <w:shd w:val="clear" w:color="auto" w:fill="auto"/>
            <w:vAlign w:val="center"/>
          </w:tcPr>
          <w:p w14:paraId="330AAF4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3BF407D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w:t>
            </w:r>
          </w:p>
        </w:tc>
      </w:tr>
    </w:tbl>
    <w:p w14:paraId="0338CB5F"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5D6D7746"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34DEABB1"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Zajistit možnost existence sociálního a startovacího bydlení v obci</w:t>
            </w:r>
          </w:p>
        </w:tc>
      </w:tr>
      <w:tr w:rsidR="00E25C73" w:rsidRPr="00E25C73" w14:paraId="1374EE73" w14:textId="77777777" w:rsidTr="009A7AC2">
        <w:trPr>
          <w:trHeight w:val="340"/>
          <w:jc w:val="center"/>
        </w:trPr>
        <w:tc>
          <w:tcPr>
            <w:tcW w:w="2057" w:type="dxa"/>
            <w:shd w:val="clear" w:color="auto" w:fill="auto"/>
            <w:vAlign w:val="center"/>
            <w:hideMark/>
          </w:tcPr>
          <w:p w14:paraId="4B859E5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6017FDE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57A51ED2" w14:textId="77777777" w:rsidTr="009A7AC2">
        <w:trPr>
          <w:trHeight w:val="340"/>
          <w:jc w:val="center"/>
        </w:trPr>
        <w:tc>
          <w:tcPr>
            <w:tcW w:w="2057" w:type="dxa"/>
            <w:shd w:val="clear" w:color="auto" w:fill="auto"/>
            <w:vAlign w:val="center"/>
          </w:tcPr>
          <w:p w14:paraId="07EC6F9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1481EE7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27DF7F59" w14:textId="77777777" w:rsidTr="009A7AC2">
        <w:trPr>
          <w:trHeight w:val="340"/>
          <w:jc w:val="center"/>
        </w:trPr>
        <w:tc>
          <w:tcPr>
            <w:tcW w:w="2057" w:type="dxa"/>
            <w:shd w:val="clear" w:color="auto" w:fill="auto"/>
            <w:vAlign w:val="center"/>
            <w:hideMark/>
          </w:tcPr>
          <w:p w14:paraId="749C39D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286438B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MMR</w:t>
            </w:r>
          </w:p>
        </w:tc>
      </w:tr>
      <w:tr w:rsidR="00E25C73" w:rsidRPr="00E25C73" w14:paraId="171E7A9C" w14:textId="77777777" w:rsidTr="009A7AC2">
        <w:trPr>
          <w:trHeight w:val="340"/>
          <w:jc w:val="center"/>
        </w:trPr>
        <w:tc>
          <w:tcPr>
            <w:tcW w:w="2057" w:type="dxa"/>
            <w:shd w:val="clear" w:color="auto" w:fill="auto"/>
            <w:vAlign w:val="center"/>
            <w:hideMark/>
          </w:tcPr>
          <w:p w14:paraId="442530C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61CD2C0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existence bytů plnících funkci sociálního a startovacího bydlení</w:t>
            </w:r>
          </w:p>
        </w:tc>
      </w:tr>
      <w:tr w:rsidR="00E25C73" w:rsidRPr="00E25C73" w14:paraId="418C4EAF" w14:textId="77777777" w:rsidTr="009A7AC2">
        <w:trPr>
          <w:trHeight w:val="48"/>
          <w:jc w:val="center"/>
        </w:trPr>
        <w:tc>
          <w:tcPr>
            <w:tcW w:w="2057" w:type="dxa"/>
            <w:shd w:val="clear" w:color="auto" w:fill="auto"/>
            <w:vAlign w:val="center"/>
            <w:hideMark/>
          </w:tcPr>
          <w:p w14:paraId="07526E6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0061C34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59951510" w14:textId="77777777" w:rsidTr="009A7AC2">
        <w:trPr>
          <w:trHeight w:val="340"/>
          <w:jc w:val="center"/>
        </w:trPr>
        <w:tc>
          <w:tcPr>
            <w:tcW w:w="2057" w:type="dxa"/>
            <w:shd w:val="clear" w:color="auto" w:fill="auto"/>
            <w:vAlign w:val="center"/>
            <w:hideMark/>
          </w:tcPr>
          <w:p w14:paraId="3EB360A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028F96B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2041CF3B" w14:textId="77777777" w:rsidTr="009A7AC2">
        <w:trPr>
          <w:trHeight w:val="340"/>
          <w:jc w:val="center"/>
        </w:trPr>
        <w:tc>
          <w:tcPr>
            <w:tcW w:w="2057" w:type="dxa"/>
            <w:shd w:val="clear" w:color="auto" w:fill="auto"/>
            <w:vAlign w:val="center"/>
            <w:hideMark/>
          </w:tcPr>
          <w:p w14:paraId="4755DDF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4430D40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mil. Kč</w:t>
            </w:r>
          </w:p>
        </w:tc>
      </w:tr>
      <w:tr w:rsidR="00E25C73" w:rsidRPr="00E25C73" w14:paraId="527D4DC1" w14:textId="77777777" w:rsidTr="009A7AC2">
        <w:trPr>
          <w:trHeight w:val="340"/>
          <w:jc w:val="center"/>
        </w:trPr>
        <w:tc>
          <w:tcPr>
            <w:tcW w:w="2057" w:type="dxa"/>
            <w:shd w:val="clear" w:color="auto" w:fill="auto"/>
            <w:vAlign w:val="center"/>
            <w:hideMark/>
          </w:tcPr>
          <w:p w14:paraId="17B7CC0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0119CD0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bydlení, podprogram Podporované byty</w:t>
            </w:r>
          </w:p>
          <w:p w14:paraId="55DA714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SFPI – úvěrový program Výstavba pro obce – na pořízení dostupných bytů, dostupných domů a smíšených domů dle nařízení vlády č. 112/2019 Sb.</w:t>
            </w:r>
          </w:p>
          <w:p w14:paraId="3837DF4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5D3C9516" w14:textId="77777777" w:rsidTr="009A7AC2">
        <w:trPr>
          <w:trHeight w:val="340"/>
          <w:jc w:val="center"/>
        </w:trPr>
        <w:tc>
          <w:tcPr>
            <w:tcW w:w="2057" w:type="dxa"/>
            <w:shd w:val="clear" w:color="auto" w:fill="auto"/>
            <w:vAlign w:val="center"/>
            <w:hideMark/>
          </w:tcPr>
          <w:p w14:paraId="2C1CD05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68714A4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2: Zdravá, stabilní a soudržná společnost, StC 2.2: Sociální stabilita a soudržnost společnosti, Opatření 2.2.3: Podpora rozvoje dostupného a sociálního bydlení a navazujících služeb v kraji)</w:t>
            </w:r>
          </w:p>
        </w:tc>
      </w:tr>
      <w:tr w:rsidR="00E25C73" w:rsidRPr="00E25C73" w14:paraId="2AB88F44" w14:textId="77777777" w:rsidTr="009A7AC2">
        <w:trPr>
          <w:trHeight w:val="340"/>
          <w:jc w:val="center"/>
        </w:trPr>
        <w:tc>
          <w:tcPr>
            <w:tcW w:w="2057" w:type="dxa"/>
            <w:shd w:val="clear" w:color="auto" w:fill="auto"/>
            <w:vAlign w:val="center"/>
            <w:hideMark/>
          </w:tcPr>
          <w:p w14:paraId="7830456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6EE38D8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možné varianty: využití části budovy zámečku, využití budovy s č. p. 50</w:t>
            </w:r>
          </w:p>
        </w:tc>
      </w:tr>
      <w:tr w:rsidR="00E25C73" w:rsidRPr="00E25C73" w14:paraId="61D3B711" w14:textId="77777777" w:rsidTr="009A7AC2">
        <w:trPr>
          <w:trHeight w:val="340"/>
          <w:jc w:val="center"/>
        </w:trPr>
        <w:tc>
          <w:tcPr>
            <w:tcW w:w="2057" w:type="dxa"/>
            <w:shd w:val="clear" w:color="auto" w:fill="auto"/>
            <w:vAlign w:val="center"/>
            <w:hideMark/>
          </w:tcPr>
          <w:p w14:paraId="055CF1D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59B7235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 existenci bytů plnících funkci sociálního a startovacího bydlení v obci zajistit</w:t>
            </w:r>
          </w:p>
        </w:tc>
      </w:tr>
      <w:tr w:rsidR="00E25C73" w:rsidRPr="00E25C73" w14:paraId="1FCDFD49" w14:textId="77777777" w:rsidTr="009A7AC2">
        <w:trPr>
          <w:trHeight w:val="340"/>
          <w:jc w:val="center"/>
        </w:trPr>
        <w:tc>
          <w:tcPr>
            <w:tcW w:w="2057" w:type="dxa"/>
            <w:shd w:val="clear" w:color="auto" w:fill="auto"/>
            <w:vAlign w:val="center"/>
            <w:hideMark/>
          </w:tcPr>
          <w:p w14:paraId="1222E7B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601EFC9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652A7861" w14:textId="77777777" w:rsidTr="009A7AC2">
        <w:trPr>
          <w:trHeight w:val="340"/>
          <w:jc w:val="center"/>
        </w:trPr>
        <w:tc>
          <w:tcPr>
            <w:tcW w:w="2057" w:type="dxa"/>
            <w:shd w:val="clear" w:color="auto" w:fill="auto"/>
            <w:vAlign w:val="center"/>
            <w:hideMark/>
          </w:tcPr>
          <w:p w14:paraId="3C7AA2B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47C17EC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72858BF2" w14:textId="77777777" w:rsidTr="009A7AC2">
        <w:trPr>
          <w:trHeight w:val="340"/>
          <w:jc w:val="center"/>
        </w:trPr>
        <w:tc>
          <w:tcPr>
            <w:tcW w:w="2057" w:type="dxa"/>
            <w:shd w:val="clear" w:color="auto" w:fill="auto"/>
            <w:vAlign w:val="center"/>
          </w:tcPr>
          <w:p w14:paraId="29590F6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58AFFCE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w:t>
            </w:r>
          </w:p>
        </w:tc>
      </w:tr>
    </w:tbl>
    <w:p w14:paraId="0856A9F2"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5CFACA09"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7FC25318"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Vybudovat společenské centrum v prostorách zámečku</w:t>
            </w:r>
          </w:p>
        </w:tc>
      </w:tr>
      <w:tr w:rsidR="00E25C73" w:rsidRPr="00E25C73" w14:paraId="66527A5D" w14:textId="77777777" w:rsidTr="009A7AC2">
        <w:trPr>
          <w:trHeight w:val="340"/>
          <w:jc w:val="center"/>
        </w:trPr>
        <w:tc>
          <w:tcPr>
            <w:tcW w:w="2057" w:type="dxa"/>
            <w:shd w:val="clear" w:color="auto" w:fill="auto"/>
            <w:vAlign w:val="center"/>
            <w:hideMark/>
          </w:tcPr>
          <w:p w14:paraId="1C25A11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6AA2102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3A9960F5" w14:textId="77777777" w:rsidTr="009A7AC2">
        <w:trPr>
          <w:trHeight w:val="340"/>
          <w:jc w:val="center"/>
        </w:trPr>
        <w:tc>
          <w:tcPr>
            <w:tcW w:w="2057" w:type="dxa"/>
            <w:shd w:val="clear" w:color="auto" w:fill="auto"/>
            <w:vAlign w:val="center"/>
          </w:tcPr>
          <w:p w14:paraId="052D259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3007E99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4C48CAB0" w14:textId="77777777" w:rsidTr="009A7AC2">
        <w:trPr>
          <w:trHeight w:val="340"/>
          <w:jc w:val="center"/>
        </w:trPr>
        <w:tc>
          <w:tcPr>
            <w:tcW w:w="2057" w:type="dxa"/>
            <w:shd w:val="clear" w:color="auto" w:fill="auto"/>
            <w:vAlign w:val="center"/>
            <w:hideMark/>
          </w:tcPr>
          <w:p w14:paraId="292970B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35D5206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MMR, MFČR, KHK kraj</w:t>
            </w:r>
          </w:p>
        </w:tc>
      </w:tr>
      <w:tr w:rsidR="00E25C73" w:rsidRPr="00E25C73" w14:paraId="619B8729" w14:textId="77777777" w:rsidTr="009A7AC2">
        <w:trPr>
          <w:trHeight w:val="340"/>
          <w:jc w:val="center"/>
        </w:trPr>
        <w:tc>
          <w:tcPr>
            <w:tcW w:w="2057" w:type="dxa"/>
            <w:shd w:val="clear" w:color="auto" w:fill="auto"/>
            <w:vAlign w:val="center"/>
            <w:hideMark/>
          </w:tcPr>
          <w:p w14:paraId="1F948F6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214EA84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existence společenského multifunkčního prostoru</w:t>
            </w:r>
            <w:r w:rsidRPr="00E25C73">
              <w:rPr>
                <w:rFonts w:ascii="Calibri" w:eastAsia="Calibri" w:hAnsi="Calibri" w:cs="Times New Roman"/>
              </w:rPr>
              <w:t xml:space="preserve"> </w:t>
            </w:r>
            <w:r w:rsidRPr="00E25C73">
              <w:rPr>
                <w:rFonts w:ascii="Calibri" w:eastAsia="Times New Roman" w:hAnsi="Calibri" w:cs="Calibri"/>
                <w:color w:val="000000"/>
                <w:sz w:val="20"/>
                <w:szCs w:val="20"/>
                <w:lang w:eastAsia="cs-CZ"/>
              </w:rPr>
              <w:t>s doprovodným zázemím v obci</w:t>
            </w:r>
          </w:p>
        </w:tc>
      </w:tr>
      <w:tr w:rsidR="00E25C73" w:rsidRPr="00E25C73" w14:paraId="7AAF30AB" w14:textId="77777777" w:rsidTr="009A7AC2">
        <w:trPr>
          <w:trHeight w:val="48"/>
          <w:jc w:val="center"/>
        </w:trPr>
        <w:tc>
          <w:tcPr>
            <w:tcW w:w="2057" w:type="dxa"/>
            <w:shd w:val="clear" w:color="auto" w:fill="auto"/>
            <w:vAlign w:val="center"/>
            <w:hideMark/>
          </w:tcPr>
          <w:p w14:paraId="269D0D0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7209BD4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2988D1B3" w14:textId="77777777" w:rsidTr="009A7AC2">
        <w:trPr>
          <w:trHeight w:val="340"/>
          <w:jc w:val="center"/>
        </w:trPr>
        <w:tc>
          <w:tcPr>
            <w:tcW w:w="2057" w:type="dxa"/>
            <w:shd w:val="clear" w:color="auto" w:fill="auto"/>
            <w:vAlign w:val="center"/>
            <w:hideMark/>
          </w:tcPr>
          <w:p w14:paraId="2DEB154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2E9BC95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vysoká</w:t>
            </w:r>
          </w:p>
        </w:tc>
      </w:tr>
      <w:tr w:rsidR="00E25C73" w:rsidRPr="00E25C73" w14:paraId="5C5F1D0A" w14:textId="77777777" w:rsidTr="009A7AC2">
        <w:trPr>
          <w:trHeight w:val="340"/>
          <w:jc w:val="center"/>
        </w:trPr>
        <w:tc>
          <w:tcPr>
            <w:tcW w:w="2057" w:type="dxa"/>
            <w:shd w:val="clear" w:color="auto" w:fill="auto"/>
            <w:vAlign w:val="center"/>
            <w:hideMark/>
          </w:tcPr>
          <w:p w14:paraId="00E17C8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6571DE0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mil. Kč</w:t>
            </w:r>
          </w:p>
        </w:tc>
      </w:tr>
      <w:tr w:rsidR="00E25C73" w:rsidRPr="00E25C73" w14:paraId="48680716" w14:textId="77777777" w:rsidTr="009A7AC2">
        <w:trPr>
          <w:trHeight w:val="340"/>
          <w:jc w:val="center"/>
        </w:trPr>
        <w:tc>
          <w:tcPr>
            <w:tcW w:w="2057" w:type="dxa"/>
            <w:shd w:val="clear" w:color="auto" w:fill="auto"/>
            <w:vAlign w:val="center"/>
            <w:hideMark/>
          </w:tcPr>
          <w:p w14:paraId="47E9E8E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7399428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rozvoje regionů, podprogram PORV – DT Rekonstrukce a přestavba veřejných budov</w:t>
            </w:r>
          </w:p>
          <w:p w14:paraId="5999457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rozvoje regionů – Podpora revitalizace území – podprogram Podpora regenerace brownfieldů pro nepodnikatelské využití (pouze za podmínky, že objekt bude registrován v národní databázi brownfieldů)</w:t>
            </w:r>
          </w:p>
          <w:p w14:paraId="680B217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MFČR – program 29823 Podpora rozvoje a obnovy obecní infrastruktury a občanské vybavenosti</w:t>
            </w:r>
          </w:p>
          <w:p w14:paraId="0E101C1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SFPI – program Brownfieldy (pouze za podmínky, že objekt bude registrován v národní databázi brownfieldů)</w:t>
            </w:r>
          </w:p>
          <w:p w14:paraId="1B125ED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2ACE538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4AB19CEB" w14:textId="77777777" w:rsidTr="009A7AC2">
        <w:trPr>
          <w:trHeight w:val="340"/>
          <w:jc w:val="center"/>
        </w:trPr>
        <w:tc>
          <w:tcPr>
            <w:tcW w:w="2057" w:type="dxa"/>
            <w:shd w:val="clear" w:color="auto" w:fill="auto"/>
            <w:vAlign w:val="center"/>
            <w:hideMark/>
          </w:tcPr>
          <w:p w14:paraId="59E4C00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37A832C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2: Zdravá, stabilní a soudržná společnost, StC 2.3: Vysoká úroveň kultury a trávení volného času, Opatření 2.3.1: Rozvoj živé kultury a místního kulturního života)</w:t>
            </w:r>
          </w:p>
        </w:tc>
      </w:tr>
      <w:tr w:rsidR="00E25C73" w:rsidRPr="00E25C73" w14:paraId="36CD2434" w14:textId="77777777" w:rsidTr="009A7AC2">
        <w:trPr>
          <w:trHeight w:val="340"/>
          <w:jc w:val="center"/>
        </w:trPr>
        <w:tc>
          <w:tcPr>
            <w:tcW w:w="2057" w:type="dxa"/>
            <w:shd w:val="clear" w:color="auto" w:fill="auto"/>
            <w:vAlign w:val="center"/>
            <w:hideMark/>
          </w:tcPr>
          <w:p w14:paraId="1ADDB0E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45D9278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budova s č. p. 41, parcela KN st. 1/2 (k. ú. Prostřední Staré Buky)</w:t>
            </w:r>
          </w:p>
        </w:tc>
      </w:tr>
      <w:tr w:rsidR="00E25C73" w:rsidRPr="00E25C73" w14:paraId="02C8EB6B" w14:textId="77777777" w:rsidTr="009A7AC2">
        <w:trPr>
          <w:trHeight w:val="340"/>
          <w:jc w:val="center"/>
        </w:trPr>
        <w:tc>
          <w:tcPr>
            <w:tcW w:w="2057" w:type="dxa"/>
            <w:shd w:val="clear" w:color="auto" w:fill="auto"/>
            <w:vAlign w:val="center"/>
            <w:hideMark/>
          </w:tcPr>
          <w:p w14:paraId="76F2BC6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5932894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w:t>
            </w:r>
            <w:r w:rsidRPr="00E25C73">
              <w:rPr>
                <w:rFonts w:ascii="Calibri" w:eastAsia="Calibri" w:hAnsi="Calibri" w:cs="Times New Roman"/>
              </w:rPr>
              <w:t xml:space="preserve"> </w:t>
            </w:r>
            <w:r w:rsidRPr="00E25C73">
              <w:rPr>
                <w:rFonts w:ascii="Calibri" w:eastAsia="Times New Roman" w:hAnsi="Calibri" w:cs="Calibri"/>
                <w:color w:val="000000"/>
                <w:sz w:val="20"/>
                <w:szCs w:val="20"/>
                <w:lang w:eastAsia="cs-CZ"/>
              </w:rPr>
              <w:t>společenské centrum v prostorách zámečku vybudovat</w:t>
            </w:r>
          </w:p>
        </w:tc>
      </w:tr>
      <w:tr w:rsidR="00E25C73" w:rsidRPr="00E25C73" w14:paraId="24B383C0" w14:textId="77777777" w:rsidTr="009A7AC2">
        <w:trPr>
          <w:trHeight w:val="340"/>
          <w:jc w:val="center"/>
        </w:trPr>
        <w:tc>
          <w:tcPr>
            <w:tcW w:w="2057" w:type="dxa"/>
            <w:shd w:val="clear" w:color="auto" w:fill="auto"/>
            <w:vAlign w:val="center"/>
            <w:hideMark/>
          </w:tcPr>
          <w:p w14:paraId="70FC290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4BFFF5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7FF2A486" w14:textId="77777777" w:rsidTr="009A7AC2">
        <w:trPr>
          <w:trHeight w:val="340"/>
          <w:jc w:val="center"/>
        </w:trPr>
        <w:tc>
          <w:tcPr>
            <w:tcW w:w="2057" w:type="dxa"/>
            <w:shd w:val="clear" w:color="auto" w:fill="auto"/>
            <w:vAlign w:val="center"/>
            <w:hideMark/>
          </w:tcPr>
          <w:p w14:paraId="15D219B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3832625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00E9A3B1" w14:textId="77777777" w:rsidTr="009A7AC2">
        <w:trPr>
          <w:trHeight w:val="340"/>
          <w:jc w:val="center"/>
        </w:trPr>
        <w:tc>
          <w:tcPr>
            <w:tcW w:w="2057" w:type="dxa"/>
            <w:shd w:val="clear" w:color="auto" w:fill="auto"/>
            <w:vAlign w:val="center"/>
          </w:tcPr>
          <w:p w14:paraId="1A9EA67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5365BBF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 3</w:t>
            </w:r>
          </w:p>
        </w:tc>
      </w:tr>
    </w:tbl>
    <w:p w14:paraId="1E397B6B"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2BB8CC19"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1E40819B"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Podle potřeby využít budovu zámečku i jiným způsobem</w:t>
            </w:r>
          </w:p>
        </w:tc>
      </w:tr>
      <w:tr w:rsidR="00E25C73" w:rsidRPr="00E25C73" w14:paraId="1898B531" w14:textId="77777777" w:rsidTr="009A7AC2">
        <w:trPr>
          <w:trHeight w:val="340"/>
          <w:jc w:val="center"/>
        </w:trPr>
        <w:tc>
          <w:tcPr>
            <w:tcW w:w="2057" w:type="dxa"/>
            <w:shd w:val="clear" w:color="auto" w:fill="auto"/>
            <w:vAlign w:val="center"/>
            <w:hideMark/>
          </w:tcPr>
          <w:p w14:paraId="6B7AA06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5A6966C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463015A9" w14:textId="77777777" w:rsidTr="009A7AC2">
        <w:trPr>
          <w:trHeight w:val="340"/>
          <w:jc w:val="center"/>
        </w:trPr>
        <w:tc>
          <w:tcPr>
            <w:tcW w:w="2057" w:type="dxa"/>
            <w:shd w:val="clear" w:color="auto" w:fill="auto"/>
            <w:vAlign w:val="center"/>
          </w:tcPr>
          <w:p w14:paraId="356BC48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02607EC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p w14:paraId="4AECC0E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participační</w:t>
            </w:r>
          </w:p>
          <w:p w14:paraId="77B06C1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41AF4663" w14:textId="77777777" w:rsidTr="009A7AC2">
        <w:trPr>
          <w:trHeight w:val="340"/>
          <w:jc w:val="center"/>
        </w:trPr>
        <w:tc>
          <w:tcPr>
            <w:tcW w:w="2057" w:type="dxa"/>
            <w:shd w:val="clear" w:color="auto" w:fill="auto"/>
            <w:vAlign w:val="center"/>
            <w:hideMark/>
          </w:tcPr>
          <w:p w14:paraId="3DBBC3B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6751379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zájmové spolky působící v obci</w:t>
            </w:r>
          </w:p>
          <w:p w14:paraId="31CDDD4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potenciální podnikatelské subjekty se zájmem o využití prostorů budovy zámečku</w:t>
            </w:r>
          </w:p>
        </w:tc>
      </w:tr>
      <w:tr w:rsidR="00E25C73" w:rsidRPr="00E25C73" w14:paraId="708DD6A1" w14:textId="77777777" w:rsidTr="009A7AC2">
        <w:trPr>
          <w:trHeight w:val="340"/>
          <w:jc w:val="center"/>
        </w:trPr>
        <w:tc>
          <w:tcPr>
            <w:tcW w:w="2057" w:type="dxa"/>
            <w:shd w:val="clear" w:color="auto" w:fill="auto"/>
            <w:vAlign w:val="center"/>
            <w:hideMark/>
          </w:tcPr>
          <w:p w14:paraId="7C2C0A0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40895BA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využití potenciálu budovy zámečku pro potřeby rozvoje sociálního života v obci</w:t>
            </w:r>
          </w:p>
        </w:tc>
      </w:tr>
      <w:tr w:rsidR="00E25C73" w:rsidRPr="00E25C73" w14:paraId="25443590" w14:textId="77777777" w:rsidTr="009A7AC2">
        <w:trPr>
          <w:trHeight w:val="48"/>
          <w:jc w:val="center"/>
        </w:trPr>
        <w:tc>
          <w:tcPr>
            <w:tcW w:w="2057" w:type="dxa"/>
            <w:shd w:val="clear" w:color="auto" w:fill="auto"/>
            <w:vAlign w:val="center"/>
            <w:hideMark/>
          </w:tcPr>
          <w:p w14:paraId="0C6FCAD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37C5406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 i neinvestiční</w:t>
            </w:r>
          </w:p>
        </w:tc>
      </w:tr>
      <w:tr w:rsidR="00E25C73" w:rsidRPr="00E25C73" w14:paraId="712B8765" w14:textId="77777777" w:rsidTr="009A7AC2">
        <w:trPr>
          <w:trHeight w:val="340"/>
          <w:jc w:val="center"/>
        </w:trPr>
        <w:tc>
          <w:tcPr>
            <w:tcW w:w="2057" w:type="dxa"/>
            <w:shd w:val="clear" w:color="auto" w:fill="auto"/>
            <w:vAlign w:val="center"/>
            <w:hideMark/>
          </w:tcPr>
          <w:p w14:paraId="44C7AB1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3AFC03D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5CCF62E7" w14:textId="77777777" w:rsidTr="009A7AC2">
        <w:trPr>
          <w:trHeight w:val="340"/>
          <w:jc w:val="center"/>
        </w:trPr>
        <w:tc>
          <w:tcPr>
            <w:tcW w:w="2057" w:type="dxa"/>
            <w:shd w:val="clear" w:color="auto" w:fill="auto"/>
            <w:vAlign w:val="center"/>
            <w:hideMark/>
          </w:tcPr>
          <w:p w14:paraId="2DF6346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594590C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budou se odvíjet od zvolených způsobů využití</w:t>
            </w:r>
          </w:p>
        </w:tc>
      </w:tr>
      <w:tr w:rsidR="00E25C73" w:rsidRPr="00E25C73" w14:paraId="66FA66DC" w14:textId="77777777" w:rsidTr="009A7AC2">
        <w:trPr>
          <w:trHeight w:val="340"/>
          <w:jc w:val="center"/>
        </w:trPr>
        <w:tc>
          <w:tcPr>
            <w:tcW w:w="2057" w:type="dxa"/>
            <w:shd w:val="clear" w:color="auto" w:fill="auto"/>
            <w:vAlign w:val="center"/>
            <w:hideMark/>
          </w:tcPr>
          <w:p w14:paraId="1B121E7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2128BB2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p w14:paraId="32A1099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případné dotační zdroje se budou odvíjet od zvolených způsobů využití</w:t>
            </w:r>
          </w:p>
        </w:tc>
      </w:tr>
      <w:tr w:rsidR="00E25C73" w:rsidRPr="00E25C73" w14:paraId="0C95FE74" w14:textId="77777777" w:rsidTr="009A7AC2">
        <w:trPr>
          <w:trHeight w:val="340"/>
          <w:jc w:val="center"/>
        </w:trPr>
        <w:tc>
          <w:tcPr>
            <w:tcW w:w="2057" w:type="dxa"/>
            <w:shd w:val="clear" w:color="auto" w:fill="auto"/>
            <w:vAlign w:val="center"/>
            <w:hideMark/>
          </w:tcPr>
          <w:p w14:paraId="2F48E0D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19E54BB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5: Vyvážený rozvoj a správa území, StC 5.1: Eliminace územních disparit a řešení regionálních specifik, Opatření 5.1.1: Podpora hospodářsky problémových regionů, venkova, periferií a specifických oblastí)</w:t>
            </w:r>
          </w:p>
        </w:tc>
      </w:tr>
      <w:tr w:rsidR="00E25C73" w:rsidRPr="00E25C73" w14:paraId="3747F94C" w14:textId="77777777" w:rsidTr="009A7AC2">
        <w:trPr>
          <w:trHeight w:val="340"/>
          <w:jc w:val="center"/>
        </w:trPr>
        <w:tc>
          <w:tcPr>
            <w:tcW w:w="2057" w:type="dxa"/>
            <w:shd w:val="clear" w:color="auto" w:fill="auto"/>
            <w:vAlign w:val="center"/>
            <w:hideMark/>
          </w:tcPr>
          <w:p w14:paraId="714F553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0B86391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budova s č. p. 41, parcela KN st. 1/2 (k. ú. Prostřední Staré Buky)</w:t>
            </w:r>
          </w:p>
        </w:tc>
      </w:tr>
      <w:tr w:rsidR="00E25C73" w:rsidRPr="00E25C73" w14:paraId="67D7E76E" w14:textId="77777777" w:rsidTr="009A7AC2">
        <w:trPr>
          <w:trHeight w:val="340"/>
          <w:jc w:val="center"/>
        </w:trPr>
        <w:tc>
          <w:tcPr>
            <w:tcW w:w="2057" w:type="dxa"/>
            <w:shd w:val="clear" w:color="auto" w:fill="auto"/>
            <w:vAlign w:val="center"/>
            <w:hideMark/>
          </w:tcPr>
          <w:p w14:paraId="5F33B45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5D99943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066B2622" w14:textId="77777777" w:rsidTr="009A7AC2">
        <w:trPr>
          <w:trHeight w:val="340"/>
          <w:jc w:val="center"/>
        </w:trPr>
        <w:tc>
          <w:tcPr>
            <w:tcW w:w="2057" w:type="dxa"/>
            <w:shd w:val="clear" w:color="auto" w:fill="auto"/>
            <w:vAlign w:val="center"/>
            <w:hideMark/>
          </w:tcPr>
          <w:p w14:paraId="60D664E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BEA4BD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442C77B2" w14:textId="77777777" w:rsidTr="009A7AC2">
        <w:trPr>
          <w:trHeight w:val="340"/>
          <w:jc w:val="center"/>
        </w:trPr>
        <w:tc>
          <w:tcPr>
            <w:tcW w:w="2057" w:type="dxa"/>
            <w:shd w:val="clear" w:color="auto" w:fill="auto"/>
            <w:vAlign w:val="center"/>
            <w:hideMark/>
          </w:tcPr>
          <w:p w14:paraId="57A2A95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164730E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54A4280D" w14:textId="77777777" w:rsidTr="009A7AC2">
        <w:trPr>
          <w:trHeight w:val="340"/>
          <w:jc w:val="center"/>
        </w:trPr>
        <w:tc>
          <w:tcPr>
            <w:tcW w:w="2057" w:type="dxa"/>
            <w:shd w:val="clear" w:color="auto" w:fill="auto"/>
            <w:vAlign w:val="center"/>
          </w:tcPr>
          <w:p w14:paraId="78F8B6B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7886562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 3</w:t>
            </w:r>
          </w:p>
        </w:tc>
      </w:tr>
    </w:tbl>
    <w:p w14:paraId="38A16DBD"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0BC93D34"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23FBBE88"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Revitalizovat park v okolí budovy zámečku</w:t>
            </w:r>
          </w:p>
        </w:tc>
      </w:tr>
      <w:tr w:rsidR="00E25C73" w:rsidRPr="00E25C73" w14:paraId="54E8CEE1" w14:textId="77777777" w:rsidTr="009A7AC2">
        <w:trPr>
          <w:trHeight w:val="340"/>
          <w:jc w:val="center"/>
        </w:trPr>
        <w:tc>
          <w:tcPr>
            <w:tcW w:w="2057" w:type="dxa"/>
            <w:shd w:val="clear" w:color="auto" w:fill="auto"/>
            <w:vAlign w:val="center"/>
            <w:hideMark/>
          </w:tcPr>
          <w:p w14:paraId="423DA68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522AF43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7AD80F0E" w14:textId="77777777" w:rsidTr="009A7AC2">
        <w:trPr>
          <w:trHeight w:val="340"/>
          <w:jc w:val="center"/>
        </w:trPr>
        <w:tc>
          <w:tcPr>
            <w:tcW w:w="2057" w:type="dxa"/>
            <w:shd w:val="clear" w:color="auto" w:fill="auto"/>
            <w:vAlign w:val="center"/>
          </w:tcPr>
          <w:p w14:paraId="02557E3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24D7836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602C5311" w14:textId="77777777" w:rsidTr="009A7AC2">
        <w:trPr>
          <w:trHeight w:val="340"/>
          <w:jc w:val="center"/>
        </w:trPr>
        <w:tc>
          <w:tcPr>
            <w:tcW w:w="2057" w:type="dxa"/>
            <w:shd w:val="clear" w:color="auto" w:fill="auto"/>
            <w:vAlign w:val="center"/>
            <w:hideMark/>
          </w:tcPr>
          <w:p w14:paraId="4DC695B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566AF45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MMR, MFČR, KHK kraj</w:t>
            </w:r>
          </w:p>
        </w:tc>
      </w:tr>
      <w:tr w:rsidR="00E25C73" w:rsidRPr="00E25C73" w14:paraId="4D41B1D7" w14:textId="77777777" w:rsidTr="009A7AC2">
        <w:trPr>
          <w:trHeight w:val="340"/>
          <w:jc w:val="center"/>
        </w:trPr>
        <w:tc>
          <w:tcPr>
            <w:tcW w:w="2057" w:type="dxa"/>
            <w:shd w:val="clear" w:color="auto" w:fill="auto"/>
            <w:vAlign w:val="center"/>
            <w:hideMark/>
          </w:tcPr>
          <w:p w14:paraId="1F7BAC7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6694EDC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zlepšení stavu parku nacházejícího se v okolí zámečku</w:t>
            </w:r>
          </w:p>
          <w:p w14:paraId="7A73F31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využití potenciálu parku k setkávání všech generací občanů → posilování vzájemných sociálních kontaktů obyvatel a rozvíjení společenského života v obci</w:t>
            </w:r>
          </w:p>
        </w:tc>
      </w:tr>
      <w:tr w:rsidR="00E25C73" w:rsidRPr="00E25C73" w14:paraId="02964EA9" w14:textId="77777777" w:rsidTr="009A7AC2">
        <w:trPr>
          <w:trHeight w:val="48"/>
          <w:jc w:val="center"/>
        </w:trPr>
        <w:tc>
          <w:tcPr>
            <w:tcW w:w="2057" w:type="dxa"/>
            <w:shd w:val="clear" w:color="auto" w:fill="auto"/>
            <w:vAlign w:val="center"/>
            <w:hideMark/>
          </w:tcPr>
          <w:p w14:paraId="6C5061F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62CA366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7A8CBEB5" w14:textId="77777777" w:rsidTr="009A7AC2">
        <w:trPr>
          <w:trHeight w:val="340"/>
          <w:jc w:val="center"/>
        </w:trPr>
        <w:tc>
          <w:tcPr>
            <w:tcW w:w="2057" w:type="dxa"/>
            <w:shd w:val="clear" w:color="auto" w:fill="auto"/>
            <w:vAlign w:val="center"/>
            <w:hideMark/>
          </w:tcPr>
          <w:p w14:paraId="5B546E2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5113AAD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vysoká</w:t>
            </w:r>
          </w:p>
        </w:tc>
      </w:tr>
      <w:tr w:rsidR="00E25C73" w:rsidRPr="00E25C73" w14:paraId="660C00D5" w14:textId="77777777" w:rsidTr="009A7AC2">
        <w:trPr>
          <w:trHeight w:val="340"/>
          <w:jc w:val="center"/>
        </w:trPr>
        <w:tc>
          <w:tcPr>
            <w:tcW w:w="2057" w:type="dxa"/>
            <w:shd w:val="clear" w:color="auto" w:fill="auto"/>
            <w:vAlign w:val="center"/>
            <w:hideMark/>
          </w:tcPr>
          <w:p w14:paraId="047D1B1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4E852C9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až desítek mil. Kč</w:t>
            </w:r>
          </w:p>
        </w:tc>
      </w:tr>
      <w:tr w:rsidR="00E25C73" w:rsidRPr="00E25C73" w14:paraId="11D223C0" w14:textId="77777777" w:rsidTr="009A7AC2">
        <w:trPr>
          <w:trHeight w:val="340"/>
          <w:jc w:val="center"/>
        </w:trPr>
        <w:tc>
          <w:tcPr>
            <w:tcW w:w="2057" w:type="dxa"/>
            <w:shd w:val="clear" w:color="auto" w:fill="auto"/>
            <w:vAlign w:val="center"/>
            <w:hideMark/>
          </w:tcPr>
          <w:p w14:paraId="7588C7C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1B64829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EU – IROP 2021-2027</w:t>
            </w:r>
          </w:p>
          <w:p w14:paraId="79F3CE1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rozvoje region, podprogram PORV – DT Revitalizace veřejných ploch v zastavěném území obce</w:t>
            </w:r>
          </w:p>
          <w:p w14:paraId="19377C9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MFČR – program 29823 Podpora rozvoje a obnovy obecní infrastruktury a občanské vybavenosti</w:t>
            </w:r>
          </w:p>
          <w:p w14:paraId="00B3741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7F7A4C6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3B07AC0D" w14:textId="77777777" w:rsidTr="009A7AC2">
        <w:trPr>
          <w:trHeight w:val="340"/>
          <w:jc w:val="center"/>
        </w:trPr>
        <w:tc>
          <w:tcPr>
            <w:tcW w:w="2057" w:type="dxa"/>
            <w:shd w:val="clear" w:color="auto" w:fill="auto"/>
            <w:vAlign w:val="center"/>
            <w:hideMark/>
          </w:tcPr>
          <w:p w14:paraId="45B2466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6343CC7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4: Kvalitní a čisté životní prostředí, StC 4.1: Biodiverzita a ochrana přírody a krajiny, Opatření 4.1.3: Sídelní zeleň a zelená infrastruktura)</w:t>
            </w:r>
          </w:p>
        </w:tc>
      </w:tr>
      <w:tr w:rsidR="00E25C73" w:rsidRPr="00E25C73" w14:paraId="76668F01" w14:textId="77777777" w:rsidTr="009A7AC2">
        <w:trPr>
          <w:trHeight w:val="340"/>
          <w:jc w:val="center"/>
        </w:trPr>
        <w:tc>
          <w:tcPr>
            <w:tcW w:w="2057" w:type="dxa"/>
            <w:shd w:val="clear" w:color="auto" w:fill="auto"/>
            <w:vAlign w:val="center"/>
            <w:hideMark/>
          </w:tcPr>
          <w:p w14:paraId="306038C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766E094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parcely KN 1310/1, KN 1976, KN 1977, KN 1984, KN 1985, KN 1986, KN 1987, KN 1988, KN 1989, KN 2008, KN 2009, KN 2511 (vše v k. ú. Prostřední Staré Buky)</w:t>
            </w:r>
          </w:p>
        </w:tc>
      </w:tr>
      <w:tr w:rsidR="00E25C73" w:rsidRPr="00E25C73" w14:paraId="6DEF70B5" w14:textId="77777777" w:rsidTr="009A7AC2">
        <w:trPr>
          <w:trHeight w:val="340"/>
          <w:jc w:val="center"/>
        </w:trPr>
        <w:tc>
          <w:tcPr>
            <w:tcW w:w="2057" w:type="dxa"/>
            <w:shd w:val="clear" w:color="auto" w:fill="auto"/>
            <w:vAlign w:val="center"/>
            <w:hideMark/>
          </w:tcPr>
          <w:p w14:paraId="57890BC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3F95B93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44C0BCB3" w14:textId="77777777" w:rsidTr="009A7AC2">
        <w:trPr>
          <w:trHeight w:val="340"/>
          <w:jc w:val="center"/>
        </w:trPr>
        <w:tc>
          <w:tcPr>
            <w:tcW w:w="2057" w:type="dxa"/>
            <w:shd w:val="clear" w:color="auto" w:fill="auto"/>
            <w:vAlign w:val="center"/>
            <w:hideMark/>
          </w:tcPr>
          <w:p w14:paraId="15C3C80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2DD097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6A2A8A1B" w14:textId="77777777" w:rsidTr="009A7AC2">
        <w:trPr>
          <w:trHeight w:val="340"/>
          <w:jc w:val="center"/>
        </w:trPr>
        <w:tc>
          <w:tcPr>
            <w:tcW w:w="2057" w:type="dxa"/>
            <w:shd w:val="clear" w:color="auto" w:fill="auto"/>
            <w:vAlign w:val="center"/>
            <w:hideMark/>
          </w:tcPr>
          <w:p w14:paraId="3113E7C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63AFCBC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016CCBF0" w14:textId="77777777" w:rsidTr="009A7AC2">
        <w:trPr>
          <w:trHeight w:val="340"/>
          <w:jc w:val="center"/>
        </w:trPr>
        <w:tc>
          <w:tcPr>
            <w:tcW w:w="2057" w:type="dxa"/>
            <w:shd w:val="clear" w:color="auto" w:fill="auto"/>
            <w:vAlign w:val="center"/>
          </w:tcPr>
          <w:p w14:paraId="7D0119B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2E43FDC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 3</w:t>
            </w:r>
          </w:p>
        </w:tc>
      </w:tr>
    </w:tbl>
    <w:p w14:paraId="45D87294"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5D5349CD"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1BB0810B"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Podporovat aktivity prevence vzniku odpadů</w:t>
            </w:r>
          </w:p>
        </w:tc>
      </w:tr>
      <w:tr w:rsidR="00E25C73" w:rsidRPr="00E25C73" w14:paraId="0FFFA848" w14:textId="77777777" w:rsidTr="009A7AC2">
        <w:trPr>
          <w:trHeight w:val="340"/>
          <w:jc w:val="center"/>
        </w:trPr>
        <w:tc>
          <w:tcPr>
            <w:tcW w:w="2057" w:type="dxa"/>
            <w:shd w:val="clear" w:color="auto" w:fill="auto"/>
            <w:vAlign w:val="center"/>
            <w:hideMark/>
          </w:tcPr>
          <w:p w14:paraId="5F43304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2F9F5EA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6E8ED87C" w14:textId="77777777" w:rsidTr="009A7AC2">
        <w:trPr>
          <w:trHeight w:val="340"/>
          <w:jc w:val="center"/>
        </w:trPr>
        <w:tc>
          <w:tcPr>
            <w:tcW w:w="2057" w:type="dxa"/>
            <w:shd w:val="clear" w:color="auto" w:fill="auto"/>
            <w:vAlign w:val="center"/>
          </w:tcPr>
          <w:p w14:paraId="5DE783A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15B3ACE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motivační</w:t>
            </w:r>
          </w:p>
          <w:p w14:paraId="28FC51E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p w14:paraId="72DF427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participační</w:t>
            </w:r>
          </w:p>
          <w:p w14:paraId="7A06B65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60DEC29A" w14:textId="77777777" w:rsidTr="009A7AC2">
        <w:trPr>
          <w:trHeight w:val="340"/>
          <w:jc w:val="center"/>
        </w:trPr>
        <w:tc>
          <w:tcPr>
            <w:tcW w:w="2057" w:type="dxa"/>
            <w:shd w:val="clear" w:color="auto" w:fill="auto"/>
            <w:vAlign w:val="center"/>
            <w:hideMark/>
          </w:tcPr>
          <w:p w14:paraId="791410F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11DCDB8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KHK kraj</w:t>
            </w:r>
          </w:p>
        </w:tc>
      </w:tr>
      <w:tr w:rsidR="00E25C73" w:rsidRPr="00E25C73" w14:paraId="1E0D7227" w14:textId="77777777" w:rsidTr="009A7AC2">
        <w:trPr>
          <w:trHeight w:val="340"/>
          <w:jc w:val="center"/>
        </w:trPr>
        <w:tc>
          <w:tcPr>
            <w:tcW w:w="2057" w:type="dxa"/>
            <w:shd w:val="clear" w:color="auto" w:fill="auto"/>
            <w:vAlign w:val="center"/>
            <w:hideMark/>
          </w:tcPr>
          <w:p w14:paraId="5CDC71C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1004AA7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zvýšení povědomí obyvatel o ochraně životního prostředí a odpadovém hospodářství – více vytříděného odpadu</w:t>
            </w:r>
          </w:p>
        </w:tc>
      </w:tr>
      <w:tr w:rsidR="00E25C73" w:rsidRPr="00E25C73" w14:paraId="625E68A4" w14:textId="77777777" w:rsidTr="009A7AC2">
        <w:trPr>
          <w:trHeight w:val="48"/>
          <w:jc w:val="center"/>
        </w:trPr>
        <w:tc>
          <w:tcPr>
            <w:tcW w:w="2057" w:type="dxa"/>
            <w:shd w:val="clear" w:color="auto" w:fill="auto"/>
            <w:vAlign w:val="center"/>
            <w:hideMark/>
          </w:tcPr>
          <w:p w14:paraId="04E0F57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4536CCD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neinvestiční</w:t>
            </w:r>
          </w:p>
        </w:tc>
      </w:tr>
      <w:tr w:rsidR="00E25C73" w:rsidRPr="00E25C73" w14:paraId="605E04F2" w14:textId="77777777" w:rsidTr="009A7AC2">
        <w:trPr>
          <w:trHeight w:val="340"/>
          <w:jc w:val="center"/>
        </w:trPr>
        <w:tc>
          <w:tcPr>
            <w:tcW w:w="2057" w:type="dxa"/>
            <w:shd w:val="clear" w:color="auto" w:fill="auto"/>
            <w:vAlign w:val="center"/>
            <w:hideMark/>
          </w:tcPr>
          <w:p w14:paraId="5AE14F6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10B08EA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vysoká</w:t>
            </w:r>
          </w:p>
        </w:tc>
      </w:tr>
      <w:tr w:rsidR="00E25C73" w:rsidRPr="00E25C73" w14:paraId="7F6BAD98" w14:textId="77777777" w:rsidTr="009A7AC2">
        <w:trPr>
          <w:trHeight w:val="340"/>
          <w:jc w:val="center"/>
        </w:trPr>
        <w:tc>
          <w:tcPr>
            <w:tcW w:w="2057" w:type="dxa"/>
            <w:shd w:val="clear" w:color="auto" w:fill="auto"/>
            <w:vAlign w:val="center"/>
            <w:hideMark/>
          </w:tcPr>
          <w:p w14:paraId="11F0950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5592E51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do 25 tis. Kč/rok</w:t>
            </w:r>
          </w:p>
        </w:tc>
      </w:tr>
      <w:tr w:rsidR="00E25C73" w:rsidRPr="00E25C73" w14:paraId="0F941AE5" w14:textId="77777777" w:rsidTr="009A7AC2">
        <w:trPr>
          <w:trHeight w:val="340"/>
          <w:jc w:val="center"/>
        </w:trPr>
        <w:tc>
          <w:tcPr>
            <w:tcW w:w="2057" w:type="dxa"/>
            <w:shd w:val="clear" w:color="auto" w:fill="auto"/>
            <w:vAlign w:val="center"/>
            <w:hideMark/>
          </w:tcPr>
          <w:p w14:paraId="60EFA54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64A4F88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KHK kraj – DP Environmentální vzdělávání, výchova a osvěta</w:t>
            </w:r>
          </w:p>
          <w:p w14:paraId="27DE209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7DF23CD4" w14:textId="77777777" w:rsidTr="009A7AC2">
        <w:trPr>
          <w:trHeight w:val="340"/>
          <w:jc w:val="center"/>
        </w:trPr>
        <w:tc>
          <w:tcPr>
            <w:tcW w:w="2057" w:type="dxa"/>
            <w:shd w:val="clear" w:color="auto" w:fill="auto"/>
            <w:vAlign w:val="center"/>
            <w:hideMark/>
          </w:tcPr>
          <w:p w14:paraId="3FD869D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6C61C5E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4: Kvalitní a čisté životní prostředí, StC 4.3: Eliminace negativních dopadů činností člověka na životní prostředí, Opatření 4.3.1: Efektivní a ekologické odpadové hospodářství)</w:t>
            </w:r>
          </w:p>
        </w:tc>
      </w:tr>
      <w:tr w:rsidR="00E25C73" w:rsidRPr="00E25C73" w14:paraId="036267F8" w14:textId="77777777" w:rsidTr="009A7AC2">
        <w:trPr>
          <w:trHeight w:val="340"/>
          <w:jc w:val="center"/>
        </w:trPr>
        <w:tc>
          <w:tcPr>
            <w:tcW w:w="2057" w:type="dxa"/>
            <w:shd w:val="clear" w:color="auto" w:fill="auto"/>
            <w:vAlign w:val="center"/>
            <w:hideMark/>
          </w:tcPr>
          <w:p w14:paraId="5114926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1D41E10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není vázáno na konkrétní místo</w:t>
            </w:r>
          </w:p>
        </w:tc>
      </w:tr>
      <w:tr w:rsidR="00E25C73" w:rsidRPr="00E25C73" w14:paraId="01208BB9" w14:textId="77777777" w:rsidTr="009A7AC2">
        <w:trPr>
          <w:trHeight w:val="340"/>
          <w:jc w:val="center"/>
        </w:trPr>
        <w:tc>
          <w:tcPr>
            <w:tcW w:w="2057" w:type="dxa"/>
            <w:shd w:val="clear" w:color="auto" w:fill="auto"/>
            <w:vAlign w:val="center"/>
            <w:hideMark/>
          </w:tcPr>
          <w:p w14:paraId="713B3ED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08E62B8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5BD76DCB" w14:textId="77777777" w:rsidTr="009A7AC2">
        <w:trPr>
          <w:trHeight w:val="340"/>
          <w:jc w:val="center"/>
        </w:trPr>
        <w:tc>
          <w:tcPr>
            <w:tcW w:w="2057" w:type="dxa"/>
            <w:shd w:val="clear" w:color="auto" w:fill="auto"/>
            <w:vAlign w:val="center"/>
            <w:hideMark/>
          </w:tcPr>
          <w:p w14:paraId="589CFC1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97FEDE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vedení obce Staré Buky</w:t>
            </w:r>
          </w:p>
        </w:tc>
      </w:tr>
      <w:tr w:rsidR="00E25C73" w:rsidRPr="00E25C73" w14:paraId="2BBFD5A0" w14:textId="77777777" w:rsidTr="009A7AC2">
        <w:trPr>
          <w:trHeight w:val="340"/>
          <w:jc w:val="center"/>
        </w:trPr>
        <w:tc>
          <w:tcPr>
            <w:tcW w:w="2057" w:type="dxa"/>
            <w:shd w:val="clear" w:color="auto" w:fill="auto"/>
            <w:vAlign w:val="center"/>
            <w:hideMark/>
          </w:tcPr>
          <w:p w14:paraId="729BF6A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6451A8A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1A99631F" w14:textId="77777777" w:rsidTr="009A7AC2">
        <w:trPr>
          <w:trHeight w:val="340"/>
          <w:jc w:val="center"/>
        </w:trPr>
        <w:tc>
          <w:tcPr>
            <w:tcW w:w="2057" w:type="dxa"/>
            <w:shd w:val="clear" w:color="auto" w:fill="auto"/>
            <w:vAlign w:val="center"/>
          </w:tcPr>
          <w:p w14:paraId="7973357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53D7D87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w:t>
            </w:r>
          </w:p>
        </w:tc>
      </w:tr>
    </w:tbl>
    <w:p w14:paraId="097C4DB8"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1CE38639"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00BE3AD4"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Uvažovat o vzniku sběrného místa v obci</w:t>
            </w:r>
          </w:p>
        </w:tc>
      </w:tr>
      <w:tr w:rsidR="00E25C73" w:rsidRPr="00E25C73" w14:paraId="7E66C09C" w14:textId="77777777" w:rsidTr="009A7AC2">
        <w:trPr>
          <w:trHeight w:val="340"/>
          <w:jc w:val="center"/>
        </w:trPr>
        <w:tc>
          <w:tcPr>
            <w:tcW w:w="2057" w:type="dxa"/>
            <w:shd w:val="clear" w:color="auto" w:fill="auto"/>
            <w:vAlign w:val="center"/>
            <w:hideMark/>
          </w:tcPr>
          <w:p w14:paraId="5FA0FCD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3E0FC78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0A3700A9" w14:textId="77777777" w:rsidTr="009A7AC2">
        <w:trPr>
          <w:trHeight w:val="340"/>
          <w:jc w:val="center"/>
        </w:trPr>
        <w:tc>
          <w:tcPr>
            <w:tcW w:w="2057" w:type="dxa"/>
            <w:shd w:val="clear" w:color="auto" w:fill="auto"/>
            <w:vAlign w:val="center"/>
          </w:tcPr>
          <w:p w14:paraId="46F82BD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39B5B03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5269E43D" w14:textId="77777777" w:rsidTr="009A7AC2">
        <w:trPr>
          <w:trHeight w:val="340"/>
          <w:jc w:val="center"/>
        </w:trPr>
        <w:tc>
          <w:tcPr>
            <w:tcW w:w="2057" w:type="dxa"/>
            <w:shd w:val="clear" w:color="auto" w:fill="auto"/>
            <w:vAlign w:val="center"/>
            <w:hideMark/>
          </w:tcPr>
          <w:p w14:paraId="7B21077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3D2869A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MŽP, KHK kraj</w:t>
            </w:r>
          </w:p>
        </w:tc>
      </w:tr>
      <w:tr w:rsidR="00E25C73" w:rsidRPr="00E25C73" w14:paraId="336493FF" w14:textId="77777777" w:rsidTr="009A7AC2">
        <w:trPr>
          <w:trHeight w:val="340"/>
          <w:jc w:val="center"/>
        </w:trPr>
        <w:tc>
          <w:tcPr>
            <w:tcW w:w="2057" w:type="dxa"/>
            <w:shd w:val="clear" w:color="auto" w:fill="auto"/>
            <w:vAlign w:val="center"/>
            <w:hideMark/>
          </w:tcPr>
          <w:p w14:paraId="4365D75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3502327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rozvoj systému nakládání s odpady v obci, služba pro obyvatele obce</w:t>
            </w:r>
          </w:p>
          <w:p w14:paraId="3057CD1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předpoklad: více vytříděného odpadu, nižší počet potenciálních černých skládek</w:t>
            </w:r>
          </w:p>
        </w:tc>
      </w:tr>
      <w:tr w:rsidR="00E25C73" w:rsidRPr="00E25C73" w14:paraId="3825D536" w14:textId="77777777" w:rsidTr="009A7AC2">
        <w:trPr>
          <w:trHeight w:val="48"/>
          <w:jc w:val="center"/>
        </w:trPr>
        <w:tc>
          <w:tcPr>
            <w:tcW w:w="2057" w:type="dxa"/>
            <w:shd w:val="clear" w:color="auto" w:fill="auto"/>
            <w:vAlign w:val="center"/>
            <w:hideMark/>
          </w:tcPr>
          <w:p w14:paraId="348E7BE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5933ED5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037B946F" w14:textId="77777777" w:rsidTr="009A7AC2">
        <w:trPr>
          <w:trHeight w:val="340"/>
          <w:jc w:val="center"/>
        </w:trPr>
        <w:tc>
          <w:tcPr>
            <w:tcW w:w="2057" w:type="dxa"/>
            <w:shd w:val="clear" w:color="auto" w:fill="auto"/>
            <w:vAlign w:val="center"/>
            <w:hideMark/>
          </w:tcPr>
          <w:p w14:paraId="1E715CF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7E07921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vysoká</w:t>
            </w:r>
          </w:p>
        </w:tc>
      </w:tr>
      <w:tr w:rsidR="00E25C73" w:rsidRPr="00E25C73" w14:paraId="0B8C381E" w14:textId="77777777" w:rsidTr="009A7AC2">
        <w:trPr>
          <w:trHeight w:val="340"/>
          <w:jc w:val="center"/>
        </w:trPr>
        <w:tc>
          <w:tcPr>
            <w:tcW w:w="2057" w:type="dxa"/>
            <w:shd w:val="clear" w:color="auto" w:fill="auto"/>
            <w:vAlign w:val="center"/>
            <w:hideMark/>
          </w:tcPr>
          <w:p w14:paraId="36FA1C5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341E5AC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stovek tis. až jednotek mil. Kč</w:t>
            </w:r>
          </w:p>
        </w:tc>
      </w:tr>
      <w:tr w:rsidR="00E25C73" w:rsidRPr="00E25C73" w14:paraId="3DFF859C" w14:textId="77777777" w:rsidTr="009A7AC2">
        <w:trPr>
          <w:trHeight w:val="340"/>
          <w:jc w:val="center"/>
        </w:trPr>
        <w:tc>
          <w:tcPr>
            <w:tcW w:w="2057" w:type="dxa"/>
            <w:shd w:val="clear" w:color="auto" w:fill="auto"/>
            <w:vAlign w:val="center"/>
            <w:hideMark/>
          </w:tcPr>
          <w:p w14:paraId="1D518B8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5C61749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EU – OP ŽP 2021-2027</w:t>
            </w:r>
          </w:p>
          <w:p w14:paraId="21C3469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KHK kraj – POV KHK</w:t>
            </w:r>
          </w:p>
          <w:p w14:paraId="5B78A28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613F4920" w14:textId="77777777" w:rsidTr="009A7AC2">
        <w:trPr>
          <w:trHeight w:val="340"/>
          <w:jc w:val="center"/>
        </w:trPr>
        <w:tc>
          <w:tcPr>
            <w:tcW w:w="2057" w:type="dxa"/>
            <w:shd w:val="clear" w:color="auto" w:fill="auto"/>
            <w:vAlign w:val="center"/>
            <w:hideMark/>
          </w:tcPr>
          <w:p w14:paraId="0EB57B7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634ECDF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4: Kvalitní a čisté životní prostředí, StC 4.3: Eliminace negativních dopadů činností člověka na životní prostředí, Opatření 4.3.1: Efektivní a ekologické odpadové hospodářství)</w:t>
            </w:r>
          </w:p>
        </w:tc>
      </w:tr>
      <w:tr w:rsidR="00E25C73" w:rsidRPr="00E25C73" w14:paraId="5E70634D" w14:textId="77777777" w:rsidTr="009A7AC2">
        <w:trPr>
          <w:trHeight w:val="340"/>
          <w:jc w:val="center"/>
        </w:trPr>
        <w:tc>
          <w:tcPr>
            <w:tcW w:w="2057" w:type="dxa"/>
            <w:shd w:val="clear" w:color="auto" w:fill="auto"/>
            <w:vAlign w:val="center"/>
            <w:hideMark/>
          </w:tcPr>
          <w:p w14:paraId="53E541C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1D18E0A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bude se odvíjet od rozhodnutí Zastupitelstva obce Staré Buky</w:t>
            </w:r>
          </w:p>
        </w:tc>
      </w:tr>
      <w:tr w:rsidR="00E25C73" w:rsidRPr="00E25C73" w14:paraId="5BD0F113" w14:textId="77777777" w:rsidTr="009A7AC2">
        <w:trPr>
          <w:trHeight w:val="340"/>
          <w:jc w:val="center"/>
        </w:trPr>
        <w:tc>
          <w:tcPr>
            <w:tcW w:w="2057" w:type="dxa"/>
            <w:shd w:val="clear" w:color="auto" w:fill="auto"/>
            <w:vAlign w:val="center"/>
            <w:hideMark/>
          </w:tcPr>
          <w:p w14:paraId="189E76F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12477E9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w:t>
            </w:r>
            <w:r w:rsidRPr="00E25C73">
              <w:rPr>
                <w:rFonts w:ascii="Calibri" w:eastAsia="Calibri" w:hAnsi="Calibri" w:cs="Times New Roman"/>
              </w:rPr>
              <w:t xml:space="preserve"> </w:t>
            </w:r>
            <w:r w:rsidRPr="00E25C73">
              <w:rPr>
                <w:rFonts w:ascii="Calibri" w:eastAsia="Times New Roman" w:hAnsi="Calibri" w:cs="Calibri"/>
                <w:color w:val="000000"/>
                <w:sz w:val="20"/>
                <w:szCs w:val="20"/>
                <w:lang w:eastAsia="cs-CZ"/>
              </w:rPr>
              <w:t>sběrné místo v obci vytvořit</w:t>
            </w:r>
          </w:p>
        </w:tc>
      </w:tr>
      <w:tr w:rsidR="00E25C73" w:rsidRPr="00E25C73" w14:paraId="52390C77" w14:textId="77777777" w:rsidTr="009A7AC2">
        <w:trPr>
          <w:trHeight w:val="340"/>
          <w:jc w:val="center"/>
        </w:trPr>
        <w:tc>
          <w:tcPr>
            <w:tcW w:w="2057" w:type="dxa"/>
            <w:shd w:val="clear" w:color="auto" w:fill="auto"/>
            <w:vAlign w:val="center"/>
            <w:hideMark/>
          </w:tcPr>
          <w:p w14:paraId="79BD4DE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6E62754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02959F78" w14:textId="77777777" w:rsidTr="009A7AC2">
        <w:trPr>
          <w:trHeight w:val="340"/>
          <w:jc w:val="center"/>
        </w:trPr>
        <w:tc>
          <w:tcPr>
            <w:tcW w:w="2057" w:type="dxa"/>
            <w:shd w:val="clear" w:color="auto" w:fill="auto"/>
            <w:vAlign w:val="center"/>
            <w:hideMark/>
          </w:tcPr>
          <w:p w14:paraId="71A0009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2243155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1D8F8D2E" w14:textId="77777777" w:rsidTr="009A7AC2">
        <w:trPr>
          <w:trHeight w:val="340"/>
          <w:jc w:val="center"/>
        </w:trPr>
        <w:tc>
          <w:tcPr>
            <w:tcW w:w="2057" w:type="dxa"/>
            <w:shd w:val="clear" w:color="auto" w:fill="auto"/>
            <w:vAlign w:val="center"/>
          </w:tcPr>
          <w:p w14:paraId="4113664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2048A28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w:t>
            </w:r>
          </w:p>
        </w:tc>
      </w:tr>
    </w:tbl>
    <w:p w14:paraId="2727CE6B"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0C2AED9C"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3D2694E5"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Uvažovat o vzniku kompostárny</w:t>
            </w:r>
          </w:p>
        </w:tc>
      </w:tr>
      <w:tr w:rsidR="00E25C73" w:rsidRPr="00E25C73" w14:paraId="42B032E7" w14:textId="77777777" w:rsidTr="009A7AC2">
        <w:trPr>
          <w:trHeight w:val="340"/>
          <w:jc w:val="center"/>
        </w:trPr>
        <w:tc>
          <w:tcPr>
            <w:tcW w:w="2057" w:type="dxa"/>
            <w:shd w:val="clear" w:color="auto" w:fill="auto"/>
            <w:vAlign w:val="center"/>
            <w:hideMark/>
          </w:tcPr>
          <w:p w14:paraId="65EA3A0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65C1463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2AD89D2B" w14:textId="77777777" w:rsidTr="009A7AC2">
        <w:trPr>
          <w:trHeight w:val="340"/>
          <w:jc w:val="center"/>
        </w:trPr>
        <w:tc>
          <w:tcPr>
            <w:tcW w:w="2057" w:type="dxa"/>
            <w:shd w:val="clear" w:color="auto" w:fill="auto"/>
            <w:vAlign w:val="center"/>
          </w:tcPr>
          <w:p w14:paraId="7C9DB03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487E283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4A55EEC0" w14:textId="77777777" w:rsidTr="009A7AC2">
        <w:trPr>
          <w:trHeight w:val="340"/>
          <w:jc w:val="center"/>
        </w:trPr>
        <w:tc>
          <w:tcPr>
            <w:tcW w:w="2057" w:type="dxa"/>
            <w:shd w:val="clear" w:color="auto" w:fill="auto"/>
            <w:vAlign w:val="center"/>
            <w:hideMark/>
          </w:tcPr>
          <w:p w14:paraId="53124B6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7FE3342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MŽP</w:t>
            </w:r>
          </w:p>
        </w:tc>
      </w:tr>
      <w:tr w:rsidR="00E25C73" w:rsidRPr="00E25C73" w14:paraId="61392E91" w14:textId="77777777" w:rsidTr="009A7AC2">
        <w:trPr>
          <w:trHeight w:val="340"/>
          <w:jc w:val="center"/>
        </w:trPr>
        <w:tc>
          <w:tcPr>
            <w:tcW w:w="2057" w:type="dxa"/>
            <w:shd w:val="clear" w:color="auto" w:fill="auto"/>
            <w:vAlign w:val="center"/>
            <w:hideMark/>
          </w:tcPr>
          <w:p w14:paraId="5DB5295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0A00F16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optimálnější řešení nakládání s bioodpadem na území obce</w:t>
            </w:r>
          </w:p>
        </w:tc>
      </w:tr>
      <w:tr w:rsidR="00E25C73" w:rsidRPr="00E25C73" w14:paraId="46F2D519" w14:textId="77777777" w:rsidTr="009A7AC2">
        <w:trPr>
          <w:trHeight w:val="48"/>
          <w:jc w:val="center"/>
        </w:trPr>
        <w:tc>
          <w:tcPr>
            <w:tcW w:w="2057" w:type="dxa"/>
            <w:shd w:val="clear" w:color="auto" w:fill="auto"/>
            <w:vAlign w:val="center"/>
            <w:hideMark/>
          </w:tcPr>
          <w:p w14:paraId="69BC551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7918C96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6DFD8EF2" w14:textId="77777777" w:rsidTr="009A7AC2">
        <w:trPr>
          <w:trHeight w:val="340"/>
          <w:jc w:val="center"/>
        </w:trPr>
        <w:tc>
          <w:tcPr>
            <w:tcW w:w="2057" w:type="dxa"/>
            <w:shd w:val="clear" w:color="auto" w:fill="auto"/>
            <w:vAlign w:val="center"/>
            <w:hideMark/>
          </w:tcPr>
          <w:p w14:paraId="6CE5FCE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4E249F3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nízká</w:t>
            </w:r>
          </w:p>
        </w:tc>
      </w:tr>
      <w:tr w:rsidR="00E25C73" w:rsidRPr="00E25C73" w14:paraId="32CE78E5" w14:textId="77777777" w:rsidTr="009A7AC2">
        <w:trPr>
          <w:trHeight w:val="340"/>
          <w:jc w:val="center"/>
        </w:trPr>
        <w:tc>
          <w:tcPr>
            <w:tcW w:w="2057" w:type="dxa"/>
            <w:shd w:val="clear" w:color="auto" w:fill="auto"/>
            <w:vAlign w:val="center"/>
            <w:hideMark/>
          </w:tcPr>
          <w:p w14:paraId="3361C51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48D1C70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stovek tis. až jednotek mil. Kč</w:t>
            </w:r>
          </w:p>
        </w:tc>
      </w:tr>
      <w:tr w:rsidR="00E25C73" w:rsidRPr="00E25C73" w14:paraId="62354F95" w14:textId="77777777" w:rsidTr="009A7AC2">
        <w:trPr>
          <w:trHeight w:val="340"/>
          <w:jc w:val="center"/>
        </w:trPr>
        <w:tc>
          <w:tcPr>
            <w:tcW w:w="2057" w:type="dxa"/>
            <w:shd w:val="clear" w:color="auto" w:fill="auto"/>
            <w:vAlign w:val="center"/>
            <w:hideMark/>
          </w:tcPr>
          <w:p w14:paraId="3600B8F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54C5ACE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MŽP – SFŽP – NPO – Podpora investic vedoucích k rozvoji cirkulární ekonomiky v oblasti nakládání s biologicky rozložitelnými odpady</w:t>
            </w:r>
          </w:p>
          <w:p w14:paraId="3E8728C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56A7FF54" w14:textId="77777777" w:rsidTr="009A7AC2">
        <w:trPr>
          <w:trHeight w:val="340"/>
          <w:jc w:val="center"/>
        </w:trPr>
        <w:tc>
          <w:tcPr>
            <w:tcW w:w="2057" w:type="dxa"/>
            <w:shd w:val="clear" w:color="auto" w:fill="auto"/>
            <w:vAlign w:val="center"/>
            <w:hideMark/>
          </w:tcPr>
          <w:p w14:paraId="323B04C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1D335DF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4: Kvalitní a čisté životní prostředí, StC 4.3: Eliminace negativních dopadů činností člověka na životní prostředí, Opatření 4.3.1: Efektivní a ekologické odpadové hospodářství)</w:t>
            </w:r>
          </w:p>
        </w:tc>
      </w:tr>
      <w:tr w:rsidR="00E25C73" w:rsidRPr="00E25C73" w14:paraId="2A9547E1" w14:textId="77777777" w:rsidTr="009A7AC2">
        <w:trPr>
          <w:trHeight w:val="340"/>
          <w:jc w:val="center"/>
        </w:trPr>
        <w:tc>
          <w:tcPr>
            <w:tcW w:w="2057" w:type="dxa"/>
            <w:shd w:val="clear" w:color="auto" w:fill="auto"/>
            <w:vAlign w:val="center"/>
            <w:hideMark/>
          </w:tcPr>
          <w:p w14:paraId="05FB215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0E3BE38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bude se odvíjet od rozhodnutí Zastupitelstva obce Staré Buky</w:t>
            </w:r>
          </w:p>
        </w:tc>
      </w:tr>
      <w:tr w:rsidR="00E25C73" w:rsidRPr="00E25C73" w14:paraId="6E9093C1" w14:textId="77777777" w:rsidTr="009A7AC2">
        <w:trPr>
          <w:trHeight w:val="340"/>
          <w:jc w:val="center"/>
        </w:trPr>
        <w:tc>
          <w:tcPr>
            <w:tcW w:w="2057" w:type="dxa"/>
            <w:shd w:val="clear" w:color="auto" w:fill="auto"/>
            <w:vAlign w:val="center"/>
            <w:hideMark/>
          </w:tcPr>
          <w:p w14:paraId="3BF34A4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7F760AF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2027 a dále – do doby, než se podaří</w:t>
            </w:r>
            <w:r w:rsidRPr="00E25C73">
              <w:rPr>
                <w:rFonts w:ascii="Calibri" w:eastAsia="Calibri" w:hAnsi="Calibri" w:cs="Times New Roman"/>
              </w:rPr>
              <w:t xml:space="preserve"> </w:t>
            </w:r>
            <w:r w:rsidRPr="00E25C73">
              <w:rPr>
                <w:rFonts w:ascii="Calibri" w:eastAsia="Times New Roman" w:hAnsi="Calibri" w:cs="Calibri"/>
                <w:color w:val="000000"/>
                <w:sz w:val="20"/>
                <w:szCs w:val="20"/>
                <w:lang w:eastAsia="cs-CZ"/>
              </w:rPr>
              <w:t>kompostárnu v obci vybudovat</w:t>
            </w:r>
          </w:p>
        </w:tc>
      </w:tr>
      <w:tr w:rsidR="00E25C73" w:rsidRPr="00E25C73" w14:paraId="030EDE9D" w14:textId="77777777" w:rsidTr="009A7AC2">
        <w:trPr>
          <w:trHeight w:val="340"/>
          <w:jc w:val="center"/>
        </w:trPr>
        <w:tc>
          <w:tcPr>
            <w:tcW w:w="2057" w:type="dxa"/>
            <w:shd w:val="clear" w:color="auto" w:fill="auto"/>
            <w:vAlign w:val="center"/>
            <w:hideMark/>
          </w:tcPr>
          <w:p w14:paraId="3B81391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6778096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2A250830" w14:textId="77777777" w:rsidTr="009A7AC2">
        <w:trPr>
          <w:trHeight w:val="340"/>
          <w:jc w:val="center"/>
        </w:trPr>
        <w:tc>
          <w:tcPr>
            <w:tcW w:w="2057" w:type="dxa"/>
            <w:shd w:val="clear" w:color="auto" w:fill="auto"/>
            <w:vAlign w:val="center"/>
            <w:hideMark/>
          </w:tcPr>
          <w:p w14:paraId="6C7EE71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5B74C7E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32B38081" w14:textId="77777777" w:rsidTr="009A7AC2">
        <w:trPr>
          <w:trHeight w:val="340"/>
          <w:jc w:val="center"/>
        </w:trPr>
        <w:tc>
          <w:tcPr>
            <w:tcW w:w="2057" w:type="dxa"/>
            <w:shd w:val="clear" w:color="auto" w:fill="auto"/>
            <w:vAlign w:val="center"/>
          </w:tcPr>
          <w:p w14:paraId="69B7E02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4E1FBD7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w:t>
            </w:r>
          </w:p>
        </w:tc>
      </w:tr>
    </w:tbl>
    <w:p w14:paraId="2B559048"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16B5AC98"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0C8CF592"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Usilovat o realizaci komplexních pozemkových úprav</w:t>
            </w:r>
          </w:p>
        </w:tc>
      </w:tr>
      <w:tr w:rsidR="00E25C73" w:rsidRPr="00E25C73" w14:paraId="05BE991E" w14:textId="77777777" w:rsidTr="009A7AC2">
        <w:trPr>
          <w:trHeight w:val="340"/>
          <w:jc w:val="center"/>
        </w:trPr>
        <w:tc>
          <w:tcPr>
            <w:tcW w:w="2057" w:type="dxa"/>
            <w:shd w:val="clear" w:color="auto" w:fill="auto"/>
            <w:vAlign w:val="center"/>
            <w:hideMark/>
          </w:tcPr>
          <w:p w14:paraId="52AB12C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07FCCBD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p w14:paraId="0824C5A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vlastníci zemědělské půdy</w:t>
            </w:r>
          </w:p>
        </w:tc>
      </w:tr>
      <w:tr w:rsidR="00E25C73" w:rsidRPr="00E25C73" w14:paraId="74D5399F" w14:textId="77777777" w:rsidTr="009A7AC2">
        <w:trPr>
          <w:trHeight w:val="340"/>
          <w:jc w:val="center"/>
        </w:trPr>
        <w:tc>
          <w:tcPr>
            <w:tcW w:w="2057" w:type="dxa"/>
            <w:shd w:val="clear" w:color="auto" w:fill="auto"/>
            <w:vAlign w:val="center"/>
          </w:tcPr>
          <w:p w14:paraId="7C04CF6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5F9511B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tc>
      </w:tr>
      <w:tr w:rsidR="00E25C73" w:rsidRPr="00E25C73" w14:paraId="597D5012" w14:textId="77777777" w:rsidTr="009A7AC2">
        <w:trPr>
          <w:trHeight w:val="340"/>
          <w:jc w:val="center"/>
        </w:trPr>
        <w:tc>
          <w:tcPr>
            <w:tcW w:w="2057" w:type="dxa"/>
            <w:shd w:val="clear" w:color="auto" w:fill="auto"/>
            <w:vAlign w:val="center"/>
            <w:hideMark/>
          </w:tcPr>
          <w:p w14:paraId="3310860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1BF3227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SPÚ</w:t>
            </w:r>
          </w:p>
        </w:tc>
      </w:tr>
      <w:tr w:rsidR="00E25C73" w:rsidRPr="00E25C73" w14:paraId="53E2D258" w14:textId="77777777" w:rsidTr="009A7AC2">
        <w:trPr>
          <w:trHeight w:val="340"/>
          <w:jc w:val="center"/>
        </w:trPr>
        <w:tc>
          <w:tcPr>
            <w:tcW w:w="2057" w:type="dxa"/>
            <w:shd w:val="clear" w:color="auto" w:fill="auto"/>
            <w:vAlign w:val="center"/>
            <w:hideMark/>
          </w:tcPr>
          <w:p w14:paraId="3775A88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37CEB1F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zlepšení dostupnosti pozemků v extravilánu obce</w:t>
            </w:r>
          </w:p>
          <w:p w14:paraId="0F8DF45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zlepšení stavu životního prostředí</w:t>
            </w:r>
          </w:p>
        </w:tc>
      </w:tr>
      <w:tr w:rsidR="00E25C73" w:rsidRPr="00E25C73" w14:paraId="12E4B6BE" w14:textId="77777777" w:rsidTr="009A7AC2">
        <w:trPr>
          <w:trHeight w:val="48"/>
          <w:jc w:val="center"/>
        </w:trPr>
        <w:tc>
          <w:tcPr>
            <w:tcW w:w="2057" w:type="dxa"/>
            <w:shd w:val="clear" w:color="auto" w:fill="auto"/>
            <w:vAlign w:val="center"/>
            <w:hideMark/>
          </w:tcPr>
          <w:p w14:paraId="3FAC4AA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4FB94DA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 i neinvestiční</w:t>
            </w:r>
          </w:p>
        </w:tc>
      </w:tr>
      <w:tr w:rsidR="00E25C73" w:rsidRPr="00E25C73" w14:paraId="6267AD21" w14:textId="77777777" w:rsidTr="009A7AC2">
        <w:trPr>
          <w:trHeight w:val="340"/>
          <w:jc w:val="center"/>
        </w:trPr>
        <w:tc>
          <w:tcPr>
            <w:tcW w:w="2057" w:type="dxa"/>
            <w:shd w:val="clear" w:color="auto" w:fill="auto"/>
            <w:vAlign w:val="center"/>
            <w:hideMark/>
          </w:tcPr>
          <w:p w14:paraId="6B435DE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127660A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vysoká</w:t>
            </w:r>
          </w:p>
        </w:tc>
      </w:tr>
      <w:tr w:rsidR="00E25C73" w:rsidRPr="00E25C73" w14:paraId="7B1FEE79" w14:textId="77777777" w:rsidTr="009A7AC2">
        <w:trPr>
          <w:trHeight w:val="340"/>
          <w:jc w:val="center"/>
        </w:trPr>
        <w:tc>
          <w:tcPr>
            <w:tcW w:w="2057" w:type="dxa"/>
            <w:shd w:val="clear" w:color="auto" w:fill="auto"/>
            <w:vAlign w:val="center"/>
            <w:hideMark/>
          </w:tcPr>
          <w:p w14:paraId="3E69B47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783DEFA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desítek mil. Kč</w:t>
            </w:r>
          </w:p>
        </w:tc>
      </w:tr>
      <w:tr w:rsidR="00E25C73" w:rsidRPr="00E25C73" w14:paraId="0E59905F" w14:textId="77777777" w:rsidTr="009A7AC2">
        <w:trPr>
          <w:trHeight w:val="340"/>
          <w:jc w:val="center"/>
        </w:trPr>
        <w:tc>
          <w:tcPr>
            <w:tcW w:w="2057" w:type="dxa"/>
            <w:shd w:val="clear" w:color="auto" w:fill="auto"/>
            <w:vAlign w:val="center"/>
            <w:hideMark/>
          </w:tcPr>
          <w:p w14:paraId="130C8E4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63BABFB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prostředky SPÚ</w:t>
            </w:r>
          </w:p>
        </w:tc>
      </w:tr>
      <w:tr w:rsidR="00E25C73" w:rsidRPr="00E25C73" w14:paraId="468746AE" w14:textId="77777777" w:rsidTr="009A7AC2">
        <w:trPr>
          <w:trHeight w:val="340"/>
          <w:jc w:val="center"/>
        </w:trPr>
        <w:tc>
          <w:tcPr>
            <w:tcW w:w="2057" w:type="dxa"/>
            <w:shd w:val="clear" w:color="auto" w:fill="auto"/>
            <w:vAlign w:val="center"/>
            <w:hideMark/>
          </w:tcPr>
          <w:p w14:paraId="1D044B8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48D24AA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4: Kvalitní a čisté životní prostředí, StC 4.1: Biodiverzita a ochrana přírody a krajiny, Opatření 4.1.1: Aktivní ochrana přírody a krajiny a péče o krajinu)</w:t>
            </w:r>
          </w:p>
        </w:tc>
      </w:tr>
      <w:tr w:rsidR="00E25C73" w:rsidRPr="00E25C73" w14:paraId="21C33DD2" w14:textId="77777777" w:rsidTr="009A7AC2">
        <w:trPr>
          <w:trHeight w:val="340"/>
          <w:jc w:val="center"/>
        </w:trPr>
        <w:tc>
          <w:tcPr>
            <w:tcW w:w="2057" w:type="dxa"/>
            <w:shd w:val="clear" w:color="auto" w:fill="auto"/>
            <w:vAlign w:val="center"/>
            <w:hideMark/>
          </w:tcPr>
          <w:p w14:paraId="4EAF62C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396CE61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jednotlivá k. ú. obce Staré Buky</w:t>
            </w:r>
          </w:p>
        </w:tc>
      </w:tr>
      <w:tr w:rsidR="00E25C73" w:rsidRPr="00E25C73" w14:paraId="4D8BB767" w14:textId="77777777" w:rsidTr="009A7AC2">
        <w:trPr>
          <w:trHeight w:val="340"/>
          <w:jc w:val="center"/>
        </w:trPr>
        <w:tc>
          <w:tcPr>
            <w:tcW w:w="2057" w:type="dxa"/>
            <w:shd w:val="clear" w:color="auto" w:fill="auto"/>
            <w:vAlign w:val="center"/>
            <w:hideMark/>
          </w:tcPr>
          <w:p w14:paraId="5A276FB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35F6865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2025 a dále – do doby, než se podaří KoPÚ zrealizovat</w:t>
            </w:r>
          </w:p>
        </w:tc>
      </w:tr>
      <w:tr w:rsidR="00E25C73" w:rsidRPr="00E25C73" w14:paraId="670B74C6" w14:textId="77777777" w:rsidTr="009A7AC2">
        <w:trPr>
          <w:trHeight w:val="340"/>
          <w:jc w:val="center"/>
        </w:trPr>
        <w:tc>
          <w:tcPr>
            <w:tcW w:w="2057" w:type="dxa"/>
            <w:shd w:val="clear" w:color="auto" w:fill="auto"/>
            <w:vAlign w:val="center"/>
            <w:hideMark/>
          </w:tcPr>
          <w:p w14:paraId="0407CC6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3A3A3B8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SPÚ</w:t>
            </w:r>
          </w:p>
        </w:tc>
      </w:tr>
      <w:tr w:rsidR="00E25C73" w:rsidRPr="00E25C73" w14:paraId="47139AE8" w14:textId="77777777" w:rsidTr="009A7AC2">
        <w:trPr>
          <w:trHeight w:val="340"/>
          <w:jc w:val="center"/>
        </w:trPr>
        <w:tc>
          <w:tcPr>
            <w:tcW w:w="2057" w:type="dxa"/>
            <w:shd w:val="clear" w:color="auto" w:fill="auto"/>
            <w:vAlign w:val="center"/>
            <w:hideMark/>
          </w:tcPr>
          <w:p w14:paraId="3D8BC6F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365DC9C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1D04B9E6" w14:textId="77777777" w:rsidTr="009A7AC2">
        <w:trPr>
          <w:trHeight w:val="340"/>
          <w:jc w:val="center"/>
        </w:trPr>
        <w:tc>
          <w:tcPr>
            <w:tcW w:w="2057" w:type="dxa"/>
            <w:shd w:val="clear" w:color="auto" w:fill="auto"/>
            <w:vAlign w:val="center"/>
          </w:tcPr>
          <w:p w14:paraId="562AA38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3CD0457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w:t>
            </w:r>
          </w:p>
        </w:tc>
      </w:tr>
    </w:tbl>
    <w:p w14:paraId="595C68B9"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7821D678"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492A5593"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Regulovat novou výstavbu v lokalitě Dolníky</w:t>
            </w:r>
          </w:p>
        </w:tc>
      </w:tr>
      <w:tr w:rsidR="00E25C73" w:rsidRPr="00E25C73" w14:paraId="0A2D0D90" w14:textId="77777777" w:rsidTr="009A7AC2">
        <w:trPr>
          <w:trHeight w:val="340"/>
          <w:jc w:val="center"/>
        </w:trPr>
        <w:tc>
          <w:tcPr>
            <w:tcW w:w="2057" w:type="dxa"/>
            <w:shd w:val="clear" w:color="auto" w:fill="auto"/>
            <w:vAlign w:val="center"/>
            <w:hideMark/>
          </w:tcPr>
          <w:p w14:paraId="452DB34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0543840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770A0A00" w14:textId="77777777" w:rsidTr="009A7AC2">
        <w:trPr>
          <w:trHeight w:val="340"/>
          <w:jc w:val="center"/>
        </w:trPr>
        <w:tc>
          <w:tcPr>
            <w:tcW w:w="2057" w:type="dxa"/>
            <w:shd w:val="clear" w:color="auto" w:fill="auto"/>
            <w:vAlign w:val="center"/>
          </w:tcPr>
          <w:p w14:paraId="7D6DFAF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7F40E12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tc>
      </w:tr>
      <w:tr w:rsidR="00E25C73" w:rsidRPr="00E25C73" w14:paraId="7733EF12" w14:textId="77777777" w:rsidTr="009A7AC2">
        <w:trPr>
          <w:trHeight w:val="340"/>
          <w:jc w:val="center"/>
        </w:trPr>
        <w:tc>
          <w:tcPr>
            <w:tcW w:w="2057" w:type="dxa"/>
            <w:shd w:val="clear" w:color="auto" w:fill="auto"/>
            <w:vAlign w:val="center"/>
            <w:hideMark/>
          </w:tcPr>
          <w:p w14:paraId="572E9FC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32B57AC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ORP Trutnov</w:t>
            </w:r>
          </w:p>
        </w:tc>
      </w:tr>
      <w:tr w:rsidR="00E25C73" w:rsidRPr="00E25C73" w14:paraId="6F3D08E0" w14:textId="77777777" w:rsidTr="009A7AC2">
        <w:trPr>
          <w:trHeight w:val="340"/>
          <w:jc w:val="center"/>
        </w:trPr>
        <w:tc>
          <w:tcPr>
            <w:tcW w:w="2057" w:type="dxa"/>
            <w:shd w:val="clear" w:color="auto" w:fill="auto"/>
            <w:vAlign w:val="center"/>
            <w:hideMark/>
          </w:tcPr>
          <w:p w14:paraId="1E676A0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005B0BA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omezení negativního vlivu na prostředí lokality jako takové</w:t>
            </w:r>
          </w:p>
          <w:p w14:paraId="3FD9A96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snaha, aby lokalita neztratila svoje genius loci</w:t>
            </w:r>
          </w:p>
          <w:p w14:paraId="1C43C72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zabezpečení, že výstavba bude v lokalitě probíhat v přijatelném rozsahu</w:t>
            </w:r>
          </w:p>
        </w:tc>
      </w:tr>
      <w:tr w:rsidR="00E25C73" w:rsidRPr="00E25C73" w14:paraId="0F5FA167" w14:textId="77777777" w:rsidTr="009A7AC2">
        <w:trPr>
          <w:trHeight w:val="48"/>
          <w:jc w:val="center"/>
        </w:trPr>
        <w:tc>
          <w:tcPr>
            <w:tcW w:w="2057" w:type="dxa"/>
            <w:shd w:val="clear" w:color="auto" w:fill="auto"/>
            <w:vAlign w:val="center"/>
            <w:hideMark/>
          </w:tcPr>
          <w:p w14:paraId="138A591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3D876CA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neinvestiční</w:t>
            </w:r>
          </w:p>
        </w:tc>
      </w:tr>
      <w:tr w:rsidR="00E25C73" w:rsidRPr="00E25C73" w14:paraId="25B29CFF" w14:textId="77777777" w:rsidTr="009A7AC2">
        <w:trPr>
          <w:trHeight w:val="340"/>
          <w:jc w:val="center"/>
        </w:trPr>
        <w:tc>
          <w:tcPr>
            <w:tcW w:w="2057" w:type="dxa"/>
            <w:shd w:val="clear" w:color="auto" w:fill="auto"/>
            <w:vAlign w:val="center"/>
            <w:hideMark/>
          </w:tcPr>
          <w:p w14:paraId="62BFAD6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6E6B4E9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vysoká</w:t>
            </w:r>
          </w:p>
        </w:tc>
      </w:tr>
      <w:tr w:rsidR="00E25C73" w:rsidRPr="00E25C73" w14:paraId="2B029D0F" w14:textId="77777777" w:rsidTr="009A7AC2">
        <w:trPr>
          <w:trHeight w:val="340"/>
          <w:jc w:val="center"/>
        </w:trPr>
        <w:tc>
          <w:tcPr>
            <w:tcW w:w="2057" w:type="dxa"/>
            <w:shd w:val="clear" w:color="auto" w:fill="auto"/>
            <w:vAlign w:val="center"/>
            <w:hideMark/>
          </w:tcPr>
          <w:p w14:paraId="503DA7A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685549F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desítek tis. Kč</w:t>
            </w:r>
          </w:p>
        </w:tc>
      </w:tr>
      <w:tr w:rsidR="00E25C73" w:rsidRPr="00E25C73" w14:paraId="72CC61F5" w14:textId="77777777" w:rsidTr="009A7AC2">
        <w:trPr>
          <w:trHeight w:val="340"/>
          <w:jc w:val="center"/>
        </w:trPr>
        <w:tc>
          <w:tcPr>
            <w:tcW w:w="2057" w:type="dxa"/>
            <w:shd w:val="clear" w:color="auto" w:fill="auto"/>
            <w:vAlign w:val="center"/>
            <w:hideMark/>
          </w:tcPr>
          <w:p w14:paraId="1E50219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032663B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56E029A6" w14:textId="77777777" w:rsidTr="009A7AC2">
        <w:trPr>
          <w:trHeight w:val="340"/>
          <w:jc w:val="center"/>
        </w:trPr>
        <w:tc>
          <w:tcPr>
            <w:tcW w:w="2057" w:type="dxa"/>
            <w:shd w:val="clear" w:color="auto" w:fill="auto"/>
            <w:vAlign w:val="center"/>
            <w:hideMark/>
          </w:tcPr>
          <w:p w14:paraId="25D6E53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402497C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4: Kvalitní a čisté životní prostředí, StC 4.1: Biodiverzita a ochrana přírody a krajiny, Opatření 4.1.2: Zachování druhové rozmanitosti)</w:t>
            </w:r>
          </w:p>
        </w:tc>
      </w:tr>
      <w:tr w:rsidR="00E25C73" w:rsidRPr="00E25C73" w14:paraId="14B6F738" w14:textId="77777777" w:rsidTr="009A7AC2">
        <w:trPr>
          <w:trHeight w:val="340"/>
          <w:jc w:val="center"/>
        </w:trPr>
        <w:tc>
          <w:tcPr>
            <w:tcW w:w="2057" w:type="dxa"/>
            <w:shd w:val="clear" w:color="auto" w:fill="auto"/>
            <w:vAlign w:val="center"/>
            <w:hideMark/>
          </w:tcPr>
          <w:p w14:paraId="70AABC8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610EED6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lokalita Dolníky</w:t>
            </w:r>
          </w:p>
        </w:tc>
      </w:tr>
      <w:tr w:rsidR="00E25C73" w:rsidRPr="00E25C73" w14:paraId="6B8589FD" w14:textId="77777777" w:rsidTr="009A7AC2">
        <w:trPr>
          <w:trHeight w:val="340"/>
          <w:jc w:val="center"/>
        </w:trPr>
        <w:tc>
          <w:tcPr>
            <w:tcW w:w="2057" w:type="dxa"/>
            <w:shd w:val="clear" w:color="auto" w:fill="auto"/>
            <w:vAlign w:val="center"/>
            <w:hideMark/>
          </w:tcPr>
          <w:p w14:paraId="4A36CE8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339EBB5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52E953B2" w14:textId="77777777" w:rsidTr="009A7AC2">
        <w:trPr>
          <w:trHeight w:val="340"/>
          <w:jc w:val="center"/>
        </w:trPr>
        <w:tc>
          <w:tcPr>
            <w:tcW w:w="2057" w:type="dxa"/>
            <w:shd w:val="clear" w:color="auto" w:fill="auto"/>
            <w:vAlign w:val="center"/>
            <w:hideMark/>
          </w:tcPr>
          <w:p w14:paraId="7D0B8E2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3F58F63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 ve spolupráci s ORP Trutnov</w:t>
            </w:r>
          </w:p>
        </w:tc>
      </w:tr>
      <w:tr w:rsidR="00E25C73" w:rsidRPr="00E25C73" w14:paraId="32A68797" w14:textId="77777777" w:rsidTr="009A7AC2">
        <w:trPr>
          <w:trHeight w:val="340"/>
          <w:jc w:val="center"/>
        </w:trPr>
        <w:tc>
          <w:tcPr>
            <w:tcW w:w="2057" w:type="dxa"/>
            <w:shd w:val="clear" w:color="auto" w:fill="auto"/>
            <w:vAlign w:val="center"/>
            <w:hideMark/>
          </w:tcPr>
          <w:p w14:paraId="5C3CBFB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2193801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38B2D3B2" w14:textId="77777777" w:rsidTr="009A7AC2">
        <w:trPr>
          <w:trHeight w:val="340"/>
          <w:jc w:val="center"/>
        </w:trPr>
        <w:tc>
          <w:tcPr>
            <w:tcW w:w="2057" w:type="dxa"/>
            <w:shd w:val="clear" w:color="auto" w:fill="auto"/>
            <w:vAlign w:val="center"/>
          </w:tcPr>
          <w:p w14:paraId="39AC886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2AF94AA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w:t>
            </w:r>
          </w:p>
        </w:tc>
      </w:tr>
    </w:tbl>
    <w:p w14:paraId="3F702F60"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339FDB6D"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4DD65C4D"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Usilovat o obnovu historických cest</w:t>
            </w:r>
          </w:p>
        </w:tc>
      </w:tr>
      <w:tr w:rsidR="00E25C73" w:rsidRPr="00E25C73" w14:paraId="3A4B5A18" w14:textId="77777777" w:rsidTr="009A7AC2">
        <w:trPr>
          <w:trHeight w:val="340"/>
          <w:jc w:val="center"/>
        </w:trPr>
        <w:tc>
          <w:tcPr>
            <w:tcW w:w="2057" w:type="dxa"/>
            <w:shd w:val="clear" w:color="auto" w:fill="auto"/>
            <w:vAlign w:val="center"/>
            <w:hideMark/>
          </w:tcPr>
          <w:p w14:paraId="16B1BC3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3B8D643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11ADFC6C" w14:textId="77777777" w:rsidTr="009A7AC2">
        <w:trPr>
          <w:trHeight w:val="340"/>
          <w:jc w:val="center"/>
        </w:trPr>
        <w:tc>
          <w:tcPr>
            <w:tcW w:w="2057" w:type="dxa"/>
            <w:shd w:val="clear" w:color="auto" w:fill="auto"/>
            <w:vAlign w:val="center"/>
          </w:tcPr>
          <w:p w14:paraId="77CC0DB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6A369B1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p w14:paraId="4BE7AB9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11A9B279" w14:textId="77777777" w:rsidTr="009A7AC2">
        <w:trPr>
          <w:trHeight w:val="340"/>
          <w:jc w:val="center"/>
        </w:trPr>
        <w:tc>
          <w:tcPr>
            <w:tcW w:w="2057" w:type="dxa"/>
            <w:shd w:val="clear" w:color="auto" w:fill="auto"/>
            <w:vAlign w:val="center"/>
            <w:hideMark/>
          </w:tcPr>
          <w:p w14:paraId="5AB982C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19DB6B2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SPÚ</w:t>
            </w:r>
          </w:p>
        </w:tc>
      </w:tr>
      <w:tr w:rsidR="00E25C73" w:rsidRPr="00E25C73" w14:paraId="1829E191" w14:textId="77777777" w:rsidTr="009A7AC2">
        <w:trPr>
          <w:trHeight w:val="340"/>
          <w:jc w:val="center"/>
        </w:trPr>
        <w:tc>
          <w:tcPr>
            <w:tcW w:w="2057" w:type="dxa"/>
            <w:shd w:val="clear" w:color="auto" w:fill="auto"/>
            <w:vAlign w:val="center"/>
            <w:hideMark/>
          </w:tcPr>
          <w:p w14:paraId="36308B7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7F64622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zlepšení přístupnosti pozemků a lokalit na území obce</w:t>
            </w:r>
          </w:p>
          <w:p w14:paraId="4917266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pozitivní vliv na životní prostředí (zmírnění vodní eroze apod.)</w:t>
            </w:r>
          </w:p>
        </w:tc>
      </w:tr>
      <w:tr w:rsidR="00E25C73" w:rsidRPr="00E25C73" w14:paraId="756A235B" w14:textId="77777777" w:rsidTr="009A7AC2">
        <w:trPr>
          <w:trHeight w:val="48"/>
          <w:jc w:val="center"/>
        </w:trPr>
        <w:tc>
          <w:tcPr>
            <w:tcW w:w="2057" w:type="dxa"/>
            <w:shd w:val="clear" w:color="auto" w:fill="auto"/>
            <w:vAlign w:val="center"/>
            <w:hideMark/>
          </w:tcPr>
          <w:p w14:paraId="19BF337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57265A7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36E36E99" w14:textId="77777777" w:rsidTr="009A7AC2">
        <w:trPr>
          <w:trHeight w:val="340"/>
          <w:jc w:val="center"/>
        </w:trPr>
        <w:tc>
          <w:tcPr>
            <w:tcW w:w="2057" w:type="dxa"/>
            <w:shd w:val="clear" w:color="auto" w:fill="auto"/>
            <w:vAlign w:val="center"/>
            <w:hideMark/>
          </w:tcPr>
          <w:p w14:paraId="03DB51D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0FE09C9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3C254AE1" w14:textId="77777777" w:rsidTr="009A7AC2">
        <w:trPr>
          <w:trHeight w:val="340"/>
          <w:jc w:val="center"/>
        </w:trPr>
        <w:tc>
          <w:tcPr>
            <w:tcW w:w="2057" w:type="dxa"/>
            <w:shd w:val="clear" w:color="auto" w:fill="auto"/>
            <w:vAlign w:val="center"/>
            <w:hideMark/>
          </w:tcPr>
          <w:p w14:paraId="4E16AA1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56880B4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mil. Kč</w:t>
            </w:r>
          </w:p>
        </w:tc>
      </w:tr>
      <w:tr w:rsidR="00E25C73" w:rsidRPr="00E25C73" w14:paraId="34287FD0" w14:textId="77777777" w:rsidTr="009A7AC2">
        <w:trPr>
          <w:trHeight w:val="340"/>
          <w:jc w:val="center"/>
        </w:trPr>
        <w:tc>
          <w:tcPr>
            <w:tcW w:w="2057" w:type="dxa"/>
            <w:shd w:val="clear" w:color="auto" w:fill="auto"/>
            <w:vAlign w:val="center"/>
            <w:hideMark/>
          </w:tcPr>
          <w:p w14:paraId="7DB67A6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5C825AA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Prostředky SPÚ</w:t>
            </w:r>
          </w:p>
          <w:p w14:paraId="0FDD343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7371B71F" w14:textId="77777777" w:rsidTr="009A7AC2">
        <w:trPr>
          <w:trHeight w:val="340"/>
          <w:jc w:val="center"/>
        </w:trPr>
        <w:tc>
          <w:tcPr>
            <w:tcW w:w="2057" w:type="dxa"/>
            <w:shd w:val="clear" w:color="auto" w:fill="auto"/>
            <w:vAlign w:val="center"/>
            <w:hideMark/>
          </w:tcPr>
          <w:p w14:paraId="10BC2F0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1E63BDB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4: Kvalitní a čisté životní prostředí, StC 4.1: Biodiverzita a ochrana přírody a krajiny, Opatření 4.1.1: Aktivní ochrana přírody a krajiny a péče o krajinu)</w:t>
            </w:r>
          </w:p>
        </w:tc>
      </w:tr>
      <w:tr w:rsidR="00E25C73" w:rsidRPr="00E25C73" w14:paraId="09620035" w14:textId="77777777" w:rsidTr="009A7AC2">
        <w:trPr>
          <w:trHeight w:val="340"/>
          <w:jc w:val="center"/>
        </w:trPr>
        <w:tc>
          <w:tcPr>
            <w:tcW w:w="2057" w:type="dxa"/>
            <w:shd w:val="clear" w:color="auto" w:fill="auto"/>
            <w:vAlign w:val="center"/>
            <w:hideMark/>
          </w:tcPr>
          <w:p w14:paraId="6C8B0F7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2DDCC44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území obce Staré Buky</w:t>
            </w:r>
          </w:p>
        </w:tc>
      </w:tr>
      <w:tr w:rsidR="00E25C73" w:rsidRPr="00E25C73" w14:paraId="1E81639E" w14:textId="77777777" w:rsidTr="009A7AC2">
        <w:trPr>
          <w:trHeight w:val="340"/>
          <w:jc w:val="center"/>
        </w:trPr>
        <w:tc>
          <w:tcPr>
            <w:tcW w:w="2057" w:type="dxa"/>
            <w:shd w:val="clear" w:color="auto" w:fill="auto"/>
            <w:vAlign w:val="center"/>
            <w:hideMark/>
          </w:tcPr>
          <w:p w14:paraId="0FAE97C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380121F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28029350" w14:textId="77777777" w:rsidTr="009A7AC2">
        <w:trPr>
          <w:trHeight w:val="340"/>
          <w:jc w:val="center"/>
        </w:trPr>
        <w:tc>
          <w:tcPr>
            <w:tcW w:w="2057" w:type="dxa"/>
            <w:shd w:val="clear" w:color="auto" w:fill="auto"/>
            <w:vAlign w:val="center"/>
            <w:hideMark/>
          </w:tcPr>
          <w:p w14:paraId="64D7582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345E7D8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 ve spolupráci s SPÚ</w:t>
            </w:r>
          </w:p>
        </w:tc>
      </w:tr>
      <w:tr w:rsidR="00E25C73" w:rsidRPr="00E25C73" w14:paraId="1919DB02" w14:textId="77777777" w:rsidTr="009A7AC2">
        <w:trPr>
          <w:trHeight w:val="340"/>
          <w:jc w:val="center"/>
        </w:trPr>
        <w:tc>
          <w:tcPr>
            <w:tcW w:w="2057" w:type="dxa"/>
            <w:shd w:val="clear" w:color="auto" w:fill="auto"/>
            <w:vAlign w:val="center"/>
            <w:hideMark/>
          </w:tcPr>
          <w:p w14:paraId="05DA33C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1F018A0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19F19F7E" w14:textId="77777777" w:rsidTr="009A7AC2">
        <w:trPr>
          <w:trHeight w:val="340"/>
          <w:jc w:val="center"/>
        </w:trPr>
        <w:tc>
          <w:tcPr>
            <w:tcW w:w="2057" w:type="dxa"/>
            <w:shd w:val="clear" w:color="auto" w:fill="auto"/>
            <w:vAlign w:val="center"/>
          </w:tcPr>
          <w:p w14:paraId="0FF39DB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0FF7367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w:t>
            </w:r>
          </w:p>
        </w:tc>
      </w:tr>
    </w:tbl>
    <w:p w14:paraId="65806EF3"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65D86BFE"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0B2D59BD"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Podporovat aktivity vedoucí k zadržování vody v krajině</w:t>
            </w:r>
          </w:p>
        </w:tc>
      </w:tr>
      <w:tr w:rsidR="00E25C73" w:rsidRPr="00E25C73" w14:paraId="63DF154B" w14:textId="77777777" w:rsidTr="009A7AC2">
        <w:trPr>
          <w:trHeight w:val="340"/>
          <w:jc w:val="center"/>
        </w:trPr>
        <w:tc>
          <w:tcPr>
            <w:tcW w:w="2057" w:type="dxa"/>
            <w:shd w:val="clear" w:color="auto" w:fill="auto"/>
            <w:vAlign w:val="center"/>
            <w:hideMark/>
          </w:tcPr>
          <w:p w14:paraId="3AB3E24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21FD03C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p w14:paraId="0285D8E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soukromé subjekty</w:t>
            </w:r>
          </w:p>
        </w:tc>
      </w:tr>
      <w:tr w:rsidR="00E25C73" w:rsidRPr="00E25C73" w14:paraId="1C43A0C5" w14:textId="77777777" w:rsidTr="009A7AC2">
        <w:trPr>
          <w:trHeight w:val="340"/>
          <w:jc w:val="center"/>
        </w:trPr>
        <w:tc>
          <w:tcPr>
            <w:tcW w:w="2057" w:type="dxa"/>
            <w:shd w:val="clear" w:color="auto" w:fill="auto"/>
            <w:vAlign w:val="center"/>
          </w:tcPr>
          <w:p w14:paraId="0040D65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526C586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p w14:paraId="2188E84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7BC28400" w14:textId="77777777" w:rsidTr="009A7AC2">
        <w:trPr>
          <w:trHeight w:val="340"/>
          <w:jc w:val="center"/>
        </w:trPr>
        <w:tc>
          <w:tcPr>
            <w:tcW w:w="2057" w:type="dxa"/>
            <w:shd w:val="clear" w:color="auto" w:fill="auto"/>
            <w:vAlign w:val="center"/>
            <w:hideMark/>
          </w:tcPr>
          <w:p w14:paraId="697B692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3E7DD0D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MŽP, KHK kraj</w:t>
            </w:r>
          </w:p>
        </w:tc>
      </w:tr>
      <w:tr w:rsidR="00E25C73" w:rsidRPr="00E25C73" w14:paraId="38508905" w14:textId="77777777" w:rsidTr="009A7AC2">
        <w:trPr>
          <w:trHeight w:val="340"/>
          <w:jc w:val="center"/>
        </w:trPr>
        <w:tc>
          <w:tcPr>
            <w:tcW w:w="2057" w:type="dxa"/>
            <w:shd w:val="clear" w:color="auto" w:fill="auto"/>
            <w:vAlign w:val="center"/>
            <w:hideMark/>
          </w:tcPr>
          <w:p w14:paraId="704EEC6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1ED04E1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lepší zadržování vody v krajině má pozitivní efekty na životní prostředí v obci</w:t>
            </w:r>
          </w:p>
        </w:tc>
      </w:tr>
      <w:tr w:rsidR="00E25C73" w:rsidRPr="00E25C73" w14:paraId="21843273" w14:textId="77777777" w:rsidTr="009A7AC2">
        <w:trPr>
          <w:trHeight w:val="48"/>
          <w:jc w:val="center"/>
        </w:trPr>
        <w:tc>
          <w:tcPr>
            <w:tcW w:w="2057" w:type="dxa"/>
            <w:shd w:val="clear" w:color="auto" w:fill="auto"/>
            <w:vAlign w:val="center"/>
            <w:hideMark/>
          </w:tcPr>
          <w:p w14:paraId="04A5554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55C5D4D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 i neinvestiční</w:t>
            </w:r>
          </w:p>
        </w:tc>
      </w:tr>
      <w:tr w:rsidR="00E25C73" w:rsidRPr="00E25C73" w14:paraId="40394B3B" w14:textId="77777777" w:rsidTr="009A7AC2">
        <w:trPr>
          <w:trHeight w:val="340"/>
          <w:jc w:val="center"/>
        </w:trPr>
        <w:tc>
          <w:tcPr>
            <w:tcW w:w="2057" w:type="dxa"/>
            <w:shd w:val="clear" w:color="auto" w:fill="auto"/>
            <w:vAlign w:val="center"/>
            <w:hideMark/>
          </w:tcPr>
          <w:p w14:paraId="67902B8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20E304B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vysoká</w:t>
            </w:r>
          </w:p>
        </w:tc>
      </w:tr>
      <w:tr w:rsidR="00E25C73" w:rsidRPr="00E25C73" w14:paraId="3CF4D76D" w14:textId="77777777" w:rsidTr="009A7AC2">
        <w:trPr>
          <w:trHeight w:val="340"/>
          <w:jc w:val="center"/>
        </w:trPr>
        <w:tc>
          <w:tcPr>
            <w:tcW w:w="2057" w:type="dxa"/>
            <w:shd w:val="clear" w:color="auto" w:fill="auto"/>
            <w:vAlign w:val="center"/>
            <w:hideMark/>
          </w:tcPr>
          <w:p w14:paraId="7107F35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590F59C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budou se odvíjet od množství a rozsahu činností</w:t>
            </w:r>
          </w:p>
        </w:tc>
      </w:tr>
      <w:tr w:rsidR="00E25C73" w:rsidRPr="00E25C73" w14:paraId="39A571E7" w14:textId="77777777" w:rsidTr="009A7AC2">
        <w:trPr>
          <w:trHeight w:val="340"/>
          <w:jc w:val="center"/>
        </w:trPr>
        <w:tc>
          <w:tcPr>
            <w:tcW w:w="2057" w:type="dxa"/>
            <w:shd w:val="clear" w:color="auto" w:fill="auto"/>
            <w:vAlign w:val="center"/>
            <w:hideMark/>
          </w:tcPr>
          <w:p w14:paraId="17F9552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534489D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EU – OP ŽP 2021-2027</w:t>
            </w:r>
          </w:p>
          <w:p w14:paraId="0769D52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 DP Opatření k zadržování vody v krajině</w:t>
            </w:r>
          </w:p>
          <w:p w14:paraId="0223FCC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588FE8E5" w14:textId="77777777" w:rsidTr="009A7AC2">
        <w:trPr>
          <w:trHeight w:val="340"/>
          <w:jc w:val="center"/>
        </w:trPr>
        <w:tc>
          <w:tcPr>
            <w:tcW w:w="2057" w:type="dxa"/>
            <w:shd w:val="clear" w:color="auto" w:fill="auto"/>
            <w:vAlign w:val="center"/>
            <w:hideMark/>
          </w:tcPr>
          <w:p w14:paraId="1B0F7E5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3C6DBA4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4: Kvalitní a čisté životní prostředí, StC 4.2: Šetrné a odpovědné udržitelné hospodaření, Opatření 4.2.1: Ochrana proti povodním a vlivu nadměrného sucha a Opatření 4.2.2: Ochrana zemědělského půdního fondu a pozemků určených pro funkci lesa)</w:t>
            </w:r>
          </w:p>
        </w:tc>
      </w:tr>
      <w:tr w:rsidR="00E25C73" w:rsidRPr="00E25C73" w14:paraId="6E9C20EE" w14:textId="77777777" w:rsidTr="009A7AC2">
        <w:trPr>
          <w:trHeight w:val="340"/>
          <w:jc w:val="center"/>
        </w:trPr>
        <w:tc>
          <w:tcPr>
            <w:tcW w:w="2057" w:type="dxa"/>
            <w:shd w:val="clear" w:color="auto" w:fill="auto"/>
            <w:vAlign w:val="center"/>
            <w:hideMark/>
          </w:tcPr>
          <w:p w14:paraId="23E66E6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5A25939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území obce Staré Buky</w:t>
            </w:r>
          </w:p>
        </w:tc>
      </w:tr>
      <w:tr w:rsidR="00E25C73" w:rsidRPr="00E25C73" w14:paraId="04DFDF08" w14:textId="77777777" w:rsidTr="009A7AC2">
        <w:trPr>
          <w:trHeight w:val="340"/>
          <w:jc w:val="center"/>
        </w:trPr>
        <w:tc>
          <w:tcPr>
            <w:tcW w:w="2057" w:type="dxa"/>
            <w:shd w:val="clear" w:color="auto" w:fill="auto"/>
            <w:vAlign w:val="center"/>
            <w:hideMark/>
          </w:tcPr>
          <w:p w14:paraId="76A84E2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31CC478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717B1749" w14:textId="77777777" w:rsidTr="009A7AC2">
        <w:trPr>
          <w:trHeight w:val="340"/>
          <w:jc w:val="center"/>
        </w:trPr>
        <w:tc>
          <w:tcPr>
            <w:tcW w:w="2057" w:type="dxa"/>
            <w:shd w:val="clear" w:color="auto" w:fill="auto"/>
            <w:vAlign w:val="center"/>
            <w:hideMark/>
          </w:tcPr>
          <w:p w14:paraId="1B7BEE1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7C6A3E1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p w14:paraId="12DE33E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soukromé subjekty</w:t>
            </w:r>
          </w:p>
        </w:tc>
      </w:tr>
      <w:tr w:rsidR="00E25C73" w:rsidRPr="00E25C73" w14:paraId="2A977C4A" w14:textId="77777777" w:rsidTr="009A7AC2">
        <w:trPr>
          <w:trHeight w:val="340"/>
          <w:jc w:val="center"/>
        </w:trPr>
        <w:tc>
          <w:tcPr>
            <w:tcW w:w="2057" w:type="dxa"/>
            <w:shd w:val="clear" w:color="auto" w:fill="auto"/>
            <w:vAlign w:val="center"/>
            <w:hideMark/>
          </w:tcPr>
          <w:p w14:paraId="1A3945F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223D73F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6F407A37" w14:textId="77777777" w:rsidTr="009A7AC2">
        <w:trPr>
          <w:trHeight w:val="340"/>
          <w:jc w:val="center"/>
        </w:trPr>
        <w:tc>
          <w:tcPr>
            <w:tcW w:w="2057" w:type="dxa"/>
            <w:shd w:val="clear" w:color="auto" w:fill="auto"/>
            <w:vAlign w:val="center"/>
          </w:tcPr>
          <w:p w14:paraId="1087F26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4A6A68B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w:t>
            </w:r>
          </w:p>
        </w:tc>
      </w:tr>
    </w:tbl>
    <w:p w14:paraId="179D773C"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407C76ED"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0EF3F7F7"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Zlepšit údržbu Starobuckého potoka</w:t>
            </w:r>
          </w:p>
        </w:tc>
      </w:tr>
      <w:tr w:rsidR="00E25C73" w:rsidRPr="00E25C73" w14:paraId="3F4B9B6A" w14:textId="77777777" w:rsidTr="009A7AC2">
        <w:trPr>
          <w:trHeight w:val="340"/>
          <w:jc w:val="center"/>
        </w:trPr>
        <w:tc>
          <w:tcPr>
            <w:tcW w:w="2057" w:type="dxa"/>
            <w:shd w:val="clear" w:color="auto" w:fill="auto"/>
            <w:vAlign w:val="center"/>
            <w:hideMark/>
          </w:tcPr>
          <w:p w14:paraId="01EB44C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39BA689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2EDA8596" w14:textId="77777777" w:rsidTr="009A7AC2">
        <w:trPr>
          <w:trHeight w:val="340"/>
          <w:jc w:val="center"/>
        </w:trPr>
        <w:tc>
          <w:tcPr>
            <w:tcW w:w="2057" w:type="dxa"/>
            <w:shd w:val="clear" w:color="auto" w:fill="auto"/>
            <w:vAlign w:val="center"/>
          </w:tcPr>
          <w:p w14:paraId="5295F63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5E138B7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tc>
      </w:tr>
      <w:tr w:rsidR="00E25C73" w:rsidRPr="00E25C73" w14:paraId="11721EC9" w14:textId="77777777" w:rsidTr="009A7AC2">
        <w:trPr>
          <w:trHeight w:val="340"/>
          <w:jc w:val="center"/>
        </w:trPr>
        <w:tc>
          <w:tcPr>
            <w:tcW w:w="2057" w:type="dxa"/>
            <w:shd w:val="clear" w:color="auto" w:fill="auto"/>
            <w:vAlign w:val="center"/>
            <w:hideMark/>
          </w:tcPr>
          <w:p w14:paraId="1043A32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0DD7234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MZe, Povodí Labe, státní podnik, Lesy České republiky, s. p.</w:t>
            </w:r>
          </w:p>
        </w:tc>
      </w:tr>
      <w:tr w:rsidR="00E25C73" w:rsidRPr="00E25C73" w14:paraId="5A96DC68" w14:textId="77777777" w:rsidTr="009A7AC2">
        <w:trPr>
          <w:trHeight w:val="340"/>
          <w:jc w:val="center"/>
        </w:trPr>
        <w:tc>
          <w:tcPr>
            <w:tcW w:w="2057" w:type="dxa"/>
            <w:shd w:val="clear" w:color="auto" w:fill="auto"/>
            <w:vAlign w:val="center"/>
            <w:hideMark/>
          </w:tcPr>
          <w:p w14:paraId="6213C86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2BFB166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zlepšení stavu vodního toku protékajícího přes území obce</w:t>
            </w:r>
          </w:p>
        </w:tc>
      </w:tr>
      <w:tr w:rsidR="00E25C73" w:rsidRPr="00E25C73" w14:paraId="3F1C6EBF" w14:textId="77777777" w:rsidTr="009A7AC2">
        <w:trPr>
          <w:trHeight w:val="48"/>
          <w:jc w:val="center"/>
        </w:trPr>
        <w:tc>
          <w:tcPr>
            <w:tcW w:w="2057" w:type="dxa"/>
            <w:shd w:val="clear" w:color="auto" w:fill="auto"/>
            <w:vAlign w:val="center"/>
            <w:hideMark/>
          </w:tcPr>
          <w:p w14:paraId="6892791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563B619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7232416F" w14:textId="77777777" w:rsidTr="009A7AC2">
        <w:trPr>
          <w:trHeight w:val="340"/>
          <w:jc w:val="center"/>
        </w:trPr>
        <w:tc>
          <w:tcPr>
            <w:tcW w:w="2057" w:type="dxa"/>
            <w:shd w:val="clear" w:color="auto" w:fill="auto"/>
            <w:vAlign w:val="center"/>
            <w:hideMark/>
          </w:tcPr>
          <w:p w14:paraId="40D15D6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3AF8B48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314E11B6" w14:textId="77777777" w:rsidTr="009A7AC2">
        <w:trPr>
          <w:trHeight w:val="340"/>
          <w:jc w:val="center"/>
        </w:trPr>
        <w:tc>
          <w:tcPr>
            <w:tcW w:w="2057" w:type="dxa"/>
            <w:shd w:val="clear" w:color="auto" w:fill="auto"/>
            <w:vAlign w:val="center"/>
            <w:hideMark/>
          </w:tcPr>
          <w:p w14:paraId="0D05277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19C8396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náklady se budou odvíjet od rozsahu potřebných udržovacích prací</w:t>
            </w:r>
          </w:p>
        </w:tc>
      </w:tr>
      <w:tr w:rsidR="00E25C73" w:rsidRPr="00E25C73" w14:paraId="72CD1ED4" w14:textId="77777777" w:rsidTr="009A7AC2">
        <w:trPr>
          <w:trHeight w:val="340"/>
          <w:jc w:val="center"/>
        </w:trPr>
        <w:tc>
          <w:tcPr>
            <w:tcW w:w="2057" w:type="dxa"/>
            <w:shd w:val="clear" w:color="auto" w:fill="auto"/>
            <w:vAlign w:val="center"/>
            <w:hideMark/>
          </w:tcPr>
          <w:p w14:paraId="1B0A33E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71770FD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MZe – program Podpora opatření na drobných vodních tocích a malých vodních nádržích – v případě Povodí Labe, státního podniku</w:t>
            </w:r>
          </w:p>
          <w:p w14:paraId="7FA8B2C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prostředky Lesů České republiky, s.p.</w:t>
            </w:r>
          </w:p>
          <w:p w14:paraId="05DE80B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prostředky Povodí Labe, státního podniku</w:t>
            </w:r>
          </w:p>
          <w:p w14:paraId="43FD986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12770C2E" w14:textId="77777777" w:rsidTr="009A7AC2">
        <w:trPr>
          <w:trHeight w:val="340"/>
          <w:jc w:val="center"/>
        </w:trPr>
        <w:tc>
          <w:tcPr>
            <w:tcW w:w="2057" w:type="dxa"/>
            <w:shd w:val="clear" w:color="auto" w:fill="auto"/>
            <w:vAlign w:val="center"/>
            <w:hideMark/>
          </w:tcPr>
          <w:p w14:paraId="4224A2A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1281A3D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4: Kvalitní a čisté životní prostředí, StC 4.2: Šetrné a odpovědné udržitelné hospodaření, Opatření 4.2.1: Ochrana proti povodním a vlivu nadměrného sucha)</w:t>
            </w:r>
          </w:p>
        </w:tc>
      </w:tr>
      <w:tr w:rsidR="00E25C73" w:rsidRPr="00E25C73" w14:paraId="6832A408" w14:textId="77777777" w:rsidTr="009A7AC2">
        <w:trPr>
          <w:trHeight w:val="340"/>
          <w:jc w:val="center"/>
        </w:trPr>
        <w:tc>
          <w:tcPr>
            <w:tcW w:w="2057" w:type="dxa"/>
            <w:shd w:val="clear" w:color="auto" w:fill="auto"/>
            <w:vAlign w:val="center"/>
            <w:hideMark/>
          </w:tcPr>
          <w:p w14:paraId="7C1B067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33D4078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tok Starobuckého potoka na území obce</w:t>
            </w:r>
          </w:p>
        </w:tc>
      </w:tr>
      <w:tr w:rsidR="00E25C73" w:rsidRPr="00E25C73" w14:paraId="3E53AB18" w14:textId="77777777" w:rsidTr="009A7AC2">
        <w:trPr>
          <w:trHeight w:val="340"/>
          <w:jc w:val="center"/>
        </w:trPr>
        <w:tc>
          <w:tcPr>
            <w:tcW w:w="2057" w:type="dxa"/>
            <w:shd w:val="clear" w:color="auto" w:fill="auto"/>
            <w:vAlign w:val="center"/>
            <w:hideMark/>
          </w:tcPr>
          <w:p w14:paraId="79CBB1C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166F13B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64932554" w14:textId="77777777" w:rsidTr="009A7AC2">
        <w:trPr>
          <w:trHeight w:val="340"/>
          <w:jc w:val="center"/>
        </w:trPr>
        <w:tc>
          <w:tcPr>
            <w:tcW w:w="2057" w:type="dxa"/>
            <w:shd w:val="clear" w:color="auto" w:fill="auto"/>
            <w:vAlign w:val="center"/>
            <w:hideMark/>
          </w:tcPr>
          <w:p w14:paraId="2AD7953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2B84C64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Povodí Labe, státní podnik</w:t>
            </w:r>
          </w:p>
          <w:p w14:paraId="1FB7ADC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Lesy České republiky, s. p.</w:t>
            </w:r>
          </w:p>
        </w:tc>
      </w:tr>
      <w:tr w:rsidR="00E25C73" w:rsidRPr="00E25C73" w14:paraId="236836DB" w14:textId="77777777" w:rsidTr="009A7AC2">
        <w:trPr>
          <w:trHeight w:val="340"/>
          <w:jc w:val="center"/>
        </w:trPr>
        <w:tc>
          <w:tcPr>
            <w:tcW w:w="2057" w:type="dxa"/>
            <w:shd w:val="clear" w:color="auto" w:fill="auto"/>
            <w:vAlign w:val="center"/>
            <w:hideMark/>
          </w:tcPr>
          <w:p w14:paraId="7C0BE68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6F9788C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29D72D0A" w14:textId="77777777" w:rsidTr="009A7AC2">
        <w:trPr>
          <w:trHeight w:val="340"/>
          <w:jc w:val="center"/>
        </w:trPr>
        <w:tc>
          <w:tcPr>
            <w:tcW w:w="2057" w:type="dxa"/>
            <w:shd w:val="clear" w:color="auto" w:fill="auto"/>
            <w:vAlign w:val="center"/>
          </w:tcPr>
          <w:p w14:paraId="700D385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46363D3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w:t>
            </w:r>
          </w:p>
        </w:tc>
      </w:tr>
    </w:tbl>
    <w:p w14:paraId="3EE7AC1A"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3068DA2C"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58C2489F"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Podpořit vznik existence obchodu s potravinami v obci</w:t>
            </w:r>
          </w:p>
        </w:tc>
      </w:tr>
      <w:tr w:rsidR="00E25C73" w:rsidRPr="00E25C73" w14:paraId="3E36D3FA" w14:textId="77777777" w:rsidTr="009A7AC2">
        <w:trPr>
          <w:trHeight w:val="340"/>
          <w:jc w:val="center"/>
        </w:trPr>
        <w:tc>
          <w:tcPr>
            <w:tcW w:w="2057" w:type="dxa"/>
            <w:shd w:val="clear" w:color="auto" w:fill="auto"/>
            <w:vAlign w:val="center"/>
            <w:hideMark/>
          </w:tcPr>
          <w:p w14:paraId="41869EB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6484301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zájemce o provoz obchodu s potravinami v obci</w:t>
            </w:r>
          </w:p>
        </w:tc>
      </w:tr>
      <w:tr w:rsidR="00E25C73" w:rsidRPr="00E25C73" w14:paraId="06306D5A" w14:textId="77777777" w:rsidTr="009A7AC2">
        <w:trPr>
          <w:trHeight w:val="340"/>
          <w:jc w:val="center"/>
        </w:trPr>
        <w:tc>
          <w:tcPr>
            <w:tcW w:w="2057" w:type="dxa"/>
            <w:shd w:val="clear" w:color="auto" w:fill="auto"/>
            <w:vAlign w:val="center"/>
          </w:tcPr>
          <w:p w14:paraId="586EF8E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3450BDD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motivační</w:t>
            </w:r>
          </w:p>
          <w:p w14:paraId="1890CDB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participační</w:t>
            </w:r>
          </w:p>
        </w:tc>
      </w:tr>
      <w:tr w:rsidR="00E25C73" w:rsidRPr="00E25C73" w14:paraId="7B104A5F" w14:textId="77777777" w:rsidTr="009A7AC2">
        <w:trPr>
          <w:trHeight w:val="340"/>
          <w:jc w:val="center"/>
        </w:trPr>
        <w:tc>
          <w:tcPr>
            <w:tcW w:w="2057" w:type="dxa"/>
            <w:shd w:val="clear" w:color="auto" w:fill="auto"/>
            <w:vAlign w:val="center"/>
            <w:hideMark/>
          </w:tcPr>
          <w:p w14:paraId="0ADFCBF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469FC9D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24F80E26" w14:textId="77777777" w:rsidTr="009A7AC2">
        <w:trPr>
          <w:trHeight w:val="340"/>
          <w:jc w:val="center"/>
        </w:trPr>
        <w:tc>
          <w:tcPr>
            <w:tcW w:w="2057" w:type="dxa"/>
            <w:shd w:val="clear" w:color="auto" w:fill="auto"/>
            <w:vAlign w:val="center"/>
            <w:hideMark/>
          </w:tcPr>
          <w:p w14:paraId="3B0220F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5BB7605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vyšší variabilita dostupné občanské vybavenosti</w:t>
            </w:r>
          </w:p>
        </w:tc>
      </w:tr>
      <w:tr w:rsidR="00E25C73" w:rsidRPr="00E25C73" w14:paraId="66DF76FC" w14:textId="77777777" w:rsidTr="009A7AC2">
        <w:trPr>
          <w:trHeight w:val="48"/>
          <w:jc w:val="center"/>
        </w:trPr>
        <w:tc>
          <w:tcPr>
            <w:tcW w:w="2057" w:type="dxa"/>
            <w:shd w:val="clear" w:color="auto" w:fill="auto"/>
            <w:vAlign w:val="center"/>
            <w:hideMark/>
          </w:tcPr>
          <w:p w14:paraId="5B439D2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tcPr>
          <w:p w14:paraId="4BF0905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Times New Roman"/>
                <w:sz w:val="20"/>
                <w:szCs w:val="20"/>
              </w:rPr>
              <w:t>investiční i neinvestiční</w:t>
            </w:r>
          </w:p>
        </w:tc>
      </w:tr>
      <w:tr w:rsidR="00E25C73" w:rsidRPr="00E25C73" w14:paraId="50DC185F" w14:textId="77777777" w:rsidTr="009A7AC2">
        <w:trPr>
          <w:trHeight w:val="340"/>
          <w:jc w:val="center"/>
        </w:trPr>
        <w:tc>
          <w:tcPr>
            <w:tcW w:w="2057" w:type="dxa"/>
            <w:shd w:val="clear" w:color="auto" w:fill="auto"/>
            <w:vAlign w:val="center"/>
            <w:hideMark/>
          </w:tcPr>
          <w:p w14:paraId="25E47FA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tcPr>
          <w:p w14:paraId="4A022F4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Times New Roman"/>
                <w:sz w:val="20"/>
                <w:szCs w:val="20"/>
              </w:rPr>
              <w:t>střední</w:t>
            </w:r>
          </w:p>
        </w:tc>
      </w:tr>
      <w:tr w:rsidR="00E25C73" w:rsidRPr="00E25C73" w14:paraId="5B8DC953" w14:textId="77777777" w:rsidTr="009A7AC2">
        <w:trPr>
          <w:trHeight w:val="340"/>
          <w:jc w:val="center"/>
        </w:trPr>
        <w:tc>
          <w:tcPr>
            <w:tcW w:w="2057" w:type="dxa"/>
            <w:shd w:val="clear" w:color="auto" w:fill="auto"/>
            <w:vAlign w:val="center"/>
            <w:hideMark/>
          </w:tcPr>
          <w:p w14:paraId="269FD81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5D31D38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budou se odvíjet od zvoleného místa</w:t>
            </w:r>
          </w:p>
        </w:tc>
      </w:tr>
      <w:tr w:rsidR="00E25C73" w:rsidRPr="00E25C73" w14:paraId="0AAFB0CC" w14:textId="77777777" w:rsidTr="009A7AC2">
        <w:trPr>
          <w:trHeight w:val="340"/>
          <w:jc w:val="center"/>
        </w:trPr>
        <w:tc>
          <w:tcPr>
            <w:tcW w:w="2057" w:type="dxa"/>
            <w:shd w:val="clear" w:color="auto" w:fill="auto"/>
            <w:vAlign w:val="center"/>
            <w:hideMark/>
          </w:tcPr>
          <w:p w14:paraId="69714DB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3ABF5A2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prostředky zájemce o provoz obchodu s potravinami v obci</w:t>
            </w:r>
          </w:p>
          <w:p w14:paraId="59F2102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KHK kraj – DT Podpora provozu prodejen na venkově</w:t>
            </w:r>
          </w:p>
          <w:p w14:paraId="3662E31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28918E8D" w14:textId="77777777" w:rsidTr="009A7AC2">
        <w:trPr>
          <w:trHeight w:val="340"/>
          <w:jc w:val="center"/>
        </w:trPr>
        <w:tc>
          <w:tcPr>
            <w:tcW w:w="2057" w:type="dxa"/>
            <w:shd w:val="clear" w:color="auto" w:fill="auto"/>
            <w:vAlign w:val="center"/>
            <w:hideMark/>
          </w:tcPr>
          <w:p w14:paraId="111E2CB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4DA75C6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5: Vyvážený rozvoj a správa území, StC 5.1: Eliminace územních disparit a řešení regionálních specifik, Opatření 5.1.1: Podpora hospodářsky problémových regionů, venkova, periferií a specifických oblastí)</w:t>
            </w:r>
          </w:p>
        </w:tc>
      </w:tr>
      <w:tr w:rsidR="00E25C73" w:rsidRPr="00E25C73" w14:paraId="087EE1FE" w14:textId="77777777" w:rsidTr="009A7AC2">
        <w:trPr>
          <w:trHeight w:val="340"/>
          <w:jc w:val="center"/>
        </w:trPr>
        <w:tc>
          <w:tcPr>
            <w:tcW w:w="2057" w:type="dxa"/>
            <w:shd w:val="clear" w:color="auto" w:fill="auto"/>
            <w:vAlign w:val="center"/>
            <w:hideMark/>
          </w:tcPr>
          <w:p w14:paraId="73167F9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412A229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budova zámečku, případně se bude odvíjet od zájemce o provoz obchodu s potravinami</w:t>
            </w:r>
          </w:p>
        </w:tc>
      </w:tr>
      <w:tr w:rsidR="00E25C73" w:rsidRPr="00E25C73" w14:paraId="42E16BD2" w14:textId="77777777" w:rsidTr="009A7AC2">
        <w:trPr>
          <w:trHeight w:val="340"/>
          <w:jc w:val="center"/>
        </w:trPr>
        <w:tc>
          <w:tcPr>
            <w:tcW w:w="2057" w:type="dxa"/>
            <w:shd w:val="clear" w:color="auto" w:fill="auto"/>
            <w:vAlign w:val="center"/>
            <w:hideMark/>
          </w:tcPr>
          <w:p w14:paraId="06B0718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3A0091A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 xml:space="preserve">2025 a dále – do doby, </w:t>
            </w:r>
            <w:r w:rsidRPr="00E25C73">
              <w:rPr>
                <w:rFonts w:ascii="Calibri" w:eastAsia="Calibri" w:hAnsi="Calibri" w:cs="Calibri"/>
                <w:color w:val="000000"/>
                <w:sz w:val="20"/>
                <w:szCs w:val="20"/>
              </w:rPr>
              <w:t>než se podaří existence obchodu s potravinami v obci</w:t>
            </w:r>
          </w:p>
        </w:tc>
      </w:tr>
      <w:tr w:rsidR="00E25C73" w:rsidRPr="00E25C73" w14:paraId="06B918C0" w14:textId="77777777" w:rsidTr="009A7AC2">
        <w:trPr>
          <w:trHeight w:val="340"/>
          <w:jc w:val="center"/>
        </w:trPr>
        <w:tc>
          <w:tcPr>
            <w:tcW w:w="2057" w:type="dxa"/>
            <w:shd w:val="clear" w:color="auto" w:fill="auto"/>
            <w:vAlign w:val="center"/>
            <w:hideMark/>
          </w:tcPr>
          <w:p w14:paraId="5CF2263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50AFE38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vedení obce Staré Buky ve spolupráci s potenciálním zájemcem</w:t>
            </w:r>
          </w:p>
        </w:tc>
      </w:tr>
      <w:tr w:rsidR="00E25C73" w:rsidRPr="00E25C73" w14:paraId="40C38437" w14:textId="77777777" w:rsidTr="009A7AC2">
        <w:trPr>
          <w:trHeight w:val="340"/>
          <w:jc w:val="center"/>
        </w:trPr>
        <w:tc>
          <w:tcPr>
            <w:tcW w:w="2057" w:type="dxa"/>
            <w:shd w:val="clear" w:color="auto" w:fill="auto"/>
            <w:vAlign w:val="center"/>
            <w:hideMark/>
          </w:tcPr>
          <w:p w14:paraId="05F73BA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78B7DDC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6A4D73B1" w14:textId="77777777" w:rsidTr="009A7AC2">
        <w:trPr>
          <w:trHeight w:val="340"/>
          <w:jc w:val="center"/>
        </w:trPr>
        <w:tc>
          <w:tcPr>
            <w:tcW w:w="2057" w:type="dxa"/>
            <w:shd w:val="clear" w:color="auto" w:fill="auto"/>
            <w:vAlign w:val="center"/>
          </w:tcPr>
          <w:p w14:paraId="27B40DE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4186C55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w:t>
            </w:r>
          </w:p>
        </w:tc>
      </w:tr>
    </w:tbl>
    <w:p w14:paraId="385C4C61"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1DA46FCD"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47EB017A"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Podpořit založení dětské skupiny v obci</w:t>
            </w:r>
          </w:p>
        </w:tc>
      </w:tr>
      <w:tr w:rsidR="00E25C73" w:rsidRPr="00E25C73" w14:paraId="046A85D6" w14:textId="77777777" w:rsidTr="009A7AC2">
        <w:trPr>
          <w:trHeight w:val="340"/>
          <w:jc w:val="center"/>
        </w:trPr>
        <w:tc>
          <w:tcPr>
            <w:tcW w:w="2057" w:type="dxa"/>
            <w:shd w:val="clear" w:color="auto" w:fill="auto"/>
            <w:vAlign w:val="center"/>
            <w:hideMark/>
          </w:tcPr>
          <w:p w14:paraId="4861D41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6C11DD7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zájemce o provoz dětské skupiny v obci</w:t>
            </w:r>
          </w:p>
        </w:tc>
      </w:tr>
      <w:tr w:rsidR="00E25C73" w:rsidRPr="00E25C73" w14:paraId="532A4D7A" w14:textId="77777777" w:rsidTr="009A7AC2">
        <w:trPr>
          <w:trHeight w:val="340"/>
          <w:jc w:val="center"/>
        </w:trPr>
        <w:tc>
          <w:tcPr>
            <w:tcW w:w="2057" w:type="dxa"/>
            <w:shd w:val="clear" w:color="auto" w:fill="auto"/>
            <w:vAlign w:val="center"/>
          </w:tcPr>
          <w:p w14:paraId="059D279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7905160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participační</w:t>
            </w:r>
          </w:p>
        </w:tc>
      </w:tr>
      <w:tr w:rsidR="00E25C73" w:rsidRPr="00E25C73" w14:paraId="491DB308" w14:textId="77777777" w:rsidTr="009A7AC2">
        <w:trPr>
          <w:trHeight w:val="340"/>
          <w:jc w:val="center"/>
        </w:trPr>
        <w:tc>
          <w:tcPr>
            <w:tcW w:w="2057" w:type="dxa"/>
            <w:shd w:val="clear" w:color="auto" w:fill="auto"/>
            <w:vAlign w:val="center"/>
            <w:hideMark/>
          </w:tcPr>
          <w:p w14:paraId="18EB19D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0E4A07E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5EA381A5" w14:textId="77777777" w:rsidTr="009A7AC2">
        <w:trPr>
          <w:trHeight w:val="340"/>
          <w:jc w:val="center"/>
        </w:trPr>
        <w:tc>
          <w:tcPr>
            <w:tcW w:w="2057" w:type="dxa"/>
            <w:shd w:val="clear" w:color="auto" w:fill="auto"/>
            <w:vAlign w:val="center"/>
            <w:hideMark/>
          </w:tcPr>
          <w:p w14:paraId="136A27C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6A83D58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existence vzdělávacího zařízení na území obce</w:t>
            </w:r>
          </w:p>
        </w:tc>
      </w:tr>
      <w:tr w:rsidR="00E25C73" w:rsidRPr="00E25C73" w14:paraId="2A8A48DA" w14:textId="77777777" w:rsidTr="009A7AC2">
        <w:trPr>
          <w:trHeight w:val="48"/>
          <w:jc w:val="center"/>
        </w:trPr>
        <w:tc>
          <w:tcPr>
            <w:tcW w:w="2057" w:type="dxa"/>
            <w:shd w:val="clear" w:color="auto" w:fill="auto"/>
            <w:vAlign w:val="center"/>
            <w:hideMark/>
          </w:tcPr>
          <w:p w14:paraId="41B17C7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5100E62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0BB50392" w14:textId="77777777" w:rsidTr="009A7AC2">
        <w:trPr>
          <w:trHeight w:val="340"/>
          <w:jc w:val="center"/>
        </w:trPr>
        <w:tc>
          <w:tcPr>
            <w:tcW w:w="2057" w:type="dxa"/>
            <w:shd w:val="clear" w:color="auto" w:fill="auto"/>
            <w:vAlign w:val="center"/>
            <w:hideMark/>
          </w:tcPr>
          <w:p w14:paraId="16198F2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6D95178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187C4E73" w14:textId="77777777" w:rsidTr="009A7AC2">
        <w:trPr>
          <w:trHeight w:val="340"/>
          <w:jc w:val="center"/>
        </w:trPr>
        <w:tc>
          <w:tcPr>
            <w:tcW w:w="2057" w:type="dxa"/>
            <w:shd w:val="clear" w:color="auto" w:fill="auto"/>
            <w:vAlign w:val="center"/>
            <w:hideMark/>
          </w:tcPr>
          <w:p w14:paraId="3A56A40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28DF458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budou se odvíjet od zvoleného místa a od požadavků na provozování služby</w:t>
            </w:r>
          </w:p>
        </w:tc>
      </w:tr>
      <w:tr w:rsidR="00E25C73" w:rsidRPr="00E25C73" w14:paraId="6420D8D0" w14:textId="77777777" w:rsidTr="009A7AC2">
        <w:trPr>
          <w:trHeight w:val="340"/>
          <w:jc w:val="center"/>
        </w:trPr>
        <w:tc>
          <w:tcPr>
            <w:tcW w:w="2057" w:type="dxa"/>
            <w:shd w:val="clear" w:color="auto" w:fill="auto"/>
            <w:vAlign w:val="center"/>
            <w:hideMark/>
          </w:tcPr>
          <w:p w14:paraId="73DA60E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1BC4509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MPSV – NPO – výzva Budování kapacit dětských skupin</w:t>
            </w:r>
          </w:p>
          <w:p w14:paraId="55538BA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zdroje zájemce o provoz dětské skupiny v obci</w:t>
            </w:r>
          </w:p>
          <w:p w14:paraId="0120D89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3B6D3A7C" w14:textId="77777777" w:rsidTr="009A7AC2">
        <w:trPr>
          <w:trHeight w:val="340"/>
          <w:jc w:val="center"/>
        </w:trPr>
        <w:tc>
          <w:tcPr>
            <w:tcW w:w="2057" w:type="dxa"/>
            <w:shd w:val="clear" w:color="auto" w:fill="auto"/>
            <w:vAlign w:val="center"/>
            <w:hideMark/>
          </w:tcPr>
          <w:p w14:paraId="5B2A8ED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0AB7776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1: Konkurenceschopný region, StC 1.2:</w:t>
            </w:r>
            <w:r w:rsidRPr="00E25C73">
              <w:rPr>
                <w:rFonts w:ascii="Calibri" w:eastAsia="Calibri" w:hAnsi="Calibri" w:cs="Times New Roman"/>
              </w:rPr>
              <w:t xml:space="preserve"> </w:t>
            </w:r>
            <w:r w:rsidRPr="00E25C73">
              <w:rPr>
                <w:rFonts w:ascii="Calibri" w:eastAsia="Calibri" w:hAnsi="Calibri" w:cs="Calibri"/>
                <w:color w:val="000000"/>
                <w:sz w:val="20"/>
                <w:szCs w:val="20"/>
              </w:rPr>
              <w:t>Kvalifikované lidské zdroje a kvalitní vzdělávání, Opatření 1.2.1: Zvýšení výsledků vzdělávacího systému v návaznosti na potřebné kompetence)</w:t>
            </w:r>
          </w:p>
        </w:tc>
      </w:tr>
      <w:tr w:rsidR="00E25C73" w:rsidRPr="00E25C73" w14:paraId="35FF4E05" w14:textId="77777777" w:rsidTr="009A7AC2">
        <w:trPr>
          <w:trHeight w:val="340"/>
          <w:jc w:val="center"/>
        </w:trPr>
        <w:tc>
          <w:tcPr>
            <w:tcW w:w="2057" w:type="dxa"/>
            <w:shd w:val="clear" w:color="auto" w:fill="auto"/>
            <w:vAlign w:val="center"/>
            <w:hideMark/>
          </w:tcPr>
          <w:p w14:paraId="68696F2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2FD914C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 xml:space="preserve">budova zámečku, případně se bude odvíjet od zájemce o provoz </w:t>
            </w:r>
            <w:r w:rsidRPr="00E25C73">
              <w:rPr>
                <w:rFonts w:ascii="Calibri" w:eastAsia="Times New Roman" w:hAnsi="Calibri" w:cs="Calibri"/>
                <w:color w:val="000000"/>
                <w:sz w:val="20"/>
                <w:szCs w:val="20"/>
                <w:lang w:eastAsia="cs-CZ"/>
              </w:rPr>
              <w:t>dětské skupiny v obci</w:t>
            </w:r>
          </w:p>
        </w:tc>
      </w:tr>
      <w:tr w:rsidR="00E25C73" w:rsidRPr="00E25C73" w14:paraId="384D0A55" w14:textId="77777777" w:rsidTr="009A7AC2">
        <w:trPr>
          <w:trHeight w:val="340"/>
          <w:jc w:val="center"/>
        </w:trPr>
        <w:tc>
          <w:tcPr>
            <w:tcW w:w="2057" w:type="dxa"/>
            <w:shd w:val="clear" w:color="auto" w:fill="auto"/>
            <w:vAlign w:val="center"/>
            <w:hideMark/>
          </w:tcPr>
          <w:p w14:paraId="1E60D7F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044A7A9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 xml:space="preserve">2025 a dále – do doby, </w:t>
            </w:r>
            <w:r w:rsidRPr="00E25C73">
              <w:rPr>
                <w:rFonts w:ascii="Calibri" w:eastAsia="Calibri" w:hAnsi="Calibri" w:cs="Calibri"/>
                <w:color w:val="000000"/>
                <w:sz w:val="20"/>
                <w:szCs w:val="20"/>
              </w:rPr>
              <w:t>než se podaří</w:t>
            </w:r>
            <w:r w:rsidRPr="00E25C73">
              <w:rPr>
                <w:rFonts w:ascii="Calibri" w:eastAsia="Calibri" w:hAnsi="Calibri" w:cs="Times New Roman"/>
              </w:rPr>
              <w:t xml:space="preserve"> </w:t>
            </w:r>
            <w:r w:rsidRPr="00E25C73">
              <w:rPr>
                <w:rFonts w:ascii="Calibri" w:eastAsia="Calibri" w:hAnsi="Calibri" w:cs="Calibri"/>
                <w:color w:val="000000"/>
                <w:sz w:val="20"/>
                <w:szCs w:val="20"/>
              </w:rPr>
              <w:t>založení dětské skupiny v obci</w:t>
            </w:r>
          </w:p>
        </w:tc>
      </w:tr>
      <w:tr w:rsidR="00E25C73" w:rsidRPr="00E25C73" w14:paraId="5B0E9D2D" w14:textId="77777777" w:rsidTr="009A7AC2">
        <w:trPr>
          <w:trHeight w:val="340"/>
          <w:jc w:val="center"/>
        </w:trPr>
        <w:tc>
          <w:tcPr>
            <w:tcW w:w="2057" w:type="dxa"/>
            <w:shd w:val="clear" w:color="auto" w:fill="auto"/>
            <w:vAlign w:val="center"/>
            <w:hideMark/>
          </w:tcPr>
          <w:p w14:paraId="7E9229C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485AB64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vedení obce Staré Buky ve spolupráci s potenciálním zájemcem</w:t>
            </w:r>
          </w:p>
        </w:tc>
      </w:tr>
      <w:tr w:rsidR="00E25C73" w:rsidRPr="00E25C73" w14:paraId="6D3FE52B" w14:textId="77777777" w:rsidTr="009A7AC2">
        <w:trPr>
          <w:trHeight w:val="340"/>
          <w:jc w:val="center"/>
        </w:trPr>
        <w:tc>
          <w:tcPr>
            <w:tcW w:w="2057" w:type="dxa"/>
            <w:shd w:val="clear" w:color="auto" w:fill="auto"/>
            <w:vAlign w:val="center"/>
            <w:hideMark/>
          </w:tcPr>
          <w:p w14:paraId="5AB09EB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44C5A46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72B4AE66" w14:textId="77777777" w:rsidTr="009A7AC2">
        <w:trPr>
          <w:trHeight w:val="340"/>
          <w:jc w:val="center"/>
        </w:trPr>
        <w:tc>
          <w:tcPr>
            <w:tcW w:w="2057" w:type="dxa"/>
            <w:shd w:val="clear" w:color="auto" w:fill="auto"/>
            <w:vAlign w:val="center"/>
          </w:tcPr>
          <w:p w14:paraId="47478AD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1EA673C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w:t>
            </w:r>
          </w:p>
        </w:tc>
      </w:tr>
    </w:tbl>
    <w:p w14:paraId="18936ABB"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3B7ABB86"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6A723C28"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Instalovat nabíjecí stanici pro elektrokola</w:t>
            </w:r>
          </w:p>
        </w:tc>
      </w:tr>
      <w:tr w:rsidR="00E25C73" w:rsidRPr="00E25C73" w14:paraId="39667843" w14:textId="77777777" w:rsidTr="009A7AC2">
        <w:trPr>
          <w:trHeight w:val="340"/>
          <w:jc w:val="center"/>
        </w:trPr>
        <w:tc>
          <w:tcPr>
            <w:tcW w:w="2057" w:type="dxa"/>
            <w:shd w:val="clear" w:color="auto" w:fill="auto"/>
            <w:vAlign w:val="center"/>
            <w:hideMark/>
          </w:tcPr>
          <w:p w14:paraId="6E78DA3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2D588EA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5059D5A8" w14:textId="77777777" w:rsidTr="009A7AC2">
        <w:trPr>
          <w:trHeight w:val="340"/>
          <w:jc w:val="center"/>
        </w:trPr>
        <w:tc>
          <w:tcPr>
            <w:tcW w:w="2057" w:type="dxa"/>
            <w:shd w:val="clear" w:color="auto" w:fill="auto"/>
            <w:vAlign w:val="center"/>
          </w:tcPr>
          <w:p w14:paraId="2B206E0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16297AD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47654E46" w14:textId="77777777" w:rsidTr="009A7AC2">
        <w:trPr>
          <w:trHeight w:val="340"/>
          <w:jc w:val="center"/>
        </w:trPr>
        <w:tc>
          <w:tcPr>
            <w:tcW w:w="2057" w:type="dxa"/>
            <w:shd w:val="clear" w:color="auto" w:fill="auto"/>
            <w:vAlign w:val="center"/>
            <w:hideMark/>
          </w:tcPr>
          <w:p w14:paraId="2166622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6FD1318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MMR, KHK kraj, MAS KJH</w:t>
            </w:r>
          </w:p>
        </w:tc>
      </w:tr>
      <w:tr w:rsidR="00E25C73" w:rsidRPr="00E25C73" w14:paraId="25EE6F75" w14:textId="77777777" w:rsidTr="009A7AC2">
        <w:trPr>
          <w:trHeight w:val="340"/>
          <w:jc w:val="center"/>
        </w:trPr>
        <w:tc>
          <w:tcPr>
            <w:tcW w:w="2057" w:type="dxa"/>
            <w:shd w:val="clear" w:color="auto" w:fill="auto"/>
            <w:vAlign w:val="center"/>
            <w:hideMark/>
          </w:tcPr>
          <w:p w14:paraId="1478ABA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745CC49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zvýšení variability dostupných veřejných služeb v obci</w:t>
            </w:r>
          </w:p>
        </w:tc>
      </w:tr>
      <w:tr w:rsidR="00E25C73" w:rsidRPr="00E25C73" w14:paraId="6FB5B3D4" w14:textId="77777777" w:rsidTr="009A7AC2">
        <w:trPr>
          <w:trHeight w:val="48"/>
          <w:jc w:val="center"/>
        </w:trPr>
        <w:tc>
          <w:tcPr>
            <w:tcW w:w="2057" w:type="dxa"/>
            <w:shd w:val="clear" w:color="auto" w:fill="auto"/>
            <w:vAlign w:val="center"/>
            <w:hideMark/>
          </w:tcPr>
          <w:p w14:paraId="4736A19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15E0E4C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6889782C" w14:textId="77777777" w:rsidTr="009A7AC2">
        <w:trPr>
          <w:trHeight w:val="340"/>
          <w:jc w:val="center"/>
        </w:trPr>
        <w:tc>
          <w:tcPr>
            <w:tcW w:w="2057" w:type="dxa"/>
            <w:shd w:val="clear" w:color="auto" w:fill="auto"/>
            <w:vAlign w:val="center"/>
            <w:hideMark/>
          </w:tcPr>
          <w:p w14:paraId="28C0D0C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0816AA2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74401623" w14:textId="77777777" w:rsidTr="009A7AC2">
        <w:trPr>
          <w:trHeight w:val="340"/>
          <w:jc w:val="center"/>
        </w:trPr>
        <w:tc>
          <w:tcPr>
            <w:tcW w:w="2057" w:type="dxa"/>
            <w:shd w:val="clear" w:color="auto" w:fill="auto"/>
            <w:vAlign w:val="center"/>
            <w:hideMark/>
          </w:tcPr>
          <w:p w14:paraId="7CD4150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6F38E1E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okolo 50 tis. Kč</w:t>
            </w:r>
          </w:p>
        </w:tc>
      </w:tr>
      <w:tr w:rsidR="00E25C73" w:rsidRPr="00E25C73" w14:paraId="647FBA12" w14:textId="77777777" w:rsidTr="009A7AC2">
        <w:trPr>
          <w:trHeight w:val="340"/>
          <w:jc w:val="center"/>
        </w:trPr>
        <w:tc>
          <w:tcPr>
            <w:tcW w:w="2057" w:type="dxa"/>
            <w:shd w:val="clear" w:color="auto" w:fill="auto"/>
            <w:vAlign w:val="center"/>
            <w:hideMark/>
          </w:tcPr>
          <w:p w14:paraId="599E433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27854A42"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EU – PRV článek 20 skrze MAS KJH</w:t>
            </w:r>
          </w:p>
          <w:p w14:paraId="3F7E7F13"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MMR – Národní program podpory cestovního ruchu v regionech – podprogram Rozvoj základní a doprovodné infrastruktury cestovního ruchu</w:t>
            </w:r>
          </w:p>
          <w:p w14:paraId="72DDBF1C"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DT Chytrá řešení v regionu Královéhradeckého kraje</w:t>
            </w:r>
          </w:p>
          <w:p w14:paraId="3FF992C1"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3A337029" w14:textId="77777777" w:rsidTr="009A7AC2">
        <w:trPr>
          <w:trHeight w:val="340"/>
          <w:jc w:val="center"/>
        </w:trPr>
        <w:tc>
          <w:tcPr>
            <w:tcW w:w="2057" w:type="dxa"/>
            <w:shd w:val="clear" w:color="auto" w:fill="auto"/>
            <w:vAlign w:val="center"/>
            <w:hideMark/>
          </w:tcPr>
          <w:p w14:paraId="13123B1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3D712F6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3.1.3: Rozvoj udržitelné dopravy a čisté mobility)</w:t>
            </w:r>
          </w:p>
        </w:tc>
      </w:tr>
      <w:tr w:rsidR="00E25C73" w:rsidRPr="00E25C73" w14:paraId="6B5D69F8" w14:textId="77777777" w:rsidTr="009A7AC2">
        <w:trPr>
          <w:trHeight w:val="340"/>
          <w:jc w:val="center"/>
        </w:trPr>
        <w:tc>
          <w:tcPr>
            <w:tcW w:w="2057" w:type="dxa"/>
            <w:shd w:val="clear" w:color="auto" w:fill="auto"/>
            <w:vAlign w:val="center"/>
            <w:hideMark/>
          </w:tcPr>
          <w:p w14:paraId="6262992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7B9A593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prostor u dětského hřiště či budoucí revitalizované centrum obce</w:t>
            </w:r>
          </w:p>
        </w:tc>
      </w:tr>
      <w:tr w:rsidR="00E25C73" w:rsidRPr="00E25C73" w14:paraId="660FCDD5" w14:textId="77777777" w:rsidTr="009A7AC2">
        <w:trPr>
          <w:trHeight w:val="340"/>
          <w:jc w:val="center"/>
        </w:trPr>
        <w:tc>
          <w:tcPr>
            <w:tcW w:w="2057" w:type="dxa"/>
            <w:shd w:val="clear" w:color="auto" w:fill="auto"/>
            <w:vAlign w:val="center"/>
            <w:hideMark/>
          </w:tcPr>
          <w:p w14:paraId="79B74AF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07C32FD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 xml:space="preserve">2025 a dále – do doby, </w:t>
            </w:r>
            <w:r w:rsidRPr="00E25C73">
              <w:rPr>
                <w:rFonts w:ascii="Calibri" w:eastAsia="Calibri" w:hAnsi="Calibri" w:cs="Calibri"/>
                <w:color w:val="000000"/>
                <w:sz w:val="20"/>
                <w:szCs w:val="20"/>
              </w:rPr>
              <w:t>než se podaří</w:t>
            </w:r>
            <w:r w:rsidRPr="00E25C73">
              <w:rPr>
                <w:rFonts w:ascii="Calibri" w:eastAsia="Calibri" w:hAnsi="Calibri" w:cs="Times New Roman"/>
              </w:rPr>
              <w:t xml:space="preserve"> </w:t>
            </w:r>
            <w:r w:rsidRPr="00E25C73">
              <w:rPr>
                <w:rFonts w:ascii="Calibri" w:eastAsia="Calibri" w:hAnsi="Calibri" w:cs="Calibri"/>
                <w:color w:val="000000"/>
                <w:sz w:val="20"/>
                <w:szCs w:val="20"/>
              </w:rPr>
              <w:t>nabíjecí stanici pro elektrokola nainstalovat</w:t>
            </w:r>
          </w:p>
        </w:tc>
      </w:tr>
      <w:tr w:rsidR="00E25C73" w:rsidRPr="00E25C73" w14:paraId="7EB62D5C" w14:textId="77777777" w:rsidTr="009A7AC2">
        <w:trPr>
          <w:trHeight w:val="340"/>
          <w:jc w:val="center"/>
        </w:trPr>
        <w:tc>
          <w:tcPr>
            <w:tcW w:w="2057" w:type="dxa"/>
            <w:shd w:val="clear" w:color="auto" w:fill="auto"/>
            <w:vAlign w:val="center"/>
            <w:hideMark/>
          </w:tcPr>
          <w:p w14:paraId="0758461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60858E6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2BC2FFE6" w14:textId="77777777" w:rsidTr="009A7AC2">
        <w:trPr>
          <w:trHeight w:val="340"/>
          <w:jc w:val="center"/>
        </w:trPr>
        <w:tc>
          <w:tcPr>
            <w:tcW w:w="2057" w:type="dxa"/>
            <w:shd w:val="clear" w:color="auto" w:fill="auto"/>
            <w:vAlign w:val="center"/>
            <w:hideMark/>
          </w:tcPr>
          <w:p w14:paraId="2DF717F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7B5FF83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6F3C3DEE" w14:textId="77777777" w:rsidTr="009A7AC2">
        <w:trPr>
          <w:trHeight w:val="340"/>
          <w:jc w:val="center"/>
        </w:trPr>
        <w:tc>
          <w:tcPr>
            <w:tcW w:w="2057" w:type="dxa"/>
            <w:shd w:val="clear" w:color="auto" w:fill="auto"/>
            <w:vAlign w:val="center"/>
          </w:tcPr>
          <w:p w14:paraId="72DFD5D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101ACD2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 3</w:t>
            </w:r>
          </w:p>
        </w:tc>
      </w:tr>
    </w:tbl>
    <w:p w14:paraId="7520D695"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137520E8"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07D50D8A"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Řešit obecní hřiště</w:t>
            </w:r>
          </w:p>
        </w:tc>
      </w:tr>
      <w:tr w:rsidR="00E25C73" w:rsidRPr="00E25C73" w14:paraId="07DEF1AF" w14:textId="77777777" w:rsidTr="009A7AC2">
        <w:trPr>
          <w:trHeight w:val="340"/>
          <w:jc w:val="center"/>
        </w:trPr>
        <w:tc>
          <w:tcPr>
            <w:tcW w:w="2057" w:type="dxa"/>
            <w:shd w:val="clear" w:color="auto" w:fill="auto"/>
            <w:vAlign w:val="center"/>
            <w:hideMark/>
          </w:tcPr>
          <w:p w14:paraId="0F7C197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26EA5C2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3DBC6E74" w14:textId="77777777" w:rsidTr="009A7AC2">
        <w:trPr>
          <w:trHeight w:val="340"/>
          <w:jc w:val="center"/>
        </w:trPr>
        <w:tc>
          <w:tcPr>
            <w:tcW w:w="2057" w:type="dxa"/>
            <w:shd w:val="clear" w:color="auto" w:fill="auto"/>
            <w:vAlign w:val="center"/>
          </w:tcPr>
          <w:p w14:paraId="0EEA770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53E61B9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4FEC0AC8" w14:textId="77777777" w:rsidTr="009A7AC2">
        <w:trPr>
          <w:trHeight w:val="340"/>
          <w:jc w:val="center"/>
        </w:trPr>
        <w:tc>
          <w:tcPr>
            <w:tcW w:w="2057" w:type="dxa"/>
            <w:shd w:val="clear" w:color="auto" w:fill="auto"/>
            <w:vAlign w:val="center"/>
            <w:hideMark/>
          </w:tcPr>
          <w:p w14:paraId="00E63DB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1BDB878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MMR, KHK kraj</w:t>
            </w:r>
          </w:p>
        </w:tc>
      </w:tr>
      <w:tr w:rsidR="00E25C73" w:rsidRPr="00E25C73" w14:paraId="336FFE14" w14:textId="77777777" w:rsidTr="009A7AC2">
        <w:trPr>
          <w:trHeight w:val="340"/>
          <w:jc w:val="center"/>
        </w:trPr>
        <w:tc>
          <w:tcPr>
            <w:tcW w:w="2057" w:type="dxa"/>
            <w:shd w:val="clear" w:color="auto" w:fill="auto"/>
            <w:vAlign w:val="center"/>
            <w:hideMark/>
          </w:tcPr>
          <w:p w14:paraId="2D6688D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519C6AB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zlepšení stavu obecního hřiště</w:t>
            </w:r>
          </w:p>
          <w:p w14:paraId="78B784D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řešení budoucnosti hřiště, jak s ním naložit</w:t>
            </w:r>
          </w:p>
        </w:tc>
      </w:tr>
      <w:tr w:rsidR="00E25C73" w:rsidRPr="00E25C73" w14:paraId="1CB857D2" w14:textId="77777777" w:rsidTr="009A7AC2">
        <w:trPr>
          <w:trHeight w:val="48"/>
          <w:jc w:val="center"/>
        </w:trPr>
        <w:tc>
          <w:tcPr>
            <w:tcW w:w="2057" w:type="dxa"/>
            <w:shd w:val="clear" w:color="auto" w:fill="auto"/>
            <w:vAlign w:val="center"/>
            <w:hideMark/>
          </w:tcPr>
          <w:p w14:paraId="6A73145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5BDF331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3A9BF279" w14:textId="77777777" w:rsidTr="009A7AC2">
        <w:trPr>
          <w:trHeight w:val="340"/>
          <w:jc w:val="center"/>
        </w:trPr>
        <w:tc>
          <w:tcPr>
            <w:tcW w:w="2057" w:type="dxa"/>
            <w:shd w:val="clear" w:color="auto" w:fill="auto"/>
            <w:vAlign w:val="center"/>
            <w:hideMark/>
          </w:tcPr>
          <w:p w14:paraId="670DD1E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183B6B9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63D1D984" w14:textId="77777777" w:rsidTr="009A7AC2">
        <w:trPr>
          <w:trHeight w:val="340"/>
          <w:jc w:val="center"/>
        </w:trPr>
        <w:tc>
          <w:tcPr>
            <w:tcW w:w="2057" w:type="dxa"/>
            <w:shd w:val="clear" w:color="auto" w:fill="auto"/>
            <w:vAlign w:val="center"/>
            <w:hideMark/>
          </w:tcPr>
          <w:p w14:paraId="0BB1EBA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43A9CAB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stovek tis. až jednotek mil. Kč (dle zvoleného řešení, co se hřištěm bude)</w:t>
            </w:r>
          </w:p>
        </w:tc>
      </w:tr>
      <w:tr w:rsidR="00E25C73" w:rsidRPr="00E25C73" w14:paraId="670A6DF3" w14:textId="77777777" w:rsidTr="009A7AC2">
        <w:trPr>
          <w:trHeight w:val="340"/>
          <w:jc w:val="center"/>
        </w:trPr>
        <w:tc>
          <w:tcPr>
            <w:tcW w:w="2057" w:type="dxa"/>
            <w:shd w:val="clear" w:color="auto" w:fill="auto"/>
            <w:vAlign w:val="center"/>
            <w:hideMark/>
          </w:tcPr>
          <w:p w14:paraId="0492886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04879D0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rozvoje regionů, podprogram PORV – DT Podpora budování a obnovy míst aktivního a pasivního odpočinku</w:t>
            </w:r>
          </w:p>
          <w:p w14:paraId="619FE59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4E36C53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Nadace ČEZ – grant Podpora regionů</w:t>
            </w:r>
          </w:p>
          <w:p w14:paraId="2638AB2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213CB496" w14:textId="77777777" w:rsidTr="009A7AC2">
        <w:trPr>
          <w:trHeight w:val="340"/>
          <w:jc w:val="center"/>
        </w:trPr>
        <w:tc>
          <w:tcPr>
            <w:tcW w:w="2057" w:type="dxa"/>
            <w:shd w:val="clear" w:color="auto" w:fill="auto"/>
            <w:vAlign w:val="center"/>
            <w:hideMark/>
          </w:tcPr>
          <w:p w14:paraId="1628F65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3C804DF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2: Zdravá, stabilní a soudržná společnost, StC 2.1</w:t>
            </w:r>
            <w:r w:rsidRPr="00E25C73">
              <w:rPr>
                <w:rFonts w:ascii="Calibri" w:eastAsia="Calibri" w:hAnsi="Calibri" w:cs="Times New Roman"/>
              </w:rPr>
              <w:t xml:space="preserve"> </w:t>
            </w:r>
            <w:r w:rsidRPr="00E25C73">
              <w:rPr>
                <w:rFonts w:ascii="Calibri" w:eastAsia="Calibri" w:hAnsi="Calibri" w:cs="Calibri"/>
                <w:color w:val="000000"/>
                <w:sz w:val="20"/>
                <w:szCs w:val="20"/>
              </w:rPr>
              <w:t>Odpovídající podmínky pro zdravý život populace, Opatření 2.1.3: Posílení rozvoje sportovních a volnočasových aktivit v kraji)</w:t>
            </w:r>
          </w:p>
        </w:tc>
      </w:tr>
      <w:tr w:rsidR="00E25C73" w:rsidRPr="00E25C73" w14:paraId="1A94C540" w14:textId="77777777" w:rsidTr="009A7AC2">
        <w:trPr>
          <w:trHeight w:val="340"/>
          <w:jc w:val="center"/>
        </w:trPr>
        <w:tc>
          <w:tcPr>
            <w:tcW w:w="2057" w:type="dxa"/>
            <w:shd w:val="clear" w:color="auto" w:fill="auto"/>
            <w:vAlign w:val="center"/>
            <w:hideMark/>
          </w:tcPr>
          <w:p w14:paraId="30E8918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6523698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parcela KN 2144 (k. ú. Prostřední Staré Buky)</w:t>
            </w:r>
          </w:p>
        </w:tc>
      </w:tr>
      <w:tr w:rsidR="00E25C73" w:rsidRPr="00E25C73" w14:paraId="6C07A628" w14:textId="77777777" w:rsidTr="009A7AC2">
        <w:trPr>
          <w:trHeight w:val="340"/>
          <w:jc w:val="center"/>
        </w:trPr>
        <w:tc>
          <w:tcPr>
            <w:tcW w:w="2057" w:type="dxa"/>
            <w:shd w:val="clear" w:color="auto" w:fill="auto"/>
            <w:vAlign w:val="center"/>
            <w:hideMark/>
          </w:tcPr>
          <w:p w14:paraId="585FF43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742935F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 xml:space="preserve">2025 a dále – do doby, </w:t>
            </w:r>
            <w:r w:rsidRPr="00E25C73">
              <w:rPr>
                <w:rFonts w:ascii="Calibri" w:eastAsia="Calibri" w:hAnsi="Calibri" w:cs="Calibri"/>
                <w:color w:val="000000"/>
                <w:sz w:val="20"/>
                <w:szCs w:val="20"/>
              </w:rPr>
              <w:t>než se podaří obecní hřiště vyřešit</w:t>
            </w:r>
          </w:p>
        </w:tc>
      </w:tr>
      <w:tr w:rsidR="00E25C73" w:rsidRPr="00E25C73" w14:paraId="20854E8E" w14:textId="77777777" w:rsidTr="009A7AC2">
        <w:trPr>
          <w:trHeight w:val="340"/>
          <w:jc w:val="center"/>
        </w:trPr>
        <w:tc>
          <w:tcPr>
            <w:tcW w:w="2057" w:type="dxa"/>
            <w:shd w:val="clear" w:color="auto" w:fill="auto"/>
            <w:vAlign w:val="center"/>
            <w:hideMark/>
          </w:tcPr>
          <w:p w14:paraId="7C7E488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3B1A14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75F993DC" w14:textId="77777777" w:rsidTr="009A7AC2">
        <w:trPr>
          <w:trHeight w:val="340"/>
          <w:jc w:val="center"/>
        </w:trPr>
        <w:tc>
          <w:tcPr>
            <w:tcW w:w="2057" w:type="dxa"/>
            <w:shd w:val="clear" w:color="auto" w:fill="auto"/>
            <w:vAlign w:val="center"/>
            <w:hideMark/>
          </w:tcPr>
          <w:p w14:paraId="352359A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2834359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2D68AEEF" w14:textId="77777777" w:rsidTr="009A7AC2">
        <w:trPr>
          <w:trHeight w:val="340"/>
          <w:jc w:val="center"/>
        </w:trPr>
        <w:tc>
          <w:tcPr>
            <w:tcW w:w="2057" w:type="dxa"/>
            <w:shd w:val="clear" w:color="auto" w:fill="auto"/>
            <w:vAlign w:val="center"/>
          </w:tcPr>
          <w:p w14:paraId="02AA583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5C07AC4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1, 2, 3</w:t>
            </w:r>
          </w:p>
        </w:tc>
      </w:tr>
    </w:tbl>
    <w:p w14:paraId="240BC577"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7B034E09"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72A33A5F"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Usilovat o častější kontrolu rychlosti motorových vozidel</w:t>
            </w:r>
          </w:p>
        </w:tc>
      </w:tr>
      <w:tr w:rsidR="00E25C73" w:rsidRPr="00E25C73" w14:paraId="06729F01" w14:textId="77777777" w:rsidTr="009A7AC2">
        <w:trPr>
          <w:trHeight w:val="340"/>
          <w:jc w:val="center"/>
        </w:trPr>
        <w:tc>
          <w:tcPr>
            <w:tcW w:w="2057" w:type="dxa"/>
            <w:shd w:val="clear" w:color="auto" w:fill="auto"/>
            <w:vAlign w:val="center"/>
            <w:hideMark/>
          </w:tcPr>
          <w:p w14:paraId="48D5B57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499F7C5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5BE003E8" w14:textId="77777777" w:rsidTr="009A7AC2">
        <w:trPr>
          <w:trHeight w:val="340"/>
          <w:jc w:val="center"/>
        </w:trPr>
        <w:tc>
          <w:tcPr>
            <w:tcW w:w="2057" w:type="dxa"/>
            <w:shd w:val="clear" w:color="auto" w:fill="auto"/>
            <w:vAlign w:val="center"/>
          </w:tcPr>
          <w:p w14:paraId="764AAB1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2991DD3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tc>
      </w:tr>
      <w:tr w:rsidR="00E25C73" w:rsidRPr="00E25C73" w14:paraId="18A4B446" w14:textId="77777777" w:rsidTr="009A7AC2">
        <w:trPr>
          <w:trHeight w:val="340"/>
          <w:jc w:val="center"/>
        </w:trPr>
        <w:tc>
          <w:tcPr>
            <w:tcW w:w="2057" w:type="dxa"/>
            <w:shd w:val="clear" w:color="auto" w:fill="auto"/>
            <w:vAlign w:val="center"/>
            <w:hideMark/>
          </w:tcPr>
          <w:p w14:paraId="3C02CA5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5218B35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Policie ČR, Městská policie Trutnov</w:t>
            </w:r>
          </w:p>
        </w:tc>
      </w:tr>
      <w:tr w:rsidR="00E25C73" w:rsidRPr="00E25C73" w14:paraId="6BFE5D3A" w14:textId="77777777" w:rsidTr="009A7AC2">
        <w:trPr>
          <w:trHeight w:val="340"/>
          <w:jc w:val="center"/>
        </w:trPr>
        <w:tc>
          <w:tcPr>
            <w:tcW w:w="2057" w:type="dxa"/>
            <w:shd w:val="clear" w:color="auto" w:fill="auto"/>
            <w:vAlign w:val="center"/>
            <w:hideMark/>
          </w:tcPr>
          <w:p w14:paraId="01A4A69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2497BB6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zvýšení bezpečnosti v souvislosti s automobilovou dopravou</w:t>
            </w:r>
          </w:p>
        </w:tc>
      </w:tr>
      <w:tr w:rsidR="00E25C73" w:rsidRPr="00E25C73" w14:paraId="3B43CBDC" w14:textId="77777777" w:rsidTr="009A7AC2">
        <w:trPr>
          <w:trHeight w:val="48"/>
          <w:jc w:val="center"/>
        </w:trPr>
        <w:tc>
          <w:tcPr>
            <w:tcW w:w="2057" w:type="dxa"/>
            <w:shd w:val="clear" w:color="auto" w:fill="auto"/>
            <w:vAlign w:val="center"/>
            <w:hideMark/>
          </w:tcPr>
          <w:p w14:paraId="184B5F7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1E9AFF6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neinvestiční</w:t>
            </w:r>
          </w:p>
        </w:tc>
      </w:tr>
      <w:tr w:rsidR="00E25C73" w:rsidRPr="00E25C73" w14:paraId="131D8C72" w14:textId="77777777" w:rsidTr="009A7AC2">
        <w:trPr>
          <w:trHeight w:val="340"/>
          <w:jc w:val="center"/>
        </w:trPr>
        <w:tc>
          <w:tcPr>
            <w:tcW w:w="2057" w:type="dxa"/>
            <w:shd w:val="clear" w:color="auto" w:fill="auto"/>
            <w:vAlign w:val="center"/>
            <w:hideMark/>
          </w:tcPr>
          <w:p w14:paraId="32F0836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4FEEB18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nízká</w:t>
            </w:r>
          </w:p>
        </w:tc>
      </w:tr>
      <w:tr w:rsidR="00E25C73" w:rsidRPr="00E25C73" w14:paraId="40D0A843" w14:textId="77777777" w:rsidTr="009A7AC2">
        <w:trPr>
          <w:trHeight w:val="340"/>
          <w:jc w:val="center"/>
        </w:trPr>
        <w:tc>
          <w:tcPr>
            <w:tcW w:w="2057" w:type="dxa"/>
            <w:shd w:val="clear" w:color="auto" w:fill="auto"/>
            <w:vAlign w:val="center"/>
            <w:hideMark/>
          </w:tcPr>
          <w:p w14:paraId="6FA1A35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2703333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Budou se odvíjet od dohody obce s Policií ČR či s Městskou policií Trutnov</w:t>
            </w:r>
          </w:p>
        </w:tc>
      </w:tr>
      <w:tr w:rsidR="00E25C73" w:rsidRPr="00E25C73" w14:paraId="74F9DF3F" w14:textId="77777777" w:rsidTr="009A7AC2">
        <w:trPr>
          <w:trHeight w:val="340"/>
          <w:jc w:val="center"/>
        </w:trPr>
        <w:tc>
          <w:tcPr>
            <w:tcW w:w="2057" w:type="dxa"/>
            <w:shd w:val="clear" w:color="auto" w:fill="auto"/>
            <w:vAlign w:val="center"/>
            <w:hideMark/>
          </w:tcPr>
          <w:p w14:paraId="1FD3DFA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1E3867F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70909E15" w14:textId="77777777" w:rsidTr="009A7AC2">
        <w:trPr>
          <w:trHeight w:val="340"/>
          <w:jc w:val="center"/>
        </w:trPr>
        <w:tc>
          <w:tcPr>
            <w:tcW w:w="2057" w:type="dxa"/>
            <w:shd w:val="clear" w:color="auto" w:fill="auto"/>
            <w:vAlign w:val="center"/>
            <w:hideMark/>
          </w:tcPr>
          <w:p w14:paraId="30F676A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7A3223B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3: Efektivní infrastruktura a dostupnost, StC 3.1: Kvalitní dopravní infrastruktura a dostupné regiony, Opatření 3.1.2: Zlepšení dopravní dostupnosti regionů kraje a přeshraniční dostupnosti včetně bezpečnosti dopravy)</w:t>
            </w:r>
          </w:p>
        </w:tc>
      </w:tr>
      <w:tr w:rsidR="00E25C73" w:rsidRPr="00E25C73" w14:paraId="11A0EC6F" w14:textId="77777777" w:rsidTr="009A7AC2">
        <w:trPr>
          <w:trHeight w:val="340"/>
          <w:jc w:val="center"/>
        </w:trPr>
        <w:tc>
          <w:tcPr>
            <w:tcW w:w="2057" w:type="dxa"/>
            <w:shd w:val="clear" w:color="auto" w:fill="auto"/>
            <w:vAlign w:val="center"/>
            <w:hideMark/>
          </w:tcPr>
          <w:p w14:paraId="770D88D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5D47414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území obce Staré buky</w:t>
            </w:r>
          </w:p>
        </w:tc>
      </w:tr>
      <w:tr w:rsidR="00E25C73" w:rsidRPr="00E25C73" w14:paraId="614F8882" w14:textId="77777777" w:rsidTr="009A7AC2">
        <w:trPr>
          <w:trHeight w:val="340"/>
          <w:jc w:val="center"/>
        </w:trPr>
        <w:tc>
          <w:tcPr>
            <w:tcW w:w="2057" w:type="dxa"/>
            <w:shd w:val="clear" w:color="auto" w:fill="auto"/>
            <w:vAlign w:val="center"/>
            <w:hideMark/>
          </w:tcPr>
          <w:p w14:paraId="659B206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0B373DE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1B38F28C" w14:textId="77777777" w:rsidTr="009A7AC2">
        <w:trPr>
          <w:trHeight w:val="340"/>
          <w:jc w:val="center"/>
        </w:trPr>
        <w:tc>
          <w:tcPr>
            <w:tcW w:w="2057" w:type="dxa"/>
            <w:shd w:val="clear" w:color="auto" w:fill="auto"/>
            <w:vAlign w:val="center"/>
            <w:hideMark/>
          </w:tcPr>
          <w:p w14:paraId="4334D42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5CBB5F0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 ve spolupráci s Policií ČR či s Městskou policií Trutnov</w:t>
            </w:r>
          </w:p>
        </w:tc>
      </w:tr>
      <w:tr w:rsidR="00E25C73" w:rsidRPr="00E25C73" w14:paraId="3D9DF901" w14:textId="77777777" w:rsidTr="009A7AC2">
        <w:trPr>
          <w:trHeight w:val="340"/>
          <w:jc w:val="center"/>
        </w:trPr>
        <w:tc>
          <w:tcPr>
            <w:tcW w:w="2057" w:type="dxa"/>
            <w:shd w:val="clear" w:color="auto" w:fill="auto"/>
            <w:vAlign w:val="center"/>
            <w:hideMark/>
          </w:tcPr>
          <w:p w14:paraId="72BDB36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72979E3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3CFC3817" w14:textId="77777777" w:rsidTr="009A7AC2">
        <w:trPr>
          <w:trHeight w:val="340"/>
          <w:jc w:val="center"/>
        </w:trPr>
        <w:tc>
          <w:tcPr>
            <w:tcW w:w="2057" w:type="dxa"/>
            <w:shd w:val="clear" w:color="auto" w:fill="auto"/>
            <w:vAlign w:val="center"/>
          </w:tcPr>
          <w:p w14:paraId="70665E6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224144E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w:t>
            </w:r>
          </w:p>
        </w:tc>
      </w:tr>
    </w:tbl>
    <w:p w14:paraId="3300A7B8"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14C9D2FF"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3B2EFDC2"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Intenzivněji spolupracovat s okolními obcemi</w:t>
            </w:r>
          </w:p>
        </w:tc>
      </w:tr>
      <w:tr w:rsidR="00E25C73" w:rsidRPr="00E25C73" w14:paraId="244AF7E6" w14:textId="77777777" w:rsidTr="009A7AC2">
        <w:trPr>
          <w:trHeight w:val="340"/>
          <w:jc w:val="center"/>
        </w:trPr>
        <w:tc>
          <w:tcPr>
            <w:tcW w:w="2057" w:type="dxa"/>
            <w:shd w:val="clear" w:color="auto" w:fill="auto"/>
            <w:vAlign w:val="center"/>
            <w:hideMark/>
          </w:tcPr>
          <w:p w14:paraId="1DB03A1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0CB203D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4025DA86" w14:textId="77777777" w:rsidTr="009A7AC2">
        <w:trPr>
          <w:trHeight w:val="340"/>
          <w:jc w:val="center"/>
        </w:trPr>
        <w:tc>
          <w:tcPr>
            <w:tcW w:w="2057" w:type="dxa"/>
            <w:shd w:val="clear" w:color="auto" w:fill="auto"/>
            <w:vAlign w:val="center"/>
          </w:tcPr>
          <w:p w14:paraId="6B14F86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1E89D2E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p w14:paraId="286C687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participační</w:t>
            </w:r>
          </w:p>
          <w:p w14:paraId="61EF9B4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000A4522" w14:textId="77777777" w:rsidTr="009A7AC2">
        <w:trPr>
          <w:trHeight w:val="340"/>
          <w:jc w:val="center"/>
        </w:trPr>
        <w:tc>
          <w:tcPr>
            <w:tcW w:w="2057" w:type="dxa"/>
            <w:shd w:val="clear" w:color="auto" w:fill="auto"/>
            <w:vAlign w:val="center"/>
            <w:hideMark/>
          </w:tcPr>
          <w:p w14:paraId="073D22B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4F68BC3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Vlčice, Město Pilníkov, Obec Hajnice a případně další obce</w:t>
            </w:r>
          </w:p>
        </w:tc>
      </w:tr>
      <w:tr w:rsidR="00E25C73" w:rsidRPr="00E25C73" w14:paraId="07D05E10" w14:textId="77777777" w:rsidTr="009A7AC2">
        <w:trPr>
          <w:trHeight w:val="340"/>
          <w:jc w:val="center"/>
        </w:trPr>
        <w:tc>
          <w:tcPr>
            <w:tcW w:w="2057" w:type="dxa"/>
            <w:shd w:val="clear" w:color="auto" w:fill="auto"/>
            <w:vAlign w:val="center"/>
            <w:hideMark/>
          </w:tcPr>
          <w:p w14:paraId="250ADC1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2CA9C3F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sdílení dobré i špatné praxe navzájem, efektivnější řešení některých situací či problémů</w:t>
            </w:r>
          </w:p>
        </w:tc>
      </w:tr>
      <w:tr w:rsidR="00E25C73" w:rsidRPr="00E25C73" w14:paraId="12F07D1D" w14:textId="77777777" w:rsidTr="009A7AC2">
        <w:trPr>
          <w:trHeight w:val="48"/>
          <w:jc w:val="center"/>
        </w:trPr>
        <w:tc>
          <w:tcPr>
            <w:tcW w:w="2057" w:type="dxa"/>
            <w:shd w:val="clear" w:color="auto" w:fill="auto"/>
            <w:vAlign w:val="center"/>
            <w:hideMark/>
          </w:tcPr>
          <w:p w14:paraId="5FB5322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4552C23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neinvestiční</w:t>
            </w:r>
          </w:p>
        </w:tc>
      </w:tr>
      <w:tr w:rsidR="00E25C73" w:rsidRPr="00E25C73" w14:paraId="630627E2" w14:textId="77777777" w:rsidTr="009A7AC2">
        <w:trPr>
          <w:trHeight w:val="340"/>
          <w:jc w:val="center"/>
        </w:trPr>
        <w:tc>
          <w:tcPr>
            <w:tcW w:w="2057" w:type="dxa"/>
            <w:shd w:val="clear" w:color="auto" w:fill="auto"/>
            <w:vAlign w:val="center"/>
            <w:hideMark/>
          </w:tcPr>
          <w:p w14:paraId="2EFC749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2610868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vysoká</w:t>
            </w:r>
          </w:p>
        </w:tc>
      </w:tr>
      <w:tr w:rsidR="00E25C73" w:rsidRPr="00E25C73" w14:paraId="5BA6EB6B" w14:textId="77777777" w:rsidTr="009A7AC2">
        <w:trPr>
          <w:trHeight w:val="340"/>
          <w:jc w:val="center"/>
        </w:trPr>
        <w:tc>
          <w:tcPr>
            <w:tcW w:w="2057" w:type="dxa"/>
            <w:shd w:val="clear" w:color="auto" w:fill="auto"/>
            <w:vAlign w:val="center"/>
            <w:hideMark/>
          </w:tcPr>
          <w:p w14:paraId="7E34FB7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519EFEE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budou se odvíjet od charakteru spolupráce</w:t>
            </w:r>
          </w:p>
        </w:tc>
      </w:tr>
      <w:tr w:rsidR="00E25C73" w:rsidRPr="00E25C73" w14:paraId="28B84BA9" w14:textId="77777777" w:rsidTr="009A7AC2">
        <w:trPr>
          <w:trHeight w:val="340"/>
          <w:jc w:val="center"/>
        </w:trPr>
        <w:tc>
          <w:tcPr>
            <w:tcW w:w="2057" w:type="dxa"/>
            <w:shd w:val="clear" w:color="auto" w:fill="auto"/>
            <w:vAlign w:val="center"/>
            <w:hideMark/>
          </w:tcPr>
          <w:p w14:paraId="2DA2447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452A100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p w14:paraId="79B4D0B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zdroje okolních obcí</w:t>
            </w:r>
          </w:p>
        </w:tc>
      </w:tr>
      <w:tr w:rsidR="00E25C73" w:rsidRPr="00E25C73" w14:paraId="59E382A0" w14:textId="77777777" w:rsidTr="009A7AC2">
        <w:trPr>
          <w:trHeight w:val="340"/>
          <w:jc w:val="center"/>
        </w:trPr>
        <w:tc>
          <w:tcPr>
            <w:tcW w:w="2057" w:type="dxa"/>
            <w:shd w:val="clear" w:color="auto" w:fill="auto"/>
            <w:vAlign w:val="center"/>
            <w:hideMark/>
          </w:tcPr>
          <w:p w14:paraId="413B4F0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1B52FDE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5: Vyvážený rozvoj a správa území, StC 5.3: Koordinované plánování a vysoká míra spolupráce, Opatření 5.3.2: Podpora partnerství, rozvoj místní a nadregionální spolupráce)</w:t>
            </w:r>
          </w:p>
        </w:tc>
      </w:tr>
      <w:tr w:rsidR="00E25C73" w:rsidRPr="00E25C73" w14:paraId="65D94B0A" w14:textId="77777777" w:rsidTr="009A7AC2">
        <w:trPr>
          <w:trHeight w:val="340"/>
          <w:jc w:val="center"/>
        </w:trPr>
        <w:tc>
          <w:tcPr>
            <w:tcW w:w="2057" w:type="dxa"/>
            <w:shd w:val="clear" w:color="auto" w:fill="auto"/>
            <w:vAlign w:val="center"/>
            <w:hideMark/>
          </w:tcPr>
          <w:p w14:paraId="081709B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76DBB5C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není vázáno na konkrétní místo</w:t>
            </w:r>
          </w:p>
        </w:tc>
      </w:tr>
      <w:tr w:rsidR="00E25C73" w:rsidRPr="00E25C73" w14:paraId="5F126101" w14:textId="77777777" w:rsidTr="009A7AC2">
        <w:trPr>
          <w:trHeight w:val="340"/>
          <w:jc w:val="center"/>
        </w:trPr>
        <w:tc>
          <w:tcPr>
            <w:tcW w:w="2057" w:type="dxa"/>
            <w:shd w:val="clear" w:color="auto" w:fill="auto"/>
            <w:vAlign w:val="center"/>
            <w:hideMark/>
          </w:tcPr>
          <w:p w14:paraId="5C209DD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6A55225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4F82CA4A" w14:textId="77777777" w:rsidTr="009A7AC2">
        <w:trPr>
          <w:trHeight w:val="340"/>
          <w:jc w:val="center"/>
        </w:trPr>
        <w:tc>
          <w:tcPr>
            <w:tcW w:w="2057" w:type="dxa"/>
            <w:shd w:val="clear" w:color="auto" w:fill="auto"/>
            <w:vAlign w:val="center"/>
            <w:hideMark/>
          </w:tcPr>
          <w:p w14:paraId="5F204C9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75260B0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vedení obce Staré Buky ve spolupráci s vedením okolních obcí a měst</w:t>
            </w:r>
          </w:p>
        </w:tc>
      </w:tr>
      <w:tr w:rsidR="00E25C73" w:rsidRPr="00E25C73" w14:paraId="3EEF35BF" w14:textId="77777777" w:rsidTr="009A7AC2">
        <w:trPr>
          <w:trHeight w:val="340"/>
          <w:jc w:val="center"/>
        </w:trPr>
        <w:tc>
          <w:tcPr>
            <w:tcW w:w="2057" w:type="dxa"/>
            <w:shd w:val="clear" w:color="auto" w:fill="auto"/>
            <w:vAlign w:val="center"/>
            <w:hideMark/>
          </w:tcPr>
          <w:p w14:paraId="6797475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3198688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1B39AC93" w14:textId="77777777" w:rsidTr="009A7AC2">
        <w:trPr>
          <w:trHeight w:val="340"/>
          <w:jc w:val="center"/>
        </w:trPr>
        <w:tc>
          <w:tcPr>
            <w:tcW w:w="2057" w:type="dxa"/>
            <w:shd w:val="clear" w:color="auto" w:fill="auto"/>
            <w:vAlign w:val="center"/>
          </w:tcPr>
          <w:p w14:paraId="79EDC26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314766A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w:t>
            </w:r>
          </w:p>
        </w:tc>
      </w:tr>
    </w:tbl>
    <w:p w14:paraId="0E9E34B5"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7776C1B4"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6658CB29"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Využít znalostí a dovedností živnostníků působících v obci za účelem rozvoje obce</w:t>
            </w:r>
          </w:p>
        </w:tc>
      </w:tr>
      <w:tr w:rsidR="00E25C73" w:rsidRPr="00E25C73" w14:paraId="507D4AE3" w14:textId="77777777" w:rsidTr="009A7AC2">
        <w:trPr>
          <w:trHeight w:val="340"/>
          <w:jc w:val="center"/>
        </w:trPr>
        <w:tc>
          <w:tcPr>
            <w:tcW w:w="2057" w:type="dxa"/>
            <w:shd w:val="clear" w:color="auto" w:fill="auto"/>
            <w:vAlign w:val="center"/>
            <w:hideMark/>
          </w:tcPr>
          <w:p w14:paraId="21F2001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5BFB3DC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17DFD1A9" w14:textId="77777777" w:rsidTr="009A7AC2">
        <w:trPr>
          <w:trHeight w:val="340"/>
          <w:jc w:val="center"/>
        </w:trPr>
        <w:tc>
          <w:tcPr>
            <w:tcW w:w="2057" w:type="dxa"/>
            <w:shd w:val="clear" w:color="auto" w:fill="auto"/>
            <w:vAlign w:val="center"/>
          </w:tcPr>
          <w:p w14:paraId="71AED9A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5BDFD64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p w14:paraId="352CEF2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participační</w:t>
            </w:r>
          </w:p>
        </w:tc>
      </w:tr>
      <w:tr w:rsidR="00E25C73" w:rsidRPr="00E25C73" w14:paraId="540EE412" w14:textId="77777777" w:rsidTr="009A7AC2">
        <w:trPr>
          <w:trHeight w:val="340"/>
          <w:jc w:val="center"/>
        </w:trPr>
        <w:tc>
          <w:tcPr>
            <w:tcW w:w="2057" w:type="dxa"/>
            <w:shd w:val="clear" w:color="auto" w:fill="auto"/>
            <w:vAlign w:val="center"/>
            <w:hideMark/>
          </w:tcPr>
          <w:p w14:paraId="007B0B1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0B659B9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živnostníci působící v obci</w:t>
            </w:r>
          </w:p>
        </w:tc>
      </w:tr>
      <w:tr w:rsidR="00E25C73" w:rsidRPr="00E25C73" w14:paraId="13149B16" w14:textId="77777777" w:rsidTr="009A7AC2">
        <w:trPr>
          <w:trHeight w:val="340"/>
          <w:jc w:val="center"/>
        </w:trPr>
        <w:tc>
          <w:tcPr>
            <w:tcW w:w="2057" w:type="dxa"/>
            <w:shd w:val="clear" w:color="auto" w:fill="auto"/>
            <w:vAlign w:val="center"/>
            <w:hideMark/>
          </w:tcPr>
          <w:p w14:paraId="5A50615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58B2294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lepší vzájemná komunikace a spolupráce</w:t>
            </w:r>
          </w:p>
          <w:p w14:paraId="45E591B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využité vzájemné spolupráce ku prospěchu všech</w:t>
            </w:r>
          </w:p>
        </w:tc>
      </w:tr>
      <w:tr w:rsidR="00E25C73" w:rsidRPr="00E25C73" w14:paraId="08B08233" w14:textId="77777777" w:rsidTr="009A7AC2">
        <w:trPr>
          <w:trHeight w:val="48"/>
          <w:jc w:val="center"/>
        </w:trPr>
        <w:tc>
          <w:tcPr>
            <w:tcW w:w="2057" w:type="dxa"/>
            <w:shd w:val="clear" w:color="auto" w:fill="auto"/>
            <w:vAlign w:val="center"/>
            <w:hideMark/>
          </w:tcPr>
          <w:p w14:paraId="188E60E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2928437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neinvestiční</w:t>
            </w:r>
          </w:p>
        </w:tc>
      </w:tr>
      <w:tr w:rsidR="00E25C73" w:rsidRPr="00E25C73" w14:paraId="7A8F0528" w14:textId="77777777" w:rsidTr="009A7AC2">
        <w:trPr>
          <w:trHeight w:val="340"/>
          <w:jc w:val="center"/>
        </w:trPr>
        <w:tc>
          <w:tcPr>
            <w:tcW w:w="2057" w:type="dxa"/>
            <w:shd w:val="clear" w:color="auto" w:fill="auto"/>
            <w:vAlign w:val="center"/>
            <w:hideMark/>
          </w:tcPr>
          <w:p w14:paraId="767F95D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17A39B7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vysoká</w:t>
            </w:r>
          </w:p>
        </w:tc>
      </w:tr>
      <w:tr w:rsidR="00E25C73" w:rsidRPr="00E25C73" w14:paraId="2E08805D" w14:textId="77777777" w:rsidTr="009A7AC2">
        <w:trPr>
          <w:trHeight w:val="340"/>
          <w:jc w:val="center"/>
        </w:trPr>
        <w:tc>
          <w:tcPr>
            <w:tcW w:w="2057" w:type="dxa"/>
            <w:shd w:val="clear" w:color="auto" w:fill="auto"/>
            <w:vAlign w:val="center"/>
            <w:hideMark/>
          </w:tcPr>
          <w:p w14:paraId="5BC5B7D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4B2A3A3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budou se odvíjet od charakteru vzájemné spolupráce</w:t>
            </w:r>
          </w:p>
        </w:tc>
      </w:tr>
      <w:tr w:rsidR="00E25C73" w:rsidRPr="00E25C73" w14:paraId="4E65F6E5" w14:textId="77777777" w:rsidTr="009A7AC2">
        <w:trPr>
          <w:trHeight w:val="340"/>
          <w:jc w:val="center"/>
        </w:trPr>
        <w:tc>
          <w:tcPr>
            <w:tcW w:w="2057" w:type="dxa"/>
            <w:shd w:val="clear" w:color="auto" w:fill="auto"/>
            <w:vAlign w:val="center"/>
            <w:hideMark/>
          </w:tcPr>
          <w:p w14:paraId="1731399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567B2C7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2D52B027" w14:textId="77777777" w:rsidTr="009A7AC2">
        <w:trPr>
          <w:trHeight w:val="340"/>
          <w:jc w:val="center"/>
        </w:trPr>
        <w:tc>
          <w:tcPr>
            <w:tcW w:w="2057" w:type="dxa"/>
            <w:shd w:val="clear" w:color="auto" w:fill="auto"/>
            <w:vAlign w:val="center"/>
            <w:hideMark/>
          </w:tcPr>
          <w:p w14:paraId="38BDA05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5DBCC15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5: Vyvážený rozvoj a správa území, StC 5.3: Koordinované plánování a vysoká míra spolupráce, Opatření 5.3.2: Podpora partnerství, rozvoj místní a nadregionální spolupráce)</w:t>
            </w:r>
          </w:p>
        </w:tc>
      </w:tr>
      <w:tr w:rsidR="00E25C73" w:rsidRPr="00E25C73" w14:paraId="3520F951" w14:textId="77777777" w:rsidTr="009A7AC2">
        <w:trPr>
          <w:trHeight w:val="340"/>
          <w:jc w:val="center"/>
        </w:trPr>
        <w:tc>
          <w:tcPr>
            <w:tcW w:w="2057" w:type="dxa"/>
            <w:shd w:val="clear" w:color="auto" w:fill="auto"/>
            <w:vAlign w:val="center"/>
            <w:hideMark/>
          </w:tcPr>
          <w:p w14:paraId="583C97D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279909F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území obce Staré Buky</w:t>
            </w:r>
          </w:p>
        </w:tc>
      </w:tr>
      <w:tr w:rsidR="00E25C73" w:rsidRPr="00E25C73" w14:paraId="3D7FDD95" w14:textId="77777777" w:rsidTr="009A7AC2">
        <w:trPr>
          <w:trHeight w:val="340"/>
          <w:jc w:val="center"/>
        </w:trPr>
        <w:tc>
          <w:tcPr>
            <w:tcW w:w="2057" w:type="dxa"/>
            <w:shd w:val="clear" w:color="auto" w:fill="auto"/>
            <w:vAlign w:val="center"/>
            <w:hideMark/>
          </w:tcPr>
          <w:p w14:paraId="4D095A1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7AD0F62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10C3171D" w14:textId="77777777" w:rsidTr="009A7AC2">
        <w:trPr>
          <w:trHeight w:val="340"/>
          <w:jc w:val="center"/>
        </w:trPr>
        <w:tc>
          <w:tcPr>
            <w:tcW w:w="2057" w:type="dxa"/>
            <w:shd w:val="clear" w:color="auto" w:fill="auto"/>
            <w:vAlign w:val="center"/>
            <w:hideMark/>
          </w:tcPr>
          <w:p w14:paraId="6D64659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3F99F7C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vedení obce Staré Buky ve spolupráci s živnostníky působícími v obci</w:t>
            </w:r>
          </w:p>
        </w:tc>
      </w:tr>
      <w:tr w:rsidR="00E25C73" w:rsidRPr="00E25C73" w14:paraId="293836B6" w14:textId="77777777" w:rsidTr="009A7AC2">
        <w:trPr>
          <w:trHeight w:val="340"/>
          <w:jc w:val="center"/>
        </w:trPr>
        <w:tc>
          <w:tcPr>
            <w:tcW w:w="2057" w:type="dxa"/>
            <w:shd w:val="clear" w:color="auto" w:fill="auto"/>
            <w:vAlign w:val="center"/>
            <w:hideMark/>
          </w:tcPr>
          <w:p w14:paraId="275A5F2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5100DD5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44CC15C1" w14:textId="77777777" w:rsidTr="009A7AC2">
        <w:trPr>
          <w:trHeight w:val="340"/>
          <w:jc w:val="center"/>
        </w:trPr>
        <w:tc>
          <w:tcPr>
            <w:tcW w:w="2057" w:type="dxa"/>
            <w:shd w:val="clear" w:color="auto" w:fill="auto"/>
            <w:vAlign w:val="center"/>
          </w:tcPr>
          <w:p w14:paraId="6C97B15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127C476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w:t>
            </w:r>
          </w:p>
        </w:tc>
      </w:tr>
    </w:tbl>
    <w:p w14:paraId="646B770F"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2A5974F2"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09C37483"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Podporovat další rozvoj moderních technologií</w:t>
            </w:r>
          </w:p>
        </w:tc>
      </w:tr>
      <w:tr w:rsidR="00E25C73" w:rsidRPr="00E25C73" w14:paraId="701FA5C7" w14:textId="77777777" w:rsidTr="009A7AC2">
        <w:trPr>
          <w:trHeight w:val="340"/>
          <w:jc w:val="center"/>
        </w:trPr>
        <w:tc>
          <w:tcPr>
            <w:tcW w:w="2057" w:type="dxa"/>
            <w:shd w:val="clear" w:color="auto" w:fill="auto"/>
            <w:vAlign w:val="center"/>
            <w:hideMark/>
          </w:tcPr>
          <w:p w14:paraId="44E839F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1C04683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10C53408" w14:textId="77777777" w:rsidTr="009A7AC2">
        <w:trPr>
          <w:trHeight w:val="340"/>
          <w:jc w:val="center"/>
        </w:trPr>
        <w:tc>
          <w:tcPr>
            <w:tcW w:w="2057" w:type="dxa"/>
            <w:shd w:val="clear" w:color="auto" w:fill="auto"/>
            <w:vAlign w:val="center"/>
          </w:tcPr>
          <w:p w14:paraId="0927B74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53AF25E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p w14:paraId="014D626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480A32BB" w14:textId="77777777" w:rsidTr="009A7AC2">
        <w:trPr>
          <w:trHeight w:val="48"/>
          <w:jc w:val="center"/>
        </w:trPr>
        <w:tc>
          <w:tcPr>
            <w:tcW w:w="2057" w:type="dxa"/>
            <w:shd w:val="clear" w:color="auto" w:fill="auto"/>
            <w:vAlign w:val="center"/>
            <w:hideMark/>
          </w:tcPr>
          <w:p w14:paraId="7869E13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10F2A75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MMR, KHK kraj</w:t>
            </w:r>
          </w:p>
        </w:tc>
      </w:tr>
      <w:tr w:rsidR="00E25C73" w:rsidRPr="00E25C73" w14:paraId="367CBC1E" w14:textId="77777777" w:rsidTr="009A7AC2">
        <w:trPr>
          <w:trHeight w:val="340"/>
          <w:jc w:val="center"/>
        </w:trPr>
        <w:tc>
          <w:tcPr>
            <w:tcW w:w="2057" w:type="dxa"/>
            <w:shd w:val="clear" w:color="auto" w:fill="auto"/>
            <w:vAlign w:val="center"/>
            <w:hideMark/>
          </w:tcPr>
          <w:p w14:paraId="4A491B6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71AC443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zvýšení efektivnosti poskytování služeb občanům, zlepšení komunikace mezi orgány veřejné správy a občany</w:t>
            </w:r>
          </w:p>
          <w:p w14:paraId="78C19BA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využití SMART technologií při běžné činnosti chodu obce</w:t>
            </w:r>
          </w:p>
        </w:tc>
      </w:tr>
      <w:tr w:rsidR="00E25C73" w:rsidRPr="00E25C73" w14:paraId="0B16AAC6" w14:textId="77777777" w:rsidTr="009A7AC2">
        <w:trPr>
          <w:trHeight w:val="48"/>
          <w:jc w:val="center"/>
        </w:trPr>
        <w:tc>
          <w:tcPr>
            <w:tcW w:w="2057" w:type="dxa"/>
            <w:shd w:val="clear" w:color="auto" w:fill="auto"/>
            <w:vAlign w:val="center"/>
            <w:hideMark/>
          </w:tcPr>
          <w:p w14:paraId="6A49A72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tcPr>
          <w:p w14:paraId="269DB43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Times New Roman"/>
                <w:sz w:val="20"/>
                <w:szCs w:val="20"/>
              </w:rPr>
              <w:t>investiční i neinvestiční</w:t>
            </w:r>
          </w:p>
        </w:tc>
      </w:tr>
      <w:tr w:rsidR="00E25C73" w:rsidRPr="00E25C73" w14:paraId="5AC2A10F" w14:textId="77777777" w:rsidTr="009A7AC2">
        <w:trPr>
          <w:trHeight w:val="340"/>
          <w:jc w:val="center"/>
        </w:trPr>
        <w:tc>
          <w:tcPr>
            <w:tcW w:w="2057" w:type="dxa"/>
            <w:shd w:val="clear" w:color="auto" w:fill="auto"/>
            <w:vAlign w:val="center"/>
            <w:hideMark/>
          </w:tcPr>
          <w:p w14:paraId="7FA221C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tcPr>
          <w:p w14:paraId="09F6C3C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Times New Roman"/>
                <w:sz w:val="20"/>
                <w:szCs w:val="20"/>
              </w:rPr>
              <w:t>střední</w:t>
            </w:r>
          </w:p>
        </w:tc>
      </w:tr>
      <w:tr w:rsidR="00E25C73" w:rsidRPr="00E25C73" w14:paraId="20F8E119" w14:textId="77777777" w:rsidTr="009A7AC2">
        <w:trPr>
          <w:trHeight w:val="340"/>
          <w:jc w:val="center"/>
        </w:trPr>
        <w:tc>
          <w:tcPr>
            <w:tcW w:w="2057" w:type="dxa"/>
            <w:shd w:val="clear" w:color="auto" w:fill="auto"/>
            <w:vAlign w:val="center"/>
            <w:hideMark/>
          </w:tcPr>
          <w:p w14:paraId="77A9938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3F8D0B5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až stovek tis. Kč (dle charakteru moderní technologie)</w:t>
            </w:r>
          </w:p>
        </w:tc>
      </w:tr>
      <w:tr w:rsidR="00E25C73" w:rsidRPr="00E25C73" w14:paraId="6E5C9C3A" w14:textId="77777777" w:rsidTr="009A7AC2">
        <w:trPr>
          <w:trHeight w:val="340"/>
          <w:jc w:val="center"/>
        </w:trPr>
        <w:tc>
          <w:tcPr>
            <w:tcW w:w="2057" w:type="dxa"/>
            <w:shd w:val="clear" w:color="auto" w:fill="auto"/>
            <w:vAlign w:val="center"/>
            <w:hideMark/>
          </w:tcPr>
          <w:p w14:paraId="06E0436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6487105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EU – IROP 2021-2027</w:t>
            </w:r>
          </w:p>
          <w:p w14:paraId="2C8B142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DT Chytrá řešení v regionu Královéhradeckého kraje</w:t>
            </w:r>
          </w:p>
          <w:p w14:paraId="6E91E72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7ABE15B3" w14:textId="77777777" w:rsidTr="009A7AC2">
        <w:trPr>
          <w:trHeight w:val="340"/>
          <w:jc w:val="center"/>
        </w:trPr>
        <w:tc>
          <w:tcPr>
            <w:tcW w:w="2057" w:type="dxa"/>
            <w:shd w:val="clear" w:color="auto" w:fill="auto"/>
            <w:vAlign w:val="center"/>
            <w:hideMark/>
          </w:tcPr>
          <w:p w14:paraId="71E2429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1021C638" w14:textId="77777777" w:rsidR="00E25C73" w:rsidRPr="00E25C73" w:rsidRDefault="00E25C73" w:rsidP="00E25C73">
            <w:pPr>
              <w:spacing w:before="60" w:after="60" w:line="259" w:lineRule="auto"/>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Strategie rozvoje Královéhradeckého kraje na období 2021–2027 (SP 5: Vyvážený rozvoj a správa území, StC 5.2: Efektivní a transparentní veřejná správa a krizové řízení kraje, Opatření 5.2.1: Podpora zavádění řízení a plánování ve veřejné správě)</w:t>
            </w:r>
          </w:p>
        </w:tc>
      </w:tr>
      <w:tr w:rsidR="00E25C73" w:rsidRPr="00E25C73" w14:paraId="0FBD936F" w14:textId="77777777" w:rsidTr="009A7AC2">
        <w:trPr>
          <w:trHeight w:val="340"/>
          <w:jc w:val="center"/>
        </w:trPr>
        <w:tc>
          <w:tcPr>
            <w:tcW w:w="2057" w:type="dxa"/>
            <w:shd w:val="clear" w:color="auto" w:fill="auto"/>
            <w:vAlign w:val="center"/>
            <w:hideMark/>
          </w:tcPr>
          <w:p w14:paraId="69537F8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4350D9B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není vázáno na konkrétní místo</w:t>
            </w:r>
          </w:p>
        </w:tc>
      </w:tr>
      <w:tr w:rsidR="00E25C73" w:rsidRPr="00E25C73" w14:paraId="65A7093C" w14:textId="77777777" w:rsidTr="009A7AC2">
        <w:trPr>
          <w:trHeight w:val="340"/>
          <w:jc w:val="center"/>
        </w:trPr>
        <w:tc>
          <w:tcPr>
            <w:tcW w:w="2057" w:type="dxa"/>
            <w:shd w:val="clear" w:color="auto" w:fill="auto"/>
            <w:vAlign w:val="center"/>
            <w:hideMark/>
          </w:tcPr>
          <w:p w14:paraId="76CDBB2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4D9198F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18068ADA" w14:textId="77777777" w:rsidTr="009A7AC2">
        <w:trPr>
          <w:trHeight w:val="340"/>
          <w:jc w:val="center"/>
        </w:trPr>
        <w:tc>
          <w:tcPr>
            <w:tcW w:w="2057" w:type="dxa"/>
            <w:shd w:val="clear" w:color="auto" w:fill="auto"/>
            <w:vAlign w:val="center"/>
            <w:hideMark/>
          </w:tcPr>
          <w:p w14:paraId="541A2F2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0B8F6AF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1B04B9CD" w14:textId="77777777" w:rsidTr="009A7AC2">
        <w:trPr>
          <w:trHeight w:val="340"/>
          <w:jc w:val="center"/>
        </w:trPr>
        <w:tc>
          <w:tcPr>
            <w:tcW w:w="2057" w:type="dxa"/>
            <w:shd w:val="clear" w:color="auto" w:fill="auto"/>
            <w:vAlign w:val="center"/>
            <w:hideMark/>
          </w:tcPr>
          <w:p w14:paraId="4E0984D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5E3B10E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0DED0701" w14:textId="77777777" w:rsidTr="009A7AC2">
        <w:trPr>
          <w:trHeight w:val="340"/>
          <w:jc w:val="center"/>
        </w:trPr>
        <w:tc>
          <w:tcPr>
            <w:tcW w:w="2057" w:type="dxa"/>
            <w:shd w:val="clear" w:color="auto" w:fill="auto"/>
            <w:vAlign w:val="center"/>
          </w:tcPr>
          <w:p w14:paraId="1F58AA5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278AABC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w:t>
            </w:r>
          </w:p>
        </w:tc>
      </w:tr>
    </w:tbl>
    <w:p w14:paraId="593261B1"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6AB41546"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7CDAA335"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Pořádat více kulturně-společenských aktivit v obci</w:t>
            </w:r>
          </w:p>
        </w:tc>
      </w:tr>
      <w:tr w:rsidR="00E25C73" w:rsidRPr="00E25C73" w14:paraId="21B2A3DF" w14:textId="77777777" w:rsidTr="009A7AC2">
        <w:trPr>
          <w:trHeight w:val="340"/>
          <w:jc w:val="center"/>
        </w:trPr>
        <w:tc>
          <w:tcPr>
            <w:tcW w:w="2057" w:type="dxa"/>
            <w:shd w:val="clear" w:color="auto" w:fill="auto"/>
            <w:vAlign w:val="center"/>
            <w:hideMark/>
          </w:tcPr>
          <w:p w14:paraId="19A1035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510AAD9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161B6DD9" w14:textId="77777777" w:rsidTr="009A7AC2">
        <w:trPr>
          <w:trHeight w:val="340"/>
          <w:jc w:val="center"/>
        </w:trPr>
        <w:tc>
          <w:tcPr>
            <w:tcW w:w="2057" w:type="dxa"/>
            <w:shd w:val="clear" w:color="auto" w:fill="auto"/>
            <w:vAlign w:val="center"/>
          </w:tcPr>
          <w:p w14:paraId="5D455AF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48BF44A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participační</w:t>
            </w:r>
          </w:p>
          <w:p w14:paraId="6CB9270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2A30269F" w14:textId="77777777" w:rsidTr="009A7AC2">
        <w:trPr>
          <w:trHeight w:val="340"/>
          <w:jc w:val="center"/>
        </w:trPr>
        <w:tc>
          <w:tcPr>
            <w:tcW w:w="2057" w:type="dxa"/>
            <w:shd w:val="clear" w:color="auto" w:fill="auto"/>
            <w:vAlign w:val="center"/>
            <w:hideMark/>
          </w:tcPr>
          <w:p w14:paraId="3551CEC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1E75D9C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 xml:space="preserve">zájmové spolky působící v obci </w:t>
            </w:r>
          </w:p>
        </w:tc>
      </w:tr>
      <w:tr w:rsidR="00E25C73" w:rsidRPr="00E25C73" w14:paraId="04EDDC54" w14:textId="77777777" w:rsidTr="009A7AC2">
        <w:trPr>
          <w:trHeight w:val="340"/>
          <w:jc w:val="center"/>
        </w:trPr>
        <w:tc>
          <w:tcPr>
            <w:tcW w:w="2057" w:type="dxa"/>
            <w:shd w:val="clear" w:color="auto" w:fill="auto"/>
            <w:vAlign w:val="center"/>
            <w:hideMark/>
          </w:tcPr>
          <w:p w14:paraId="1446634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6B5A5EA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větší variabilita kulturně-společenského vyžití v obci</w:t>
            </w:r>
          </w:p>
        </w:tc>
      </w:tr>
      <w:tr w:rsidR="00E25C73" w:rsidRPr="00E25C73" w14:paraId="183A89FC" w14:textId="77777777" w:rsidTr="009A7AC2">
        <w:trPr>
          <w:trHeight w:val="48"/>
          <w:jc w:val="center"/>
        </w:trPr>
        <w:tc>
          <w:tcPr>
            <w:tcW w:w="2057" w:type="dxa"/>
            <w:shd w:val="clear" w:color="auto" w:fill="auto"/>
            <w:vAlign w:val="center"/>
            <w:hideMark/>
          </w:tcPr>
          <w:p w14:paraId="342A23B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4FA8C28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neinvestiční</w:t>
            </w:r>
          </w:p>
        </w:tc>
      </w:tr>
      <w:tr w:rsidR="00E25C73" w:rsidRPr="00E25C73" w14:paraId="5742B3FB" w14:textId="77777777" w:rsidTr="009A7AC2">
        <w:trPr>
          <w:trHeight w:val="340"/>
          <w:jc w:val="center"/>
        </w:trPr>
        <w:tc>
          <w:tcPr>
            <w:tcW w:w="2057" w:type="dxa"/>
            <w:shd w:val="clear" w:color="auto" w:fill="auto"/>
            <w:vAlign w:val="center"/>
            <w:hideMark/>
          </w:tcPr>
          <w:p w14:paraId="18CC481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6FF64F0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nízká</w:t>
            </w:r>
          </w:p>
        </w:tc>
      </w:tr>
      <w:tr w:rsidR="00E25C73" w:rsidRPr="00E25C73" w14:paraId="0574D648" w14:textId="77777777" w:rsidTr="009A7AC2">
        <w:trPr>
          <w:trHeight w:val="340"/>
          <w:jc w:val="center"/>
        </w:trPr>
        <w:tc>
          <w:tcPr>
            <w:tcW w:w="2057" w:type="dxa"/>
            <w:shd w:val="clear" w:color="auto" w:fill="auto"/>
            <w:vAlign w:val="center"/>
            <w:hideMark/>
          </w:tcPr>
          <w:p w14:paraId="34FF888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4A24EBB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tis. Kč</w:t>
            </w:r>
          </w:p>
        </w:tc>
      </w:tr>
      <w:tr w:rsidR="00E25C73" w:rsidRPr="00E25C73" w14:paraId="7FA52C53" w14:textId="77777777" w:rsidTr="009A7AC2">
        <w:trPr>
          <w:trHeight w:val="340"/>
          <w:jc w:val="center"/>
        </w:trPr>
        <w:tc>
          <w:tcPr>
            <w:tcW w:w="2057" w:type="dxa"/>
            <w:shd w:val="clear" w:color="auto" w:fill="auto"/>
            <w:vAlign w:val="center"/>
            <w:hideMark/>
          </w:tcPr>
          <w:p w14:paraId="6E4D3E1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2454634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p w14:paraId="54709F8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zdroje zájmových spolků</w:t>
            </w:r>
          </w:p>
        </w:tc>
      </w:tr>
      <w:tr w:rsidR="00E25C73" w:rsidRPr="00E25C73" w14:paraId="294BF77B" w14:textId="77777777" w:rsidTr="009A7AC2">
        <w:trPr>
          <w:trHeight w:val="340"/>
          <w:jc w:val="center"/>
        </w:trPr>
        <w:tc>
          <w:tcPr>
            <w:tcW w:w="2057" w:type="dxa"/>
            <w:shd w:val="clear" w:color="auto" w:fill="auto"/>
            <w:vAlign w:val="center"/>
            <w:hideMark/>
          </w:tcPr>
          <w:p w14:paraId="7EA2590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353E122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2: Zdravá, stabilní a soudržná společnost, StC 2.3: Vysoká úroveň kultury a trávení volného času, Opatření 2.3.1: Rozvoj živé kultury a místního kulturního života)</w:t>
            </w:r>
          </w:p>
        </w:tc>
      </w:tr>
      <w:tr w:rsidR="00E25C73" w:rsidRPr="00E25C73" w14:paraId="3504D2F6" w14:textId="77777777" w:rsidTr="009A7AC2">
        <w:trPr>
          <w:trHeight w:val="340"/>
          <w:jc w:val="center"/>
        </w:trPr>
        <w:tc>
          <w:tcPr>
            <w:tcW w:w="2057" w:type="dxa"/>
            <w:shd w:val="clear" w:color="auto" w:fill="auto"/>
            <w:vAlign w:val="center"/>
            <w:hideMark/>
          </w:tcPr>
          <w:p w14:paraId="6261E6D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60E10EE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území obce Staré Buky</w:t>
            </w:r>
          </w:p>
        </w:tc>
      </w:tr>
      <w:tr w:rsidR="00E25C73" w:rsidRPr="00E25C73" w14:paraId="06C586E5" w14:textId="77777777" w:rsidTr="009A7AC2">
        <w:trPr>
          <w:trHeight w:val="340"/>
          <w:jc w:val="center"/>
        </w:trPr>
        <w:tc>
          <w:tcPr>
            <w:tcW w:w="2057" w:type="dxa"/>
            <w:shd w:val="clear" w:color="auto" w:fill="auto"/>
            <w:vAlign w:val="center"/>
            <w:hideMark/>
          </w:tcPr>
          <w:p w14:paraId="151DFF9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3AE1E2C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01423F22" w14:textId="77777777" w:rsidTr="009A7AC2">
        <w:trPr>
          <w:trHeight w:val="340"/>
          <w:jc w:val="center"/>
        </w:trPr>
        <w:tc>
          <w:tcPr>
            <w:tcW w:w="2057" w:type="dxa"/>
            <w:shd w:val="clear" w:color="auto" w:fill="auto"/>
            <w:vAlign w:val="center"/>
            <w:hideMark/>
          </w:tcPr>
          <w:p w14:paraId="62D4C52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79D1BD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vedení obce Staré Buky ve spolupráci se zájmovými spolky v obci působícími a ve spolupráci s aktivními občany</w:t>
            </w:r>
          </w:p>
        </w:tc>
      </w:tr>
      <w:tr w:rsidR="00E25C73" w:rsidRPr="00E25C73" w14:paraId="455F8AAB" w14:textId="77777777" w:rsidTr="009A7AC2">
        <w:trPr>
          <w:trHeight w:val="340"/>
          <w:jc w:val="center"/>
        </w:trPr>
        <w:tc>
          <w:tcPr>
            <w:tcW w:w="2057" w:type="dxa"/>
            <w:shd w:val="clear" w:color="auto" w:fill="auto"/>
            <w:vAlign w:val="center"/>
            <w:hideMark/>
          </w:tcPr>
          <w:p w14:paraId="657CB30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7BECC57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35CCE4FD" w14:textId="77777777" w:rsidTr="009A7AC2">
        <w:trPr>
          <w:trHeight w:val="340"/>
          <w:jc w:val="center"/>
        </w:trPr>
        <w:tc>
          <w:tcPr>
            <w:tcW w:w="2057" w:type="dxa"/>
            <w:shd w:val="clear" w:color="auto" w:fill="auto"/>
            <w:vAlign w:val="center"/>
          </w:tcPr>
          <w:p w14:paraId="7D579D7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25407B7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3</w:t>
            </w:r>
          </w:p>
        </w:tc>
      </w:tr>
    </w:tbl>
    <w:p w14:paraId="10797B34"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63C9DA48"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1F7843B3"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 xml:space="preserve">Podporovat činnosti ze strany zájmových spolků formou snahy </w:t>
            </w:r>
            <w:r w:rsidRPr="00E25C73">
              <w:rPr>
                <w:rFonts w:ascii="Calibri" w:eastAsia="Times New Roman" w:hAnsi="Calibri" w:cs="Calibri"/>
                <w:b/>
                <w:color w:val="000000"/>
                <w:sz w:val="24"/>
                <w:szCs w:val="24"/>
                <w:lang w:eastAsia="cs-CZ"/>
              </w:rPr>
              <w:br/>
              <w:t>existence více aktivit a akcí pro mládež</w:t>
            </w:r>
          </w:p>
        </w:tc>
      </w:tr>
      <w:tr w:rsidR="00E25C73" w:rsidRPr="00E25C73" w14:paraId="0DACDE67" w14:textId="77777777" w:rsidTr="009A7AC2">
        <w:trPr>
          <w:trHeight w:val="340"/>
          <w:jc w:val="center"/>
        </w:trPr>
        <w:tc>
          <w:tcPr>
            <w:tcW w:w="2057" w:type="dxa"/>
            <w:shd w:val="clear" w:color="auto" w:fill="auto"/>
            <w:vAlign w:val="center"/>
            <w:hideMark/>
          </w:tcPr>
          <w:p w14:paraId="51C7D51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7A46EAD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zájmové spolky působící v obci, aktivní občané</w:t>
            </w:r>
          </w:p>
        </w:tc>
      </w:tr>
      <w:tr w:rsidR="00E25C73" w:rsidRPr="00E25C73" w14:paraId="26046C80" w14:textId="77777777" w:rsidTr="009A7AC2">
        <w:trPr>
          <w:trHeight w:val="340"/>
          <w:jc w:val="center"/>
        </w:trPr>
        <w:tc>
          <w:tcPr>
            <w:tcW w:w="2057" w:type="dxa"/>
            <w:shd w:val="clear" w:color="auto" w:fill="auto"/>
            <w:vAlign w:val="center"/>
          </w:tcPr>
          <w:p w14:paraId="3BDCDF3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236C645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participační</w:t>
            </w:r>
          </w:p>
          <w:p w14:paraId="10519D1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iniciační</w:t>
            </w:r>
          </w:p>
        </w:tc>
      </w:tr>
      <w:tr w:rsidR="00E25C73" w:rsidRPr="00E25C73" w14:paraId="08BD64A4" w14:textId="77777777" w:rsidTr="009A7AC2">
        <w:trPr>
          <w:trHeight w:val="340"/>
          <w:jc w:val="center"/>
        </w:trPr>
        <w:tc>
          <w:tcPr>
            <w:tcW w:w="2057" w:type="dxa"/>
            <w:shd w:val="clear" w:color="auto" w:fill="auto"/>
            <w:vAlign w:val="center"/>
            <w:hideMark/>
          </w:tcPr>
          <w:p w14:paraId="12C3289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63F9FF2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08A76A2B" w14:textId="77777777" w:rsidTr="009A7AC2">
        <w:trPr>
          <w:trHeight w:val="340"/>
          <w:jc w:val="center"/>
        </w:trPr>
        <w:tc>
          <w:tcPr>
            <w:tcW w:w="2057" w:type="dxa"/>
            <w:shd w:val="clear" w:color="auto" w:fill="auto"/>
            <w:vAlign w:val="center"/>
            <w:hideMark/>
          </w:tcPr>
          <w:p w14:paraId="64CA9E4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4C26D43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větší variabilita aktivit a akcí určených pro děti a mládež</w:t>
            </w:r>
          </w:p>
        </w:tc>
      </w:tr>
      <w:tr w:rsidR="00E25C73" w:rsidRPr="00E25C73" w14:paraId="117D05F2" w14:textId="77777777" w:rsidTr="009A7AC2">
        <w:trPr>
          <w:trHeight w:val="48"/>
          <w:jc w:val="center"/>
        </w:trPr>
        <w:tc>
          <w:tcPr>
            <w:tcW w:w="2057" w:type="dxa"/>
            <w:shd w:val="clear" w:color="auto" w:fill="auto"/>
            <w:vAlign w:val="center"/>
            <w:hideMark/>
          </w:tcPr>
          <w:p w14:paraId="19A0AB9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43E3B3F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neinvestiční</w:t>
            </w:r>
          </w:p>
        </w:tc>
      </w:tr>
      <w:tr w:rsidR="00E25C73" w:rsidRPr="00E25C73" w14:paraId="75C2B188" w14:textId="77777777" w:rsidTr="009A7AC2">
        <w:trPr>
          <w:trHeight w:val="340"/>
          <w:jc w:val="center"/>
        </w:trPr>
        <w:tc>
          <w:tcPr>
            <w:tcW w:w="2057" w:type="dxa"/>
            <w:shd w:val="clear" w:color="auto" w:fill="auto"/>
            <w:vAlign w:val="center"/>
            <w:hideMark/>
          </w:tcPr>
          <w:p w14:paraId="0459D34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050A434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6D8AAEE3" w14:textId="77777777" w:rsidTr="009A7AC2">
        <w:trPr>
          <w:trHeight w:val="340"/>
          <w:jc w:val="center"/>
        </w:trPr>
        <w:tc>
          <w:tcPr>
            <w:tcW w:w="2057" w:type="dxa"/>
            <w:shd w:val="clear" w:color="auto" w:fill="auto"/>
            <w:vAlign w:val="center"/>
            <w:hideMark/>
          </w:tcPr>
          <w:p w14:paraId="4921B2F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2CDB20E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tis. Kč</w:t>
            </w:r>
          </w:p>
        </w:tc>
      </w:tr>
      <w:tr w:rsidR="00E25C73" w:rsidRPr="00E25C73" w14:paraId="76CA4BFD" w14:textId="77777777" w:rsidTr="009A7AC2">
        <w:trPr>
          <w:trHeight w:val="340"/>
          <w:jc w:val="center"/>
        </w:trPr>
        <w:tc>
          <w:tcPr>
            <w:tcW w:w="2057" w:type="dxa"/>
            <w:shd w:val="clear" w:color="auto" w:fill="auto"/>
            <w:vAlign w:val="center"/>
            <w:hideMark/>
          </w:tcPr>
          <w:p w14:paraId="7C641A4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2751BBB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p w14:paraId="059C0B5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zdroje zájmových spolků</w:t>
            </w:r>
          </w:p>
          <w:p w14:paraId="4E6AEB1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zdroje osob, jejichž děti navštěvují dané aktivity</w:t>
            </w:r>
          </w:p>
        </w:tc>
      </w:tr>
      <w:tr w:rsidR="00E25C73" w:rsidRPr="00E25C73" w14:paraId="4DCAF6B7" w14:textId="77777777" w:rsidTr="009A7AC2">
        <w:trPr>
          <w:trHeight w:val="340"/>
          <w:jc w:val="center"/>
        </w:trPr>
        <w:tc>
          <w:tcPr>
            <w:tcW w:w="2057" w:type="dxa"/>
            <w:shd w:val="clear" w:color="auto" w:fill="auto"/>
            <w:vAlign w:val="center"/>
            <w:hideMark/>
          </w:tcPr>
          <w:p w14:paraId="49D2194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1C218A7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2: Zdravá, stabilní a soudržná společnost, StC 2.1</w:t>
            </w:r>
            <w:r w:rsidRPr="00E25C73">
              <w:rPr>
                <w:rFonts w:ascii="Calibri" w:eastAsia="Calibri" w:hAnsi="Calibri" w:cs="Times New Roman"/>
              </w:rPr>
              <w:t xml:space="preserve"> </w:t>
            </w:r>
            <w:r w:rsidRPr="00E25C73">
              <w:rPr>
                <w:rFonts w:ascii="Calibri" w:eastAsia="Calibri" w:hAnsi="Calibri" w:cs="Calibri"/>
                <w:color w:val="000000"/>
                <w:sz w:val="20"/>
                <w:szCs w:val="20"/>
              </w:rPr>
              <w:t>Odpovídající podmínky pro zdravý život populace, Opatření 2.1.3: Posílení rozvoje sportovních a volnočasových aktivit v kraji a StC 2.3: Vysoká úroveň kultury a trávení volného času, Opatření 2.3.1: Rozvoj živé kultury a místního kulturního života)</w:t>
            </w:r>
          </w:p>
        </w:tc>
      </w:tr>
      <w:tr w:rsidR="00E25C73" w:rsidRPr="00E25C73" w14:paraId="2D8A2B98" w14:textId="77777777" w:rsidTr="009A7AC2">
        <w:trPr>
          <w:trHeight w:val="340"/>
          <w:jc w:val="center"/>
        </w:trPr>
        <w:tc>
          <w:tcPr>
            <w:tcW w:w="2057" w:type="dxa"/>
            <w:shd w:val="clear" w:color="auto" w:fill="auto"/>
            <w:vAlign w:val="center"/>
            <w:hideMark/>
          </w:tcPr>
          <w:p w14:paraId="7E67966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6701078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není vázáno na konkrétní místo</w:t>
            </w:r>
          </w:p>
        </w:tc>
      </w:tr>
      <w:tr w:rsidR="00E25C73" w:rsidRPr="00E25C73" w14:paraId="676AB052" w14:textId="77777777" w:rsidTr="009A7AC2">
        <w:trPr>
          <w:trHeight w:val="340"/>
          <w:jc w:val="center"/>
        </w:trPr>
        <w:tc>
          <w:tcPr>
            <w:tcW w:w="2057" w:type="dxa"/>
            <w:shd w:val="clear" w:color="auto" w:fill="auto"/>
            <w:vAlign w:val="center"/>
            <w:hideMark/>
          </w:tcPr>
          <w:p w14:paraId="28B73B7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1871F90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3AE1559A" w14:textId="77777777" w:rsidTr="009A7AC2">
        <w:trPr>
          <w:trHeight w:val="340"/>
          <w:jc w:val="center"/>
        </w:trPr>
        <w:tc>
          <w:tcPr>
            <w:tcW w:w="2057" w:type="dxa"/>
            <w:shd w:val="clear" w:color="auto" w:fill="auto"/>
            <w:vAlign w:val="center"/>
            <w:hideMark/>
          </w:tcPr>
          <w:p w14:paraId="02FB178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75C2526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zájmové spolky působící v obci a aktivní občané ve spolupráci s vedením obce</w:t>
            </w:r>
          </w:p>
        </w:tc>
      </w:tr>
      <w:tr w:rsidR="00E25C73" w:rsidRPr="00E25C73" w14:paraId="2DDBF0C6" w14:textId="77777777" w:rsidTr="009A7AC2">
        <w:trPr>
          <w:trHeight w:val="340"/>
          <w:jc w:val="center"/>
        </w:trPr>
        <w:tc>
          <w:tcPr>
            <w:tcW w:w="2057" w:type="dxa"/>
            <w:shd w:val="clear" w:color="auto" w:fill="auto"/>
            <w:vAlign w:val="center"/>
            <w:hideMark/>
          </w:tcPr>
          <w:p w14:paraId="719DC74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4CF353A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44947ED9" w14:textId="77777777" w:rsidTr="009A7AC2">
        <w:trPr>
          <w:trHeight w:val="340"/>
          <w:jc w:val="center"/>
        </w:trPr>
        <w:tc>
          <w:tcPr>
            <w:tcW w:w="2057" w:type="dxa"/>
            <w:shd w:val="clear" w:color="auto" w:fill="auto"/>
            <w:vAlign w:val="center"/>
          </w:tcPr>
          <w:p w14:paraId="69B0B8F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3BB5B2A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3</w:t>
            </w:r>
          </w:p>
        </w:tc>
      </w:tr>
    </w:tbl>
    <w:p w14:paraId="0FD3292C"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3584255D"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32DF2466"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Vybudovat trailové či pumptrackové hřiště</w:t>
            </w:r>
          </w:p>
        </w:tc>
      </w:tr>
      <w:tr w:rsidR="00E25C73" w:rsidRPr="00E25C73" w14:paraId="23A2E6A1" w14:textId="77777777" w:rsidTr="009A7AC2">
        <w:trPr>
          <w:trHeight w:val="340"/>
          <w:jc w:val="center"/>
        </w:trPr>
        <w:tc>
          <w:tcPr>
            <w:tcW w:w="2057" w:type="dxa"/>
            <w:shd w:val="clear" w:color="auto" w:fill="auto"/>
            <w:vAlign w:val="center"/>
            <w:hideMark/>
          </w:tcPr>
          <w:p w14:paraId="299A1F2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18A8ED4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5257D077" w14:textId="77777777" w:rsidTr="009A7AC2">
        <w:trPr>
          <w:trHeight w:val="340"/>
          <w:jc w:val="center"/>
        </w:trPr>
        <w:tc>
          <w:tcPr>
            <w:tcW w:w="2057" w:type="dxa"/>
            <w:shd w:val="clear" w:color="auto" w:fill="auto"/>
            <w:vAlign w:val="center"/>
          </w:tcPr>
          <w:p w14:paraId="3B76664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483FCAE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0DF33340" w14:textId="77777777" w:rsidTr="009A7AC2">
        <w:trPr>
          <w:trHeight w:val="340"/>
          <w:jc w:val="center"/>
        </w:trPr>
        <w:tc>
          <w:tcPr>
            <w:tcW w:w="2057" w:type="dxa"/>
            <w:shd w:val="clear" w:color="auto" w:fill="auto"/>
            <w:vAlign w:val="center"/>
            <w:hideMark/>
          </w:tcPr>
          <w:p w14:paraId="0DE5493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303575C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MMR, KHK kraj</w:t>
            </w:r>
          </w:p>
        </w:tc>
      </w:tr>
      <w:tr w:rsidR="00E25C73" w:rsidRPr="00E25C73" w14:paraId="3311D90A" w14:textId="77777777" w:rsidTr="009A7AC2">
        <w:trPr>
          <w:trHeight w:val="340"/>
          <w:jc w:val="center"/>
        </w:trPr>
        <w:tc>
          <w:tcPr>
            <w:tcW w:w="2057" w:type="dxa"/>
            <w:shd w:val="clear" w:color="auto" w:fill="auto"/>
            <w:vAlign w:val="center"/>
            <w:hideMark/>
          </w:tcPr>
          <w:p w14:paraId="4601D25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4EEE9D3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rozšíření spektra možnosti trávení volného času pro děti a mládež</w:t>
            </w:r>
          </w:p>
        </w:tc>
      </w:tr>
      <w:tr w:rsidR="00E25C73" w:rsidRPr="00E25C73" w14:paraId="0CADCD74" w14:textId="77777777" w:rsidTr="009A7AC2">
        <w:trPr>
          <w:trHeight w:val="48"/>
          <w:jc w:val="center"/>
        </w:trPr>
        <w:tc>
          <w:tcPr>
            <w:tcW w:w="2057" w:type="dxa"/>
            <w:shd w:val="clear" w:color="auto" w:fill="auto"/>
            <w:vAlign w:val="center"/>
            <w:hideMark/>
          </w:tcPr>
          <w:p w14:paraId="4EC025D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3C79188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30B5C8C9" w14:textId="77777777" w:rsidTr="009A7AC2">
        <w:trPr>
          <w:trHeight w:val="340"/>
          <w:jc w:val="center"/>
        </w:trPr>
        <w:tc>
          <w:tcPr>
            <w:tcW w:w="2057" w:type="dxa"/>
            <w:shd w:val="clear" w:color="auto" w:fill="auto"/>
            <w:vAlign w:val="center"/>
            <w:hideMark/>
          </w:tcPr>
          <w:p w14:paraId="02AFA4A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274C2F0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nízká</w:t>
            </w:r>
          </w:p>
        </w:tc>
      </w:tr>
      <w:tr w:rsidR="00E25C73" w:rsidRPr="00E25C73" w14:paraId="37E4D835" w14:textId="77777777" w:rsidTr="009A7AC2">
        <w:trPr>
          <w:trHeight w:val="340"/>
          <w:jc w:val="center"/>
        </w:trPr>
        <w:tc>
          <w:tcPr>
            <w:tcW w:w="2057" w:type="dxa"/>
            <w:shd w:val="clear" w:color="auto" w:fill="auto"/>
            <w:vAlign w:val="center"/>
            <w:hideMark/>
          </w:tcPr>
          <w:p w14:paraId="48E4A74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06F31E7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do 100 tis. Kč</w:t>
            </w:r>
          </w:p>
        </w:tc>
      </w:tr>
      <w:tr w:rsidR="00E25C73" w:rsidRPr="00E25C73" w14:paraId="70B139B1" w14:textId="77777777" w:rsidTr="009A7AC2">
        <w:trPr>
          <w:trHeight w:val="340"/>
          <w:jc w:val="center"/>
        </w:trPr>
        <w:tc>
          <w:tcPr>
            <w:tcW w:w="2057" w:type="dxa"/>
            <w:shd w:val="clear" w:color="auto" w:fill="auto"/>
            <w:vAlign w:val="center"/>
            <w:hideMark/>
          </w:tcPr>
          <w:p w14:paraId="6147315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033C800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rozvoje regionů 2019+, podprogram PORV – DT Podpora budování a obnovy míst aktivního a pasivního odpočinku</w:t>
            </w:r>
          </w:p>
          <w:p w14:paraId="4308EAA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481E0B0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Nadace ČEZ – grant Oranžové hřiště</w:t>
            </w:r>
          </w:p>
          <w:p w14:paraId="439971D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5CB49E95" w14:textId="77777777" w:rsidTr="009A7AC2">
        <w:trPr>
          <w:trHeight w:val="340"/>
          <w:jc w:val="center"/>
        </w:trPr>
        <w:tc>
          <w:tcPr>
            <w:tcW w:w="2057" w:type="dxa"/>
            <w:shd w:val="clear" w:color="auto" w:fill="auto"/>
            <w:vAlign w:val="center"/>
            <w:hideMark/>
          </w:tcPr>
          <w:p w14:paraId="59FF2D6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2D7E2DE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Strategie rozvoje Královéhradeckého kraje na období 2021–2027 (SP 2: Zdravá, stabilní a soudržná společnost, StC 2.1: Odpovídající podmínky pro zdravý život populace, Opatření 2.1.3: Posílení rozvoje sportovních a volnočasových aktivit v kraji)</w:t>
            </w:r>
          </w:p>
        </w:tc>
      </w:tr>
      <w:tr w:rsidR="00E25C73" w:rsidRPr="00E25C73" w14:paraId="2C8E7C64" w14:textId="77777777" w:rsidTr="009A7AC2">
        <w:trPr>
          <w:trHeight w:val="340"/>
          <w:jc w:val="center"/>
        </w:trPr>
        <w:tc>
          <w:tcPr>
            <w:tcW w:w="2057" w:type="dxa"/>
            <w:shd w:val="clear" w:color="auto" w:fill="auto"/>
            <w:vAlign w:val="center"/>
            <w:hideMark/>
          </w:tcPr>
          <w:p w14:paraId="1834B0E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3872F0D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centrum obce v okolí budovy zámečku</w:t>
            </w:r>
          </w:p>
        </w:tc>
      </w:tr>
      <w:tr w:rsidR="00E25C73" w:rsidRPr="00E25C73" w14:paraId="1773F390" w14:textId="77777777" w:rsidTr="009A7AC2">
        <w:trPr>
          <w:trHeight w:val="340"/>
          <w:jc w:val="center"/>
        </w:trPr>
        <w:tc>
          <w:tcPr>
            <w:tcW w:w="2057" w:type="dxa"/>
            <w:shd w:val="clear" w:color="auto" w:fill="auto"/>
            <w:vAlign w:val="center"/>
            <w:hideMark/>
          </w:tcPr>
          <w:p w14:paraId="7146CDB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444EA099"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 xml:space="preserve">2025 a dále – do doby, </w:t>
            </w:r>
            <w:r w:rsidRPr="00E25C73">
              <w:rPr>
                <w:rFonts w:ascii="Calibri" w:eastAsia="Calibri" w:hAnsi="Calibri" w:cs="Calibri"/>
                <w:color w:val="000000"/>
                <w:sz w:val="20"/>
                <w:szCs w:val="20"/>
              </w:rPr>
              <w:t>než se podaří trailové či pumptrackové hřiště vybudovat</w:t>
            </w:r>
          </w:p>
        </w:tc>
      </w:tr>
      <w:tr w:rsidR="00E25C73" w:rsidRPr="00E25C73" w14:paraId="3C8BE18F" w14:textId="77777777" w:rsidTr="009A7AC2">
        <w:trPr>
          <w:trHeight w:val="340"/>
          <w:jc w:val="center"/>
        </w:trPr>
        <w:tc>
          <w:tcPr>
            <w:tcW w:w="2057" w:type="dxa"/>
            <w:shd w:val="clear" w:color="auto" w:fill="auto"/>
            <w:vAlign w:val="center"/>
            <w:hideMark/>
          </w:tcPr>
          <w:p w14:paraId="565396F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5FD2FEF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5069FAD0" w14:textId="77777777" w:rsidTr="009A7AC2">
        <w:trPr>
          <w:trHeight w:val="340"/>
          <w:jc w:val="center"/>
        </w:trPr>
        <w:tc>
          <w:tcPr>
            <w:tcW w:w="2057" w:type="dxa"/>
            <w:shd w:val="clear" w:color="auto" w:fill="auto"/>
            <w:vAlign w:val="center"/>
            <w:hideMark/>
          </w:tcPr>
          <w:p w14:paraId="5D58FBA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39BADAD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32D9D96E" w14:textId="77777777" w:rsidTr="009A7AC2">
        <w:trPr>
          <w:trHeight w:val="340"/>
          <w:jc w:val="center"/>
        </w:trPr>
        <w:tc>
          <w:tcPr>
            <w:tcW w:w="2057" w:type="dxa"/>
            <w:shd w:val="clear" w:color="auto" w:fill="auto"/>
            <w:vAlign w:val="center"/>
          </w:tcPr>
          <w:p w14:paraId="0CC7EAD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6C87DA9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 3</w:t>
            </w:r>
          </w:p>
        </w:tc>
      </w:tr>
    </w:tbl>
    <w:p w14:paraId="6A770D20"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4305B421"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743F7F5B"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Uvažovat o vytvoření workoutového hřiště</w:t>
            </w:r>
          </w:p>
        </w:tc>
      </w:tr>
      <w:tr w:rsidR="00E25C73" w:rsidRPr="00E25C73" w14:paraId="058A0BBC" w14:textId="77777777" w:rsidTr="009A7AC2">
        <w:trPr>
          <w:trHeight w:val="340"/>
          <w:jc w:val="center"/>
        </w:trPr>
        <w:tc>
          <w:tcPr>
            <w:tcW w:w="2057" w:type="dxa"/>
            <w:shd w:val="clear" w:color="auto" w:fill="auto"/>
            <w:vAlign w:val="center"/>
            <w:hideMark/>
          </w:tcPr>
          <w:p w14:paraId="4CDC296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352C74C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3C117251" w14:textId="77777777" w:rsidTr="009A7AC2">
        <w:trPr>
          <w:trHeight w:val="340"/>
          <w:jc w:val="center"/>
        </w:trPr>
        <w:tc>
          <w:tcPr>
            <w:tcW w:w="2057" w:type="dxa"/>
            <w:shd w:val="clear" w:color="auto" w:fill="auto"/>
            <w:vAlign w:val="center"/>
          </w:tcPr>
          <w:p w14:paraId="1BF0D94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01CD4D0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2DD0FE70" w14:textId="77777777" w:rsidTr="009A7AC2">
        <w:trPr>
          <w:trHeight w:val="340"/>
          <w:jc w:val="center"/>
        </w:trPr>
        <w:tc>
          <w:tcPr>
            <w:tcW w:w="2057" w:type="dxa"/>
            <w:shd w:val="clear" w:color="auto" w:fill="auto"/>
            <w:vAlign w:val="center"/>
            <w:hideMark/>
          </w:tcPr>
          <w:p w14:paraId="045B66A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417E856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MMR, KHK kraj</w:t>
            </w:r>
          </w:p>
        </w:tc>
      </w:tr>
      <w:tr w:rsidR="00E25C73" w:rsidRPr="00E25C73" w14:paraId="29B8ADFD" w14:textId="77777777" w:rsidTr="009A7AC2">
        <w:trPr>
          <w:trHeight w:val="340"/>
          <w:jc w:val="center"/>
        </w:trPr>
        <w:tc>
          <w:tcPr>
            <w:tcW w:w="2057" w:type="dxa"/>
            <w:shd w:val="clear" w:color="auto" w:fill="auto"/>
            <w:vAlign w:val="center"/>
            <w:hideMark/>
          </w:tcPr>
          <w:p w14:paraId="45BDDAB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1F7D6C8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nárůst dostupné infrastruktury pro volnočasové aktivity jak pro lidi v důchodovém věku, tak pro mladší věkové generace</w:t>
            </w:r>
          </w:p>
        </w:tc>
      </w:tr>
      <w:tr w:rsidR="00E25C73" w:rsidRPr="00E25C73" w14:paraId="2E314734" w14:textId="77777777" w:rsidTr="009A7AC2">
        <w:trPr>
          <w:trHeight w:val="48"/>
          <w:jc w:val="center"/>
        </w:trPr>
        <w:tc>
          <w:tcPr>
            <w:tcW w:w="2057" w:type="dxa"/>
            <w:shd w:val="clear" w:color="auto" w:fill="auto"/>
            <w:vAlign w:val="center"/>
            <w:hideMark/>
          </w:tcPr>
          <w:p w14:paraId="2CF798E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31B2AA0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33D5BE87" w14:textId="77777777" w:rsidTr="009A7AC2">
        <w:trPr>
          <w:trHeight w:val="340"/>
          <w:jc w:val="center"/>
        </w:trPr>
        <w:tc>
          <w:tcPr>
            <w:tcW w:w="2057" w:type="dxa"/>
            <w:shd w:val="clear" w:color="auto" w:fill="auto"/>
            <w:vAlign w:val="center"/>
            <w:hideMark/>
          </w:tcPr>
          <w:p w14:paraId="3385510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1C819FA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nízká</w:t>
            </w:r>
          </w:p>
        </w:tc>
      </w:tr>
      <w:tr w:rsidR="00E25C73" w:rsidRPr="00E25C73" w14:paraId="0644917D" w14:textId="77777777" w:rsidTr="009A7AC2">
        <w:trPr>
          <w:trHeight w:val="340"/>
          <w:jc w:val="center"/>
        </w:trPr>
        <w:tc>
          <w:tcPr>
            <w:tcW w:w="2057" w:type="dxa"/>
            <w:shd w:val="clear" w:color="auto" w:fill="auto"/>
            <w:vAlign w:val="center"/>
            <w:hideMark/>
          </w:tcPr>
          <w:p w14:paraId="29FB0F1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1F7FD61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do 500 tis. Kč</w:t>
            </w:r>
          </w:p>
        </w:tc>
      </w:tr>
      <w:tr w:rsidR="00E25C73" w:rsidRPr="00E25C73" w14:paraId="793E6E4B" w14:textId="77777777" w:rsidTr="009A7AC2">
        <w:trPr>
          <w:trHeight w:val="340"/>
          <w:jc w:val="center"/>
        </w:trPr>
        <w:tc>
          <w:tcPr>
            <w:tcW w:w="2057" w:type="dxa"/>
            <w:shd w:val="clear" w:color="auto" w:fill="auto"/>
            <w:vAlign w:val="center"/>
            <w:hideMark/>
          </w:tcPr>
          <w:p w14:paraId="0F8E222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5AC21A4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MMR – program Podpora rozvoje regionů 2019+, podprogram PORV – DT Podpora budování a obnovy míst aktivního a pasivního odpočinku</w:t>
            </w:r>
          </w:p>
          <w:p w14:paraId="6376C7E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DP KHK kraje – POV KHK</w:t>
            </w:r>
          </w:p>
          <w:p w14:paraId="5EE0701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Nadace ČEZ – grant Oranžové hřiště</w:t>
            </w:r>
          </w:p>
          <w:p w14:paraId="6338130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4B5B1D26" w14:textId="77777777" w:rsidTr="009A7AC2">
        <w:trPr>
          <w:trHeight w:val="340"/>
          <w:jc w:val="center"/>
        </w:trPr>
        <w:tc>
          <w:tcPr>
            <w:tcW w:w="2057" w:type="dxa"/>
            <w:shd w:val="clear" w:color="auto" w:fill="auto"/>
            <w:vAlign w:val="center"/>
            <w:hideMark/>
          </w:tcPr>
          <w:p w14:paraId="6B1A3E6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68D841A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Strategie rozvoje Královéhradeckého kraje na období 2021–2027 (SP 2: Zdravá, stabilní a soudržná společnost, StC 2.1: Odpovídající podmínky pro zdravý život populace, Opatření 2.1.3: Posílení rozvoje sportovních a volnočasových aktivit v kraji)</w:t>
            </w:r>
          </w:p>
        </w:tc>
      </w:tr>
      <w:tr w:rsidR="00E25C73" w:rsidRPr="00E25C73" w14:paraId="41CF5A62" w14:textId="77777777" w:rsidTr="009A7AC2">
        <w:trPr>
          <w:trHeight w:val="340"/>
          <w:jc w:val="center"/>
        </w:trPr>
        <w:tc>
          <w:tcPr>
            <w:tcW w:w="2057" w:type="dxa"/>
            <w:shd w:val="clear" w:color="auto" w:fill="auto"/>
            <w:vAlign w:val="center"/>
            <w:hideMark/>
          </w:tcPr>
          <w:p w14:paraId="017A1C3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4499228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 xml:space="preserve">centrum obce v okolí budovy zámečku, případně park u budovy v Prostředních Starých Bukách s č. p. 50 </w:t>
            </w:r>
          </w:p>
        </w:tc>
      </w:tr>
      <w:tr w:rsidR="00E25C73" w:rsidRPr="00E25C73" w14:paraId="481DEC95" w14:textId="77777777" w:rsidTr="009A7AC2">
        <w:trPr>
          <w:trHeight w:val="340"/>
          <w:jc w:val="center"/>
        </w:trPr>
        <w:tc>
          <w:tcPr>
            <w:tcW w:w="2057" w:type="dxa"/>
            <w:shd w:val="clear" w:color="auto" w:fill="auto"/>
            <w:vAlign w:val="center"/>
            <w:hideMark/>
          </w:tcPr>
          <w:p w14:paraId="4ACB3AC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719A50E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 xml:space="preserve">2025 a dále – do doby, </w:t>
            </w:r>
            <w:r w:rsidRPr="00E25C73">
              <w:rPr>
                <w:rFonts w:ascii="Calibri" w:eastAsia="Calibri" w:hAnsi="Calibri" w:cs="Calibri"/>
                <w:color w:val="000000"/>
                <w:sz w:val="20"/>
                <w:szCs w:val="20"/>
              </w:rPr>
              <w:t>než se podaří workoutové hřiště vybudovat</w:t>
            </w:r>
          </w:p>
        </w:tc>
      </w:tr>
      <w:tr w:rsidR="00E25C73" w:rsidRPr="00E25C73" w14:paraId="675E9E75" w14:textId="77777777" w:rsidTr="009A7AC2">
        <w:trPr>
          <w:trHeight w:val="340"/>
          <w:jc w:val="center"/>
        </w:trPr>
        <w:tc>
          <w:tcPr>
            <w:tcW w:w="2057" w:type="dxa"/>
            <w:shd w:val="clear" w:color="auto" w:fill="auto"/>
            <w:vAlign w:val="center"/>
            <w:hideMark/>
          </w:tcPr>
          <w:p w14:paraId="3F09DAF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7822BAA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5E4DD433" w14:textId="77777777" w:rsidTr="009A7AC2">
        <w:trPr>
          <w:trHeight w:val="340"/>
          <w:jc w:val="center"/>
        </w:trPr>
        <w:tc>
          <w:tcPr>
            <w:tcW w:w="2057" w:type="dxa"/>
            <w:shd w:val="clear" w:color="auto" w:fill="auto"/>
            <w:vAlign w:val="center"/>
            <w:hideMark/>
          </w:tcPr>
          <w:p w14:paraId="33F1E4F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61E9B83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0FBAE4D0" w14:textId="77777777" w:rsidTr="009A7AC2">
        <w:trPr>
          <w:trHeight w:val="340"/>
          <w:jc w:val="center"/>
        </w:trPr>
        <w:tc>
          <w:tcPr>
            <w:tcW w:w="2057" w:type="dxa"/>
            <w:shd w:val="clear" w:color="auto" w:fill="auto"/>
            <w:vAlign w:val="center"/>
          </w:tcPr>
          <w:p w14:paraId="6AD292C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2B55A58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 3</w:t>
            </w:r>
          </w:p>
        </w:tc>
      </w:tr>
    </w:tbl>
    <w:p w14:paraId="0FE8B3B7"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46A73ABE"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6D433723"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Podporovat aktivní spolky/osoby pořádající různorodé společenské aktivity</w:t>
            </w:r>
          </w:p>
        </w:tc>
      </w:tr>
      <w:tr w:rsidR="00E25C73" w:rsidRPr="00E25C73" w14:paraId="1E363B34" w14:textId="77777777" w:rsidTr="009A7AC2">
        <w:trPr>
          <w:trHeight w:val="340"/>
          <w:jc w:val="center"/>
        </w:trPr>
        <w:tc>
          <w:tcPr>
            <w:tcW w:w="2057" w:type="dxa"/>
            <w:shd w:val="clear" w:color="auto" w:fill="auto"/>
            <w:vAlign w:val="center"/>
            <w:hideMark/>
          </w:tcPr>
          <w:p w14:paraId="18855CC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4F44D1E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08DD6126" w14:textId="77777777" w:rsidTr="009A7AC2">
        <w:trPr>
          <w:trHeight w:val="340"/>
          <w:jc w:val="center"/>
        </w:trPr>
        <w:tc>
          <w:tcPr>
            <w:tcW w:w="2057" w:type="dxa"/>
            <w:shd w:val="clear" w:color="auto" w:fill="auto"/>
            <w:vAlign w:val="center"/>
          </w:tcPr>
          <w:p w14:paraId="218A060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4715B64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motivační</w:t>
            </w:r>
          </w:p>
          <w:p w14:paraId="26FE67B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participační</w:t>
            </w:r>
          </w:p>
        </w:tc>
      </w:tr>
      <w:tr w:rsidR="00E25C73" w:rsidRPr="00E25C73" w14:paraId="6AA8893D" w14:textId="77777777" w:rsidTr="009A7AC2">
        <w:trPr>
          <w:trHeight w:val="340"/>
          <w:jc w:val="center"/>
        </w:trPr>
        <w:tc>
          <w:tcPr>
            <w:tcW w:w="2057" w:type="dxa"/>
            <w:shd w:val="clear" w:color="auto" w:fill="auto"/>
            <w:vAlign w:val="center"/>
            <w:hideMark/>
          </w:tcPr>
          <w:p w14:paraId="2FE4B2D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73ADB93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zájmové spolky působící v obci</w:t>
            </w:r>
          </w:p>
        </w:tc>
      </w:tr>
      <w:tr w:rsidR="00E25C73" w:rsidRPr="00E25C73" w14:paraId="0CF7A7C5" w14:textId="77777777" w:rsidTr="009A7AC2">
        <w:trPr>
          <w:trHeight w:val="340"/>
          <w:jc w:val="center"/>
        </w:trPr>
        <w:tc>
          <w:tcPr>
            <w:tcW w:w="2057" w:type="dxa"/>
            <w:shd w:val="clear" w:color="auto" w:fill="auto"/>
            <w:vAlign w:val="center"/>
            <w:hideMark/>
          </w:tcPr>
          <w:p w14:paraId="5EA5E3F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1D276FC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utužení společenského života v obci, zlepšování mezilidských vztahů</w:t>
            </w:r>
          </w:p>
        </w:tc>
      </w:tr>
      <w:tr w:rsidR="00E25C73" w:rsidRPr="00E25C73" w14:paraId="31C87AD7" w14:textId="77777777" w:rsidTr="009A7AC2">
        <w:trPr>
          <w:trHeight w:val="48"/>
          <w:jc w:val="center"/>
        </w:trPr>
        <w:tc>
          <w:tcPr>
            <w:tcW w:w="2057" w:type="dxa"/>
            <w:shd w:val="clear" w:color="auto" w:fill="auto"/>
            <w:vAlign w:val="center"/>
            <w:hideMark/>
          </w:tcPr>
          <w:p w14:paraId="13EBE3D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tcPr>
          <w:p w14:paraId="5B8FAC0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Times New Roman"/>
                <w:sz w:val="20"/>
                <w:szCs w:val="20"/>
              </w:rPr>
              <w:t>neinvestiční</w:t>
            </w:r>
          </w:p>
        </w:tc>
      </w:tr>
      <w:tr w:rsidR="00E25C73" w:rsidRPr="00E25C73" w14:paraId="7B7D5E77" w14:textId="77777777" w:rsidTr="009A7AC2">
        <w:trPr>
          <w:trHeight w:val="340"/>
          <w:jc w:val="center"/>
        </w:trPr>
        <w:tc>
          <w:tcPr>
            <w:tcW w:w="2057" w:type="dxa"/>
            <w:shd w:val="clear" w:color="auto" w:fill="auto"/>
            <w:vAlign w:val="center"/>
            <w:hideMark/>
          </w:tcPr>
          <w:p w14:paraId="731D573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tcPr>
          <w:p w14:paraId="47A7629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Times New Roman"/>
                <w:sz w:val="20"/>
                <w:szCs w:val="20"/>
              </w:rPr>
              <w:t>vysoká</w:t>
            </w:r>
          </w:p>
        </w:tc>
      </w:tr>
      <w:tr w:rsidR="00E25C73" w:rsidRPr="00E25C73" w14:paraId="519085B0" w14:textId="77777777" w:rsidTr="009A7AC2">
        <w:trPr>
          <w:trHeight w:val="340"/>
          <w:jc w:val="center"/>
        </w:trPr>
        <w:tc>
          <w:tcPr>
            <w:tcW w:w="2057" w:type="dxa"/>
            <w:shd w:val="clear" w:color="auto" w:fill="auto"/>
            <w:vAlign w:val="center"/>
            <w:hideMark/>
          </w:tcPr>
          <w:p w14:paraId="139DFCD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2EFA40B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do 50 tis. Kč/rok</w:t>
            </w:r>
          </w:p>
        </w:tc>
      </w:tr>
      <w:tr w:rsidR="00E25C73" w:rsidRPr="00E25C73" w14:paraId="0C8DE4BB" w14:textId="77777777" w:rsidTr="009A7AC2">
        <w:trPr>
          <w:trHeight w:val="340"/>
          <w:jc w:val="center"/>
        </w:trPr>
        <w:tc>
          <w:tcPr>
            <w:tcW w:w="2057" w:type="dxa"/>
            <w:shd w:val="clear" w:color="auto" w:fill="auto"/>
            <w:vAlign w:val="center"/>
            <w:hideMark/>
          </w:tcPr>
          <w:p w14:paraId="3065A46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4660D9B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5026F53D" w14:textId="77777777" w:rsidTr="009A7AC2">
        <w:trPr>
          <w:trHeight w:val="340"/>
          <w:jc w:val="center"/>
        </w:trPr>
        <w:tc>
          <w:tcPr>
            <w:tcW w:w="2057" w:type="dxa"/>
            <w:shd w:val="clear" w:color="auto" w:fill="auto"/>
            <w:vAlign w:val="center"/>
            <w:hideMark/>
          </w:tcPr>
          <w:p w14:paraId="3A8C8ED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3D50645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2: Zdravá, stabilní a soudržná společnost, StC 2.1</w:t>
            </w:r>
            <w:r w:rsidRPr="00E25C73">
              <w:rPr>
                <w:rFonts w:ascii="Calibri" w:eastAsia="Calibri" w:hAnsi="Calibri" w:cs="Times New Roman"/>
              </w:rPr>
              <w:t xml:space="preserve"> </w:t>
            </w:r>
            <w:r w:rsidRPr="00E25C73">
              <w:rPr>
                <w:rFonts w:ascii="Calibri" w:eastAsia="Calibri" w:hAnsi="Calibri" w:cs="Calibri"/>
                <w:color w:val="000000"/>
                <w:sz w:val="20"/>
                <w:szCs w:val="20"/>
              </w:rPr>
              <w:t>Odpovídající podmínky pro zdravý život populace, Opatření 2.1.3: Posílení rozvoje sportovních a volnočasových aktivit v kraji a StC 2.3: Vysoká úroveň kultury a trávení volného času, Opatření 2.3.1: Rozvoj živé kultury a místního kulturního života)</w:t>
            </w:r>
          </w:p>
        </w:tc>
      </w:tr>
      <w:tr w:rsidR="00E25C73" w:rsidRPr="00E25C73" w14:paraId="6F48F26F" w14:textId="77777777" w:rsidTr="009A7AC2">
        <w:trPr>
          <w:trHeight w:val="340"/>
          <w:jc w:val="center"/>
        </w:trPr>
        <w:tc>
          <w:tcPr>
            <w:tcW w:w="2057" w:type="dxa"/>
            <w:shd w:val="clear" w:color="auto" w:fill="auto"/>
            <w:vAlign w:val="center"/>
            <w:hideMark/>
          </w:tcPr>
          <w:p w14:paraId="019AFA8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3188FC6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není vázáno na konkrétní místo</w:t>
            </w:r>
          </w:p>
        </w:tc>
      </w:tr>
      <w:tr w:rsidR="00E25C73" w:rsidRPr="00E25C73" w14:paraId="266047C6" w14:textId="77777777" w:rsidTr="009A7AC2">
        <w:trPr>
          <w:trHeight w:val="340"/>
          <w:jc w:val="center"/>
        </w:trPr>
        <w:tc>
          <w:tcPr>
            <w:tcW w:w="2057" w:type="dxa"/>
            <w:shd w:val="clear" w:color="auto" w:fill="auto"/>
            <w:vAlign w:val="center"/>
            <w:hideMark/>
          </w:tcPr>
          <w:p w14:paraId="5C8975E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207E3FB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1588D161" w14:textId="77777777" w:rsidTr="009A7AC2">
        <w:trPr>
          <w:trHeight w:val="340"/>
          <w:jc w:val="center"/>
        </w:trPr>
        <w:tc>
          <w:tcPr>
            <w:tcW w:w="2057" w:type="dxa"/>
            <w:shd w:val="clear" w:color="auto" w:fill="auto"/>
            <w:vAlign w:val="center"/>
            <w:hideMark/>
          </w:tcPr>
          <w:p w14:paraId="56AE320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73C2DC4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vedení obce Staré Buky</w:t>
            </w:r>
          </w:p>
        </w:tc>
      </w:tr>
      <w:tr w:rsidR="00E25C73" w:rsidRPr="00E25C73" w14:paraId="0572A9A3" w14:textId="77777777" w:rsidTr="009A7AC2">
        <w:trPr>
          <w:trHeight w:val="340"/>
          <w:jc w:val="center"/>
        </w:trPr>
        <w:tc>
          <w:tcPr>
            <w:tcW w:w="2057" w:type="dxa"/>
            <w:shd w:val="clear" w:color="auto" w:fill="auto"/>
            <w:vAlign w:val="center"/>
            <w:hideMark/>
          </w:tcPr>
          <w:p w14:paraId="3CD5446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5CAD751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pokračovat ve stávajícím fungujícím stavu</w:t>
            </w:r>
          </w:p>
        </w:tc>
      </w:tr>
      <w:tr w:rsidR="00E25C73" w:rsidRPr="00E25C73" w14:paraId="38ED021E" w14:textId="77777777" w:rsidTr="009A7AC2">
        <w:trPr>
          <w:trHeight w:val="340"/>
          <w:jc w:val="center"/>
        </w:trPr>
        <w:tc>
          <w:tcPr>
            <w:tcW w:w="2057" w:type="dxa"/>
            <w:shd w:val="clear" w:color="auto" w:fill="auto"/>
            <w:vAlign w:val="center"/>
          </w:tcPr>
          <w:p w14:paraId="1AE28C5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002F7D7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3</w:t>
            </w:r>
          </w:p>
        </w:tc>
      </w:tr>
    </w:tbl>
    <w:p w14:paraId="7777021A"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1842DFB7"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2B98996E"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Vyhlašovat dobrovolnické brigády</w:t>
            </w:r>
          </w:p>
        </w:tc>
      </w:tr>
      <w:tr w:rsidR="00E25C73" w:rsidRPr="00E25C73" w14:paraId="51C49B98" w14:textId="77777777" w:rsidTr="009A7AC2">
        <w:trPr>
          <w:trHeight w:val="340"/>
          <w:jc w:val="center"/>
        </w:trPr>
        <w:tc>
          <w:tcPr>
            <w:tcW w:w="2057" w:type="dxa"/>
            <w:shd w:val="clear" w:color="auto" w:fill="auto"/>
            <w:vAlign w:val="center"/>
            <w:hideMark/>
          </w:tcPr>
          <w:p w14:paraId="588D1F4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38F6090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19A46F8F" w14:textId="77777777" w:rsidTr="009A7AC2">
        <w:trPr>
          <w:trHeight w:val="340"/>
          <w:jc w:val="center"/>
        </w:trPr>
        <w:tc>
          <w:tcPr>
            <w:tcW w:w="2057" w:type="dxa"/>
            <w:shd w:val="clear" w:color="auto" w:fill="auto"/>
            <w:vAlign w:val="center"/>
          </w:tcPr>
          <w:p w14:paraId="7E91F87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40F532A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634A1CD1" w14:textId="77777777" w:rsidTr="009A7AC2">
        <w:trPr>
          <w:trHeight w:val="340"/>
          <w:jc w:val="center"/>
        </w:trPr>
        <w:tc>
          <w:tcPr>
            <w:tcW w:w="2057" w:type="dxa"/>
            <w:shd w:val="clear" w:color="auto" w:fill="auto"/>
            <w:vAlign w:val="center"/>
            <w:hideMark/>
          </w:tcPr>
          <w:p w14:paraId="54587A5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615A610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obyvatelé obce</w:t>
            </w:r>
          </w:p>
        </w:tc>
      </w:tr>
      <w:tr w:rsidR="00E25C73" w:rsidRPr="00E25C73" w14:paraId="1B174318" w14:textId="77777777" w:rsidTr="009A7AC2">
        <w:trPr>
          <w:trHeight w:val="340"/>
          <w:jc w:val="center"/>
        </w:trPr>
        <w:tc>
          <w:tcPr>
            <w:tcW w:w="2057" w:type="dxa"/>
            <w:shd w:val="clear" w:color="auto" w:fill="auto"/>
            <w:vAlign w:val="center"/>
            <w:hideMark/>
          </w:tcPr>
          <w:p w14:paraId="2D4069C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1B25ACD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podpora sounáležitosti místní komunity</w:t>
            </w:r>
          </w:p>
          <w:p w14:paraId="0F646F8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zvelebování prostředí obce</w:t>
            </w:r>
          </w:p>
        </w:tc>
      </w:tr>
      <w:tr w:rsidR="00E25C73" w:rsidRPr="00E25C73" w14:paraId="0AB2FF76" w14:textId="77777777" w:rsidTr="009A7AC2">
        <w:trPr>
          <w:trHeight w:val="48"/>
          <w:jc w:val="center"/>
        </w:trPr>
        <w:tc>
          <w:tcPr>
            <w:tcW w:w="2057" w:type="dxa"/>
            <w:shd w:val="clear" w:color="auto" w:fill="auto"/>
            <w:vAlign w:val="center"/>
            <w:hideMark/>
          </w:tcPr>
          <w:p w14:paraId="6675BA45"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4D77DF0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neinvestiční</w:t>
            </w:r>
          </w:p>
        </w:tc>
      </w:tr>
      <w:tr w:rsidR="00E25C73" w:rsidRPr="00E25C73" w14:paraId="5521417A" w14:textId="77777777" w:rsidTr="009A7AC2">
        <w:trPr>
          <w:trHeight w:val="340"/>
          <w:jc w:val="center"/>
        </w:trPr>
        <w:tc>
          <w:tcPr>
            <w:tcW w:w="2057" w:type="dxa"/>
            <w:shd w:val="clear" w:color="auto" w:fill="auto"/>
            <w:vAlign w:val="center"/>
            <w:hideMark/>
          </w:tcPr>
          <w:p w14:paraId="0FFEFA08"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43CAC62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střední</w:t>
            </w:r>
          </w:p>
        </w:tc>
      </w:tr>
      <w:tr w:rsidR="00E25C73" w:rsidRPr="00E25C73" w14:paraId="39DF109A" w14:textId="77777777" w:rsidTr="009A7AC2">
        <w:trPr>
          <w:trHeight w:val="340"/>
          <w:jc w:val="center"/>
        </w:trPr>
        <w:tc>
          <w:tcPr>
            <w:tcW w:w="2057" w:type="dxa"/>
            <w:shd w:val="clear" w:color="auto" w:fill="auto"/>
            <w:vAlign w:val="center"/>
            <w:hideMark/>
          </w:tcPr>
          <w:p w14:paraId="77D9C7B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78CF0AD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 řádu jednotek tis. Kč/brigáda</w:t>
            </w:r>
          </w:p>
        </w:tc>
      </w:tr>
      <w:tr w:rsidR="00E25C73" w:rsidRPr="00E25C73" w14:paraId="3D023F30" w14:textId="77777777" w:rsidTr="009A7AC2">
        <w:trPr>
          <w:trHeight w:val="340"/>
          <w:jc w:val="center"/>
        </w:trPr>
        <w:tc>
          <w:tcPr>
            <w:tcW w:w="2057" w:type="dxa"/>
            <w:shd w:val="clear" w:color="auto" w:fill="auto"/>
            <w:vAlign w:val="center"/>
            <w:hideMark/>
          </w:tcPr>
          <w:p w14:paraId="3D8CB69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5A45A61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154C2D12" w14:textId="77777777" w:rsidTr="009A7AC2">
        <w:trPr>
          <w:trHeight w:val="340"/>
          <w:jc w:val="center"/>
        </w:trPr>
        <w:tc>
          <w:tcPr>
            <w:tcW w:w="2057" w:type="dxa"/>
            <w:shd w:val="clear" w:color="auto" w:fill="auto"/>
            <w:vAlign w:val="center"/>
            <w:hideMark/>
          </w:tcPr>
          <w:p w14:paraId="1A3EE51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79E65B5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bez vazby na strategické dokumenty</w:t>
            </w:r>
          </w:p>
        </w:tc>
      </w:tr>
      <w:tr w:rsidR="00E25C73" w:rsidRPr="00E25C73" w14:paraId="6F475F06" w14:textId="77777777" w:rsidTr="009A7AC2">
        <w:trPr>
          <w:trHeight w:val="340"/>
          <w:jc w:val="center"/>
        </w:trPr>
        <w:tc>
          <w:tcPr>
            <w:tcW w:w="2057" w:type="dxa"/>
            <w:shd w:val="clear" w:color="auto" w:fill="auto"/>
            <w:vAlign w:val="center"/>
            <w:hideMark/>
          </w:tcPr>
          <w:p w14:paraId="2669D23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44B1AD0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území obce Staré Buky</w:t>
            </w:r>
          </w:p>
        </w:tc>
      </w:tr>
      <w:tr w:rsidR="00E25C73" w:rsidRPr="00E25C73" w14:paraId="5483A3C1" w14:textId="77777777" w:rsidTr="009A7AC2">
        <w:trPr>
          <w:trHeight w:val="340"/>
          <w:jc w:val="center"/>
        </w:trPr>
        <w:tc>
          <w:tcPr>
            <w:tcW w:w="2057" w:type="dxa"/>
            <w:shd w:val="clear" w:color="auto" w:fill="auto"/>
            <w:vAlign w:val="center"/>
            <w:hideMark/>
          </w:tcPr>
          <w:p w14:paraId="20154A9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6BDB3B6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průběžně po celé programové období</w:t>
            </w:r>
          </w:p>
        </w:tc>
      </w:tr>
      <w:tr w:rsidR="00E25C73" w:rsidRPr="00E25C73" w14:paraId="6D8DE5F7" w14:textId="77777777" w:rsidTr="009A7AC2">
        <w:trPr>
          <w:trHeight w:val="340"/>
          <w:jc w:val="center"/>
        </w:trPr>
        <w:tc>
          <w:tcPr>
            <w:tcW w:w="2057" w:type="dxa"/>
            <w:shd w:val="clear" w:color="auto" w:fill="auto"/>
            <w:vAlign w:val="center"/>
            <w:hideMark/>
          </w:tcPr>
          <w:p w14:paraId="592E175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5841C0C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vedení obce Staré Buky</w:t>
            </w:r>
          </w:p>
        </w:tc>
      </w:tr>
      <w:tr w:rsidR="00E25C73" w:rsidRPr="00E25C73" w14:paraId="2126520A" w14:textId="77777777" w:rsidTr="009A7AC2">
        <w:trPr>
          <w:trHeight w:val="340"/>
          <w:jc w:val="center"/>
        </w:trPr>
        <w:tc>
          <w:tcPr>
            <w:tcW w:w="2057" w:type="dxa"/>
            <w:shd w:val="clear" w:color="auto" w:fill="auto"/>
            <w:vAlign w:val="center"/>
            <w:hideMark/>
          </w:tcPr>
          <w:p w14:paraId="77BC13B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054E1FC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514102EA" w14:textId="77777777" w:rsidTr="009A7AC2">
        <w:trPr>
          <w:trHeight w:val="340"/>
          <w:jc w:val="center"/>
        </w:trPr>
        <w:tc>
          <w:tcPr>
            <w:tcW w:w="2057" w:type="dxa"/>
            <w:shd w:val="clear" w:color="auto" w:fill="auto"/>
            <w:vAlign w:val="center"/>
          </w:tcPr>
          <w:p w14:paraId="5626125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0D99683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3</w:t>
            </w:r>
          </w:p>
        </w:tc>
      </w:tr>
    </w:tbl>
    <w:p w14:paraId="4619B688"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327BCE73"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637C4BFB"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Uvažovat o pořízení obecního mikrobusu či tranzitu</w:t>
            </w:r>
          </w:p>
        </w:tc>
      </w:tr>
      <w:tr w:rsidR="00E25C73" w:rsidRPr="00E25C73" w14:paraId="7AEC9BD1" w14:textId="77777777" w:rsidTr="009A7AC2">
        <w:trPr>
          <w:trHeight w:val="340"/>
          <w:jc w:val="center"/>
        </w:trPr>
        <w:tc>
          <w:tcPr>
            <w:tcW w:w="2057" w:type="dxa"/>
            <w:shd w:val="clear" w:color="auto" w:fill="auto"/>
            <w:vAlign w:val="center"/>
            <w:hideMark/>
          </w:tcPr>
          <w:p w14:paraId="52ABEBB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287DBDF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335A410E" w14:textId="77777777" w:rsidTr="009A7AC2">
        <w:trPr>
          <w:trHeight w:val="340"/>
          <w:jc w:val="center"/>
        </w:trPr>
        <w:tc>
          <w:tcPr>
            <w:tcW w:w="2057" w:type="dxa"/>
            <w:shd w:val="clear" w:color="auto" w:fill="auto"/>
            <w:vAlign w:val="center"/>
          </w:tcPr>
          <w:p w14:paraId="622295E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63DD142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25E2FFF6" w14:textId="77777777" w:rsidTr="009A7AC2">
        <w:trPr>
          <w:trHeight w:val="340"/>
          <w:jc w:val="center"/>
        </w:trPr>
        <w:tc>
          <w:tcPr>
            <w:tcW w:w="2057" w:type="dxa"/>
            <w:shd w:val="clear" w:color="auto" w:fill="auto"/>
            <w:vAlign w:val="center"/>
            <w:hideMark/>
          </w:tcPr>
          <w:p w14:paraId="287E94B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1B1C407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okolní obce, zájmové spolky působící v obci</w:t>
            </w:r>
          </w:p>
        </w:tc>
      </w:tr>
      <w:tr w:rsidR="00E25C73" w:rsidRPr="00E25C73" w14:paraId="65DFF96D" w14:textId="77777777" w:rsidTr="009A7AC2">
        <w:trPr>
          <w:trHeight w:val="340"/>
          <w:jc w:val="center"/>
        </w:trPr>
        <w:tc>
          <w:tcPr>
            <w:tcW w:w="2057" w:type="dxa"/>
            <w:shd w:val="clear" w:color="auto" w:fill="auto"/>
            <w:vAlign w:val="center"/>
            <w:hideMark/>
          </w:tcPr>
          <w:p w14:paraId="1082403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6FE601C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Existence dopravního prostředku ve vlastnictví obce s různorodými možnostmi využití (za volnočasovými aktivitami, k doktorům, na nákup apod.)</w:t>
            </w:r>
          </w:p>
        </w:tc>
      </w:tr>
      <w:tr w:rsidR="00E25C73" w:rsidRPr="00E25C73" w14:paraId="5F3E8751" w14:textId="77777777" w:rsidTr="009A7AC2">
        <w:trPr>
          <w:trHeight w:val="48"/>
          <w:jc w:val="center"/>
        </w:trPr>
        <w:tc>
          <w:tcPr>
            <w:tcW w:w="2057" w:type="dxa"/>
            <w:shd w:val="clear" w:color="auto" w:fill="auto"/>
            <w:vAlign w:val="center"/>
            <w:hideMark/>
          </w:tcPr>
          <w:p w14:paraId="5C70B06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6A2D19A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investiční</w:t>
            </w:r>
          </w:p>
        </w:tc>
      </w:tr>
      <w:tr w:rsidR="00E25C73" w:rsidRPr="00E25C73" w14:paraId="1E7041CD" w14:textId="77777777" w:rsidTr="009A7AC2">
        <w:trPr>
          <w:trHeight w:val="340"/>
          <w:jc w:val="center"/>
        </w:trPr>
        <w:tc>
          <w:tcPr>
            <w:tcW w:w="2057" w:type="dxa"/>
            <w:shd w:val="clear" w:color="auto" w:fill="auto"/>
            <w:vAlign w:val="center"/>
            <w:hideMark/>
          </w:tcPr>
          <w:p w14:paraId="7CDA123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54FA392C"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nízká</w:t>
            </w:r>
          </w:p>
        </w:tc>
      </w:tr>
      <w:tr w:rsidR="00E25C73" w:rsidRPr="00E25C73" w14:paraId="13EC9EB8" w14:textId="77777777" w:rsidTr="009A7AC2">
        <w:trPr>
          <w:trHeight w:val="340"/>
          <w:jc w:val="center"/>
        </w:trPr>
        <w:tc>
          <w:tcPr>
            <w:tcW w:w="2057" w:type="dxa"/>
            <w:shd w:val="clear" w:color="auto" w:fill="auto"/>
            <w:vAlign w:val="center"/>
            <w:hideMark/>
          </w:tcPr>
          <w:p w14:paraId="53990FC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31FEB82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 xml:space="preserve">v řádu stovek tis. Kč (budou se odvíjet od stáří dopravního prostředku) </w:t>
            </w:r>
          </w:p>
        </w:tc>
      </w:tr>
      <w:tr w:rsidR="00E25C73" w:rsidRPr="00E25C73" w14:paraId="291F7A9B" w14:textId="77777777" w:rsidTr="009A7AC2">
        <w:trPr>
          <w:trHeight w:val="340"/>
          <w:jc w:val="center"/>
        </w:trPr>
        <w:tc>
          <w:tcPr>
            <w:tcW w:w="2057" w:type="dxa"/>
            <w:shd w:val="clear" w:color="auto" w:fill="auto"/>
            <w:vAlign w:val="center"/>
            <w:hideMark/>
          </w:tcPr>
          <w:p w14:paraId="7791C2C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2DEAF0A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59EFBD41" w14:textId="77777777" w:rsidTr="009A7AC2">
        <w:trPr>
          <w:trHeight w:val="340"/>
          <w:jc w:val="center"/>
        </w:trPr>
        <w:tc>
          <w:tcPr>
            <w:tcW w:w="2057" w:type="dxa"/>
            <w:shd w:val="clear" w:color="auto" w:fill="auto"/>
            <w:vAlign w:val="center"/>
            <w:hideMark/>
          </w:tcPr>
          <w:p w14:paraId="37AF65C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5EE0321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bez vazby na strategické dokumenty</w:t>
            </w:r>
          </w:p>
        </w:tc>
      </w:tr>
      <w:tr w:rsidR="00E25C73" w:rsidRPr="00E25C73" w14:paraId="63961FA6" w14:textId="77777777" w:rsidTr="009A7AC2">
        <w:trPr>
          <w:trHeight w:val="340"/>
          <w:jc w:val="center"/>
        </w:trPr>
        <w:tc>
          <w:tcPr>
            <w:tcW w:w="2057" w:type="dxa"/>
            <w:shd w:val="clear" w:color="auto" w:fill="auto"/>
            <w:vAlign w:val="center"/>
            <w:hideMark/>
          </w:tcPr>
          <w:p w14:paraId="5D3C595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6F3BC8E0"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není vázáno na konkrétní místo</w:t>
            </w:r>
          </w:p>
        </w:tc>
      </w:tr>
      <w:tr w:rsidR="00E25C73" w:rsidRPr="00E25C73" w14:paraId="0335FF3A" w14:textId="77777777" w:rsidTr="009A7AC2">
        <w:trPr>
          <w:trHeight w:val="340"/>
          <w:jc w:val="center"/>
        </w:trPr>
        <w:tc>
          <w:tcPr>
            <w:tcW w:w="2057" w:type="dxa"/>
            <w:shd w:val="clear" w:color="auto" w:fill="auto"/>
            <w:vAlign w:val="center"/>
            <w:hideMark/>
          </w:tcPr>
          <w:p w14:paraId="1149214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3D8DC7C7"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 xml:space="preserve">2025 a dále – do doby, </w:t>
            </w:r>
            <w:r w:rsidRPr="00E25C73">
              <w:rPr>
                <w:rFonts w:ascii="Calibri" w:eastAsia="Calibri" w:hAnsi="Calibri" w:cs="Calibri"/>
                <w:color w:val="000000"/>
                <w:sz w:val="20"/>
                <w:szCs w:val="20"/>
              </w:rPr>
              <w:t>než se podaří</w:t>
            </w:r>
            <w:r w:rsidRPr="00E25C73">
              <w:rPr>
                <w:rFonts w:ascii="Calibri" w:eastAsia="Calibri" w:hAnsi="Calibri" w:cs="Times New Roman"/>
              </w:rPr>
              <w:t xml:space="preserve"> </w:t>
            </w:r>
            <w:r w:rsidRPr="00E25C73">
              <w:rPr>
                <w:rFonts w:ascii="Calibri" w:eastAsia="Calibri" w:hAnsi="Calibri" w:cs="Calibri"/>
                <w:color w:val="000000"/>
                <w:sz w:val="20"/>
                <w:szCs w:val="20"/>
              </w:rPr>
              <w:t>obecní mikrobus či tranzit pořídit</w:t>
            </w:r>
          </w:p>
        </w:tc>
      </w:tr>
      <w:tr w:rsidR="00E25C73" w:rsidRPr="00E25C73" w14:paraId="3C858C2B" w14:textId="77777777" w:rsidTr="009A7AC2">
        <w:trPr>
          <w:trHeight w:val="340"/>
          <w:jc w:val="center"/>
        </w:trPr>
        <w:tc>
          <w:tcPr>
            <w:tcW w:w="2057" w:type="dxa"/>
            <w:shd w:val="clear" w:color="auto" w:fill="auto"/>
            <w:vAlign w:val="center"/>
            <w:hideMark/>
          </w:tcPr>
          <w:p w14:paraId="498D170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44BA5CC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Zastupitelstvo obce Staré Buky</w:t>
            </w:r>
          </w:p>
        </w:tc>
      </w:tr>
      <w:tr w:rsidR="00E25C73" w:rsidRPr="00E25C73" w14:paraId="32D3097F" w14:textId="77777777" w:rsidTr="009A7AC2">
        <w:trPr>
          <w:trHeight w:val="340"/>
          <w:jc w:val="center"/>
        </w:trPr>
        <w:tc>
          <w:tcPr>
            <w:tcW w:w="2057" w:type="dxa"/>
            <w:shd w:val="clear" w:color="auto" w:fill="auto"/>
            <w:vAlign w:val="center"/>
            <w:hideMark/>
          </w:tcPr>
          <w:p w14:paraId="6A5F139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5C7FEDC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0EC6E30B" w14:textId="77777777" w:rsidTr="009A7AC2">
        <w:trPr>
          <w:trHeight w:val="340"/>
          <w:jc w:val="center"/>
        </w:trPr>
        <w:tc>
          <w:tcPr>
            <w:tcW w:w="2057" w:type="dxa"/>
            <w:shd w:val="clear" w:color="auto" w:fill="auto"/>
            <w:vAlign w:val="center"/>
          </w:tcPr>
          <w:p w14:paraId="65202B2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1E250F4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2, 3</w:t>
            </w:r>
          </w:p>
        </w:tc>
      </w:tr>
    </w:tbl>
    <w:p w14:paraId="7F00D9D6"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670A4549"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5EB1D376"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 xml:space="preserve">Zavést průběžné vyhodnocování plnění dlouhodobých plánů </w:t>
            </w:r>
            <w:r w:rsidRPr="00E25C73">
              <w:rPr>
                <w:rFonts w:ascii="Calibri" w:eastAsia="Times New Roman" w:hAnsi="Calibri" w:cs="Calibri"/>
                <w:b/>
                <w:color w:val="000000"/>
                <w:sz w:val="24"/>
                <w:szCs w:val="24"/>
                <w:lang w:eastAsia="cs-CZ"/>
              </w:rPr>
              <w:br/>
              <w:t>týkajících se rozvoje a správy obce</w:t>
            </w:r>
          </w:p>
        </w:tc>
      </w:tr>
      <w:tr w:rsidR="00E25C73" w:rsidRPr="00E25C73" w14:paraId="52AECC88" w14:textId="77777777" w:rsidTr="009A7AC2">
        <w:trPr>
          <w:trHeight w:val="340"/>
          <w:jc w:val="center"/>
        </w:trPr>
        <w:tc>
          <w:tcPr>
            <w:tcW w:w="2057" w:type="dxa"/>
            <w:shd w:val="clear" w:color="auto" w:fill="auto"/>
            <w:vAlign w:val="center"/>
            <w:hideMark/>
          </w:tcPr>
          <w:p w14:paraId="1010DF2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724EC37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7EF5ED67" w14:textId="77777777" w:rsidTr="009A7AC2">
        <w:trPr>
          <w:trHeight w:val="340"/>
          <w:jc w:val="center"/>
        </w:trPr>
        <w:tc>
          <w:tcPr>
            <w:tcW w:w="2057" w:type="dxa"/>
            <w:shd w:val="clear" w:color="auto" w:fill="auto"/>
            <w:vAlign w:val="center"/>
          </w:tcPr>
          <w:p w14:paraId="16E95EB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11E450A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realizační</w:t>
            </w:r>
          </w:p>
        </w:tc>
      </w:tr>
      <w:tr w:rsidR="00E25C73" w:rsidRPr="00E25C73" w14:paraId="033820FA" w14:textId="77777777" w:rsidTr="009A7AC2">
        <w:trPr>
          <w:trHeight w:val="340"/>
          <w:jc w:val="center"/>
        </w:trPr>
        <w:tc>
          <w:tcPr>
            <w:tcW w:w="2057" w:type="dxa"/>
            <w:shd w:val="clear" w:color="auto" w:fill="auto"/>
            <w:vAlign w:val="center"/>
            <w:hideMark/>
          </w:tcPr>
          <w:p w14:paraId="3BA17C1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3D23030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obyvatelé obce</w:t>
            </w:r>
          </w:p>
        </w:tc>
      </w:tr>
      <w:tr w:rsidR="00E25C73" w:rsidRPr="00E25C73" w14:paraId="3298A5D5" w14:textId="77777777" w:rsidTr="009A7AC2">
        <w:trPr>
          <w:trHeight w:val="340"/>
          <w:jc w:val="center"/>
        </w:trPr>
        <w:tc>
          <w:tcPr>
            <w:tcW w:w="2057" w:type="dxa"/>
            <w:shd w:val="clear" w:color="auto" w:fill="auto"/>
            <w:vAlign w:val="center"/>
            <w:hideMark/>
          </w:tcPr>
          <w:p w14:paraId="1B55CCD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45A052E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zlepšení informovanosti občanů, jak se daří naplňovat plány týkající se rozvoje obce</w:t>
            </w:r>
          </w:p>
        </w:tc>
      </w:tr>
      <w:tr w:rsidR="00E25C73" w:rsidRPr="00E25C73" w14:paraId="0A191E70" w14:textId="77777777" w:rsidTr="009A7AC2">
        <w:trPr>
          <w:trHeight w:val="48"/>
          <w:jc w:val="center"/>
        </w:trPr>
        <w:tc>
          <w:tcPr>
            <w:tcW w:w="2057" w:type="dxa"/>
            <w:shd w:val="clear" w:color="auto" w:fill="auto"/>
            <w:vAlign w:val="center"/>
            <w:hideMark/>
          </w:tcPr>
          <w:p w14:paraId="251EAE4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tcPr>
          <w:p w14:paraId="2510A1BA"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Times New Roman"/>
                <w:sz w:val="20"/>
                <w:szCs w:val="20"/>
              </w:rPr>
              <w:t>neinvestiční</w:t>
            </w:r>
          </w:p>
        </w:tc>
      </w:tr>
      <w:tr w:rsidR="00E25C73" w:rsidRPr="00E25C73" w14:paraId="605412C4" w14:textId="77777777" w:rsidTr="009A7AC2">
        <w:trPr>
          <w:trHeight w:val="340"/>
          <w:jc w:val="center"/>
        </w:trPr>
        <w:tc>
          <w:tcPr>
            <w:tcW w:w="2057" w:type="dxa"/>
            <w:shd w:val="clear" w:color="auto" w:fill="auto"/>
            <w:vAlign w:val="center"/>
            <w:hideMark/>
          </w:tcPr>
          <w:p w14:paraId="00B15534"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tcPr>
          <w:p w14:paraId="2E1E6D4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Times New Roman"/>
                <w:sz w:val="20"/>
                <w:szCs w:val="20"/>
              </w:rPr>
              <w:t>vysoká</w:t>
            </w:r>
          </w:p>
        </w:tc>
      </w:tr>
      <w:tr w:rsidR="00E25C73" w:rsidRPr="00E25C73" w14:paraId="5A556539" w14:textId="77777777" w:rsidTr="009A7AC2">
        <w:trPr>
          <w:trHeight w:val="340"/>
          <w:jc w:val="center"/>
        </w:trPr>
        <w:tc>
          <w:tcPr>
            <w:tcW w:w="2057" w:type="dxa"/>
            <w:shd w:val="clear" w:color="auto" w:fill="auto"/>
            <w:vAlign w:val="center"/>
            <w:hideMark/>
          </w:tcPr>
          <w:p w14:paraId="1460CED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60EC0A5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zanedbatelné</w:t>
            </w:r>
          </w:p>
        </w:tc>
      </w:tr>
      <w:tr w:rsidR="00E25C73" w:rsidRPr="00E25C73" w14:paraId="34E12FA3" w14:textId="77777777" w:rsidTr="009A7AC2">
        <w:trPr>
          <w:trHeight w:val="340"/>
          <w:jc w:val="center"/>
        </w:trPr>
        <w:tc>
          <w:tcPr>
            <w:tcW w:w="2057" w:type="dxa"/>
            <w:shd w:val="clear" w:color="auto" w:fill="auto"/>
            <w:vAlign w:val="center"/>
            <w:hideMark/>
          </w:tcPr>
          <w:p w14:paraId="19192FB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7647A06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4685C1BE" w14:textId="77777777" w:rsidTr="009A7AC2">
        <w:trPr>
          <w:trHeight w:val="340"/>
          <w:jc w:val="center"/>
        </w:trPr>
        <w:tc>
          <w:tcPr>
            <w:tcW w:w="2057" w:type="dxa"/>
            <w:shd w:val="clear" w:color="auto" w:fill="auto"/>
            <w:vAlign w:val="center"/>
            <w:hideMark/>
          </w:tcPr>
          <w:p w14:paraId="3DED5E4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5645958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5: Vyvážený rozvoj a správa území, StC 5.3: Koordinované plánování a vysoká míra spolupráce, Opatření 5.3.2: Podpora partnerství, rozvoj místní a nadregionální spolupráce)</w:t>
            </w:r>
          </w:p>
        </w:tc>
      </w:tr>
      <w:tr w:rsidR="00E25C73" w:rsidRPr="00E25C73" w14:paraId="1A1D3EBB" w14:textId="77777777" w:rsidTr="009A7AC2">
        <w:trPr>
          <w:trHeight w:val="340"/>
          <w:jc w:val="center"/>
        </w:trPr>
        <w:tc>
          <w:tcPr>
            <w:tcW w:w="2057" w:type="dxa"/>
            <w:shd w:val="clear" w:color="auto" w:fill="auto"/>
            <w:vAlign w:val="center"/>
            <w:hideMark/>
          </w:tcPr>
          <w:p w14:paraId="1466793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3A4592CB"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sál hospody U Smrku (v budoucnu sál v multifunkčním centru)</w:t>
            </w:r>
          </w:p>
        </w:tc>
      </w:tr>
      <w:tr w:rsidR="00E25C73" w:rsidRPr="00E25C73" w14:paraId="797C7BE7" w14:textId="77777777" w:rsidTr="009A7AC2">
        <w:trPr>
          <w:trHeight w:val="340"/>
          <w:jc w:val="center"/>
        </w:trPr>
        <w:tc>
          <w:tcPr>
            <w:tcW w:w="2057" w:type="dxa"/>
            <w:shd w:val="clear" w:color="auto" w:fill="auto"/>
            <w:vAlign w:val="center"/>
            <w:hideMark/>
          </w:tcPr>
          <w:p w14:paraId="6EFC3C4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5DA0B63F"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průběžně po celé programové období</w:t>
            </w:r>
          </w:p>
        </w:tc>
      </w:tr>
      <w:tr w:rsidR="00E25C73" w:rsidRPr="00E25C73" w14:paraId="3D108AE2" w14:textId="77777777" w:rsidTr="009A7AC2">
        <w:trPr>
          <w:trHeight w:val="340"/>
          <w:jc w:val="center"/>
        </w:trPr>
        <w:tc>
          <w:tcPr>
            <w:tcW w:w="2057" w:type="dxa"/>
            <w:shd w:val="clear" w:color="auto" w:fill="auto"/>
            <w:vAlign w:val="center"/>
            <w:hideMark/>
          </w:tcPr>
          <w:p w14:paraId="37AA5823"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1D03FD1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vedení obce Staré Buky</w:t>
            </w:r>
          </w:p>
        </w:tc>
      </w:tr>
      <w:tr w:rsidR="00E25C73" w:rsidRPr="00E25C73" w14:paraId="60B438B0" w14:textId="77777777" w:rsidTr="009A7AC2">
        <w:trPr>
          <w:trHeight w:val="340"/>
          <w:jc w:val="center"/>
        </w:trPr>
        <w:tc>
          <w:tcPr>
            <w:tcW w:w="2057" w:type="dxa"/>
            <w:shd w:val="clear" w:color="auto" w:fill="auto"/>
            <w:vAlign w:val="center"/>
            <w:hideMark/>
          </w:tcPr>
          <w:p w14:paraId="3EACD6CB"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07B909A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4575BB1F" w14:textId="77777777" w:rsidTr="009A7AC2">
        <w:trPr>
          <w:trHeight w:val="340"/>
          <w:jc w:val="center"/>
        </w:trPr>
        <w:tc>
          <w:tcPr>
            <w:tcW w:w="2057" w:type="dxa"/>
            <w:shd w:val="clear" w:color="auto" w:fill="auto"/>
            <w:vAlign w:val="center"/>
          </w:tcPr>
          <w:p w14:paraId="7CEF9CC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0F5EDDF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3</w:t>
            </w:r>
          </w:p>
        </w:tc>
      </w:tr>
    </w:tbl>
    <w:p w14:paraId="50987A2A" w14:textId="77777777" w:rsidR="00E25C73" w:rsidRPr="00E25C73" w:rsidRDefault="00E25C73" w:rsidP="00E25C73">
      <w:pPr>
        <w:spacing w:after="60" w:line="259" w:lineRule="auto"/>
        <w:rPr>
          <w:rFonts w:ascii="Calibri" w:eastAsia="Calibri" w:hAnsi="Calibri" w:cs="Times New Roman"/>
        </w:rPr>
      </w:pPr>
      <w:r w:rsidRPr="00E25C73">
        <w:rPr>
          <w:rFonts w:ascii="Calibri" w:eastAsia="Calibri" w:hAnsi="Calibri" w:cs="Times New Roman"/>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2057"/>
        <w:gridCol w:w="7030"/>
      </w:tblGrid>
      <w:tr w:rsidR="00E25C73" w:rsidRPr="00E25C73" w14:paraId="287AC9B0" w14:textId="77777777" w:rsidTr="009A7AC2">
        <w:trPr>
          <w:trHeight w:val="106"/>
          <w:jc w:val="center"/>
        </w:trPr>
        <w:tc>
          <w:tcPr>
            <w:tcW w:w="9087" w:type="dxa"/>
            <w:gridSpan w:val="2"/>
            <w:tcBorders>
              <w:top w:val="single" w:sz="12" w:space="0" w:color="auto"/>
              <w:bottom w:val="single" w:sz="12" w:space="0" w:color="auto"/>
            </w:tcBorders>
            <w:shd w:val="clear" w:color="auto" w:fill="FFC000"/>
            <w:vAlign w:val="center"/>
            <w:hideMark/>
          </w:tcPr>
          <w:p w14:paraId="0493784D" w14:textId="77777777" w:rsidR="00E25C73" w:rsidRPr="00E25C73" w:rsidRDefault="00E25C73" w:rsidP="00E25C73">
            <w:pPr>
              <w:spacing w:before="60" w:after="60"/>
              <w:jc w:val="center"/>
              <w:rPr>
                <w:rFonts w:ascii="Calibri" w:eastAsia="Times New Roman" w:hAnsi="Calibri" w:cs="Calibri"/>
                <w:b/>
                <w:color w:val="000000"/>
                <w:sz w:val="24"/>
                <w:szCs w:val="24"/>
                <w:lang w:eastAsia="cs-CZ"/>
              </w:rPr>
            </w:pPr>
            <w:r w:rsidRPr="00E25C73">
              <w:rPr>
                <w:rFonts w:ascii="Calibri" w:eastAsia="Times New Roman" w:hAnsi="Calibri" w:cs="Calibri"/>
                <w:b/>
                <w:color w:val="000000"/>
                <w:sz w:val="24"/>
                <w:szCs w:val="24"/>
                <w:lang w:eastAsia="cs-CZ"/>
              </w:rPr>
              <w:lastRenderedPageBreak/>
              <w:t>Usilovat o větší zapojení mladších skupin obyvatel do rozhodovacích mechanismů obce</w:t>
            </w:r>
          </w:p>
        </w:tc>
      </w:tr>
      <w:tr w:rsidR="00E25C73" w:rsidRPr="00E25C73" w14:paraId="63510F03" w14:textId="77777777" w:rsidTr="009A7AC2">
        <w:trPr>
          <w:trHeight w:val="340"/>
          <w:jc w:val="center"/>
        </w:trPr>
        <w:tc>
          <w:tcPr>
            <w:tcW w:w="2057" w:type="dxa"/>
            <w:shd w:val="clear" w:color="auto" w:fill="auto"/>
            <w:vAlign w:val="center"/>
            <w:hideMark/>
          </w:tcPr>
          <w:p w14:paraId="099822C2"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žadatel</w:t>
            </w:r>
          </w:p>
        </w:tc>
        <w:tc>
          <w:tcPr>
            <w:tcW w:w="7030" w:type="dxa"/>
            <w:shd w:val="clear" w:color="auto" w:fill="auto"/>
            <w:vAlign w:val="center"/>
          </w:tcPr>
          <w:p w14:paraId="2C7A1A5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Obec Staré Buky</w:t>
            </w:r>
          </w:p>
        </w:tc>
      </w:tr>
      <w:tr w:rsidR="00E25C73" w:rsidRPr="00E25C73" w14:paraId="7A447839" w14:textId="77777777" w:rsidTr="009A7AC2">
        <w:trPr>
          <w:trHeight w:val="340"/>
          <w:jc w:val="center"/>
        </w:trPr>
        <w:tc>
          <w:tcPr>
            <w:tcW w:w="2057" w:type="dxa"/>
            <w:shd w:val="clear" w:color="auto" w:fill="auto"/>
            <w:vAlign w:val="center"/>
          </w:tcPr>
          <w:p w14:paraId="37B9C1A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role obce</w:t>
            </w:r>
          </w:p>
        </w:tc>
        <w:tc>
          <w:tcPr>
            <w:tcW w:w="7030" w:type="dxa"/>
            <w:shd w:val="clear" w:color="auto" w:fill="auto"/>
            <w:vAlign w:val="center"/>
          </w:tcPr>
          <w:p w14:paraId="6C46FC2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motivační</w:t>
            </w:r>
          </w:p>
        </w:tc>
      </w:tr>
      <w:tr w:rsidR="00E25C73" w:rsidRPr="00E25C73" w14:paraId="403C4F0F" w14:textId="77777777" w:rsidTr="009A7AC2">
        <w:trPr>
          <w:trHeight w:val="340"/>
          <w:jc w:val="center"/>
        </w:trPr>
        <w:tc>
          <w:tcPr>
            <w:tcW w:w="2057" w:type="dxa"/>
            <w:shd w:val="clear" w:color="auto" w:fill="auto"/>
            <w:vAlign w:val="center"/>
            <w:hideMark/>
          </w:tcPr>
          <w:p w14:paraId="2FC51FE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partneři/dotčený orgán</w:t>
            </w:r>
          </w:p>
        </w:tc>
        <w:tc>
          <w:tcPr>
            <w:tcW w:w="7030" w:type="dxa"/>
            <w:shd w:val="clear" w:color="auto" w:fill="auto"/>
            <w:vAlign w:val="center"/>
          </w:tcPr>
          <w:p w14:paraId="38661B9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obyvatelé obce, zájmové spolky působící v obci</w:t>
            </w:r>
          </w:p>
        </w:tc>
      </w:tr>
      <w:tr w:rsidR="00E25C73" w:rsidRPr="00E25C73" w14:paraId="5EA5FDBA" w14:textId="77777777" w:rsidTr="009A7AC2">
        <w:trPr>
          <w:trHeight w:val="340"/>
          <w:jc w:val="center"/>
        </w:trPr>
        <w:tc>
          <w:tcPr>
            <w:tcW w:w="2057" w:type="dxa"/>
            <w:shd w:val="clear" w:color="auto" w:fill="auto"/>
            <w:vAlign w:val="center"/>
            <w:hideMark/>
          </w:tcPr>
          <w:p w14:paraId="64B1D3EE"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zdůvodnění a přínos pro rozvoj obce</w:t>
            </w:r>
          </w:p>
        </w:tc>
        <w:tc>
          <w:tcPr>
            <w:tcW w:w="7030" w:type="dxa"/>
            <w:shd w:val="clear" w:color="auto" w:fill="auto"/>
            <w:vAlign w:val="center"/>
          </w:tcPr>
          <w:p w14:paraId="151C375E"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větší zájem mladších skupin obyvatel o dění v obci</w:t>
            </w:r>
          </w:p>
          <w:p w14:paraId="7684C5D2"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intenzivnější předávání zkušeností mezi staršími a mladšími a zároveň budování zodpovědnosti za budoucí rozvoj obce jako takové</w:t>
            </w:r>
          </w:p>
        </w:tc>
      </w:tr>
      <w:tr w:rsidR="00E25C73" w:rsidRPr="00E25C73" w14:paraId="786F7F01" w14:textId="77777777" w:rsidTr="009A7AC2">
        <w:trPr>
          <w:trHeight w:val="48"/>
          <w:jc w:val="center"/>
        </w:trPr>
        <w:tc>
          <w:tcPr>
            <w:tcW w:w="2057" w:type="dxa"/>
            <w:shd w:val="clear" w:color="auto" w:fill="auto"/>
            <w:vAlign w:val="center"/>
            <w:hideMark/>
          </w:tcPr>
          <w:p w14:paraId="2103ACE7"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typ</w:t>
            </w:r>
          </w:p>
        </w:tc>
        <w:tc>
          <w:tcPr>
            <w:tcW w:w="7030" w:type="dxa"/>
            <w:shd w:val="clear" w:color="auto" w:fill="auto"/>
            <w:vAlign w:val="center"/>
          </w:tcPr>
          <w:p w14:paraId="250CD5B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neinvestiční</w:t>
            </w:r>
          </w:p>
        </w:tc>
      </w:tr>
      <w:tr w:rsidR="00E25C73" w:rsidRPr="00E25C73" w14:paraId="3D49031D" w14:textId="77777777" w:rsidTr="009A7AC2">
        <w:trPr>
          <w:trHeight w:val="340"/>
          <w:jc w:val="center"/>
        </w:trPr>
        <w:tc>
          <w:tcPr>
            <w:tcW w:w="2057" w:type="dxa"/>
            <w:shd w:val="clear" w:color="auto" w:fill="auto"/>
            <w:vAlign w:val="center"/>
            <w:hideMark/>
          </w:tcPr>
          <w:p w14:paraId="68684C0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důležitost</w:t>
            </w:r>
          </w:p>
        </w:tc>
        <w:tc>
          <w:tcPr>
            <w:tcW w:w="7030" w:type="dxa"/>
            <w:shd w:val="clear" w:color="auto" w:fill="auto"/>
            <w:vAlign w:val="center"/>
          </w:tcPr>
          <w:p w14:paraId="0439ED15"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vysoká</w:t>
            </w:r>
          </w:p>
        </w:tc>
      </w:tr>
      <w:tr w:rsidR="00E25C73" w:rsidRPr="00E25C73" w14:paraId="42AB2C28" w14:textId="77777777" w:rsidTr="009A7AC2">
        <w:trPr>
          <w:trHeight w:val="340"/>
          <w:jc w:val="center"/>
        </w:trPr>
        <w:tc>
          <w:tcPr>
            <w:tcW w:w="2057" w:type="dxa"/>
            <w:shd w:val="clear" w:color="auto" w:fill="auto"/>
            <w:vAlign w:val="center"/>
            <w:hideMark/>
          </w:tcPr>
          <w:p w14:paraId="35094A20"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náklady</w:t>
            </w:r>
          </w:p>
        </w:tc>
        <w:tc>
          <w:tcPr>
            <w:tcW w:w="7030" w:type="dxa"/>
            <w:shd w:val="clear" w:color="auto" w:fill="auto"/>
            <w:vAlign w:val="center"/>
          </w:tcPr>
          <w:p w14:paraId="406D7841"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zanedbatelné</w:t>
            </w:r>
          </w:p>
        </w:tc>
      </w:tr>
      <w:tr w:rsidR="00E25C73" w:rsidRPr="00E25C73" w14:paraId="5C15FFF1" w14:textId="77777777" w:rsidTr="009A7AC2">
        <w:trPr>
          <w:trHeight w:val="340"/>
          <w:jc w:val="center"/>
        </w:trPr>
        <w:tc>
          <w:tcPr>
            <w:tcW w:w="2057" w:type="dxa"/>
            <w:shd w:val="clear" w:color="auto" w:fill="auto"/>
            <w:vAlign w:val="center"/>
            <w:hideMark/>
          </w:tcPr>
          <w:p w14:paraId="3BC9CC81"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zdroje financování</w:t>
            </w:r>
          </w:p>
        </w:tc>
        <w:tc>
          <w:tcPr>
            <w:tcW w:w="7030" w:type="dxa"/>
            <w:shd w:val="clear" w:color="auto" w:fill="auto"/>
            <w:vAlign w:val="center"/>
          </w:tcPr>
          <w:p w14:paraId="47B73FC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vlastní zdroje obce</w:t>
            </w:r>
          </w:p>
        </w:tc>
      </w:tr>
      <w:tr w:rsidR="00E25C73" w:rsidRPr="00E25C73" w14:paraId="34CBE3C7" w14:textId="77777777" w:rsidTr="009A7AC2">
        <w:trPr>
          <w:trHeight w:val="340"/>
          <w:jc w:val="center"/>
        </w:trPr>
        <w:tc>
          <w:tcPr>
            <w:tcW w:w="2057" w:type="dxa"/>
            <w:shd w:val="clear" w:color="auto" w:fill="auto"/>
            <w:vAlign w:val="center"/>
            <w:hideMark/>
          </w:tcPr>
          <w:p w14:paraId="5308B42A"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vazba na strategické dokumenty</w:t>
            </w:r>
          </w:p>
        </w:tc>
        <w:tc>
          <w:tcPr>
            <w:tcW w:w="7030" w:type="dxa"/>
            <w:shd w:val="clear" w:color="auto" w:fill="auto"/>
            <w:vAlign w:val="center"/>
          </w:tcPr>
          <w:p w14:paraId="0FF49384"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Calibri" w:hAnsi="Calibri" w:cs="Calibri"/>
                <w:color w:val="000000"/>
                <w:sz w:val="20"/>
                <w:szCs w:val="20"/>
              </w:rPr>
              <w:t>Strategie rozvoje Královéhradeckého kraje na období 2021–2027 (SP 5: Vyvážený rozvoj a správa území, StC 5.3: Koordinované plánování a vysoká míra spolupráce, Opatření 5.3.2: Podpora partnerství, rozvoj místní a nadregionální spolupráce)</w:t>
            </w:r>
          </w:p>
        </w:tc>
      </w:tr>
      <w:tr w:rsidR="00E25C73" w:rsidRPr="00E25C73" w14:paraId="2B163B66" w14:textId="77777777" w:rsidTr="009A7AC2">
        <w:trPr>
          <w:trHeight w:val="340"/>
          <w:jc w:val="center"/>
        </w:trPr>
        <w:tc>
          <w:tcPr>
            <w:tcW w:w="2057" w:type="dxa"/>
            <w:shd w:val="clear" w:color="auto" w:fill="auto"/>
            <w:vAlign w:val="center"/>
            <w:hideMark/>
          </w:tcPr>
          <w:p w14:paraId="0CEE254F"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místo realizace</w:t>
            </w:r>
          </w:p>
        </w:tc>
        <w:tc>
          <w:tcPr>
            <w:tcW w:w="7030" w:type="dxa"/>
            <w:shd w:val="clear" w:color="auto" w:fill="auto"/>
            <w:vAlign w:val="center"/>
          </w:tcPr>
          <w:p w14:paraId="2719FD46"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není vázáno na konkrétní místo</w:t>
            </w:r>
          </w:p>
        </w:tc>
      </w:tr>
      <w:tr w:rsidR="00E25C73" w:rsidRPr="00E25C73" w14:paraId="6E5107C4" w14:textId="77777777" w:rsidTr="009A7AC2">
        <w:trPr>
          <w:trHeight w:val="340"/>
          <w:jc w:val="center"/>
        </w:trPr>
        <w:tc>
          <w:tcPr>
            <w:tcW w:w="2057" w:type="dxa"/>
            <w:shd w:val="clear" w:color="auto" w:fill="auto"/>
            <w:vAlign w:val="center"/>
            <w:hideMark/>
          </w:tcPr>
          <w:p w14:paraId="0EF19126"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předpokládané období realizace</w:t>
            </w:r>
          </w:p>
        </w:tc>
        <w:tc>
          <w:tcPr>
            <w:tcW w:w="7030" w:type="dxa"/>
            <w:shd w:val="clear" w:color="auto" w:fill="auto"/>
            <w:vAlign w:val="center"/>
          </w:tcPr>
          <w:p w14:paraId="645A1128"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průběžně po celé programové období</w:t>
            </w:r>
          </w:p>
        </w:tc>
      </w:tr>
      <w:tr w:rsidR="00E25C73" w:rsidRPr="00E25C73" w14:paraId="14D154B0" w14:textId="77777777" w:rsidTr="009A7AC2">
        <w:trPr>
          <w:trHeight w:val="340"/>
          <w:jc w:val="center"/>
        </w:trPr>
        <w:tc>
          <w:tcPr>
            <w:tcW w:w="2057" w:type="dxa"/>
            <w:shd w:val="clear" w:color="auto" w:fill="auto"/>
            <w:vAlign w:val="center"/>
            <w:hideMark/>
          </w:tcPr>
          <w:p w14:paraId="35A3DB0C"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odpovědnost za realizaci</w:t>
            </w:r>
          </w:p>
        </w:tc>
        <w:tc>
          <w:tcPr>
            <w:tcW w:w="7030" w:type="dxa"/>
            <w:shd w:val="clear" w:color="auto" w:fill="auto"/>
            <w:vAlign w:val="center"/>
          </w:tcPr>
          <w:p w14:paraId="6A17241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vedení obce Staré Buky ve spolupráci se zájmovými spolky působícími v obci</w:t>
            </w:r>
          </w:p>
        </w:tc>
      </w:tr>
      <w:tr w:rsidR="00E25C73" w:rsidRPr="00E25C73" w14:paraId="344E7234" w14:textId="77777777" w:rsidTr="009A7AC2">
        <w:trPr>
          <w:trHeight w:val="340"/>
          <w:jc w:val="center"/>
        </w:trPr>
        <w:tc>
          <w:tcPr>
            <w:tcW w:w="2057" w:type="dxa"/>
            <w:shd w:val="clear" w:color="auto" w:fill="auto"/>
            <w:vAlign w:val="center"/>
            <w:hideMark/>
          </w:tcPr>
          <w:p w14:paraId="3DAAA9D9"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stav připravenosti</w:t>
            </w:r>
          </w:p>
        </w:tc>
        <w:tc>
          <w:tcPr>
            <w:tcW w:w="7030" w:type="dxa"/>
            <w:shd w:val="clear" w:color="auto" w:fill="auto"/>
            <w:vAlign w:val="center"/>
          </w:tcPr>
          <w:p w14:paraId="5742AF5D"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Calibri"/>
                <w:color w:val="000000"/>
                <w:sz w:val="20"/>
                <w:szCs w:val="20"/>
                <w:lang w:eastAsia="cs-CZ"/>
              </w:rPr>
              <w:t>záměr</w:t>
            </w:r>
          </w:p>
        </w:tc>
      </w:tr>
      <w:tr w:rsidR="00E25C73" w:rsidRPr="00E25C73" w14:paraId="21CC4520" w14:textId="77777777" w:rsidTr="009A7AC2">
        <w:trPr>
          <w:trHeight w:val="340"/>
          <w:jc w:val="center"/>
        </w:trPr>
        <w:tc>
          <w:tcPr>
            <w:tcW w:w="2057" w:type="dxa"/>
            <w:shd w:val="clear" w:color="auto" w:fill="auto"/>
            <w:vAlign w:val="center"/>
          </w:tcPr>
          <w:p w14:paraId="4080128D" w14:textId="77777777" w:rsidR="00E25C73" w:rsidRPr="00E25C73" w:rsidRDefault="00E25C73" w:rsidP="00E25C73">
            <w:pPr>
              <w:spacing w:before="60" w:after="60"/>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w:t>
            </w:r>
          </w:p>
        </w:tc>
        <w:tc>
          <w:tcPr>
            <w:tcW w:w="7030" w:type="dxa"/>
            <w:shd w:val="clear" w:color="auto" w:fill="auto"/>
            <w:vAlign w:val="center"/>
          </w:tcPr>
          <w:p w14:paraId="0C548703" w14:textId="77777777" w:rsidR="00E25C73" w:rsidRPr="00E25C73" w:rsidRDefault="00E25C73" w:rsidP="00E25C73">
            <w:pPr>
              <w:spacing w:before="60" w:after="60"/>
              <w:jc w:val="both"/>
              <w:rPr>
                <w:rFonts w:ascii="Calibri" w:eastAsia="Times New Roman" w:hAnsi="Calibri" w:cs="Calibri"/>
                <w:color w:val="000000"/>
                <w:sz w:val="20"/>
                <w:szCs w:val="20"/>
                <w:lang w:eastAsia="cs-CZ"/>
              </w:rPr>
            </w:pPr>
            <w:r w:rsidRPr="00E25C73">
              <w:rPr>
                <w:rFonts w:ascii="Calibri" w:eastAsia="Times New Roman" w:hAnsi="Calibri" w:cs="Times New Roman"/>
                <w:color w:val="000000"/>
                <w:sz w:val="20"/>
                <w:szCs w:val="20"/>
                <w:lang w:eastAsia="cs-CZ"/>
              </w:rPr>
              <w:t>vazba na klíčové oblasti rozvoje PRO Staré Buky 2022-2031: 3</w:t>
            </w:r>
          </w:p>
        </w:tc>
      </w:tr>
    </w:tbl>
    <w:p w14:paraId="34849798" w14:textId="77777777" w:rsidR="00E25C73" w:rsidRPr="00E25C73" w:rsidRDefault="00E25C73" w:rsidP="00E25C73">
      <w:pPr>
        <w:spacing w:after="60" w:line="259" w:lineRule="auto"/>
        <w:rPr>
          <w:rFonts w:ascii="Calibri" w:eastAsia="Calibri" w:hAnsi="Calibri" w:cs="Times New Roman"/>
        </w:rPr>
      </w:pPr>
    </w:p>
    <w:p w14:paraId="5063D2BA" w14:textId="77777777" w:rsidR="00B421AB" w:rsidRDefault="00B421AB" w:rsidP="00B86EC0">
      <w:pPr>
        <w:spacing w:after="160" w:line="259" w:lineRule="auto"/>
        <w:jc w:val="both"/>
        <w:rPr>
          <w:rFonts w:ascii="Calibri" w:eastAsia="Calibri" w:hAnsi="Calibri" w:cs="Times New Roman"/>
        </w:rPr>
        <w:sectPr w:rsidR="00B421AB">
          <w:headerReference w:type="default" r:id="rId273"/>
          <w:footerReference w:type="default" r:id="rId274"/>
          <w:pgSz w:w="11906" w:h="16838"/>
          <w:pgMar w:top="1417" w:right="1417" w:bottom="1417" w:left="1417" w:header="708" w:footer="708" w:gutter="0"/>
          <w:cols w:space="708"/>
          <w:docGrid w:linePitch="360"/>
        </w:sectPr>
      </w:pPr>
    </w:p>
    <w:p w14:paraId="2A746825" w14:textId="0BE69383" w:rsidR="00B86EC0" w:rsidRDefault="00B421AB" w:rsidP="00C60C87">
      <w:pPr>
        <w:pStyle w:val="PLOHA"/>
      </w:pPr>
      <w:bookmarkStart w:id="681" w:name="_Toc15327782"/>
      <w:bookmarkStart w:id="682" w:name="_Toc18528416"/>
      <w:bookmarkStart w:id="683" w:name="_Toc31029249"/>
      <w:bookmarkStart w:id="684" w:name="_Toc31665281"/>
      <w:bookmarkStart w:id="685" w:name="_Toc32579984"/>
      <w:bookmarkStart w:id="686" w:name="_Toc58276192"/>
      <w:bookmarkStart w:id="687" w:name="_Toc86874383"/>
      <w:bookmarkStart w:id="688" w:name="_Toc120652092"/>
      <w:r>
        <w:lastRenderedPageBreak/>
        <w:t xml:space="preserve">Příloha 2: </w:t>
      </w:r>
      <w:r w:rsidRPr="00E27C38">
        <w:t>Dotazník pro občany a</w:t>
      </w:r>
      <w:r>
        <w:t xml:space="preserve"> organizace/subjekty působící v obci </w:t>
      </w:r>
      <w:bookmarkEnd w:id="681"/>
      <w:bookmarkEnd w:id="682"/>
      <w:bookmarkEnd w:id="683"/>
      <w:bookmarkEnd w:id="684"/>
      <w:bookmarkEnd w:id="685"/>
      <w:bookmarkEnd w:id="686"/>
      <w:bookmarkEnd w:id="687"/>
      <w:r>
        <w:t>Staré Buky</w:t>
      </w:r>
      <w:bookmarkEnd w:id="688"/>
    </w:p>
    <w:p w14:paraId="25F1814F" w14:textId="4C4C6272" w:rsidR="00B421AB" w:rsidRDefault="00B421AB" w:rsidP="00B86EC0">
      <w:pPr>
        <w:spacing w:after="160" w:line="259" w:lineRule="auto"/>
        <w:jc w:val="both"/>
        <w:rPr>
          <w:rFonts w:ascii="Calibri" w:eastAsia="Calibri" w:hAnsi="Calibri" w:cs="Times New Roman"/>
        </w:rPr>
      </w:pPr>
    </w:p>
    <w:p w14:paraId="4F45131F" w14:textId="77777777" w:rsidR="00C60C87" w:rsidRPr="00F25C5F" w:rsidRDefault="00C60C87" w:rsidP="00C60C87">
      <w:pPr>
        <w:pStyle w:val="Nzev"/>
        <w:jc w:val="center"/>
        <w:rPr>
          <w:sz w:val="48"/>
          <w:szCs w:val="48"/>
          <w:lang w:eastAsia="cs-CZ"/>
        </w:rPr>
      </w:pPr>
      <w:r>
        <w:rPr>
          <w:sz w:val="48"/>
          <w:szCs w:val="48"/>
          <w:lang w:eastAsia="cs-CZ"/>
        </w:rPr>
        <w:t>Program rozvoje obce Staré Buky</w:t>
      </w:r>
    </w:p>
    <w:p w14:paraId="27FB72EA" w14:textId="77777777" w:rsidR="00C60C87" w:rsidRDefault="00C60C87" w:rsidP="00C60C87">
      <w:pPr>
        <w:jc w:val="both"/>
        <w:rPr>
          <w:rFonts w:cs="Times New Roman"/>
          <w:sz w:val="24"/>
          <w:szCs w:val="24"/>
          <w:lang w:eastAsia="cs-CZ"/>
        </w:rPr>
      </w:pPr>
    </w:p>
    <w:p w14:paraId="74744F00" w14:textId="77777777" w:rsidR="00C60C87" w:rsidRPr="00C25820" w:rsidRDefault="00C60C87" w:rsidP="00C60C87">
      <w:pPr>
        <w:jc w:val="both"/>
        <w:rPr>
          <w:rFonts w:cs="Times New Roman"/>
          <w:sz w:val="24"/>
          <w:szCs w:val="24"/>
          <w:lang w:eastAsia="cs-CZ"/>
        </w:rPr>
      </w:pPr>
    </w:p>
    <w:p w14:paraId="2D07A498" w14:textId="77777777" w:rsidR="00C60C87" w:rsidRPr="00590279" w:rsidRDefault="00C60C87" w:rsidP="00C60C87">
      <w:pPr>
        <w:spacing w:after="120"/>
        <w:jc w:val="both"/>
        <w:rPr>
          <w:rFonts w:cs="Times New Roman"/>
          <w:i/>
          <w:lang w:eastAsia="cs-CZ"/>
        </w:rPr>
      </w:pPr>
      <w:r>
        <w:rPr>
          <w:rFonts w:cs="Times New Roman"/>
          <w:i/>
          <w:lang w:eastAsia="cs-CZ"/>
        </w:rPr>
        <w:t>Vážen</w:t>
      </w:r>
      <w:r w:rsidRPr="00590279">
        <w:rPr>
          <w:rFonts w:cs="Times New Roman"/>
          <w:i/>
          <w:lang w:eastAsia="cs-CZ"/>
        </w:rPr>
        <w:t xml:space="preserve">í obyvatelé </w:t>
      </w:r>
      <w:r>
        <w:rPr>
          <w:rFonts w:cs="Times New Roman"/>
          <w:i/>
          <w:lang w:eastAsia="cs-CZ"/>
        </w:rPr>
        <w:t>Starých Buků,</w:t>
      </w:r>
    </w:p>
    <w:p w14:paraId="19421CC9" w14:textId="77777777" w:rsidR="00C60C87" w:rsidRPr="00590279" w:rsidRDefault="00C60C87" w:rsidP="00C60C87">
      <w:pPr>
        <w:spacing w:after="120"/>
        <w:jc w:val="both"/>
        <w:rPr>
          <w:rFonts w:cs="Times New Roman"/>
          <w:i/>
          <w:lang w:eastAsia="cs-CZ"/>
        </w:rPr>
      </w:pPr>
      <w:r w:rsidRPr="00590279">
        <w:rPr>
          <w:rFonts w:cs="Times New Roman"/>
          <w:i/>
          <w:lang w:eastAsia="cs-CZ"/>
        </w:rPr>
        <w:t xml:space="preserve">chtěli byste se aktivně </w:t>
      </w:r>
      <w:r>
        <w:rPr>
          <w:rFonts w:cs="Times New Roman"/>
          <w:i/>
          <w:lang w:eastAsia="cs-CZ"/>
        </w:rPr>
        <w:t>podílet na rozvoji naší obce</w:t>
      </w:r>
      <w:r w:rsidRPr="00590279">
        <w:rPr>
          <w:rFonts w:cs="Times New Roman"/>
          <w:i/>
          <w:lang w:eastAsia="cs-CZ"/>
        </w:rPr>
        <w:t>? Možná Vás nebaví čekat, až to za Vás udělá někdo jiný. Každý z Vás, ať již jako občan, podnikatel, člen zájmového spolku</w:t>
      </w:r>
      <w:r>
        <w:rPr>
          <w:rFonts w:cs="Times New Roman"/>
          <w:i/>
          <w:lang w:eastAsia="cs-CZ"/>
        </w:rPr>
        <w:t xml:space="preserve"> </w:t>
      </w:r>
      <w:r w:rsidRPr="00590279">
        <w:rPr>
          <w:rFonts w:cs="Times New Roman"/>
          <w:i/>
          <w:lang w:eastAsia="cs-CZ"/>
        </w:rPr>
        <w:t xml:space="preserve">či jiného subjektu, má svoji představu o tom, jak by se </w:t>
      </w:r>
      <w:r>
        <w:rPr>
          <w:rFonts w:cs="Times New Roman"/>
          <w:i/>
          <w:lang w:eastAsia="cs-CZ"/>
        </w:rPr>
        <w:t>obec</w:t>
      </w:r>
      <w:r w:rsidRPr="00590279">
        <w:rPr>
          <w:rFonts w:cs="Times New Roman"/>
          <w:i/>
          <w:lang w:eastAsia="cs-CZ"/>
        </w:rPr>
        <w:t>, kde žijeme nebo podnikáme, měl</w:t>
      </w:r>
      <w:r>
        <w:rPr>
          <w:rFonts w:cs="Times New Roman"/>
          <w:i/>
          <w:lang w:eastAsia="cs-CZ"/>
        </w:rPr>
        <w:t>a</w:t>
      </w:r>
      <w:r w:rsidRPr="00590279">
        <w:rPr>
          <w:rFonts w:cs="Times New Roman"/>
          <w:i/>
          <w:lang w:eastAsia="cs-CZ"/>
        </w:rPr>
        <w:t xml:space="preserve"> rozvíjet. Jak bycho</w:t>
      </w:r>
      <w:r>
        <w:rPr>
          <w:rFonts w:cs="Times New Roman"/>
          <w:i/>
          <w:lang w:eastAsia="cs-CZ"/>
        </w:rPr>
        <w:t>m mohli žít v </w:t>
      </w:r>
      <w:r w:rsidRPr="00590279">
        <w:rPr>
          <w:rFonts w:cs="Times New Roman"/>
          <w:i/>
          <w:lang w:eastAsia="cs-CZ"/>
        </w:rPr>
        <w:t>blízké budoucnosti, co opravit, zlepšit, zachovat či podpořit?</w:t>
      </w:r>
    </w:p>
    <w:p w14:paraId="1856FC06" w14:textId="77777777" w:rsidR="00C60C87" w:rsidRPr="00590279" w:rsidRDefault="00C60C87" w:rsidP="00C60C87">
      <w:pPr>
        <w:spacing w:after="120"/>
        <w:jc w:val="both"/>
        <w:rPr>
          <w:rFonts w:cs="Times New Roman"/>
          <w:i/>
          <w:lang w:eastAsia="cs-CZ"/>
        </w:rPr>
      </w:pPr>
      <w:r w:rsidRPr="00590279">
        <w:rPr>
          <w:rFonts w:cs="Times New Roman"/>
          <w:i/>
          <w:lang w:eastAsia="cs-CZ"/>
        </w:rPr>
        <w:t>V</w:t>
      </w:r>
      <w:r>
        <w:rPr>
          <w:rFonts w:cs="Times New Roman"/>
          <w:i/>
          <w:lang w:eastAsia="cs-CZ"/>
        </w:rPr>
        <w:t xml:space="preserve"> tuto chvíli končí programové období fondů EU na roky 2014 až 2020 a v blízké době by se mělo rozjet programové období nové na léta 2021 až 2027. Jedná se možná o poslední období, jak </w:t>
      </w:r>
      <w:r w:rsidRPr="00590279">
        <w:rPr>
          <w:rFonts w:cs="Times New Roman"/>
          <w:i/>
          <w:lang w:eastAsia="cs-CZ"/>
        </w:rPr>
        <w:t>získat finanční prostř</w:t>
      </w:r>
      <w:r>
        <w:rPr>
          <w:rFonts w:cs="Times New Roman"/>
          <w:i/>
          <w:lang w:eastAsia="cs-CZ"/>
        </w:rPr>
        <w:t>edky z fondů EU k rozvoji naší obce</w:t>
      </w:r>
      <w:r w:rsidRPr="00590279">
        <w:rPr>
          <w:rFonts w:cs="Times New Roman"/>
          <w:i/>
          <w:lang w:eastAsia="cs-CZ"/>
        </w:rPr>
        <w:t>. I</w:t>
      </w:r>
      <w:r>
        <w:rPr>
          <w:rFonts w:cs="Times New Roman"/>
          <w:i/>
          <w:lang w:eastAsia="cs-CZ"/>
        </w:rPr>
        <w:t xml:space="preserve"> proto bychom měli tuto šanci</w:t>
      </w:r>
      <w:r w:rsidRPr="00590279">
        <w:rPr>
          <w:rFonts w:cs="Times New Roman"/>
          <w:i/>
          <w:lang w:eastAsia="cs-CZ"/>
        </w:rPr>
        <w:t>, v co možná největ</w:t>
      </w:r>
      <w:r>
        <w:rPr>
          <w:rFonts w:cs="Times New Roman"/>
          <w:i/>
          <w:lang w:eastAsia="cs-CZ"/>
        </w:rPr>
        <w:t>ší míře, využít. Jak jsme již v </w:t>
      </w:r>
      <w:r w:rsidRPr="00590279">
        <w:rPr>
          <w:rFonts w:cs="Times New Roman"/>
          <w:i/>
          <w:lang w:eastAsia="cs-CZ"/>
        </w:rPr>
        <w:t>předchozích letech zji</w:t>
      </w:r>
      <w:r>
        <w:rPr>
          <w:rFonts w:cs="Times New Roman"/>
          <w:i/>
          <w:lang w:eastAsia="cs-CZ"/>
        </w:rPr>
        <w:t>stili, vyplatí se být připraveni</w:t>
      </w:r>
      <w:r w:rsidRPr="00590279">
        <w:rPr>
          <w:rFonts w:cs="Times New Roman"/>
          <w:i/>
          <w:lang w:eastAsia="cs-CZ"/>
        </w:rPr>
        <w:t>!</w:t>
      </w:r>
    </w:p>
    <w:p w14:paraId="5C0F4413" w14:textId="77777777" w:rsidR="00C60C87" w:rsidRDefault="00C60C87" w:rsidP="00C60C87">
      <w:pPr>
        <w:spacing w:after="120"/>
        <w:jc w:val="both"/>
        <w:rPr>
          <w:rFonts w:cs="Times New Roman"/>
          <w:i/>
          <w:lang w:eastAsia="cs-CZ"/>
        </w:rPr>
      </w:pPr>
      <w:r w:rsidRPr="00590279">
        <w:rPr>
          <w:rFonts w:cs="Times New Roman"/>
          <w:i/>
          <w:lang w:eastAsia="cs-CZ"/>
        </w:rPr>
        <w:t xml:space="preserve">Věnujte, prosím, několik málo </w:t>
      </w:r>
      <w:r w:rsidRPr="00A06AAB">
        <w:rPr>
          <w:rFonts w:cs="Times New Roman"/>
          <w:i/>
          <w:lang w:eastAsia="cs-CZ"/>
        </w:rPr>
        <w:t xml:space="preserve">minut vyplnění tohoto dotazníku a vyjádřete svůj názor, jakým směrem by se měl zaměřit rozvoj naší obce do </w:t>
      </w:r>
      <w:r w:rsidRPr="00195303">
        <w:rPr>
          <w:rFonts w:cs="Times New Roman"/>
          <w:i/>
          <w:lang w:eastAsia="cs-CZ"/>
        </w:rPr>
        <w:t>roku 20</w:t>
      </w:r>
      <w:r>
        <w:rPr>
          <w:rFonts w:cs="Times New Roman"/>
          <w:i/>
          <w:lang w:eastAsia="cs-CZ"/>
        </w:rPr>
        <w:t>31.</w:t>
      </w:r>
    </w:p>
    <w:p w14:paraId="50B37B32" w14:textId="77777777" w:rsidR="00C60C87" w:rsidRDefault="00C60C87" w:rsidP="00C60C87">
      <w:pPr>
        <w:spacing w:after="120"/>
        <w:jc w:val="both"/>
        <w:rPr>
          <w:rFonts w:cs="Times New Roman"/>
          <w:i/>
          <w:lang w:eastAsia="cs-CZ"/>
        </w:rPr>
      </w:pPr>
    </w:p>
    <w:p w14:paraId="108A1564" w14:textId="77777777" w:rsidR="00C60C87" w:rsidRDefault="00C60C87" w:rsidP="00C60C87">
      <w:pPr>
        <w:spacing w:after="120"/>
        <w:jc w:val="both"/>
        <w:rPr>
          <w:rFonts w:cs="Times New Roman"/>
          <w:i/>
          <w:lang w:eastAsia="cs-CZ"/>
        </w:rPr>
      </w:pPr>
      <w:r w:rsidRPr="00EA78A7">
        <w:rPr>
          <w:rFonts w:cs="Times New Roman"/>
          <w:i/>
          <w:lang w:eastAsia="cs-CZ"/>
        </w:rPr>
        <w:t>Dotazník můžete vyplnit buď v papírové podobě a následně odevzdat na obecním úřadě do schránky</w:t>
      </w:r>
      <w:r>
        <w:rPr>
          <w:rFonts w:cs="Times New Roman"/>
          <w:i/>
          <w:lang w:eastAsia="cs-CZ"/>
        </w:rPr>
        <w:t xml:space="preserve"> nebo</w:t>
      </w:r>
      <w:r w:rsidRPr="00EA78A7">
        <w:rPr>
          <w:rFonts w:cs="Times New Roman"/>
          <w:i/>
          <w:lang w:eastAsia="cs-CZ"/>
        </w:rPr>
        <w:t xml:space="preserve"> </w:t>
      </w:r>
      <w:r w:rsidRPr="00D003CA">
        <w:rPr>
          <w:rFonts w:cs="Times New Roman"/>
          <w:i/>
          <w:lang w:eastAsia="cs-CZ"/>
        </w:rPr>
        <w:t xml:space="preserve">v elektronické podobě online </w:t>
      </w:r>
      <w:r w:rsidRPr="00EA78A7">
        <w:rPr>
          <w:rFonts w:cs="Times New Roman"/>
          <w:i/>
          <w:lang w:eastAsia="cs-CZ"/>
        </w:rPr>
        <w:t>na webových str</w:t>
      </w:r>
      <w:r>
        <w:rPr>
          <w:rFonts w:cs="Times New Roman"/>
          <w:i/>
          <w:lang w:eastAsia="cs-CZ"/>
        </w:rPr>
        <w:t xml:space="preserve">ánkách </w:t>
      </w:r>
      <w:r w:rsidRPr="00542E0C">
        <w:rPr>
          <w:rFonts w:cs="Times New Roman"/>
          <w:i/>
          <w:lang w:eastAsia="cs-CZ"/>
        </w:rPr>
        <w:t>obce</w:t>
      </w:r>
      <w:r>
        <w:t xml:space="preserve"> </w:t>
      </w:r>
      <w:hyperlink r:id="rId275" w:history="1">
        <w:r w:rsidRPr="00D003CA">
          <w:rPr>
            <w:rStyle w:val="Hypertextovodkaz"/>
            <w:i/>
            <w:iCs/>
          </w:rPr>
          <w:t>https://www.starebuky.cz/</w:t>
        </w:r>
      </w:hyperlink>
      <w:r w:rsidRPr="004D64B6">
        <w:rPr>
          <w:i/>
          <w:iCs/>
        </w:rPr>
        <w:t>,</w:t>
      </w:r>
      <w:r>
        <w:rPr>
          <w:rFonts w:cs="Times New Roman"/>
          <w:i/>
          <w:lang w:eastAsia="cs-CZ"/>
        </w:rPr>
        <w:t xml:space="preserve"> </w:t>
      </w:r>
      <w:r w:rsidRPr="00EA78A7">
        <w:rPr>
          <w:rFonts w:cs="Times New Roman"/>
          <w:i/>
          <w:lang w:eastAsia="cs-CZ"/>
        </w:rPr>
        <w:t>kde naleznete odkaz na dotazník.</w:t>
      </w:r>
      <w:r>
        <w:rPr>
          <w:rFonts w:cs="Times New Roman"/>
          <w:i/>
          <w:lang w:eastAsia="cs-CZ"/>
        </w:rPr>
        <w:t xml:space="preserve"> </w:t>
      </w:r>
    </w:p>
    <w:p w14:paraId="2CEE34AB" w14:textId="77777777" w:rsidR="00C60C87" w:rsidRDefault="00C60C87" w:rsidP="00C60C87">
      <w:pPr>
        <w:spacing w:before="240"/>
        <w:jc w:val="both"/>
        <w:rPr>
          <w:rFonts w:cs="Times New Roman"/>
          <w:i/>
          <w:lang w:eastAsia="cs-CZ"/>
        </w:rPr>
      </w:pPr>
    </w:p>
    <w:p w14:paraId="49674D8D" w14:textId="77777777" w:rsidR="00C60C87" w:rsidRDefault="00C60C87" w:rsidP="00C60C87">
      <w:pPr>
        <w:spacing w:before="240"/>
        <w:jc w:val="both"/>
        <w:rPr>
          <w:rFonts w:cs="Times New Roman"/>
          <w:i/>
          <w:lang w:eastAsia="cs-CZ"/>
        </w:rPr>
      </w:pPr>
      <w:r w:rsidRPr="00590279">
        <w:rPr>
          <w:rFonts w:cs="Times New Roman"/>
          <w:i/>
          <w:lang w:eastAsia="cs-CZ"/>
        </w:rPr>
        <w:t>Děkujeme za Váš čas a projevený zájem!</w:t>
      </w:r>
    </w:p>
    <w:p w14:paraId="1B16F45D" w14:textId="77777777" w:rsidR="00C60C87" w:rsidRPr="00BC7354" w:rsidRDefault="00C60C87" w:rsidP="00C60C87">
      <w:pPr>
        <w:spacing w:before="240"/>
        <w:jc w:val="both"/>
        <w:rPr>
          <w:rFonts w:cs="Times New Roman"/>
          <w:i/>
          <w:lang w:eastAsia="cs-CZ"/>
        </w:rPr>
      </w:pPr>
      <w:r>
        <w:rPr>
          <w:rFonts w:cs="Times New Roman"/>
          <w:i/>
          <w:lang w:eastAsia="cs-CZ"/>
        </w:rPr>
        <w:t>Jiří Bischof</w:t>
      </w:r>
      <w:r w:rsidRPr="00BC7354">
        <w:rPr>
          <w:rFonts w:cs="Times New Roman"/>
          <w:i/>
          <w:lang w:eastAsia="cs-CZ"/>
        </w:rPr>
        <w:t>, starosta</w:t>
      </w:r>
    </w:p>
    <w:p w14:paraId="5AA95AF7" w14:textId="77777777" w:rsidR="00C60C87" w:rsidRDefault="00C60C87" w:rsidP="00C60C87">
      <w:pPr>
        <w:jc w:val="both"/>
        <w:rPr>
          <w:rFonts w:cs="Times New Roman"/>
          <w:i/>
          <w:lang w:eastAsia="cs-CZ"/>
        </w:rPr>
      </w:pPr>
      <w:r>
        <w:rPr>
          <w:rFonts w:cs="Times New Roman"/>
          <w:i/>
          <w:lang w:eastAsia="cs-CZ"/>
        </w:rPr>
        <w:t>Dagmar Houserová</w:t>
      </w:r>
      <w:r w:rsidRPr="00BC7354">
        <w:rPr>
          <w:rFonts w:cs="Times New Roman"/>
          <w:i/>
          <w:lang w:eastAsia="cs-CZ"/>
        </w:rPr>
        <w:t>, místostarost</w:t>
      </w:r>
      <w:r>
        <w:rPr>
          <w:rFonts w:cs="Times New Roman"/>
          <w:i/>
          <w:lang w:eastAsia="cs-CZ"/>
        </w:rPr>
        <w:t>k</w:t>
      </w:r>
      <w:r w:rsidRPr="00BC7354">
        <w:rPr>
          <w:rFonts w:cs="Times New Roman"/>
          <w:i/>
          <w:lang w:eastAsia="cs-CZ"/>
        </w:rPr>
        <w:t>a</w:t>
      </w:r>
    </w:p>
    <w:p w14:paraId="2E13A500" w14:textId="77777777" w:rsidR="00C60C87" w:rsidRPr="00BC7354" w:rsidRDefault="00C60C87" w:rsidP="00C60C87">
      <w:pPr>
        <w:jc w:val="both"/>
        <w:rPr>
          <w:rFonts w:cs="Times New Roman"/>
          <w:i/>
          <w:lang w:eastAsia="cs-CZ"/>
        </w:rPr>
      </w:pPr>
      <w:r>
        <w:rPr>
          <w:rFonts w:cs="Times New Roman"/>
          <w:i/>
          <w:lang w:eastAsia="cs-CZ"/>
        </w:rPr>
        <w:t xml:space="preserve">Markéta Cimbotová, </w:t>
      </w:r>
      <w:r w:rsidRPr="00BC7354">
        <w:rPr>
          <w:rFonts w:cs="Times New Roman"/>
          <w:i/>
          <w:lang w:eastAsia="cs-CZ"/>
        </w:rPr>
        <w:t>místostarost</w:t>
      </w:r>
      <w:r>
        <w:rPr>
          <w:rFonts w:cs="Times New Roman"/>
          <w:i/>
          <w:lang w:eastAsia="cs-CZ"/>
        </w:rPr>
        <w:t>k</w:t>
      </w:r>
      <w:r w:rsidRPr="00BC7354">
        <w:rPr>
          <w:rFonts w:cs="Times New Roman"/>
          <w:i/>
          <w:lang w:eastAsia="cs-CZ"/>
        </w:rPr>
        <w:t>a</w:t>
      </w:r>
    </w:p>
    <w:p w14:paraId="42ADC0B9" w14:textId="77777777" w:rsidR="00C60C87" w:rsidRDefault="00C60C87" w:rsidP="00C60C87">
      <w:pPr>
        <w:jc w:val="both"/>
        <w:rPr>
          <w:rFonts w:cs="Times New Roman"/>
          <w:sz w:val="24"/>
          <w:szCs w:val="24"/>
          <w:lang w:eastAsia="cs-CZ"/>
        </w:rPr>
      </w:pPr>
    </w:p>
    <w:p w14:paraId="1EC75D3D" w14:textId="77777777" w:rsidR="00C60C87" w:rsidRDefault="00C60C87" w:rsidP="00C60C87">
      <w:pPr>
        <w:jc w:val="both"/>
        <w:rPr>
          <w:rFonts w:cs="Times New Roman"/>
          <w:sz w:val="24"/>
          <w:szCs w:val="24"/>
          <w:lang w:eastAsia="cs-CZ"/>
        </w:rPr>
      </w:pPr>
    </w:p>
    <w:p w14:paraId="6150B371" w14:textId="77777777" w:rsidR="00C60C87" w:rsidRDefault="00C60C87" w:rsidP="00C60C87">
      <w:pPr>
        <w:jc w:val="both"/>
        <w:rPr>
          <w:rFonts w:cs="Times New Roman"/>
          <w:sz w:val="24"/>
          <w:szCs w:val="24"/>
          <w:lang w:eastAsia="cs-CZ"/>
        </w:rPr>
      </w:pPr>
    </w:p>
    <w:p w14:paraId="7000DE6C" w14:textId="77777777" w:rsidR="00C60C87" w:rsidRDefault="00C60C87" w:rsidP="00C60C87">
      <w:pPr>
        <w:jc w:val="both"/>
        <w:rPr>
          <w:rFonts w:cs="Times New Roman"/>
          <w:sz w:val="24"/>
          <w:szCs w:val="24"/>
          <w:lang w:eastAsia="cs-CZ"/>
        </w:rPr>
      </w:pPr>
    </w:p>
    <w:p w14:paraId="6C61D669" w14:textId="77777777" w:rsidR="00C60C87" w:rsidRDefault="00C60C87" w:rsidP="00C60C87">
      <w:pPr>
        <w:jc w:val="both"/>
        <w:rPr>
          <w:rFonts w:cs="Times New Roman"/>
          <w:sz w:val="24"/>
          <w:szCs w:val="24"/>
          <w:lang w:eastAsia="cs-CZ"/>
        </w:rPr>
      </w:pPr>
      <w:r>
        <w:rPr>
          <w:rFonts w:cs="Times New Roman"/>
          <w:sz w:val="24"/>
          <w:szCs w:val="24"/>
          <w:lang w:eastAsia="cs-CZ"/>
        </w:rPr>
        <w:t>Pokud není uvedeno jinak, označte vždy jednu z uvedených možností, případně formulujte svůj názor do volného prostoru k otázce.</w:t>
      </w:r>
    </w:p>
    <w:p w14:paraId="006B59AF" w14:textId="77777777" w:rsidR="00C60C87" w:rsidRDefault="00C60C87" w:rsidP="00C60C87">
      <w:pPr>
        <w:jc w:val="both"/>
        <w:rPr>
          <w:rFonts w:cs="Times New Roman"/>
          <w:sz w:val="24"/>
          <w:szCs w:val="24"/>
          <w:lang w:eastAsia="cs-CZ"/>
        </w:rPr>
      </w:pPr>
    </w:p>
    <w:p w14:paraId="315C3277" w14:textId="77777777" w:rsidR="00C60C87" w:rsidRDefault="00C60C87" w:rsidP="00C60C87">
      <w:pPr>
        <w:jc w:val="both"/>
        <w:rPr>
          <w:rFonts w:cs="Times New Roman"/>
          <w:sz w:val="24"/>
          <w:szCs w:val="24"/>
          <w:lang w:eastAsia="cs-CZ"/>
        </w:rPr>
      </w:pPr>
    </w:p>
    <w:p w14:paraId="3908D94C" w14:textId="77777777" w:rsidR="00C60C87" w:rsidRDefault="00C60C87" w:rsidP="00C60C87">
      <w:pPr>
        <w:jc w:val="both"/>
        <w:rPr>
          <w:rFonts w:cs="Times New Roman"/>
          <w:sz w:val="24"/>
          <w:szCs w:val="24"/>
          <w:lang w:eastAsia="cs-CZ"/>
        </w:rPr>
      </w:pPr>
    </w:p>
    <w:p w14:paraId="23850454" w14:textId="77777777" w:rsidR="00C60C87" w:rsidRDefault="00C60C87" w:rsidP="00C60C87">
      <w:pPr>
        <w:pStyle w:val="Odstavecseseznamem"/>
        <w:numPr>
          <w:ilvl w:val="0"/>
          <w:numId w:val="1"/>
        </w:numPr>
        <w:ind w:left="284" w:hanging="284"/>
        <w:jc w:val="both"/>
        <w:rPr>
          <w:rFonts w:cs="Times New Roman"/>
          <w:b/>
          <w:sz w:val="24"/>
          <w:szCs w:val="24"/>
          <w:lang w:eastAsia="cs-CZ"/>
        </w:rPr>
      </w:pPr>
      <w:r>
        <w:rPr>
          <w:rFonts w:cs="Times New Roman"/>
          <w:b/>
          <w:sz w:val="24"/>
          <w:szCs w:val="24"/>
          <w:lang w:eastAsia="cs-CZ"/>
        </w:rPr>
        <w:t xml:space="preserve">Jak se Vám v obci </w:t>
      </w:r>
      <w:r w:rsidRPr="00380173">
        <w:rPr>
          <w:rFonts w:cs="Times New Roman"/>
          <w:b/>
          <w:sz w:val="24"/>
          <w:szCs w:val="24"/>
          <w:lang w:eastAsia="cs-CZ"/>
        </w:rPr>
        <w:t>žije?</w:t>
      </w:r>
    </w:p>
    <w:p w14:paraId="4103BFDD" w14:textId="53E09E8A" w:rsidR="00C60C87" w:rsidRPr="00942A3A"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942A3A">
        <w:rPr>
          <w:rFonts w:cs="Times New Roman"/>
          <w:sz w:val="24"/>
          <w:szCs w:val="24"/>
          <w:lang w:eastAsia="cs-CZ"/>
        </w:rPr>
        <w:t xml:space="preserve"> velmi dobře</w:t>
      </w:r>
      <w:r w:rsidRPr="00942A3A">
        <w:rPr>
          <w:rFonts w:cs="Times New Roman"/>
          <w:sz w:val="24"/>
          <w:szCs w:val="24"/>
          <w:lang w:eastAsia="cs-CZ"/>
        </w:rPr>
        <w:tab/>
      </w:r>
      <w:r>
        <w:rPr>
          <w:rFonts w:ascii="MS Gothic" w:eastAsia="MS Gothic" w:hAnsi="MS Gothic" w:cs="Times New Roman" w:hint="eastAsia"/>
          <w:sz w:val="24"/>
          <w:szCs w:val="24"/>
          <w:lang w:eastAsia="cs-CZ"/>
        </w:rPr>
        <w:t>☐</w:t>
      </w:r>
      <w:r w:rsidRPr="00942A3A">
        <w:rPr>
          <w:rFonts w:cs="Times New Roman"/>
          <w:sz w:val="24"/>
          <w:szCs w:val="24"/>
          <w:lang w:eastAsia="cs-CZ"/>
        </w:rPr>
        <w:t xml:space="preserve"> spíše špatně</w:t>
      </w:r>
      <w:r w:rsidRPr="00942A3A">
        <w:rPr>
          <w:rFonts w:cs="Times New Roman"/>
          <w:sz w:val="24"/>
          <w:szCs w:val="24"/>
          <w:lang w:eastAsia="cs-CZ"/>
        </w:rPr>
        <w:tab/>
      </w:r>
    </w:p>
    <w:p w14:paraId="47E467B6" w14:textId="4167AF0F" w:rsidR="00C60C87" w:rsidRPr="00942A3A"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942A3A">
        <w:rPr>
          <w:rFonts w:cs="Times New Roman"/>
          <w:sz w:val="24"/>
          <w:szCs w:val="24"/>
          <w:lang w:eastAsia="cs-CZ"/>
        </w:rPr>
        <w:t xml:space="preserve"> spíše dobře </w:t>
      </w:r>
      <w:r w:rsidRPr="00942A3A">
        <w:rPr>
          <w:rFonts w:cs="Times New Roman"/>
          <w:sz w:val="24"/>
          <w:szCs w:val="24"/>
          <w:lang w:eastAsia="cs-CZ"/>
        </w:rPr>
        <w:tab/>
      </w:r>
      <w:r>
        <w:rPr>
          <w:rFonts w:ascii="MS Gothic" w:eastAsia="MS Gothic" w:hAnsi="MS Gothic" w:cs="Times New Roman" w:hint="eastAsia"/>
          <w:sz w:val="24"/>
          <w:szCs w:val="24"/>
          <w:lang w:eastAsia="cs-CZ"/>
        </w:rPr>
        <w:t>☐</w:t>
      </w:r>
      <w:r w:rsidRPr="00942A3A">
        <w:rPr>
          <w:rFonts w:cs="Times New Roman"/>
          <w:sz w:val="24"/>
          <w:szCs w:val="24"/>
          <w:lang w:eastAsia="cs-CZ"/>
        </w:rPr>
        <w:t xml:space="preserve"> velmi špatně</w:t>
      </w:r>
    </w:p>
    <w:p w14:paraId="206B9693" w14:textId="30F662CB"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942A3A">
        <w:rPr>
          <w:rFonts w:cs="Times New Roman"/>
          <w:sz w:val="24"/>
          <w:szCs w:val="24"/>
          <w:lang w:eastAsia="cs-CZ"/>
        </w:rPr>
        <w:t xml:space="preserve"> ani dobře ani špatně</w:t>
      </w:r>
    </w:p>
    <w:p w14:paraId="5A7C36A1" w14:textId="77777777" w:rsidR="00C60C87" w:rsidRDefault="00C60C87" w:rsidP="00C60C87">
      <w:pPr>
        <w:tabs>
          <w:tab w:val="left" w:pos="3402"/>
        </w:tabs>
        <w:autoSpaceDE w:val="0"/>
        <w:autoSpaceDN w:val="0"/>
        <w:adjustRightInd w:val="0"/>
        <w:ind w:left="426"/>
        <w:rPr>
          <w:rFonts w:cs="Times New Roman"/>
          <w:sz w:val="24"/>
          <w:szCs w:val="24"/>
          <w:lang w:eastAsia="cs-CZ"/>
        </w:rPr>
      </w:pPr>
      <w:r>
        <w:rPr>
          <w:rFonts w:cs="Times New Roman"/>
          <w:sz w:val="24"/>
          <w:szCs w:val="24"/>
          <w:lang w:eastAsia="cs-CZ"/>
        </w:rPr>
        <w:br w:type="page"/>
      </w:r>
    </w:p>
    <w:p w14:paraId="6A48A54A" w14:textId="77777777" w:rsidR="00C60C87" w:rsidRPr="00380173" w:rsidRDefault="00C60C87" w:rsidP="00C60C87">
      <w:pPr>
        <w:pStyle w:val="Odstavecseseznamem"/>
        <w:numPr>
          <w:ilvl w:val="0"/>
          <w:numId w:val="1"/>
        </w:numPr>
        <w:ind w:left="284" w:hanging="284"/>
        <w:jc w:val="both"/>
        <w:rPr>
          <w:rFonts w:cs="Times New Roman"/>
          <w:b/>
          <w:sz w:val="24"/>
          <w:szCs w:val="24"/>
          <w:lang w:eastAsia="cs-CZ"/>
        </w:rPr>
      </w:pPr>
      <w:r w:rsidRPr="00380173">
        <w:rPr>
          <w:rFonts w:cs="Times New Roman"/>
          <w:b/>
          <w:sz w:val="24"/>
          <w:szCs w:val="24"/>
          <w:lang w:eastAsia="cs-CZ"/>
        </w:rPr>
        <w:lastRenderedPageBreak/>
        <w:t>Co se Vám na Vaš</w:t>
      </w:r>
      <w:r>
        <w:rPr>
          <w:rFonts w:cs="Times New Roman"/>
          <w:b/>
          <w:sz w:val="24"/>
          <w:szCs w:val="24"/>
          <w:lang w:eastAsia="cs-CZ"/>
        </w:rPr>
        <w:t xml:space="preserve">í obci </w:t>
      </w:r>
      <w:r w:rsidRPr="00380173">
        <w:rPr>
          <w:rFonts w:cs="Times New Roman"/>
          <w:b/>
          <w:sz w:val="24"/>
          <w:szCs w:val="24"/>
          <w:lang w:eastAsia="cs-CZ"/>
        </w:rPr>
        <w:t xml:space="preserve">nejvíce líbí? </w:t>
      </w:r>
      <w:r w:rsidRPr="00380173">
        <w:rPr>
          <w:rFonts w:cs="Times New Roman"/>
          <w:sz w:val="24"/>
          <w:szCs w:val="24"/>
          <w:lang w:eastAsia="cs-CZ"/>
        </w:rPr>
        <w:t xml:space="preserve">(zatrhněte maximálně </w:t>
      </w:r>
      <w:r>
        <w:rPr>
          <w:rFonts w:cs="Times New Roman"/>
          <w:sz w:val="24"/>
          <w:szCs w:val="24"/>
          <w:lang w:eastAsia="cs-CZ"/>
        </w:rPr>
        <w:t>5</w:t>
      </w:r>
      <w:r w:rsidRPr="00380173">
        <w:rPr>
          <w:rFonts w:cs="Times New Roman"/>
          <w:sz w:val="24"/>
          <w:szCs w:val="24"/>
          <w:lang w:eastAsia="cs-CZ"/>
        </w:rPr>
        <w:t xml:space="preserve"> možnost</w:t>
      </w:r>
      <w:r>
        <w:rPr>
          <w:rFonts w:cs="Times New Roman"/>
          <w:sz w:val="24"/>
          <w:szCs w:val="24"/>
          <w:lang w:eastAsia="cs-CZ"/>
        </w:rPr>
        <w:t>í</w:t>
      </w:r>
      <w:r w:rsidRPr="00380173">
        <w:rPr>
          <w:rFonts w:cs="Times New Roman"/>
          <w:sz w:val="24"/>
          <w:szCs w:val="24"/>
          <w:lang w:eastAsia="cs-CZ"/>
        </w:rPr>
        <w:t>)</w:t>
      </w:r>
    </w:p>
    <w:p w14:paraId="7FF9E9CF" w14:textId="7058472C" w:rsidR="00C60C87" w:rsidRPr="00380173"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klidný život</w:t>
      </w:r>
    </w:p>
    <w:p w14:paraId="318BB9EA" w14:textId="18FF2DF6" w:rsidR="00C60C87" w:rsidRPr="00380173"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dobré mezilidské vztahy</w:t>
      </w:r>
    </w:p>
    <w:p w14:paraId="58680878" w14:textId="490DD365" w:rsidR="00C60C87" w:rsidRPr="00380173"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příznivé životní prostředí</w:t>
      </w:r>
    </w:p>
    <w:p w14:paraId="2A19C1DB" w14:textId="7CA58532" w:rsidR="00C60C87" w:rsidRPr="00380173"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blízkost přírody</w:t>
      </w:r>
    </w:p>
    <w:p w14:paraId="392EB55E" w14:textId="05F4969C"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dostupnost pracovních příležitostí</w:t>
      </w:r>
    </w:p>
    <w:p w14:paraId="4FF0A393" w14:textId="66E17412"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dostupnost </w:t>
      </w:r>
      <w:r>
        <w:rPr>
          <w:rFonts w:cs="Times New Roman"/>
          <w:sz w:val="24"/>
          <w:szCs w:val="24"/>
          <w:lang w:eastAsia="cs-CZ"/>
        </w:rPr>
        <w:t>některých základních služeb (např. pošta partner, obecní knihovna)</w:t>
      </w:r>
    </w:p>
    <w:p w14:paraId="5DC022BB" w14:textId="06A3C6BD"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w:t>
      </w:r>
      <w:r>
        <w:rPr>
          <w:rFonts w:cs="Times New Roman"/>
          <w:sz w:val="24"/>
          <w:szCs w:val="24"/>
          <w:lang w:eastAsia="cs-CZ"/>
        </w:rPr>
        <w:t>blízkost Trutnova</w:t>
      </w:r>
    </w:p>
    <w:p w14:paraId="2F014217" w14:textId="6CA16D6A"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w:t>
      </w:r>
      <w:r>
        <w:rPr>
          <w:rFonts w:cs="Times New Roman"/>
          <w:sz w:val="24"/>
          <w:szCs w:val="24"/>
          <w:lang w:eastAsia="cs-CZ"/>
        </w:rPr>
        <w:t>kvalita</w:t>
      </w:r>
      <w:r w:rsidRPr="00380173">
        <w:rPr>
          <w:rFonts w:cs="Times New Roman"/>
          <w:sz w:val="24"/>
          <w:szCs w:val="24"/>
          <w:lang w:eastAsia="cs-CZ"/>
        </w:rPr>
        <w:t xml:space="preserve"> </w:t>
      </w:r>
      <w:r>
        <w:rPr>
          <w:rFonts w:cs="Times New Roman"/>
          <w:sz w:val="24"/>
          <w:szCs w:val="24"/>
          <w:lang w:eastAsia="cs-CZ"/>
        </w:rPr>
        <w:t>dopravní infrastruktury (místní komunikace apod.)</w:t>
      </w:r>
    </w:p>
    <w:p w14:paraId="5E51443F" w14:textId="3D2D6F35" w:rsidR="00C60C87" w:rsidRPr="00380173"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dobrá dopravní dostupnost</w:t>
      </w:r>
    </w:p>
    <w:p w14:paraId="6EB40132" w14:textId="4E83B263" w:rsidR="00C60C87" w:rsidRPr="00380173"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kulturní a společenský život</w:t>
      </w:r>
    </w:p>
    <w:p w14:paraId="0A9ED2FA" w14:textId="44C7B3DE" w:rsidR="00C60C87" w:rsidRPr="00380173"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sportovní vyžití</w:t>
      </w:r>
    </w:p>
    <w:p w14:paraId="0A108562" w14:textId="4FE47B21"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vzhled obce</w:t>
      </w:r>
    </w:p>
    <w:p w14:paraId="36D9BBCC" w14:textId="35A826AC" w:rsidR="00C60C87" w:rsidRPr="00380173"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dobré </w:t>
      </w:r>
      <w:r w:rsidRPr="00481D10">
        <w:rPr>
          <w:rFonts w:cs="Times New Roman"/>
          <w:sz w:val="24"/>
          <w:szCs w:val="24"/>
          <w:lang w:eastAsia="cs-CZ"/>
        </w:rPr>
        <w:t>podmínky pro podnikání</w:t>
      </w:r>
    </w:p>
    <w:p w14:paraId="5A06479E" w14:textId="51A08CEC" w:rsidR="00C60C87" w:rsidRPr="00380173" w:rsidRDefault="00C60C87" w:rsidP="00C60C87">
      <w:pPr>
        <w:tabs>
          <w:tab w:val="right" w:leader="dot" w:pos="9072"/>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w:t>
      </w:r>
      <w:r>
        <w:rPr>
          <w:rFonts w:cs="Times New Roman"/>
          <w:sz w:val="24"/>
          <w:szCs w:val="24"/>
          <w:lang w:eastAsia="cs-CZ"/>
        </w:rPr>
        <w:t xml:space="preserve">jiné: </w:t>
      </w:r>
      <w:r>
        <w:rPr>
          <w:rFonts w:cs="Times New Roman"/>
          <w:sz w:val="24"/>
          <w:szCs w:val="24"/>
          <w:lang w:eastAsia="cs-CZ"/>
        </w:rPr>
        <w:tab/>
      </w:r>
    </w:p>
    <w:p w14:paraId="3DF64F51" w14:textId="77777777" w:rsidR="00C60C87" w:rsidRDefault="00C60C87" w:rsidP="00C60C87">
      <w:pPr>
        <w:tabs>
          <w:tab w:val="left" w:pos="3402"/>
          <w:tab w:val="left" w:pos="5580"/>
        </w:tabs>
        <w:autoSpaceDE w:val="0"/>
        <w:autoSpaceDN w:val="0"/>
        <w:adjustRightInd w:val="0"/>
        <w:ind w:left="426"/>
        <w:rPr>
          <w:rFonts w:cs="Times New Roman"/>
          <w:sz w:val="24"/>
          <w:szCs w:val="24"/>
          <w:lang w:eastAsia="cs-CZ"/>
        </w:rPr>
      </w:pPr>
    </w:p>
    <w:p w14:paraId="2D4DA4E1" w14:textId="77777777" w:rsidR="00C60C87" w:rsidRDefault="00C60C87" w:rsidP="00C60C87">
      <w:pPr>
        <w:tabs>
          <w:tab w:val="left" w:pos="3402"/>
          <w:tab w:val="left" w:pos="5580"/>
        </w:tabs>
        <w:autoSpaceDE w:val="0"/>
        <w:autoSpaceDN w:val="0"/>
        <w:adjustRightInd w:val="0"/>
        <w:ind w:left="426"/>
        <w:rPr>
          <w:rFonts w:cs="Times New Roman"/>
          <w:sz w:val="24"/>
          <w:szCs w:val="24"/>
          <w:lang w:eastAsia="cs-CZ"/>
        </w:rPr>
      </w:pPr>
    </w:p>
    <w:p w14:paraId="16BB0609" w14:textId="77777777" w:rsidR="00C60C87" w:rsidRPr="00380173" w:rsidRDefault="00C60C87" w:rsidP="00C60C87">
      <w:pPr>
        <w:pStyle w:val="Odstavecseseznamem"/>
        <w:numPr>
          <w:ilvl w:val="0"/>
          <w:numId w:val="1"/>
        </w:numPr>
        <w:ind w:left="284" w:hanging="284"/>
        <w:jc w:val="both"/>
        <w:rPr>
          <w:rFonts w:cs="Times New Roman"/>
          <w:b/>
          <w:sz w:val="24"/>
          <w:szCs w:val="24"/>
          <w:lang w:eastAsia="cs-CZ"/>
        </w:rPr>
      </w:pPr>
      <w:r w:rsidRPr="00380173">
        <w:rPr>
          <w:rFonts w:cs="Times New Roman"/>
          <w:b/>
          <w:sz w:val="24"/>
          <w:szCs w:val="24"/>
          <w:lang w:eastAsia="cs-CZ"/>
        </w:rPr>
        <w:t>Co se Vám na Vaš</w:t>
      </w:r>
      <w:r>
        <w:rPr>
          <w:rFonts w:cs="Times New Roman"/>
          <w:b/>
          <w:sz w:val="24"/>
          <w:szCs w:val="24"/>
          <w:lang w:eastAsia="cs-CZ"/>
        </w:rPr>
        <w:t xml:space="preserve">í obci </w:t>
      </w:r>
      <w:r w:rsidRPr="00380173">
        <w:rPr>
          <w:rFonts w:cs="Times New Roman"/>
          <w:b/>
          <w:sz w:val="24"/>
          <w:szCs w:val="24"/>
          <w:lang w:eastAsia="cs-CZ"/>
        </w:rPr>
        <w:t xml:space="preserve">nelíbí? </w:t>
      </w:r>
      <w:r w:rsidRPr="00380173">
        <w:rPr>
          <w:rFonts w:cs="Times New Roman"/>
          <w:sz w:val="24"/>
          <w:szCs w:val="24"/>
          <w:lang w:eastAsia="cs-CZ"/>
        </w:rPr>
        <w:t xml:space="preserve">(zatrhněte maximálně </w:t>
      </w:r>
      <w:r>
        <w:rPr>
          <w:rFonts w:cs="Times New Roman"/>
          <w:sz w:val="24"/>
          <w:szCs w:val="24"/>
          <w:lang w:eastAsia="cs-CZ"/>
        </w:rPr>
        <w:t>5</w:t>
      </w:r>
      <w:r w:rsidRPr="00380173">
        <w:rPr>
          <w:rFonts w:cs="Times New Roman"/>
          <w:sz w:val="24"/>
          <w:szCs w:val="24"/>
          <w:lang w:eastAsia="cs-CZ"/>
        </w:rPr>
        <w:t xml:space="preserve"> možnost</w:t>
      </w:r>
      <w:r>
        <w:rPr>
          <w:rFonts w:cs="Times New Roman"/>
          <w:sz w:val="24"/>
          <w:szCs w:val="24"/>
          <w:lang w:eastAsia="cs-CZ"/>
        </w:rPr>
        <w:t>í</w:t>
      </w:r>
      <w:r w:rsidRPr="00380173">
        <w:rPr>
          <w:rFonts w:cs="Times New Roman"/>
          <w:sz w:val="24"/>
          <w:szCs w:val="24"/>
          <w:lang w:eastAsia="cs-CZ"/>
        </w:rPr>
        <w:t>)</w:t>
      </w:r>
    </w:p>
    <w:p w14:paraId="1FE346E3" w14:textId="51208DB4" w:rsidR="00C60C87" w:rsidRPr="00481D10"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81D10">
        <w:rPr>
          <w:rFonts w:cs="Times New Roman"/>
          <w:sz w:val="24"/>
          <w:szCs w:val="24"/>
          <w:lang w:eastAsia="cs-CZ"/>
        </w:rPr>
        <w:t xml:space="preserve"> špatné vztahy mezi lidmi</w:t>
      </w:r>
    </w:p>
    <w:p w14:paraId="6D232E1B" w14:textId="4E36D028" w:rsidR="00C60C87" w:rsidRPr="00481D10"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81D10">
        <w:rPr>
          <w:rFonts w:cs="Times New Roman"/>
          <w:sz w:val="24"/>
          <w:szCs w:val="24"/>
          <w:lang w:eastAsia="cs-CZ"/>
        </w:rPr>
        <w:t xml:space="preserve"> </w:t>
      </w:r>
      <w:r>
        <w:rPr>
          <w:rFonts w:cs="Times New Roman"/>
          <w:sz w:val="24"/>
          <w:szCs w:val="24"/>
          <w:lang w:eastAsia="cs-CZ"/>
        </w:rPr>
        <w:t>nezájem lidí o obec</w:t>
      </w:r>
    </w:p>
    <w:p w14:paraId="79ACB21F" w14:textId="5FC6C92E" w:rsidR="00C60C87" w:rsidRPr="00481D10"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81D10">
        <w:rPr>
          <w:rFonts w:cs="Times New Roman"/>
          <w:sz w:val="24"/>
          <w:szCs w:val="24"/>
          <w:lang w:eastAsia="cs-CZ"/>
        </w:rPr>
        <w:t xml:space="preserve"> málo kvalitní životní prostředí</w:t>
      </w:r>
    </w:p>
    <w:p w14:paraId="713A5A40" w14:textId="536017C7" w:rsidR="00C60C87" w:rsidRPr="00481D10"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81D10">
        <w:rPr>
          <w:rFonts w:cs="Times New Roman"/>
          <w:sz w:val="24"/>
          <w:szCs w:val="24"/>
          <w:lang w:eastAsia="cs-CZ"/>
        </w:rPr>
        <w:t xml:space="preserve"> nedostatek pracovních příležitostí</w:t>
      </w:r>
    </w:p>
    <w:p w14:paraId="66A5475A" w14:textId="044C69F0"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81D10">
        <w:rPr>
          <w:rFonts w:cs="Times New Roman"/>
          <w:sz w:val="24"/>
          <w:szCs w:val="24"/>
          <w:lang w:eastAsia="cs-CZ"/>
        </w:rPr>
        <w:t xml:space="preserve"> </w:t>
      </w:r>
      <w:r>
        <w:rPr>
          <w:rFonts w:cs="Times New Roman"/>
          <w:sz w:val="24"/>
          <w:szCs w:val="24"/>
          <w:lang w:eastAsia="cs-CZ"/>
        </w:rPr>
        <w:t>absence</w:t>
      </w:r>
      <w:r w:rsidRPr="00481D10">
        <w:rPr>
          <w:rFonts w:cs="Times New Roman"/>
          <w:sz w:val="24"/>
          <w:szCs w:val="24"/>
          <w:lang w:eastAsia="cs-CZ"/>
        </w:rPr>
        <w:t xml:space="preserve"> </w:t>
      </w:r>
      <w:r>
        <w:rPr>
          <w:rFonts w:cs="Times New Roman"/>
          <w:sz w:val="24"/>
          <w:szCs w:val="24"/>
          <w:lang w:eastAsia="cs-CZ"/>
        </w:rPr>
        <w:t xml:space="preserve">základních </w:t>
      </w:r>
      <w:r w:rsidRPr="00481D10">
        <w:rPr>
          <w:rFonts w:cs="Times New Roman"/>
          <w:sz w:val="24"/>
          <w:szCs w:val="24"/>
          <w:lang w:eastAsia="cs-CZ"/>
        </w:rPr>
        <w:t>obchodů a služeb</w:t>
      </w:r>
      <w:r>
        <w:rPr>
          <w:rFonts w:cs="Times New Roman"/>
          <w:sz w:val="24"/>
          <w:szCs w:val="24"/>
          <w:lang w:eastAsia="cs-CZ"/>
        </w:rPr>
        <w:t xml:space="preserve"> typu potraviny apod.</w:t>
      </w:r>
    </w:p>
    <w:p w14:paraId="6DAF3C82" w14:textId="12A21AB2" w:rsidR="00C60C87" w:rsidRPr="00481D10"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81D10">
        <w:rPr>
          <w:rFonts w:cs="Times New Roman"/>
          <w:sz w:val="24"/>
          <w:szCs w:val="24"/>
          <w:lang w:eastAsia="cs-CZ"/>
        </w:rPr>
        <w:t xml:space="preserve"> nedostatečný kulturní a společenský život</w:t>
      </w:r>
    </w:p>
    <w:p w14:paraId="76B127E2" w14:textId="1AC91E95"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81D10">
        <w:rPr>
          <w:rFonts w:cs="Times New Roman"/>
          <w:sz w:val="24"/>
          <w:szCs w:val="24"/>
          <w:lang w:eastAsia="cs-CZ"/>
        </w:rPr>
        <w:t xml:space="preserve"> </w:t>
      </w:r>
      <w:r>
        <w:rPr>
          <w:rFonts w:cs="Times New Roman"/>
          <w:sz w:val="24"/>
          <w:szCs w:val="24"/>
          <w:lang w:eastAsia="cs-CZ"/>
        </w:rPr>
        <w:t>blízkost Trutnova</w:t>
      </w:r>
    </w:p>
    <w:p w14:paraId="0553EF3C" w14:textId="6B4F44D3"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81D10">
        <w:rPr>
          <w:rFonts w:cs="Times New Roman"/>
          <w:sz w:val="24"/>
          <w:szCs w:val="24"/>
          <w:lang w:eastAsia="cs-CZ"/>
        </w:rPr>
        <w:t xml:space="preserve"> </w:t>
      </w:r>
      <w:r>
        <w:rPr>
          <w:rFonts w:cs="Times New Roman"/>
          <w:sz w:val="24"/>
          <w:szCs w:val="24"/>
          <w:lang w:eastAsia="cs-CZ"/>
        </w:rPr>
        <w:t>absence školy</w:t>
      </w:r>
    </w:p>
    <w:p w14:paraId="000D7418" w14:textId="3BEC0A7D"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w:t>
      </w:r>
      <w:r>
        <w:rPr>
          <w:rFonts w:cs="Times New Roman"/>
          <w:sz w:val="24"/>
          <w:szCs w:val="24"/>
          <w:lang w:eastAsia="cs-CZ"/>
        </w:rPr>
        <w:t>kvalita</w:t>
      </w:r>
      <w:r w:rsidRPr="00380173">
        <w:rPr>
          <w:rFonts w:cs="Times New Roman"/>
          <w:sz w:val="24"/>
          <w:szCs w:val="24"/>
          <w:lang w:eastAsia="cs-CZ"/>
        </w:rPr>
        <w:t xml:space="preserve"> </w:t>
      </w:r>
      <w:r>
        <w:rPr>
          <w:rFonts w:cs="Times New Roman"/>
          <w:sz w:val="24"/>
          <w:szCs w:val="24"/>
          <w:lang w:eastAsia="cs-CZ"/>
        </w:rPr>
        <w:t>dopravní infrastruktury (místní komunikace apod.)</w:t>
      </w:r>
    </w:p>
    <w:p w14:paraId="1F2B5F0A" w14:textId="4F66E390" w:rsidR="00C60C87" w:rsidRPr="00481D10"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81D10">
        <w:rPr>
          <w:rFonts w:cs="Times New Roman"/>
          <w:sz w:val="24"/>
          <w:szCs w:val="24"/>
          <w:lang w:eastAsia="cs-CZ"/>
        </w:rPr>
        <w:t xml:space="preserve"> </w:t>
      </w:r>
      <w:r>
        <w:rPr>
          <w:rFonts w:cs="Times New Roman"/>
          <w:sz w:val="24"/>
          <w:szCs w:val="24"/>
          <w:lang w:eastAsia="cs-CZ"/>
        </w:rPr>
        <w:t>absence zdravotní péče</w:t>
      </w:r>
    </w:p>
    <w:p w14:paraId="5DE9BD74" w14:textId="392E02E4" w:rsidR="00C60C87" w:rsidRPr="00481D10"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81D10">
        <w:rPr>
          <w:rFonts w:cs="Times New Roman"/>
          <w:sz w:val="24"/>
          <w:szCs w:val="24"/>
          <w:lang w:eastAsia="cs-CZ"/>
        </w:rPr>
        <w:t xml:space="preserve"> nevyhovující veřejná doprava</w:t>
      </w:r>
    </w:p>
    <w:p w14:paraId="6B15E2CE" w14:textId="1F5FD574" w:rsidR="00C60C87" w:rsidRPr="00481D10"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81D10">
        <w:rPr>
          <w:rFonts w:cs="Times New Roman"/>
          <w:sz w:val="24"/>
          <w:szCs w:val="24"/>
          <w:lang w:eastAsia="cs-CZ"/>
        </w:rPr>
        <w:t xml:space="preserve"> nedostatečná bytová výstavba</w:t>
      </w:r>
    </w:p>
    <w:p w14:paraId="41AAE69B" w14:textId="48719A49" w:rsidR="00C60C87" w:rsidRPr="00481D10"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nepořádek v obci</w:t>
      </w:r>
    </w:p>
    <w:p w14:paraId="545DA631" w14:textId="7E348203" w:rsidR="00C60C87" w:rsidRPr="00481D10"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81D10">
        <w:rPr>
          <w:rFonts w:cs="Times New Roman"/>
          <w:sz w:val="24"/>
          <w:szCs w:val="24"/>
          <w:lang w:eastAsia="cs-CZ"/>
        </w:rPr>
        <w:t xml:space="preserve"> špatné podmínky pro podnikání</w:t>
      </w:r>
    </w:p>
    <w:p w14:paraId="27BD967F" w14:textId="321BBA1A" w:rsidR="00C60C87" w:rsidRPr="00380173" w:rsidRDefault="00C60C87" w:rsidP="00C60C87">
      <w:pPr>
        <w:tabs>
          <w:tab w:val="right" w:leader="dot" w:pos="9072"/>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380173">
        <w:rPr>
          <w:rFonts w:cs="Times New Roman"/>
          <w:sz w:val="24"/>
          <w:szCs w:val="24"/>
          <w:lang w:eastAsia="cs-CZ"/>
        </w:rPr>
        <w:t xml:space="preserve"> </w:t>
      </w:r>
      <w:r>
        <w:rPr>
          <w:rFonts w:cs="Times New Roman"/>
          <w:sz w:val="24"/>
          <w:szCs w:val="24"/>
          <w:lang w:eastAsia="cs-CZ"/>
        </w:rPr>
        <w:t xml:space="preserve">jiné: </w:t>
      </w:r>
      <w:r>
        <w:rPr>
          <w:rFonts w:cs="Times New Roman"/>
          <w:sz w:val="24"/>
          <w:szCs w:val="24"/>
          <w:lang w:eastAsia="cs-CZ"/>
        </w:rPr>
        <w:tab/>
      </w:r>
    </w:p>
    <w:p w14:paraId="2F4340CF" w14:textId="77777777" w:rsidR="00C60C87" w:rsidRDefault="00C60C87" w:rsidP="00C60C87">
      <w:pPr>
        <w:jc w:val="both"/>
        <w:rPr>
          <w:rFonts w:cs="Times New Roman"/>
          <w:sz w:val="24"/>
          <w:szCs w:val="24"/>
          <w:lang w:eastAsia="cs-CZ"/>
        </w:rPr>
      </w:pPr>
    </w:p>
    <w:p w14:paraId="421A014B" w14:textId="77777777" w:rsidR="00C60C87" w:rsidRDefault="00C60C87" w:rsidP="00C60C87">
      <w:pPr>
        <w:jc w:val="both"/>
        <w:rPr>
          <w:rFonts w:cs="Times New Roman"/>
          <w:sz w:val="24"/>
          <w:szCs w:val="24"/>
          <w:lang w:eastAsia="cs-CZ"/>
        </w:rPr>
      </w:pPr>
    </w:p>
    <w:p w14:paraId="7AB067A5" w14:textId="77777777" w:rsidR="00C60C87" w:rsidRDefault="00C60C87" w:rsidP="00C60C87">
      <w:pPr>
        <w:jc w:val="both"/>
        <w:rPr>
          <w:rFonts w:cs="Times New Roman"/>
          <w:sz w:val="24"/>
          <w:szCs w:val="24"/>
          <w:lang w:eastAsia="cs-CZ"/>
        </w:rPr>
      </w:pPr>
    </w:p>
    <w:p w14:paraId="5C851721" w14:textId="77777777" w:rsidR="00C60C87" w:rsidRPr="00933E05" w:rsidRDefault="00C60C87" w:rsidP="00C60C87">
      <w:pPr>
        <w:pStyle w:val="Odstavecseseznamem"/>
        <w:numPr>
          <w:ilvl w:val="0"/>
          <w:numId w:val="1"/>
        </w:numPr>
        <w:tabs>
          <w:tab w:val="right" w:leader="dot" w:pos="9072"/>
        </w:tabs>
        <w:spacing w:after="120"/>
        <w:ind w:left="284" w:hanging="284"/>
        <w:contextualSpacing w:val="0"/>
        <w:jc w:val="both"/>
        <w:rPr>
          <w:rFonts w:cs="Times New Roman"/>
          <w:b/>
          <w:sz w:val="24"/>
          <w:szCs w:val="24"/>
          <w:lang w:eastAsia="cs-CZ"/>
        </w:rPr>
      </w:pPr>
      <w:r w:rsidRPr="00933E05">
        <w:rPr>
          <w:rFonts w:cs="Times New Roman"/>
          <w:b/>
          <w:sz w:val="24"/>
          <w:szCs w:val="24"/>
          <w:lang w:eastAsia="cs-CZ"/>
        </w:rPr>
        <w:t>Jaké služby Vám v</w:t>
      </w:r>
      <w:r>
        <w:rPr>
          <w:rFonts w:cs="Times New Roman"/>
          <w:b/>
          <w:sz w:val="24"/>
          <w:szCs w:val="24"/>
          <w:lang w:eastAsia="cs-CZ"/>
        </w:rPr>
        <w:t xml:space="preserve"> obci </w:t>
      </w:r>
      <w:r w:rsidRPr="00933E05">
        <w:rPr>
          <w:rFonts w:cs="Times New Roman"/>
          <w:b/>
          <w:sz w:val="24"/>
          <w:szCs w:val="24"/>
          <w:lang w:eastAsia="cs-CZ"/>
        </w:rPr>
        <w:t>nejvíce chybí?</w:t>
      </w:r>
      <w:r>
        <w:rPr>
          <w:rFonts w:cs="Times New Roman"/>
          <w:b/>
          <w:sz w:val="24"/>
          <w:szCs w:val="24"/>
          <w:lang w:eastAsia="cs-CZ"/>
        </w:rPr>
        <w:t xml:space="preserve"> Uveďte prosím konkrétně </w:t>
      </w:r>
      <w:r w:rsidRPr="0069195B">
        <w:rPr>
          <w:rFonts w:cs="Times New Roman"/>
          <w:bCs/>
          <w:sz w:val="24"/>
          <w:szCs w:val="24"/>
          <w:lang w:eastAsia="cs-CZ"/>
        </w:rPr>
        <w:t>(např.</w:t>
      </w:r>
      <w:r>
        <w:rPr>
          <w:rFonts w:cs="Times New Roman"/>
          <w:bCs/>
          <w:sz w:val="24"/>
          <w:szCs w:val="24"/>
          <w:lang w:eastAsia="cs-CZ"/>
        </w:rPr>
        <w:t xml:space="preserve"> drogerie, prodejna potravin, praktický lékař, konkrétní sportovní vybavenost apod.)</w:t>
      </w:r>
      <w:r w:rsidRPr="00933E05">
        <w:rPr>
          <w:rFonts w:cs="Times New Roman"/>
          <w:b/>
          <w:sz w:val="24"/>
          <w:szCs w:val="24"/>
          <w:lang w:eastAsia="cs-CZ"/>
        </w:rPr>
        <w:t xml:space="preserve"> </w:t>
      </w:r>
      <w:r w:rsidRPr="00855048">
        <w:rPr>
          <w:rFonts w:cs="Times New Roman"/>
          <w:sz w:val="24"/>
          <w:szCs w:val="24"/>
          <w:lang w:eastAsia="cs-CZ"/>
        </w:rPr>
        <w:tab/>
      </w:r>
    </w:p>
    <w:p w14:paraId="78D5464B" w14:textId="77777777" w:rsidR="00C60C87" w:rsidRDefault="00C60C87" w:rsidP="00C60C87">
      <w:pPr>
        <w:tabs>
          <w:tab w:val="right" w:leader="dot" w:pos="9072"/>
        </w:tabs>
        <w:autoSpaceDE w:val="0"/>
        <w:autoSpaceDN w:val="0"/>
        <w:adjustRightInd w:val="0"/>
        <w:spacing w:after="120"/>
        <w:ind w:left="426"/>
        <w:rPr>
          <w:rFonts w:cs="Times New Roman"/>
          <w:sz w:val="24"/>
          <w:szCs w:val="24"/>
          <w:lang w:eastAsia="cs-CZ"/>
        </w:rPr>
      </w:pPr>
      <w:r>
        <w:rPr>
          <w:rFonts w:cs="Times New Roman"/>
          <w:sz w:val="24"/>
          <w:szCs w:val="24"/>
          <w:lang w:eastAsia="cs-CZ"/>
        </w:rPr>
        <w:tab/>
      </w:r>
    </w:p>
    <w:p w14:paraId="28F6AE5F" w14:textId="7EAD316F" w:rsidR="00C60C87" w:rsidRDefault="00C60C87" w:rsidP="00C60C87">
      <w:pPr>
        <w:tabs>
          <w:tab w:val="right" w:leader="dot" w:pos="9072"/>
        </w:tabs>
        <w:autoSpaceDE w:val="0"/>
        <w:autoSpaceDN w:val="0"/>
        <w:adjustRightInd w:val="0"/>
        <w:ind w:left="426"/>
        <w:rPr>
          <w:rFonts w:cs="Times New Roman"/>
          <w:sz w:val="24"/>
          <w:szCs w:val="24"/>
          <w:lang w:eastAsia="cs-CZ"/>
        </w:rPr>
      </w:pPr>
      <w:r>
        <w:rPr>
          <w:rFonts w:cs="Times New Roman"/>
          <w:sz w:val="24"/>
          <w:szCs w:val="24"/>
          <w:lang w:eastAsia="cs-CZ"/>
        </w:rPr>
        <w:tab/>
      </w:r>
    </w:p>
    <w:p w14:paraId="554E6BDB" w14:textId="3C8C8634" w:rsidR="00C60C87" w:rsidRDefault="00C60C87" w:rsidP="00C60C87">
      <w:pPr>
        <w:tabs>
          <w:tab w:val="right" w:leader="dot" w:pos="9072"/>
        </w:tabs>
        <w:autoSpaceDE w:val="0"/>
        <w:autoSpaceDN w:val="0"/>
        <w:adjustRightInd w:val="0"/>
        <w:ind w:left="426"/>
        <w:rPr>
          <w:rFonts w:cs="Times New Roman"/>
          <w:sz w:val="24"/>
          <w:szCs w:val="24"/>
          <w:lang w:eastAsia="cs-CZ"/>
        </w:rPr>
      </w:pPr>
    </w:p>
    <w:p w14:paraId="760543F7" w14:textId="430D5B15" w:rsidR="00C60C87" w:rsidRDefault="00C60C87" w:rsidP="00C60C87">
      <w:pPr>
        <w:tabs>
          <w:tab w:val="right" w:leader="dot" w:pos="9072"/>
        </w:tabs>
        <w:autoSpaceDE w:val="0"/>
        <w:autoSpaceDN w:val="0"/>
        <w:adjustRightInd w:val="0"/>
        <w:ind w:left="426"/>
        <w:rPr>
          <w:rFonts w:cs="Times New Roman"/>
          <w:sz w:val="24"/>
          <w:szCs w:val="24"/>
          <w:lang w:eastAsia="cs-CZ"/>
        </w:rPr>
      </w:pPr>
    </w:p>
    <w:p w14:paraId="726C144F" w14:textId="77777777" w:rsidR="00C60C87" w:rsidRPr="00933E05" w:rsidRDefault="00C60C87" w:rsidP="00C60C87">
      <w:pPr>
        <w:tabs>
          <w:tab w:val="right" w:leader="dot" w:pos="9072"/>
        </w:tabs>
        <w:autoSpaceDE w:val="0"/>
        <w:autoSpaceDN w:val="0"/>
        <w:adjustRightInd w:val="0"/>
        <w:ind w:left="426"/>
        <w:rPr>
          <w:rFonts w:cs="Times New Roman"/>
          <w:sz w:val="24"/>
          <w:szCs w:val="24"/>
          <w:lang w:eastAsia="cs-CZ"/>
        </w:rPr>
      </w:pPr>
    </w:p>
    <w:p w14:paraId="1A8C478F" w14:textId="77777777" w:rsidR="00C60C87" w:rsidRDefault="00C60C87" w:rsidP="00C60C87">
      <w:pPr>
        <w:jc w:val="both"/>
        <w:rPr>
          <w:rFonts w:cs="Times New Roman"/>
          <w:sz w:val="24"/>
          <w:szCs w:val="24"/>
          <w:lang w:eastAsia="cs-CZ"/>
        </w:rPr>
      </w:pPr>
    </w:p>
    <w:p w14:paraId="12A1F2A6" w14:textId="77777777" w:rsidR="00C60C87" w:rsidRPr="00933E05" w:rsidRDefault="00C60C87" w:rsidP="00C60C87">
      <w:pPr>
        <w:pStyle w:val="Odstavecseseznamem"/>
        <w:numPr>
          <w:ilvl w:val="0"/>
          <w:numId w:val="1"/>
        </w:numPr>
        <w:tabs>
          <w:tab w:val="right" w:leader="dot" w:pos="9072"/>
        </w:tabs>
        <w:ind w:left="284" w:hanging="284"/>
        <w:jc w:val="both"/>
        <w:rPr>
          <w:rFonts w:cs="Times New Roman"/>
          <w:b/>
          <w:sz w:val="24"/>
          <w:szCs w:val="24"/>
          <w:lang w:eastAsia="cs-CZ"/>
        </w:rPr>
      </w:pPr>
      <w:r w:rsidRPr="00933E05">
        <w:rPr>
          <w:rFonts w:cs="Times New Roman"/>
          <w:b/>
          <w:sz w:val="24"/>
          <w:szCs w:val="24"/>
          <w:lang w:eastAsia="cs-CZ"/>
        </w:rPr>
        <w:lastRenderedPageBreak/>
        <w:t xml:space="preserve">Pokuste se zhodnotit </w:t>
      </w:r>
      <w:r>
        <w:rPr>
          <w:rFonts w:cs="Times New Roman"/>
          <w:b/>
          <w:sz w:val="24"/>
          <w:szCs w:val="24"/>
          <w:lang w:eastAsia="cs-CZ"/>
        </w:rPr>
        <w:t>obec</w:t>
      </w:r>
      <w:r w:rsidRPr="00933E05">
        <w:rPr>
          <w:rFonts w:cs="Times New Roman"/>
          <w:b/>
          <w:sz w:val="24"/>
          <w:szCs w:val="24"/>
          <w:lang w:eastAsia="cs-CZ"/>
        </w:rPr>
        <w:t xml:space="preserve"> z hlediska níže uvedených podmínek</w:t>
      </w:r>
    </w:p>
    <w:p w14:paraId="69E67889" w14:textId="77777777" w:rsidR="00C60C87" w:rsidRDefault="00C60C87" w:rsidP="00C60C87">
      <w:pPr>
        <w:ind w:left="284"/>
        <w:jc w:val="both"/>
        <w:rPr>
          <w:rFonts w:cs="Times New Roman"/>
          <w:sz w:val="24"/>
          <w:szCs w:val="24"/>
          <w:lang w:eastAsia="cs-CZ"/>
        </w:rPr>
      </w:pPr>
      <w:r w:rsidRPr="00933E05">
        <w:rPr>
          <w:rFonts w:cs="Times New Roman"/>
          <w:sz w:val="24"/>
          <w:szCs w:val="24"/>
          <w:lang w:eastAsia="cs-CZ"/>
        </w:rPr>
        <w:t>(v každém řádku zakroužkujte číslici, která odpovídá míře Vaší spokojenosti):</w:t>
      </w:r>
    </w:p>
    <w:tbl>
      <w:tblPr>
        <w:tblStyle w:val="Mkatabulky"/>
        <w:tblW w:w="9647" w:type="dxa"/>
        <w:jc w:val="center"/>
        <w:tblLayout w:type="fixed"/>
        <w:tblLook w:val="04A0" w:firstRow="1" w:lastRow="0" w:firstColumn="1" w:lastColumn="0" w:noHBand="0" w:noVBand="1"/>
      </w:tblPr>
      <w:tblGrid>
        <w:gridCol w:w="568"/>
        <w:gridCol w:w="3119"/>
        <w:gridCol w:w="1134"/>
        <w:gridCol w:w="1134"/>
        <w:gridCol w:w="1275"/>
        <w:gridCol w:w="1276"/>
        <w:gridCol w:w="1141"/>
      </w:tblGrid>
      <w:tr w:rsidR="00C60C87" w14:paraId="4B41C95B" w14:textId="77777777" w:rsidTr="009A7AC2">
        <w:trPr>
          <w:jc w:val="center"/>
        </w:trPr>
        <w:tc>
          <w:tcPr>
            <w:tcW w:w="568" w:type="dxa"/>
          </w:tcPr>
          <w:p w14:paraId="49AAFC61" w14:textId="77777777" w:rsidR="00C60C87" w:rsidRDefault="00C60C87" w:rsidP="009A7AC2">
            <w:pPr>
              <w:jc w:val="center"/>
              <w:rPr>
                <w:rFonts w:cs="Times New Roman"/>
                <w:sz w:val="24"/>
                <w:szCs w:val="24"/>
                <w:lang w:eastAsia="cs-CZ"/>
              </w:rPr>
            </w:pPr>
          </w:p>
        </w:tc>
        <w:tc>
          <w:tcPr>
            <w:tcW w:w="3119" w:type="dxa"/>
          </w:tcPr>
          <w:p w14:paraId="3FA1028F" w14:textId="77777777" w:rsidR="00C60C87" w:rsidRDefault="00C60C87" w:rsidP="009A7AC2">
            <w:pPr>
              <w:jc w:val="center"/>
              <w:rPr>
                <w:rFonts w:cs="Times New Roman"/>
                <w:sz w:val="24"/>
                <w:szCs w:val="24"/>
                <w:lang w:eastAsia="cs-CZ"/>
              </w:rPr>
            </w:pPr>
          </w:p>
        </w:tc>
        <w:tc>
          <w:tcPr>
            <w:tcW w:w="1134" w:type="dxa"/>
          </w:tcPr>
          <w:p w14:paraId="1EEC0251" w14:textId="77777777" w:rsidR="00C60C87" w:rsidRPr="00245CE9" w:rsidRDefault="00C60C87" w:rsidP="009A7AC2">
            <w:pPr>
              <w:jc w:val="center"/>
              <w:rPr>
                <w:rFonts w:cs="Times New Roman"/>
                <w:lang w:eastAsia="cs-CZ"/>
              </w:rPr>
            </w:pPr>
            <w:r w:rsidRPr="00245CE9">
              <w:rPr>
                <w:rFonts w:cs="Times New Roman"/>
                <w:lang w:eastAsia="cs-CZ"/>
              </w:rPr>
              <w:t>Velmi spokojen</w:t>
            </w:r>
          </w:p>
        </w:tc>
        <w:tc>
          <w:tcPr>
            <w:tcW w:w="1134" w:type="dxa"/>
          </w:tcPr>
          <w:p w14:paraId="5F219326" w14:textId="77777777" w:rsidR="00C60C87" w:rsidRPr="00245CE9" w:rsidRDefault="00C60C87" w:rsidP="009A7AC2">
            <w:pPr>
              <w:jc w:val="center"/>
              <w:rPr>
                <w:rFonts w:cs="Times New Roman"/>
                <w:lang w:eastAsia="cs-CZ"/>
              </w:rPr>
            </w:pPr>
            <w:r w:rsidRPr="00245CE9">
              <w:rPr>
                <w:rFonts w:cs="Times New Roman"/>
                <w:lang w:eastAsia="cs-CZ"/>
              </w:rPr>
              <w:t>Spíše spokojen</w:t>
            </w:r>
          </w:p>
        </w:tc>
        <w:tc>
          <w:tcPr>
            <w:tcW w:w="1275" w:type="dxa"/>
          </w:tcPr>
          <w:p w14:paraId="2616FBB6" w14:textId="77777777" w:rsidR="00C60C87" w:rsidRPr="00245CE9" w:rsidRDefault="00C60C87" w:rsidP="009A7AC2">
            <w:pPr>
              <w:jc w:val="center"/>
              <w:rPr>
                <w:rFonts w:cs="Times New Roman"/>
                <w:lang w:eastAsia="cs-CZ"/>
              </w:rPr>
            </w:pPr>
            <w:r w:rsidRPr="00245CE9">
              <w:rPr>
                <w:rFonts w:cs="Times New Roman"/>
                <w:lang w:eastAsia="cs-CZ"/>
              </w:rPr>
              <w:t>Spíše nespokojen</w:t>
            </w:r>
          </w:p>
        </w:tc>
        <w:tc>
          <w:tcPr>
            <w:tcW w:w="1276" w:type="dxa"/>
          </w:tcPr>
          <w:p w14:paraId="5AC345F7" w14:textId="77777777" w:rsidR="00C60C87" w:rsidRPr="00245CE9" w:rsidRDefault="00C60C87" w:rsidP="009A7AC2">
            <w:pPr>
              <w:jc w:val="center"/>
              <w:rPr>
                <w:rFonts w:cs="Times New Roman"/>
                <w:lang w:eastAsia="cs-CZ"/>
              </w:rPr>
            </w:pPr>
            <w:r w:rsidRPr="00245CE9">
              <w:rPr>
                <w:rFonts w:cs="Times New Roman"/>
                <w:lang w:eastAsia="cs-CZ"/>
              </w:rPr>
              <w:t>Velmi nespokojen</w:t>
            </w:r>
          </w:p>
        </w:tc>
        <w:tc>
          <w:tcPr>
            <w:tcW w:w="1141" w:type="dxa"/>
          </w:tcPr>
          <w:p w14:paraId="105FEE33" w14:textId="77777777" w:rsidR="00C60C87" w:rsidRPr="00245CE9" w:rsidRDefault="00C60C87" w:rsidP="009A7AC2">
            <w:pPr>
              <w:jc w:val="center"/>
              <w:rPr>
                <w:rFonts w:cs="Times New Roman"/>
                <w:lang w:eastAsia="cs-CZ"/>
              </w:rPr>
            </w:pPr>
            <w:r>
              <w:rPr>
                <w:rFonts w:cs="Times New Roman"/>
                <w:lang w:eastAsia="cs-CZ"/>
              </w:rPr>
              <w:t>Je mi to lhostejné</w:t>
            </w:r>
          </w:p>
        </w:tc>
      </w:tr>
      <w:tr w:rsidR="00C60C87" w14:paraId="1F178397" w14:textId="77777777" w:rsidTr="009A7AC2">
        <w:trPr>
          <w:jc w:val="center"/>
        </w:trPr>
        <w:tc>
          <w:tcPr>
            <w:tcW w:w="568" w:type="dxa"/>
          </w:tcPr>
          <w:p w14:paraId="35D6960E" w14:textId="77777777" w:rsidR="00C60C87" w:rsidRPr="00245CE9" w:rsidRDefault="00C60C87" w:rsidP="009A7AC2">
            <w:pPr>
              <w:jc w:val="center"/>
              <w:rPr>
                <w:rFonts w:cs="Times New Roman"/>
                <w:lang w:eastAsia="cs-CZ"/>
              </w:rPr>
            </w:pPr>
            <w:r w:rsidRPr="00245CE9">
              <w:rPr>
                <w:rFonts w:cs="Times New Roman"/>
                <w:lang w:eastAsia="cs-CZ"/>
              </w:rPr>
              <w:t>1</w:t>
            </w:r>
          </w:p>
        </w:tc>
        <w:tc>
          <w:tcPr>
            <w:tcW w:w="3119" w:type="dxa"/>
          </w:tcPr>
          <w:p w14:paraId="04476371" w14:textId="77777777" w:rsidR="00C60C87" w:rsidRPr="00245CE9" w:rsidRDefault="00C60C87" w:rsidP="009A7AC2">
            <w:pPr>
              <w:rPr>
                <w:rFonts w:cs="Times New Roman"/>
                <w:b/>
                <w:lang w:eastAsia="cs-CZ"/>
              </w:rPr>
            </w:pPr>
            <w:r w:rsidRPr="00245CE9">
              <w:rPr>
                <w:rFonts w:cs="Times New Roman"/>
                <w:b/>
                <w:lang w:eastAsia="cs-CZ"/>
              </w:rPr>
              <w:t>Bydlení</w:t>
            </w:r>
          </w:p>
        </w:tc>
        <w:tc>
          <w:tcPr>
            <w:tcW w:w="1134" w:type="dxa"/>
          </w:tcPr>
          <w:p w14:paraId="41BE9D0C" w14:textId="77777777" w:rsidR="00C60C87" w:rsidRDefault="00C60C87" w:rsidP="009A7AC2">
            <w:pPr>
              <w:jc w:val="center"/>
              <w:rPr>
                <w:rFonts w:cs="Times New Roman"/>
                <w:sz w:val="24"/>
                <w:szCs w:val="24"/>
                <w:lang w:eastAsia="cs-CZ"/>
              </w:rPr>
            </w:pPr>
            <w:r>
              <w:rPr>
                <w:rFonts w:cs="Times New Roman"/>
                <w:sz w:val="24"/>
                <w:szCs w:val="24"/>
                <w:lang w:eastAsia="cs-CZ"/>
              </w:rPr>
              <w:t>1</w:t>
            </w:r>
          </w:p>
        </w:tc>
        <w:tc>
          <w:tcPr>
            <w:tcW w:w="1134" w:type="dxa"/>
          </w:tcPr>
          <w:p w14:paraId="489BBBA3" w14:textId="77777777" w:rsidR="00C60C87" w:rsidRDefault="00C60C87" w:rsidP="009A7AC2">
            <w:pPr>
              <w:jc w:val="center"/>
              <w:rPr>
                <w:rFonts w:cs="Times New Roman"/>
                <w:sz w:val="24"/>
                <w:szCs w:val="24"/>
                <w:lang w:eastAsia="cs-CZ"/>
              </w:rPr>
            </w:pPr>
            <w:r>
              <w:rPr>
                <w:rFonts w:cs="Times New Roman"/>
                <w:sz w:val="24"/>
                <w:szCs w:val="24"/>
                <w:lang w:eastAsia="cs-CZ"/>
              </w:rPr>
              <w:t>2</w:t>
            </w:r>
          </w:p>
        </w:tc>
        <w:tc>
          <w:tcPr>
            <w:tcW w:w="1275" w:type="dxa"/>
          </w:tcPr>
          <w:p w14:paraId="197A33BC" w14:textId="77777777" w:rsidR="00C60C87" w:rsidRDefault="00C60C87" w:rsidP="009A7AC2">
            <w:pPr>
              <w:jc w:val="center"/>
              <w:rPr>
                <w:rFonts w:cs="Times New Roman"/>
                <w:sz w:val="24"/>
                <w:szCs w:val="24"/>
                <w:lang w:eastAsia="cs-CZ"/>
              </w:rPr>
            </w:pPr>
            <w:r>
              <w:rPr>
                <w:rFonts w:cs="Times New Roman"/>
                <w:sz w:val="24"/>
                <w:szCs w:val="24"/>
                <w:lang w:eastAsia="cs-CZ"/>
              </w:rPr>
              <w:t>3</w:t>
            </w:r>
          </w:p>
        </w:tc>
        <w:tc>
          <w:tcPr>
            <w:tcW w:w="1276" w:type="dxa"/>
          </w:tcPr>
          <w:p w14:paraId="001F6CC5" w14:textId="77777777" w:rsidR="00C60C87" w:rsidRDefault="00C60C87" w:rsidP="009A7AC2">
            <w:pPr>
              <w:jc w:val="center"/>
              <w:rPr>
                <w:rFonts w:cs="Times New Roman"/>
                <w:sz w:val="24"/>
                <w:szCs w:val="24"/>
                <w:lang w:eastAsia="cs-CZ"/>
              </w:rPr>
            </w:pPr>
            <w:r>
              <w:rPr>
                <w:rFonts w:cs="Times New Roman"/>
                <w:sz w:val="24"/>
                <w:szCs w:val="24"/>
                <w:lang w:eastAsia="cs-CZ"/>
              </w:rPr>
              <w:t>4</w:t>
            </w:r>
          </w:p>
        </w:tc>
        <w:tc>
          <w:tcPr>
            <w:tcW w:w="1141" w:type="dxa"/>
          </w:tcPr>
          <w:p w14:paraId="509C8141" w14:textId="77777777" w:rsidR="00C60C87" w:rsidRDefault="00C60C87" w:rsidP="009A7AC2">
            <w:pPr>
              <w:jc w:val="center"/>
              <w:rPr>
                <w:rFonts w:cs="Times New Roman"/>
                <w:sz w:val="24"/>
                <w:szCs w:val="24"/>
                <w:lang w:eastAsia="cs-CZ"/>
              </w:rPr>
            </w:pPr>
            <w:r>
              <w:rPr>
                <w:rFonts w:cs="Times New Roman"/>
                <w:sz w:val="24"/>
                <w:szCs w:val="24"/>
                <w:lang w:eastAsia="cs-CZ"/>
              </w:rPr>
              <w:t>5</w:t>
            </w:r>
          </w:p>
        </w:tc>
      </w:tr>
      <w:tr w:rsidR="00C60C87" w14:paraId="56BC35FA" w14:textId="77777777" w:rsidTr="009A7AC2">
        <w:trPr>
          <w:jc w:val="center"/>
        </w:trPr>
        <w:tc>
          <w:tcPr>
            <w:tcW w:w="568" w:type="dxa"/>
          </w:tcPr>
          <w:p w14:paraId="64200C13" w14:textId="77777777" w:rsidR="00C60C87" w:rsidRPr="00245CE9" w:rsidRDefault="00C60C87" w:rsidP="009A7AC2">
            <w:pPr>
              <w:jc w:val="center"/>
              <w:rPr>
                <w:rFonts w:cs="Times New Roman"/>
                <w:lang w:eastAsia="cs-CZ"/>
              </w:rPr>
            </w:pPr>
            <w:r>
              <w:rPr>
                <w:rFonts w:cs="Times New Roman"/>
                <w:lang w:eastAsia="cs-CZ"/>
              </w:rPr>
              <w:t>2</w:t>
            </w:r>
          </w:p>
        </w:tc>
        <w:tc>
          <w:tcPr>
            <w:tcW w:w="3119" w:type="dxa"/>
          </w:tcPr>
          <w:p w14:paraId="3C7C1509" w14:textId="77777777" w:rsidR="00C60C87" w:rsidRPr="00245CE9" w:rsidRDefault="00C60C87" w:rsidP="009A7AC2">
            <w:pPr>
              <w:rPr>
                <w:rFonts w:cs="Times New Roman"/>
                <w:b/>
                <w:lang w:eastAsia="cs-CZ"/>
              </w:rPr>
            </w:pPr>
            <w:r w:rsidRPr="00245CE9">
              <w:rPr>
                <w:rFonts w:cs="Times New Roman"/>
                <w:b/>
                <w:lang w:eastAsia="cs-CZ"/>
              </w:rPr>
              <w:t>Veřejná doprava</w:t>
            </w:r>
          </w:p>
        </w:tc>
        <w:tc>
          <w:tcPr>
            <w:tcW w:w="1134" w:type="dxa"/>
          </w:tcPr>
          <w:p w14:paraId="7F3FD5D4" w14:textId="77777777" w:rsidR="00C60C87" w:rsidRDefault="00C60C87" w:rsidP="009A7AC2">
            <w:pPr>
              <w:jc w:val="center"/>
              <w:rPr>
                <w:rFonts w:cs="Times New Roman"/>
                <w:sz w:val="24"/>
                <w:szCs w:val="24"/>
                <w:lang w:eastAsia="cs-CZ"/>
              </w:rPr>
            </w:pPr>
            <w:r>
              <w:rPr>
                <w:rFonts w:cs="Times New Roman"/>
                <w:sz w:val="24"/>
                <w:szCs w:val="24"/>
                <w:lang w:eastAsia="cs-CZ"/>
              </w:rPr>
              <w:t>1</w:t>
            </w:r>
          </w:p>
        </w:tc>
        <w:tc>
          <w:tcPr>
            <w:tcW w:w="1134" w:type="dxa"/>
          </w:tcPr>
          <w:p w14:paraId="4EFB24DE" w14:textId="77777777" w:rsidR="00C60C87" w:rsidRDefault="00C60C87" w:rsidP="009A7AC2">
            <w:pPr>
              <w:jc w:val="center"/>
              <w:rPr>
                <w:rFonts w:cs="Times New Roman"/>
                <w:sz w:val="24"/>
                <w:szCs w:val="24"/>
                <w:lang w:eastAsia="cs-CZ"/>
              </w:rPr>
            </w:pPr>
            <w:r>
              <w:rPr>
                <w:rFonts w:cs="Times New Roman"/>
                <w:sz w:val="24"/>
                <w:szCs w:val="24"/>
                <w:lang w:eastAsia="cs-CZ"/>
              </w:rPr>
              <w:t>2</w:t>
            </w:r>
          </w:p>
        </w:tc>
        <w:tc>
          <w:tcPr>
            <w:tcW w:w="1275" w:type="dxa"/>
          </w:tcPr>
          <w:p w14:paraId="13C2466C" w14:textId="77777777" w:rsidR="00C60C87" w:rsidRDefault="00C60C87" w:rsidP="009A7AC2">
            <w:pPr>
              <w:jc w:val="center"/>
              <w:rPr>
                <w:rFonts w:cs="Times New Roman"/>
                <w:sz w:val="24"/>
                <w:szCs w:val="24"/>
                <w:lang w:eastAsia="cs-CZ"/>
              </w:rPr>
            </w:pPr>
            <w:r>
              <w:rPr>
                <w:rFonts w:cs="Times New Roman"/>
                <w:sz w:val="24"/>
                <w:szCs w:val="24"/>
                <w:lang w:eastAsia="cs-CZ"/>
              </w:rPr>
              <w:t>3</w:t>
            </w:r>
          </w:p>
        </w:tc>
        <w:tc>
          <w:tcPr>
            <w:tcW w:w="1276" w:type="dxa"/>
          </w:tcPr>
          <w:p w14:paraId="1F1454AF" w14:textId="77777777" w:rsidR="00C60C87" w:rsidRDefault="00C60C87" w:rsidP="009A7AC2">
            <w:pPr>
              <w:jc w:val="center"/>
              <w:rPr>
                <w:rFonts w:cs="Times New Roman"/>
                <w:sz w:val="24"/>
                <w:szCs w:val="24"/>
                <w:lang w:eastAsia="cs-CZ"/>
              </w:rPr>
            </w:pPr>
            <w:r>
              <w:rPr>
                <w:rFonts w:cs="Times New Roman"/>
                <w:sz w:val="24"/>
                <w:szCs w:val="24"/>
                <w:lang w:eastAsia="cs-CZ"/>
              </w:rPr>
              <w:t>4</w:t>
            </w:r>
          </w:p>
        </w:tc>
        <w:tc>
          <w:tcPr>
            <w:tcW w:w="1141" w:type="dxa"/>
          </w:tcPr>
          <w:p w14:paraId="6A0180EF" w14:textId="77777777" w:rsidR="00C60C87" w:rsidRDefault="00C60C87" w:rsidP="009A7AC2">
            <w:pPr>
              <w:jc w:val="center"/>
              <w:rPr>
                <w:rFonts w:cs="Times New Roman"/>
                <w:sz w:val="24"/>
                <w:szCs w:val="24"/>
                <w:lang w:eastAsia="cs-CZ"/>
              </w:rPr>
            </w:pPr>
            <w:r>
              <w:rPr>
                <w:rFonts w:cs="Times New Roman"/>
                <w:sz w:val="24"/>
                <w:szCs w:val="24"/>
                <w:lang w:eastAsia="cs-CZ"/>
              </w:rPr>
              <w:t>5</w:t>
            </w:r>
          </w:p>
        </w:tc>
      </w:tr>
      <w:tr w:rsidR="00C60C87" w14:paraId="084694D0" w14:textId="77777777" w:rsidTr="009A7AC2">
        <w:trPr>
          <w:jc w:val="center"/>
        </w:trPr>
        <w:tc>
          <w:tcPr>
            <w:tcW w:w="568" w:type="dxa"/>
          </w:tcPr>
          <w:p w14:paraId="0D6F99E8" w14:textId="77777777" w:rsidR="00C60C87" w:rsidRPr="00245CE9" w:rsidRDefault="00C60C87" w:rsidP="009A7AC2">
            <w:pPr>
              <w:jc w:val="center"/>
              <w:rPr>
                <w:rFonts w:cs="Times New Roman"/>
                <w:lang w:eastAsia="cs-CZ"/>
              </w:rPr>
            </w:pPr>
            <w:r>
              <w:rPr>
                <w:rFonts w:cs="Times New Roman"/>
                <w:lang w:eastAsia="cs-CZ"/>
              </w:rPr>
              <w:t>3</w:t>
            </w:r>
          </w:p>
        </w:tc>
        <w:tc>
          <w:tcPr>
            <w:tcW w:w="3119" w:type="dxa"/>
          </w:tcPr>
          <w:p w14:paraId="0D7003D8" w14:textId="77777777" w:rsidR="00C60C87" w:rsidRPr="00245CE9" w:rsidRDefault="00C60C87" w:rsidP="009A7AC2">
            <w:pPr>
              <w:rPr>
                <w:rFonts w:cs="Times New Roman"/>
                <w:b/>
                <w:lang w:eastAsia="cs-CZ"/>
              </w:rPr>
            </w:pPr>
            <w:r w:rsidRPr="00245CE9">
              <w:rPr>
                <w:rFonts w:cs="Times New Roman"/>
                <w:b/>
                <w:lang w:eastAsia="cs-CZ"/>
              </w:rPr>
              <w:t>Kultura a společenský život</w:t>
            </w:r>
          </w:p>
        </w:tc>
        <w:tc>
          <w:tcPr>
            <w:tcW w:w="1134" w:type="dxa"/>
          </w:tcPr>
          <w:p w14:paraId="1D502F8A" w14:textId="77777777" w:rsidR="00C60C87" w:rsidRDefault="00C60C87" w:rsidP="009A7AC2">
            <w:pPr>
              <w:jc w:val="center"/>
              <w:rPr>
                <w:rFonts w:cs="Times New Roman"/>
                <w:sz w:val="24"/>
                <w:szCs w:val="24"/>
                <w:lang w:eastAsia="cs-CZ"/>
              </w:rPr>
            </w:pPr>
            <w:r>
              <w:rPr>
                <w:rFonts w:cs="Times New Roman"/>
                <w:sz w:val="24"/>
                <w:szCs w:val="24"/>
                <w:lang w:eastAsia="cs-CZ"/>
              </w:rPr>
              <w:t>1</w:t>
            </w:r>
          </w:p>
        </w:tc>
        <w:tc>
          <w:tcPr>
            <w:tcW w:w="1134" w:type="dxa"/>
          </w:tcPr>
          <w:p w14:paraId="283C9235" w14:textId="77777777" w:rsidR="00C60C87" w:rsidRDefault="00C60C87" w:rsidP="009A7AC2">
            <w:pPr>
              <w:jc w:val="center"/>
              <w:rPr>
                <w:rFonts w:cs="Times New Roman"/>
                <w:sz w:val="24"/>
                <w:szCs w:val="24"/>
                <w:lang w:eastAsia="cs-CZ"/>
              </w:rPr>
            </w:pPr>
            <w:r>
              <w:rPr>
                <w:rFonts w:cs="Times New Roman"/>
                <w:sz w:val="24"/>
                <w:szCs w:val="24"/>
                <w:lang w:eastAsia="cs-CZ"/>
              </w:rPr>
              <w:t>2</w:t>
            </w:r>
          </w:p>
        </w:tc>
        <w:tc>
          <w:tcPr>
            <w:tcW w:w="1275" w:type="dxa"/>
          </w:tcPr>
          <w:p w14:paraId="36C1C343" w14:textId="77777777" w:rsidR="00C60C87" w:rsidRDefault="00C60C87" w:rsidP="009A7AC2">
            <w:pPr>
              <w:jc w:val="center"/>
              <w:rPr>
                <w:rFonts w:cs="Times New Roman"/>
                <w:sz w:val="24"/>
                <w:szCs w:val="24"/>
                <w:lang w:eastAsia="cs-CZ"/>
              </w:rPr>
            </w:pPr>
            <w:r>
              <w:rPr>
                <w:rFonts w:cs="Times New Roman"/>
                <w:sz w:val="24"/>
                <w:szCs w:val="24"/>
                <w:lang w:eastAsia="cs-CZ"/>
              </w:rPr>
              <w:t>3</w:t>
            </w:r>
          </w:p>
        </w:tc>
        <w:tc>
          <w:tcPr>
            <w:tcW w:w="1276" w:type="dxa"/>
          </w:tcPr>
          <w:p w14:paraId="426CAA2C" w14:textId="77777777" w:rsidR="00C60C87" w:rsidRDefault="00C60C87" w:rsidP="009A7AC2">
            <w:pPr>
              <w:jc w:val="center"/>
              <w:rPr>
                <w:rFonts w:cs="Times New Roman"/>
                <w:sz w:val="24"/>
                <w:szCs w:val="24"/>
                <w:lang w:eastAsia="cs-CZ"/>
              </w:rPr>
            </w:pPr>
            <w:r>
              <w:rPr>
                <w:rFonts w:cs="Times New Roman"/>
                <w:sz w:val="24"/>
                <w:szCs w:val="24"/>
                <w:lang w:eastAsia="cs-CZ"/>
              </w:rPr>
              <w:t>4</w:t>
            </w:r>
          </w:p>
        </w:tc>
        <w:tc>
          <w:tcPr>
            <w:tcW w:w="1141" w:type="dxa"/>
          </w:tcPr>
          <w:p w14:paraId="5DC922BD" w14:textId="77777777" w:rsidR="00C60C87" w:rsidRDefault="00C60C87" w:rsidP="009A7AC2">
            <w:pPr>
              <w:jc w:val="center"/>
              <w:rPr>
                <w:rFonts w:cs="Times New Roman"/>
                <w:sz w:val="24"/>
                <w:szCs w:val="24"/>
                <w:lang w:eastAsia="cs-CZ"/>
              </w:rPr>
            </w:pPr>
            <w:r>
              <w:rPr>
                <w:rFonts w:cs="Times New Roman"/>
                <w:sz w:val="24"/>
                <w:szCs w:val="24"/>
                <w:lang w:eastAsia="cs-CZ"/>
              </w:rPr>
              <w:t>5</w:t>
            </w:r>
          </w:p>
        </w:tc>
      </w:tr>
      <w:tr w:rsidR="00C60C87" w14:paraId="13B0CE63" w14:textId="77777777" w:rsidTr="009A7AC2">
        <w:trPr>
          <w:jc w:val="center"/>
        </w:trPr>
        <w:tc>
          <w:tcPr>
            <w:tcW w:w="568" w:type="dxa"/>
          </w:tcPr>
          <w:p w14:paraId="16C7B579" w14:textId="77777777" w:rsidR="00C60C87" w:rsidRPr="00245CE9" w:rsidRDefault="00C60C87" w:rsidP="009A7AC2">
            <w:pPr>
              <w:jc w:val="center"/>
              <w:rPr>
                <w:rFonts w:cs="Times New Roman"/>
                <w:lang w:eastAsia="cs-CZ"/>
              </w:rPr>
            </w:pPr>
            <w:r>
              <w:rPr>
                <w:rFonts w:cs="Times New Roman"/>
                <w:lang w:eastAsia="cs-CZ"/>
              </w:rPr>
              <w:t>4</w:t>
            </w:r>
          </w:p>
        </w:tc>
        <w:tc>
          <w:tcPr>
            <w:tcW w:w="3119" w:type="dxa"/>
          </w:tcPr>
          <w:p w14:paraId="0689A87F" w14:textId="77777777" w:rsidR="00C60C87" w:rsidRPr="00245CE9" w:rsidRDefault="00C60C87" w:rsidP="009A7AC2">
            <w:pPr>
              <w:rPr>
                <w:rFonts w:cs="Times New Roman"/>
                <w:b/>
                <w:lang w:eastAsia="cs-CZ"/>
              </w:rPr>
            </w:pPr>
            <w:r w:rsidRPr="00245CE9">
              <w:rPr>
                <w:rFonts w:cs="Times New Roman"/>
                <w:b/>
                <w:lang w:eastAsia="cs-CZ"/>
              </w:rPr>
              <w:t>Sportovní vyžití</w:t>
            </w:r>
          </w:p>
        </w:tc>
        <w:tc>
          <w:tcPr>
            <w:tcW w:w="1134" w:type="dxa"/>
          </w:tcPr>
          <w:p w14:paraId="6A11B2D4" w14:textId="77777777" w:rsidR="00C60C87" w:rsidRDefault="00C60C87" w:rsidP="009A7AC2">
            <w:pPr>
              <w:jc w:val="center"/>
              <w:rPr>
                <w:rFonts w:cs="Times New Roman"/>
                <w:sz w:val="24"/>
                <w:szCs w:val="24"/>
                <w:lang w:eastAsia="cs-CZ"/>
              </w:rPr>
            </w:pPr>
            <w:r>
              <w:rPr>
                <w:rFonts w:cs="Times New Roman"/>
                <w:sz w:val="24"/>
                <w:szCs w:val="24"/>
                <w:lang w:eastAsia="cs-CZ"/>
              </w:rPr>
              <w:t>1</w:t>
            </w:r>
          </w:p>
        </w:tc>
        <w:tc>
          <w:tcPr>
            <w:tcW w:w="1134" w:type="dxa"/>
          </w:tcPr>
          <w:p w14:paraId="44064CAD" w14:textId="77777777" w:rsidR="00C60C87" w:rsidRDefault="00C60C87" w:rsidP="009A7AC2">
            <w:pPr>
              <w:jc w:val="center"/>
              <w:rPr>
                <w:rFonts w:cs="Times New Roman"/>
                <w:sz w:val="24"/>
                <w:szCs w:val="24"/>
                <w:lang w:eastAsia="cs-CZ"/>
              </w:rPr>
            </w:pPr>
            <w:r>
              <w:rPr>
                <w:rFonts w:cs="Times New Roman"/>
                <w:sz w:val="24"/>
                <w:szCs w:val="24"/>
                <w:lang w:eastAsia="cs-CZ"/>
              </w:rPr>
              <w:t>2</w:t>
            </w:r>
          </w:p>
        </w:tc>
        <w:tc>
          <w:tcPr>
            <w:tcW w:w="1275" w:type="dxa"/>
          </w:tcPr>
          <w:p w14:paraId="40B864A3" w14:textId="77777777" w:rsidR="00C60C87" w:rsidRDefault="00C60C87" w:rsidP="009A7AC2">
            <w:pPr>
              <w:jc w:val="center"/>
              <w:rPr>
                <w:rFonts w:cs="Times New Roman"/>
                <w:sz w:val="24"/>
                <w:szCs w:val="24"/>
                <w:lang w:eastAsia="cs-CZ"/>
              </w:rPr>
            </w:pPr>
            <w:r>
              <w:rPr>
                <w:rFonts w:cs="Times New Roman"/>
                <w:sz w:val="24"/>
                <w:szCs w:val="24"/>
                <w:lang w:eastAsia="cs-CZ"/>
              </w:rPr>
              <w:t>3</w:t>
            </w:r>
          </w:p>
        </w:tc>
        <w:tc>
          <w:tcPr>
            <w:tcW w:w="1276" w:type="dxa"/>
          </w:tcPr>
          <w:p w14:paraId="7CF9883E" w14:textId="77777777" w:rsidR="00C60C87" w:rsidRDefault="00C60C87" w:rsidP="009A7AC2">
            <w:pPr>
              <w:jc w:val="center"/>
              <w:rPr>
                <w:rFonts w:cs="Times New Roman"/>
                <w:sz w:val="24"/>
                <w:szCs w:val="24"/>
                <w:lang w:eastAsia="cs-CZ"/>
              </w:rPr>
            </w:pPr>
            <w:r>
              <w:rPr>
                <w:rFonts w:cs="Times New Roman"/>
                <w:sz w:val="24"/>
                <w:szCs w:val="24"/>
                <w:lang w:eastAsia="cs-CZ"/>
              </w:rPr>
              <w:t>4</w:t>
            </w:r>
          </w:p>
        </w:tc>
        <w:tc>
          <w:tcPr>
            <w:tcW w:w="1141" w:type="dxa"/>
          </w:tcPr>
          <w:p w14:paraId="0BECBA39" w14:textId="77777777" w:rsidR="00C60C87" w:rsidRDefault="00C60C87" w:rsidP="009A7AC2">
            <w:pPr>
              <w:jc w:val="center"/>
              <w:rPr>
                <w:rFonts w:cs="Times New Roman"/>
                <w:sz w:val="24"/>
                <w:szCs w:val="24"/>
                <w:lang w:eastAsia="cs-CZ"/>
              </w:rPr>
            </w:pPr>
            <w:r>
              <w:rPr>
                <w:rFonts w:cs="Times New Roman"/>
                <w:sz w:val="24"/>
                <w:szCs w:val="24"/>
                <w:lang w:eastAsia="cs-CZ"/>
              </w:rPr>
              <w:t>5</w:t>
            </w:r>
          </w:p>
        </w:tc>
      </w:tr>
      <w:tr w:rsidR="00C60C87" w14:paraId="3EA7864B" w14:textId="77777777" w:rsidTr="009A7AC2">
        <w:trPr>
          <w:jc w:val="center"/>
        </w:trPr>
        <w:tc>
          <w:tcPr>
            <w:tcW w:w="568" w:type="dxa"/>
          </w:tcPr>
          <w:p w14:paraId="00EA6FDB" w14:textId="77777777" w:rsidR="00C60C87" w:rsidRPr="00245CE9" w:rsidRDefault="00C60C87" w:rsidP="009A7AC2">
            <w:pPr>
              <w:jc w:val="center"/>
              <w:rPr>
                <w:rFonts w:cs="Times New Roman"/>
                <w:lang w:eastAsia="cs-CZ"/>
              </w:rPr>
            </w:pPr>
            <w:r>
              <w:rPr>
                <w:rFonts w:cs="Times New Roman"/>
                <w:lang w:eastAsia="cs-CZ"/>
              </w:rPr>
              <w:t>5</w:t>
            </w:r>
          </w:p>
        </w:tc>
        <w:tc>
          <w:tcPr>
            <w:tcW w:w="3119" w:type="dxa"/>
          </w:tcPr>
          <w:p w14:paraId="3CD1C767" w14:textId="77777777" w:rsidR="00C60C87" w:rsidRPr="00245CE9" w:rsidRDefault="00C60C87" w:rsidP="009A7AC2">
            <w:pPr>
              <w:rPr>
                <w:rFonts w:cs="Times New Roman"/>
                <w:b/>
                <w:lang w:eastAsia="cs-CZ"/>
              </w:rPr>
            </w:pPr>
            <w:r w:rsidRPr="00245CE9">
              <w:rPr>
                <w:rFonts w:cs="Times New Roman"/>
                <w:b/>
                <w:lang w:eastAsia="cs-CZ"/>
              </w:rPr>
              <w:t>Životní prostředí</w:t>
            </w:r>
          </w:p>
        </w:tc>
        <w:tc>
          <w:tcPr>
            <w:tcW w:w="1134" w:type="dxa"/>
          </w:tcPr>
          <w:p w14:paraId="56DB7FA7" w14:textId="77777777" w:rsidR="00C60C87" w:rsidRDefault="00C60C87" w:rsidP="009A7AC2">
            <w:pPr>
              <w:jc w:val="center"/>
              <w:rPr>
                <w:rFonts w:cs="Times New Roman"/>
                <w:sz w:val="24"/>
                <w:szCs w:val="24"/>
                <w:lang w:eastAsia="cs-CZ"/>
              </w:rPr>
            </w:pPr>
            <w:r>
              <w:rPr>
                <w:rFonts w:cs="Times New Roman"/>
                <w:sz w:val="24"/>
                <w:szCs w:val="24"/>
                <w:lang w:eastAsia="cs-CZ"/>
              </w:rPr>
              <w:t>1</w:t>
            </w:r>
          </w:p>
        </w:tc>
        <w:tc>
          <w:tcPr>
            <w:tcW w:w="1134" w:type="dxa"/>
          </w:tcPr>
          <w:p w14:paraId="3DBD08AD" w14:textId="77777777" w:rsidR="00C60C87" w:rsidRDefault="00C60C87" w:rsidP="009A7AC2">
            <w:pPr>
              <w:jc w:val="center"/>
              <w:rPr>
                <w:rFonts w:cs="Times New Roman"/>
                <w:sz w:val="24"/>
                <w:szCs w:val="24"/>
                <w:lang w:eastAsia="cs-CZ"/>
              </w:rPr>
            </w:pPr>
            <w:r>
              <w:rPr>
                <w:rFonts w:cs="Times New Roman"/>
                <w:sz w:val="24"/>
                <w:szCs w:val="24"/>
                <w:lang w:eastAsia="cs-CZ"/>
              </w:rPr>
              <w:t>2</w:t>
            </w:r>
          </w:p>
        </w:tc>
        <w:tc>
          <w:tcPr>
            <w:tcW w:w="1275" w:type="dxa"/>
          </w:tcPr>
          <w:p w14:paraId="1802BAFA" w14:textId="77777777" w:rsidR="00C60C87" w:rsidRDefault="00C60C87" w:rsidP="009A7AC2">
            <w:pPr>
              <w:jc w:val="center"/>
              <w:rPr>
                <w:rFonts w:cs="Times New Roman"/>
                <w:sz w:val="24"/>
                <w:szCs w:val="24"/>
                <w:lang w:eastAsia="cs-CZ"/>
              </w:rPr>
            </w:pPr>
            <w:r>
              <w:rPr>
                <w:rFonts w:cs="Times New Roman"/>
                <w:sz w:val="24"/>
                <w:szCs w:val="24"/>
                <w:lang w:eastAsia="cs-CZ"/>
              </w:rPr>
              <w:t>3</w:t>
            </w:r>
          </w:p>
        </w:tc>
        <w:tc>
          <w:tcPr>
            <w:tcW w:w="1276" w:type="dxa"/>
          </w:tcPr>
          <w:p w14:paraId="3BCBD267" w14:textId="77777777" w:rsidR="00C60C87" w:rsidRDefault="00C60C87" w:rsidP="009A7AC2">
            <w:pPr>
              <w:jc w:val="center"/>
              <w:rPr>
                <w:rFonts w:cs="Times New Roman"/>
                <w:sz w:val="24"/>
                <w:szCs w:val="24"/>
                <w:lang w:eastAsia="cs-CZ"/>
              </w:rPr>
            </w:pPr>
            <w:r>
              <w:rPr>
                <w:rFonts w:cs="Times New Roman"/>
                <w:sz w:val="24"/>
                <w:szCs w:val="24"/>
                <w:lang w:eastAsia="cs-CZ"/>
              </w:rPr>
              <w:t>4</w:t>
            </w:r>
          </w:p>
        </w:tc>
        <w:tc>
          <w:tcPr>
            <w:tcW w:w="1141" w:type="dxa"/>
          </w:tcPr>
          <w:p w14:paraId="15537B22" w14:textId="77777777" w:rsidR="00C60C87" w:rsidRDefault="00C60C87" w:rsidP="009A7AC2">
            <w:pPr>
              <w:jc w:val="center"/>
              <w:rPr>
                <w:rFonts w:cs="Times New Roman"/>
                <w:sz w:val="24"/>
                <w:szCs w:val="24"/>
                <w:lang w:eastAsia="cs-CZ"/>
              </w:rPr>
            </w:pPr>
            <w:r>
              <w:rPr>
                <w:rFonts w:cs="Times New Roman"/>
                <w:sz w:val="24"/>
                <w:szCs w:val="24"/>
                <w:lang w:eastAsia="cs-CZ"/>
              </w:rPr>
              <w:t>5</w:t>
            </w:r>
          </w:p>
        </w:tc>
      </w:tr>
      <w:tr w:rsidR="00C60C87" w14:paraId="1440FA91" w14:textId="77777777" w:rsidTr="009A7AC2">
        <w:trPr>
          <w:jc w:val="center"/>
        </w:trPr>
        <w:tc>
          <w:tcPr>
            <w:tcW w:w="568" w:type="dxa"/>
          </w:tcPr>
          <w:p w14:paraId="3BD7B4E7" w14:textId="77777777" w:rsidR="00C60C87" w:rsidRPr="00245CE9" w:rsidRDefault="00C60C87" w:rsidP="009A7AC2">
            <w:pPr>
              <w:jc w:val="center"/>
              <w:rPr>
                <w:rFonts w:cs="Times New Roman"/>
                <w:lang w:eastAsia="cs-CZ"/>
              </w:rPr>
            </w:pPr>
            <w:r>
              <w:rPr>
                <w:rFonts w:cs="Times New Roman"/>
                <w:lang w:eastAsia="cs-CZ"/>
              </w:rPr>
              <w:t>6</w:t>
            </w:r>
          </w:p>
        </w:tc>
        <w:tc>
          <w:tcPr>
            <w:tcW w:w="3119" w:type="dxa"/>
          </w:tcPr>
          <w:p w14:paraId="5D43CA99" w14:textId="77777777" w:rsidR="00C60C87" w:rsidRPr="00245CE9" w:rsidRDefault="00C60C87" w:rsidP="009A7AC2">
            <w:pPr>
              <w:rPr>
                <w:rFonts w:cs="Times New Roman"/>
                <w:b/>
                <w:lang w:eastAsia="cs-CZ"/>
              </w:rPr>
            </w:pPr>
            <w:r w:rsidRPr="00245CE9">
              <w:rPr>
                <w:rFonts w:cs="Times New Roman"/>
                <w:b/>
                <w:lang w:eastAsia="cs-CZ"/>
              </w:rPr>
              <w:t>Péče obce o své prostředí</w:t>
            </w:r>
          </w:p>
        </w:tc>
        <w:tc>
          <w:tcPr>
            <w:tcW w:w="1134" w:type="dxa"/>
          </w:tcPr>
          <w:p w14:paraId="0CC030C4" w14:textId="77777777" w:rsidR="00C60C87" w:rsidRDefault="00C60C87" w:rsidP="009A7AC2">
            <w:pPr>
              <w:jc w:val="center"/>
              <w:rPr>
                <w:rFonts w:cs="Times New Roman"/>
                <w:sz w:val="24"/>
                <w:szCs w:val="24"/>
                <w:lang w:eastAsia="cs-CZ"/>
              </w:rPr>
            </w:pPr>
            <w:r>
              <w:rPr>
                <w:rFonts w:cs="Times New Roman"/>
                <w:sz w:val="24"/>
                <w:szCs w:val="24"/>
                <w:lang w:eastAsia="cs-CZ"/>
              </w:rPr>
              <w:t>1</w:t>
            </w:r>
          </w:p>
        </w:tc>
        <w:tc>
          <w:tcPr>
            <w:tcW w:w="1134" w:type="dxa"/>
          </w:tcPr>
          <w:p w14:paraId="441B993B" w14:textId="77777777" w:rsidR="00C60C87" w:rsidRDefault="00C60C87" w:rsidP="009A7AC2">
            <w:pPr>
              <w:jc w:val="center"/>
              <w:rPr>
                <w:rFonts w:cs="Times New Roman"/>
                <w:sz w:val="24"/>
                <w:szCs w:val="24"/>
                <w:lang w:eastAsia="cs-CZ"/>
              </w:rPr>
            </w:pPr>
            <w:r>
              <w:rPr>
                <w:rFonts w:cs="Times New Roman"/>
                <w:sz w:val="24"/>
                <w:szCs w:val="24"/>
                <w:lang w:eastAsia="cs-CZ"/>
              </w:rPr>
              <w:t>2</w:t>
            </w:r>
          </w:p>
        </w:tc>
        <w:tc>
          <w:tcPr>
            <w:tcW w:w="1275" w:type="dxa"/>
          </w:tcPr>
          <w:p w14:paraId="71D257F4" w14:textId="77777777" w:rsidR="00C60C87" w:rsidRDefault="00C60C87" w:rsidP="009A7AC2">
            <w:pPr>
              <w:jc w:val="center"/>
              <w:rPr>
                <w:rFonts w:cs="Times New Roman"/>
                <w:sz w:val="24"/>
                <w:szCs w:val="24"/>
                <w:lang w:eastAsia="cs-CZ"/>
              </w:rPr>
            </w:pPr>
            <w:r>
              <w:rPr>
                <w:rFonts w:cs="Times New Roman"/>
                <w:sz w:val="24"/>
                <w:szCs w:val="24"/>
                <w:lang w:eastAsia="cs-CZ"/>
              </w:rPr>
              <w:t>3</w:t>
            </w:r>
          </w:p>
        </w:tc>
        <w:tc>
          <w:tcPr>
            <w:tcW w:w="1276" w:type="dxa"/>
          </w:tcPr>
          <w:p w14:paraId="2D851E95" w14:textId="77777777" w:rsidR="00C60C87" w:rsidRDefault="00C60C87" w:rsidP="009A7AC2">
            <w:pPr>
              <w:jc w:val="center"/>
              <w:rPr>
                <w:rFonts w:cs="Times New Roman"/>
                <w:sz w:val="24"/>
                <w:szCs w:val="24"/>
                <w:lang w:eastAsia="cs-CZ"/>
              </w:rPr>
            </w:pPr>
            <w:r>
              <w:rPr>
                <w:rFonts w:cs="Times New Roman"/>
                <w:sz w:val="24"/>
                <w:szCs w:val="24"/>
                <w:lang w:eastAsia="cs-CZ"/>
              </w:rPr>
              <w:t>4</w:t>
            </w:r>
          </w:p>
        </w:tc>
        <w:tc>
          <w:tcPr>
            <w:tcW w:w="1141" w:type="dxa"/>
          </w:tcPr>
          <w:p w14:paraId="66F3062E" w14:textId="77777777" w:rsidR="00C60C87" w:rsidRDefault="00C60C87" w:rsidP="009A7AC2">
            <w:pPr>
              <w:jc w:val="center"/>
              <w:rPr>
                <w:rFonts w:cs="Times New Roman"/>
                <w:sz w:val="24"/>
                <w:szCs w:val="24"/>
                <w:lang w:eastAsia="cs-CZ"/>
              </w:rPr>
            </w:pPr>
            <w:r>
              <w:rPr>
                <w:rFonts w:cs="Times New Roman"/>
                <w:sz w:val="24"/>
                <w:szCs w:val="24"/>
                <w:lang w:eastAsia="cs-CZ"/>
              </w:rPr>
              <w:t>5</w:t>
            </w:r>
          </w:p>
        </w:tc>
      </w:tr>
      <w:tr w:rsidR="00C60C87" w14:paraId="184484F2" w14:textId="77777777" w:rsidTr="009A7AC2">
        <w:trPr>
          <w:jc w:val="center"/>
        </w:trPr>
        <w:tc>
          <w:tcPr>
            <w:tcW w:w="568" w:type="dxa"/>
          </w:tcPr>
          <w:p w14:paraId="1BD936B7" w14:textId="77777777" w:rsidR="00C60C87" w:rsidRDefault="00C60C87" w:rsidP="009A7AC2">
            <w:pPr>
              <w:jc w:val="center"/>
              <w:rPr>
                <w:rFonts w:cs="Times New Roman"/>
                <w:lang w:eastAsia="cs-CZ"/>
              </w:rPr>
            </w:pPr>
            <w:r>
              <w:rPr>
                <w:rFonts w:cs="Times New Roman"/>
                <w:lang w:eastAsia="cs-CZ"/>
              </w:rPr>
              <w:t>7</w:t>
            </w:r>
          </w:p>
        </w:tc>
        <w:tc>
          <w:tcPr>
            <w:tcW w:w="3119" w:type="dxa"/>
          </w:tcPr>
          <w:p w14:paraId="7714BA22" w14:textId="77777777" w:rsidR="00C60C87" w:rsidRPr="00245CE9" w:rsidRDefault="00C60C87" w:rsidP="009A7AC2">
            <w:pPr>
              <w:rPr>
                <w:rFonts w:cs="Times New Roman"/>
                <w:b/>
                <w:lang w:eastAsia="cs-CZ"/>
              </w:rPr>
            </w:pPr>
            <w:r>
              <w:rPr>
                <w:rFonts w:cs="Times New Roman"/>
                <w:b/>
                <w:lang w:eastAsia="cs-CZ"/>
              </w:rPr>
              <w:t>Kvalita dopravní infrastruktury</w:t>
            </w:r>
          </w:p>
        </w:tc>
        <w:tc>
          <w:tcPr>
            <w:tcW w:w="1134" w:type="dxa"/>
          </w:tcPr>
          <w:p w14:paraId="71359845" w14:textId="77777777" w:rsidR="00C60C87" w:rsidRDefault="00C60C87" w:rsidP="009A7AC2">
            <w:pPr>
              <w:jc w:val="center"/>
              <w:rPr>
                <w:rFonts w:cs="Times New Roman"/>
                <w:sz w:val="24"/>
                <w:szCs w:val="24"/>
                <w:lang w:eastAsia="cs-CZ"/>
              </w:rPr>
            </w:pPr>
            <w:r>
              <w:rPr>
                <w:rFonts w:cs="Times New Roman"/>
                <w:sz w:val="24"/>
                <w:szCs w:val="24"/>
                <w:lang w:eastAsia="cs-CZ"/>
              </w:rPr>
              <w:t>1</w:t>
            </w:r>
          </w:p>
        </w:tc>
        <w:tc>
          <w:tcPr>
            <w:tcW w:w="1134" w:type="dxa"/>
          </w:tcPr>
          <w:p w14:paraId="301F7AE4" w14:textId="77777777" w:rsidR="00C60C87" w:rsidRDefault="00C60C87" w:rsidP="009A7AC2">
            <w:pPr>
              <w:jc w:val="center"/>
              <w:rPr>
                <w:rFonts w:cs="Times New Roman"/>
                <w:sz w:val="24"/>
                <w:szCs w:val="24"/>
                <w:lang w:eastAsia="cs-CZ"/>
              </w:rPr>
            </w:pPr>
            <w:r>
              <w:rPr>
                <w:rFonts w:cs="Times New Roman"/>
                <w:sz w:val="24"/>
                <w:szCs w:val="24"/>
                <w:lang w:eastAsia="cs-CZ"/>
              </w:rPr>
              <w:t>2</w:t>
            </w:r>
          </w:p>
        </w:tc>
        <w:tc>
          <w:tcPr>
            <w:tcW w:w="1275" w:type="dxa"/>
          </w:tcPr>
          <w:p w14:paraId="42BA3EFD" w14:textId="77777777" w:rsidR="00C60C87" w:rsidRDefault="00C60C87" w:rsidP="009A7AC2">
            <w:pPr>
              <w:jc w:val="center"/>
              <w:rPr>
                <w:rFonts w:cs="Times New Roman"/>
                <w:sz w:val="24"/>
                <w:szCs w:val="24"/>
                <w:lang w:eastAsia="cs-CZ"/>
              </w:rPr>
            </w:pPr>
            <w:r>
              <w:rPr>
                <w:rFonts w:cs="Times New Roman"/>
                <w:sz w:val="24"/>
                <w:szCs w:val="24"/>
                <w:lang w:eastAsia="cs-CZ"/>
              </w:rPr>
              <w:t>3</w:t>
            </w:r>
          </w:p>
        </w:tc>
        <w:tc>
          <w:tcPr>
            <w:tcW w:w="1276" w:type="dxa"/>
          </w:tcPr>
          <w:p w14:paraId="7E0F58A8" w14:textId="77777777" w:rsidR="00C60C87" w:rsidRDefault="00C60C87" w:rsidP="009A7AC2">
            <w:pPr>
              <w:jc w:val="center"/>
              <w:rPr>
                <w:rFonts w:cs="Times New Roman"/>
                <w:sz w:val="24"/>
                <w:szCs w:val="24"/>
                <w:lang w:eastAsia="cs-CZ"/>
              </w:rPr>
            </w:pPr>
            <w:r>
              <w:rPr>
                <w:rFonts w:cs="Times New Roman"/>
                <w:sz w:val="24"/>
                <w:szCs w:val="24"/>
                <w:lang w:eastAsia="cs-CZ"/>
              </w:rPr>
              <w:t>4</w:t>
            </w:r>
          </w:p>
        </w:tc>
        <w:tc>
          <w:tcPr>
            <w:tcW w:w="1141" w:type="dxa"/>
          </w:tcPr>
          <w:p w14:paraId="2DC922B0" w14:textId="77777777" w:rsidR="00C60C87" w:rsidRDefault="00C60C87" w:rsidP="009A7AC2">
            <w:pPr>
              <w:jc w:val="center"/>
              <w:rPr>
                <w:rFonts w:cs="Times New Roman"/>
                <w:sz w:val="24"/>
                <w:szCs w:val="24"/>
                <w:lang w:eastAsia="cs-CZ"/>
              </w:rPr>
            </w:pPr>
            <w:r>
              <w:rPr>
                <w:rFonts w:cs="Times New Roman"/>
                <w:sz w:val="24"/>
                <w:szCs w:val="24"/>
                <w:lang w:eastAsia="cs-CZ"/>
              </w:rPr>
              <w:t>5</w:t>
            </w:r>
          </w:p>
        </w:tc>
      </w:tr>
      <w:tr w:rsidR="00C60C87" w14:paraId="20C39AB4" w14:textId="77777777" w:rsidTr="009A7AC2">
        <w:trPr>
          <w:jc w:val="center"/>
        </w:trPr>
        <w:tc>
          <w:tcPr>
            <w:tcW w:w="568" w:type="dxa"/>
          </w:tcPr>
          <w:p w14:paraId="17ACE493" w14:textId="77777777" w:rsidR="00C60C87" w:rsidRPr="00245CE9" w:rsidRDefault="00C60C87" w:rsidP="009A7AC2">
            <w:pPr>
              <w:jc w:val="center"/>
              <w:rPr>
                <w:rFonts w:cs="Times New Roman"/>
                <w:lang w:eastAsia="cs-CZ"/>
              </w:rPr>
            </w:pPr>
            <w:r>
              <w:rPr>
                <w:rFonts w:cs="Times New Roman"/>
                <w:lang w:eastAsia="cs-CZ"/>
              </w:rPr>
              <w:t>8</w:t>
            </w:r>
          </w:p>
        </w:tc>
        <w:tc>
          <w:tcPr>
            <w:tcW w:w="3119" w:type="dxa"/>
          </w:tcPr>
          <w:p w14:paraId="5EC998C4" w14:textId="77777777" w:rsidR="00C60C87" w:rsidRPr="00245CE9" w:rsidRDefault="00C60C87" w:rsidP="009A7AC2">
            <w:pPr>
              <w:rPr>
                <w:rFonts w:cs="Times New Roman"/>
                <w:b/>
                <w:lang w:eastAsia="cs-CZ"/>
              </w:rPr>
            </w:pPr>
            <w:r w:rsidRPr="00245CE9">
              <w:rPr>
                <w:rFonts w:cs="Times New Roman"/>
                <w:b/>
                <w:lang w:eastAsia="cs-CZ"/>
              </w:rPr>
              <w:t>Podmínky pro podnikání</w:t>
            </w:r>
          </w:p>
        </w:tc>
        <w:tc>
          <w:tcPr>
            <w:tcW w:w="1134" w:type="dxa"/>
          </w:tcPr>
          <w:p w14:paraId="76F68E56" w14:textId="77777777" w:rsidR="00C60C87" w:rsidRDefault="00C60C87" w:rsidP="009A7AC2">
            <w:pPr>
              <w:jc w:val="center"/>
              <w:rPr>
                <w:rFonts w:cs="Times New Roman"/>
                <w:sz w:val="24"/>
                <w:szCs w:val="24"/>
                <w:lang w:eastAsia="cs-CZ"/>
              </w:rPr>
            </w:pPr>
            <w:r>
              <w:rPr>
                <w:rFonts w:cs="Times New Roman"/>
                <w:sz w:val="24"/>
                <w:szCs w:val="24"/>
                <w:lang w:eastAsia="cs-CZ"/>
              </w:rPr>
              <w:t>1</w:t>
            </w:r>
          </w:p>
        </w:tc>
        <w:tc>
          <w:tcPr>
            <w:tcW w:w="1134" w:type="dxa"/>
          </w:tcPr>
          <w:p w14:paraId="6BBF7219" w14:textId="77777777" w:rsidR="00C60C87" w:rsidRDefault="00C60C87" w:rsidP="009A7AC2">
            <w:pPr>
              <w:jc w:val="center"/>
              <w:rPr>
                <w:rFonts w:cs="Times New Roman"/>
                <w:sz w:val="24"/>
                <w:szCs w:val="24"/>
                <w:lang w:eastAsia="cs-CZ"/>
              </w:rPr>
            </w:pPr>
            <w:r>
              <w:rPr>
                <w:rFonts w:cs="Times New Roman"/>
                <w:sz w:val="24"/>
                <w:szCs w:val="24"/>
                <w:lang w:eastAsia="cs-CZ"/>
              </w:rPr>
              <w:t>2</w:t>
            </w:r>
          </w:p>
        </w:tc>
        <w:tc>
          <w:tcPr>
            <w:tcW w:w="1275" w:type="dxa"/>
          </w:tcPr>
          <w:p w14:paraId="2A8928D6" w14:textId="77777777" w:rsidR="00C60C87" w:rsidRDefault="00C60C87" w:rsidP="009A7AC2">
            <w:pPr>
              <w:jc w:val="center"/>
              <w:rPr>
                <w:rFonts w:cs="Times New Roman"/>
                <w:sz w:val="24"/>
                <w:szCs w:val="24"/>
                <w:lang w:eastAsia="cs-CZ"/>
              </w:rPr>
            </w:pPr>
            <w:r>
              <w:rPr>
                <w:rFonts w:cs="Times New Roman"/>
                <w:sz w:val="24"/>
                <w:szCs w:val="24"/>
                <w:lang w:eastAsia="cs-CZ"/>
              </w:rPr>
              <w:t>3</w:t>
            </w:r>
          </w:p>
        </w:tc>
        <w:tc>
          <w:tcPr>
            <w:tcW w:w="1276" w:type="dxa"/>
          </w:tcPr>
          <w:p w14:paraId="6AF0680A" w14:textId="77777777" w:rsidR="00C60C87" w:rsidRDefault="00C60C87" w:rsidP="009A7AC2">
            <w:pPr>
              <w:jc w:val="center"/>
              <w:rPr>
                <w:rFonts w:cs="Times New Roman"/>
                <w:sz w:val="24"/>
                <w:szCs w:val="24"/>
                <w:lang w:eastAsia="cs-CZ"/>
              </w:rPr>
            </w:pPr>
            <w:r>
              <w:rPr>
                <w:rFonts w:cs="Times New Roman"/>
                <w:sz w:val="24"/>
                <w:szCs w:val="24"/>
                <w:lang w:eastAsia="cs-CZ"/>
              </w:rPr>
              <w:t>4</w:t>
            </w:r>
          </w:p>
        </w:tc>
        <w:tc>
          <w:tcPr>
            <w:tcW w:w="1141" w:type="dxa"/>
          </w:tcPr>
          <w:p w14:paraId="23D440B8" w14:textId="77777777" w:rsidR="00C60C87" w:rsidRDefault="00C60C87" w:rsidP="009A7AC2">
            <w:pPr>
              <w:jc w:val="center"/>
              <w:rPr>
                <w:rFonts w:cs="Times New Roman"/>
                <w:sz w:val="24"/>
                <w:szCs w:val="24"/>
                <w:lang w:eastAsia="cs-CZ"/>
              </w:rPr>
            </w:pPr>
            <w:r>
              <w:rPr>
                <w:rFonts w:cs="Times New Roman"/>
                <w:sz w:val="24"/>
                <w:szCs w:val="24"/>
                <w:lang w:eastAsia="cs-CZ"/>
              </w:rPr>
              <w:t>5</w:t>
            </w:r>
          </w:p>
        </w:tc>
      </w:tr>
      <w:tr w:rsidR="00C60C87" w14:paraId="058D9702" w14:textId="77777777" w:rsidTr="009A7AC2">
        <w:trPr>
          <w:jc w:val="center"/>
        </w:trPr>
        <w:tc>
          <w:tcPr>
            <w:tcW w:w="568" w:type="dxa"/>
          </w:tcPr>
          <w:p w14:paraId="0B12A64A" w14:textId="77777777" w:rsidR="00C60C87" w:rsidRPr="00245CE9" w:rsidRDefault="00C60C87" w:rsidP="009A7AC2">
            <w:pPr>
              <w:jc w:val="center"/>
              <w:rPr>
                <w:rFonts w:cs="Times New Roman"/>
                <w:lang w:eastAsia="cs-CZ"/>
              </w:rPr>
            </w:pPr>
            <w:r>
              <w:rPr>
                <w:rFonts w:cs="Times New Roman"/>
                <w:lang w:eastAsia="cs-CZ"/>
              </w:rPr>
              <w:t>9</w:t>
            </w:r>
          </w:p>
        </w:tc>
        <w:tc>
          <w:tcPr>
            <w:tcW w:w="3119" w:type="dxa"/>
          </w:tcPr>
          <w:p w14:paraId="65820F84" w14:textId="77777777" w:rsidR="00C60C87" w:rsidRPr="00245CE9" w:rsidRDefault="00C60C87" w:rsidP="009A7AC2">
            <w:pPr>
              <w:rPr>
                <w:rFonts w:cs="Times New Roman"/>
                <w:b/>
                <w:lang w:eastAsia="cs-CZ"/>
              </w:rPr>
            </w:pPr>
            <w:r w:rsidRPr="00245CE9">
              <w:rPr>
                <w:rFonts w:cs="Times New Roman"/>
                <w:b/>
                <w:lang w:eastAsia="cs-CZ"/>
              </w:rPr>
              <w:t>Rozvoj obce</w:t>
            </w:r>
          </w:p>
        </w:tc>
        <w:tc>
          <w:tcPr>
            <w:tcW w:w="1134" w:type="dxa"/>
          </w:tcPr>
          <w:p w14:paraId="499A225B" w14:textId="77777777" w:rsidR="00C60C87" w:rsidRDefault="00C60C87" w:rsidP="009A7AC2">
            <w:pPr>
              <w:jc w:val="center"/>
              <w:rPr>
                <w:rFonts w:cs="Times New Roman"/>
                <w:sz w:val="24"/>
                <w:szCs w:val="24"/>
                <w:lang w:eastAsia="cs-CZ"/>
              </w:rPr>
            </w:pPr>
            <w:r>
              <w:rPr>
                <w:rFonts w:cs="Times New Roman"/>
                <w:sz w:val="24"/>
                <w:szCs w:val="24"/>
                <w:lang w:eastAsia="cs-CZ"/>
              </w:rPr>
              <w:t>1</w:t>
            </w:r>
          </w:p>
        </w:tc>
        <w:tc>
          <w:tcPr>
            <w:tcW w:w="1134" w:type="dxa"/>
          </w:tcPr>
          <w:p w14:paraId="3924CA03" w14:textId="77777777" w:rsidR="00C60C87" w:rsidRDefault="00C60C87" w:rsidP="009A7AC2">
            <w:pPr>
              <w:jc w:val="center"/>
              <w:rPr>
                <w:rFonts w:cs="Times New Roman"/>
                <w:sz w:val="24"/>
                <w:szCs w:val="24"/>
                <w:lang w:eastAsia="cs-CZ"/>
              </w:rPr>
            </w:pPr>
            <w:r>
              <w:rPr>
                <w:rFonts w:cs="Times New Roman"/>
                <w:sz w:val="24"/>
                <w:szCs w:val="24"/>
                <w:lang w:eastAsia="cs-CZ"/>
              </w:rPr>
              <w:t>2</w:t>
            </w:r>
          </w:p>
        </w:tc>
        <w:tc>
          <w:tcPr>
            <w:tcW w:w="1275" w:type="dxa"/>
          </w:tcPr>
          <w:p w14:paraId="53669D78" w14:textId="77777777" w:rsidR="00C60C87" w:rsidRDefault="00C60C87" w:rsidP="009A7AC2">
            <w:pPr>
              <w:jc w:val="center"/>
              <w:rPr>
                <w:rFonts w:cs="Times New Roman"/>
                <w:sz w:val="24"/>
                <w:szCs w:val="24"/>
                <w:lang w:eastAsia="cs-CZ"/>
              </w:rPr>
            </w:pPr>
            <w:r>
              <w:rPr>
                <w:rFonts w:cs="Times New Roman"/>
                <w:sz w:val="24"/>
                <w:szCs w:val="24"/>
                <w:lang w:eastAsia="cs-CZ"/>
              </w:rPr>
              <w:t>3</w:t>
            </w:r>
          </w:p>
        </w:tc>
        <w:tc>
          <w:tcPr>
            <w:tcW w:w="1276" w:type="dxa"/>
          </w:tcPr>
          <w:p w14:paraId="22B3F045" w14:textId="77777777" w:rsidR="00C60C87" w:rsidRDefault="00C60C87" w:rsidP="009A7AC2">
            <w:pPr>
              <w:jc w:val="center"/>
              <w:rPr>
                <w:rFonts w:cs="Times New Roman"/>
                <w:sz w:val="24"/>
                <w:szCs w:val="24"/>
                <w:lang w:eastAsia="cs-CZ"/>
              </w:rPr>
            </w:pPr>
            <w:r>
              <w:rPr>
                <w:rFonts w:cs="Times New Roman"/>
                <w:sz w:val="24"/>
                <w:szCs w:val="24"/>
                <w:lang w:eastAsia="cs-CZ"/>
              </w:rPr>
              <w:t>4</w:t>
            </w:r>
          </w:p>
        </w:tc>
        <w:tc>
          <w:tcPr>
            <w:tcW w:w="1141" w:type="dxa"/>
          </w:tcPr>
          <w:p w14:paraId="6C153B37" w14:textId="77777777" w:rsidR="00C60C87" w:rsidRDefault="00C60C87" w:rsidP="009A7AC2">
            <w:pPr>
              <w:jc w:val="center"/>
              <w:rPr>
                <w:rFonts w:cs="Times New Roman"/>
                <w:sz w:val="24"/>
                <w:szCs w:val="24"/>
                <w:lang w:eastAsia="cs-CZ"/>
              </w:rPr>
            </w:pPr>
            <w:r>
              <w:rPr>
                <w:rFonts w:cs="Times New Roman"/>
                <w:sz w:val="24"/>
                <w:szCs w:val="24"/>
                <w:lang w:eastAsia="cs-CZ"/>
              </w:rPr>
              <w:t>5</w:t>
            </w:r>
          </w:p>
        </w:tc>
      </w:tr>
      <w:tr w:rsidR="00C60C87" w14:paraId="7C4166C0" w14:textId="77777777" w:rsidTr="009A7AC2">
        <w:trPr>
          <w:jc w:val="center"/>
        </w:trPr>
        <w:tc>
          <w:tcPr>
            <w:tcW w:w="568" w:type="dxa"/>
          </w:tcPr>
          <w:p w14:paraId="23E6DC1A" w14:textId="77777777" w:rsidR="00C60C87" w:rsidRPr="00245CE9" w:rsidRDefault="00C60C87" w:rsidP="009A7AC2">
            <w:pPr>
              <w:jc w:val="center"/>
              <w:rPr>
                <w:rFonts w:cs="Times New Roman"/>
                <w:lang w:eastAsia="cs-CZ"/>
              </w:rPr>
            </w:pPr>
            <w:r>
              <w:rPr>
                <w:rFonts w:cs="Times New Roman"/>
                <w:lang w:eastAsia="cs-CZ"/>
              </w:rPr>
              <w:t>10</w:t>
            </w:r>
          </w:p>
        </w:tc>
        <w:tc>
          <w:tcPr>
            <w:tcW w:w="3119" w:type="dxa"/>
          </w:tcPr>
          <w:p w14:paraId="6A96AA02" w14:textId="77777777" w:rsidR="00C60C87" w:rsidRPr="00245CE9" w:rsidRDefault="00C60C87" w:rsidP="009A7AC2">
            <w:pPr>
              <w:rPr>
                <w:rFonts w:cs="Times New Roman"/>
                <w:b/>
                <w:lang w:eastAsia="cs-CZ"/>
              </w:rPr>
            </w:pPr>
            <w:r w:rsidRPr="00245CE9">
              <w:rPr>
                <w:rFonts w:cs="Times New Roman"/>
                <w:b/>
                <w:lang w:eastAsia="cs-CZ"/>
              </w:rPr>
              <w:t>Informovanost o dění v obci</w:t>
            </w:r>
          </w:p>
        </w:tc>
        <w:tc>
          <w:tcPr>
            <w:tcW w:w="1134" w:type="dxa"/>
          </w:tcPr>
          <w:p w14:paraId="31050364" w14:textId="77777777" w:rsidR="00C60C87" w:rsidRDefault="00C60C87" w:rsidP="009A7AC2">
            <w:pPr>
              <w:jc w:val="center"/>
              <w:rPr>
                <w:rFonts w:cs="Times New Roman"/>
                <w:sz w:val="24"/>
                <w:szCs w:val="24"/>
                <w:lang w:eastAsia="cs-CZ"/>
              </w:rPr>
            </w:pPr>
            <w:r>
              <w:rPr>
                <w:rFonts w:cs="Times New Roman"/>
                <w:sz w:val="24"/>
                <w:szCs w:val="24"/>
                <w:lang w:eastAsia="cs-CZ"/>
              </w:rPr>
              <w:t>1</w:t>
            </w:r>
          </w:p>
        </w:tc>
        <w:tc>
          <w:tcPr>
            <w:tcW w:w="1134" w:type="dxa"/>
          </w:tcPr>
          <w:p w14:paraId="285FE60D" w14:textId="77777777" w:rsidR="00C60C87" w:rsidRDefault="00C60C87" w:rsidP="009A7AC2">
            <w:pPr>
              <w:jc w:val="center"/>
              <w:rPr>
                <w:rFonts w:cs="Times New Roman"/>
                <w:sz w:val="24"/>
                <w:szCs w:val="24"/>
                <w:lang w:eastAsia="cs-CZ"/>
              </w:rPr>
            </w:pPr>
            <w:r>
              <w:rPr>
                <w:rFonts w:cs="Times New Roman"/>
                <w:sz w:val="24"/>
                <w:szCs w:val="24"/>
                <w:lang w:eastAsia="cs-CZ"/>
              </w:rPr>
              <w:t>2</w:t>
            </w:r>
          </w:p>
        </w:tc>
        <w:tc>
          <w:tcPr>
            <w:tcW w:w="1275" w:type="dxa"/>
          </w:tcPr>
          <w:p w14:paraId="02094895" w14:textId="77777777" w:rsidR="00C60C87" w:rsidRDefault="00C60C87" w:rsidP="009A7AC2">
            <w:pPr>
              <w:jc w:val="center"/>
              <w:rPr>
                <w:rFonts w:cs="Times New Roman"/>
                <w:sz w:val="24"/>
                <w:szCs w:val="24"/>
                <w:lang w:eastAsia="cs-CZ"/>
              </w:rPr>
            </w:pPr>
            <w:r>
              <w:rPr>
                <w:rFonts w:cs="Times New Roman"/>
                <w:sz w:val="24"/>
                <w:szCs w:val="24"/>
                <w:lang w:eastAsia="cs-CZ"/>
              </w:rPr>
              <w:t>3</w:t>
            </w:r>
          </w:p>
        </w:tc>
        <w:tc>
          <w:tcPr>
            <w:tcW w:w="1276" w:type="dxa"/>
          </w:tcPr>
          <w:p w14:paraId="39323706" w14:textId="77777777" w:rsidR="00C60C87" w:rsidRDefault="00C60C87" w:rsidP="009A7AC2">
            <w:pPr>
              <w:jc w:val="center"/>
              <w:rPr>
                <w:rFonts w:cs="Times New Roman"/>
                <w:sz w:val="24"/>
                <w:szCs w:val="24"/>
                <w:lang w:eastAsia="cs-CZ"/>
              </w:rPr>
            </w:pPr>
            <w:r>
              <w:rPr>
                <w:rFonts w:cs="Times New Roman"/>
                <w:sz w:val="24"/>
                <w:szCs w:val="24"/>
                <w:lang w:eastAsia="cs-CZ"/>
              </w:rPr>
              <w:t>4</w:t>
            </w:r>
          </w:p>
        </w:tc>
        <w:tc>
          <w:tcPr>
            <w:tcW w:w="1141" w:type="dxa"/>
          </w:tcPr>
          <w:p w14:paraId="5675B22E" w14:textId="77777777" w:rsidR="00C60C87" w:rsidRDefault="00C60C87" w:rsidP="009A7AC2">
            <w:pPr>
              <w:jc w:val="center"/>
              <w:rPr>
                <w:rFonts w:cs="Times New Roman"/>
                <w:sz w:val="24"/>
                <w:szCs w:val="24"/>
                <w:lang w:eastAsia="cs-CZ"/>
              </w:rPr>
            </w:pPr>
            <w:r>
              <w:rPr>
                <w:rFonts w:cs="Times New Roman"/>
                <w:sz w:val="24"/>
                <w:szCs w:val="24"/>
                <w:lang w:eastAsia="cs-CZ"/>
              </w:rPr>
              <w:t>5</w:t>
            </w:r>
          </w:p>
        </w:tc>
      </w:tr>
    </w:tbl>
    <w:p w14:paraId="740FBDFF" w14:textId="77777777" w:rsidR="00C60C87" w:rsidRDefault="00C60C87" w:rsidP="00C60C87">
      <w:pPr>
        <w:jc w:val="center"/>
        <w:rPr>
          <w:rFonts w:cs="Times New Roman"/>
          <w:sz w:val="24"/>
          <w:szCs w:val="24"/>
          <w:lang w:eastAsia="cs-CZ"/>
        </w:rPr>
      </w:pPr>
    </w:p>
    <w:p w14:paraId="1AF8CF5B" w14:textId="77777777" w:rsidR="00C60C87" w:rsidRDefault="00C60C87" w:rsidP="00C60C87">
      <w:pPr>
        <w:jc w:val="center"/>
        <w:rPr>
          <w:rFonts w:cs="Times New Roman"/>
          <w:sz w:val="24"/>
          <w:szCs w:val="24"/>
          <w:lang w:eastAsia="cs-CZ"/>
        </w:rPr>
      </w:pPr>
    </w:p>
    <w:p w14:paraId="5637A94E" w14:textId="77777777" w:rsidR="00C60C87" w:rsidRPr="00245CE9" w:rsidRDefault="00C60C87" w:rsidP="00C60C87">
      <w:pPr>
        <w:pStyle w:val="Odstavecseseznamem"/>
        <w:numPr>
          <w:ilvl w:val="0"/>
          <w:numId w:val="1"/>
        </w:numPr>
        <w:tabs>
          <w:tab w:val="right" w:leader="dot" w:pos="9072"/>
        </w:tabs>
        <w:ind w:left="284" w:hanging="284"/>
        <w:jc w:val="both"/>
        <w:rPr>
          <w:rFonts w:cs="Times New Roman"/>
          <w:b/>
          <w:sz w:val="24"/>
          <w:szCs w:val="24"/>
          <w:lang w:eastAsia="cs-CZ"/>
        </w:rPr>
      </w:pPr>
      <w:r w:rsidRPr="00245CE9">
        <w:rPr>
          <w:rFonts w:cs="Times New Roman"/>
          <w:b/>
          <w:sz w:val="24"/>
          <w:szCs w:val="24"/>
          <w:lang w:eastAsia="cs-CZ"/>
        </w:rPr>
        <w:t>Mezilidské vztahy v</w:t>
      </w:r>
      <w:r>
        <w:rPr>
          <w:rFonts w:cs="Times New Roman"/>
          <w:b/>
          <w:sz w:val="24"/>
          <w:szCs w:val="24"/>
          <w:lang w:eastAsia="cs-CZ"/>
        </w:rPr>
        <w:t xml:space="preserve"> obci </w:t>
      </w:r>
      <w:r w:rsidRPr="00245CE9">
        <w:rPr>
          <w:rFonts w:cs="Times New Roman"/>
          <w:b/>
          <w:sz w:val="24"/>
          <w:szCs w:val="24"/>
          <w:lang w:eastAsia="cs-CZ"/>
        </w:rPr>
        <w:t>považujete za:</w:t>
      </w:r>
    </w:p>
    <w:p w14:paraId="3066E79C" w14:textId="7658729F" w:rsidR="00C60C87" w:rsidRPr="00245CE9"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245CE9">
        <w:rPr>
          <w:rFonts w:cs="Times New Roman"/>
          <w:sz w:val="24"/>
          <w:szCs w:val="24"/>
          <w:lang w:eastAsia="cs-CZ"/>
        </w:rPr>
        <w:t xml:space="preserve"> </w:t>
      </w:r>
      <w:r>
        <w:rPr>
          <w:rFonts w:cs="Times New Roman"/>
          <w:sz w:val="24"/>
          <w:szCs w:val="24"/>
          <w:lang w:eastAsia="cs-CZ"/>
        </w:rPr>
        <w:t>velmi dobré</w:t>
      </w:r>
      <w:r w:rsidRPr="00245CE9">
        <w:rPr>
          <w:rFonts w:cs="Times New Roman"/>
          <w:sz w:val="24"/>
          <w:szCs w:val="24"/>
          <w:lang w:eastAsia="cs-CZ"/>
        </w:rPr>
        <w:tab/>
      </w:r>
      <w:r>
        <w:rPr>
          <w:rFonts w:ascii="MS Gothic" w:eastAsia="MS Gothic" w:hAnsi="MS Gothic" w:cs="Times New Roman" w:hint="eastAsia"/>
          <w:sz w:val="24"/>
          <w:szCs w:val="24"/>
          <w:lang w:eastAsia="cs-CZ"/>
        </w:rPr>
        <w:t>☐</w:t>
      </w:r>
      <w:r w:rsidRPr="00245CE9">
        <w:rPr>
          <w:rFonts w:cs="Times New Roman"/>
          <w:sz w:val="24"/>
          <w:szCs w:val="24"/>
          <w:lang w:eastAsia="cs-CZ"/>
        </w:rPr>
        <w:t xml:space="preserve"> </w:t>
      </w:r>
      <w:r>
        <w:rPr>
          <w:rFonts w:cs="Times New Roman"/>
          <w:sz w:val="24"/>
          <w:szCs w:val="24"/>
          <w:lang w:eastAsia="cs-CZ"/>
        </w:rPr>
        <w:t>špatné</w:t>
      </w:r>
      <w:r w:rsidRPr="00245CE9">
        <w:rPr>
          <w:rFonts w:cs="Times New Roman"/>
          <w:sz w:val="24"/>
          <w:szCs w:val="24"/>
          <w:lang w:eastAsia="cs-CZ"/>
        </w:rPr>
        <w:tab/>
      </w:r>
    </w:p>
    <w:p w14:paraId="76D01014" w14:textId="40E1AEEC" w:rsidR="00C60C87" w:rsidRPr="00245CE9"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245CE9">
        <w:rPr>
          <w:rFonts w:cs="Times New Roman"/>
          <w:sz w:val="24"/>
          <w:szCs w:val="24"/>
          <w:lang w:eastAsia="cs-CZ"/>
        </w:rPr>
        <w:t xml:space="preserve"> </w:t>
      </w:r>
      <w:r>
        <w:rPr>
          <w:rFonts w:cs="Times New Roman"/>
          <w:sz w:val="24"/>
          <w:szCs w:val="24"/>
          <w:lang w:eastAsia="cs-CZ"/>
        </w:rPr>
        <w:t>docela dobré</w:t>
      </w:r>
      <w:r w:rsidRPr="00245CE9">
        <w:rPr>
          <w:rFonts w:cs="Times New Roman"/>
          <w:sz w:val="24"/>
          <w:szCs w:val="24"/>
          <w:lang w:eastAsia="cs-CZ"/>
        </w:rPr>
        <w:t xml:space="preserve"> </w:t>
      </w:r>
      <w:r w:rsidRPr="00245CE9">
        <w:rPr>
          <w:rFonts w:cs="Times New Roman"/>
          <w:sz w:val="24"/>
          <w:szCs w:val="24"/>
          <w:lang w:eastAsia="cs-CZ"/>
        </w:rPr>
        <w:tab/>
      </w:r>
      <w:r>
        <w:rPr>
          <w:rFonts w:ascii="MS Gothic" w:eastAsia="MS Gothic" w:hAnsi="MS Gothic" w:cs="Times New Roman" w:hint="eastAsia"/>
          <w:sz w:val="24"/>
          <w:szCs w:val="24"/>
          <w:lang w:eastAsia="cs-CZ"/>
        </w:rPr>
        <w:t>☐</w:t>
      </w:r>
      <w:r w:rsidRPr="00245CE9">
        <w:rPr>
          <w:rFonts w:cs="Times New Roman"/>
          <w:sz w:val="24"/>
          <w:szCs w:val="24"/>
          <w:lang w:eastAsia="cs-CZ"/>
        </w:rPr>
        <w:t xml:space="preserve"> </w:t>
      </w:r>
      <w:r>
        <w:rPr>
          <w:rFonts w:cs="Times New Roman"/>
          <w:sz w:val="24"/>
          <w:szCs w:val="24"/>
          <w:lang w:eastAsia="cs-CZ"/>
        </w:rPr>
        <w:t>nedovedu posoudit</w:t>
      </w:r>
    </w:p>
    <w:p w14:paraId="2705C940" w14:textId="08A601F9" w:rsidR="00C60C87" w:rsidRPr="00245CE9"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245CE9">
        <w:rPr>
          <w:rFonts w:cs="Times New Roman"/>
          <w:sz w:val="24"/>
          <w:szCs w:val="24"/>
          <w:lang w:eastAsia="cs-CZ"/>
        </w:rPr>
        <w:t xml:space="preserve"> </w:t>
      </w:r>
      <w:r>
        <w:rPr>
          <w:rFonts w:cs="Times New Roman"/>
          <w:sz w:val="24"/>
          <w:szCs w:val="24"/>
          <w:lang w:eastAsia="cs-CZ"/>
        </w:rPr>
        <w:t>ne moc dobré</w:t>
      </w:r>
    </w:p>
    <w:p w14:paraId="24066B00" w14:textId="77777777" w:rsidR="00C60C87" w:rsidRDefault="00C60C87" w:rsidP="00C60C87">
      <w:pPr>
        <w:tabs>
          <w:tab w:val="left" w:pos="3402"/>
          <w:tab w:val="left" w:pos="5580"/>
        </w:tabs>
        <w:autoSpaceDE w:val="0"/>
        <w:autoSpaceDN w:val="0"/>
        <w:adjustRightInd w:val="0"/>
        <w:ind w:left="426"/>
        <w:rPr>
          <w:rFonts w:cs="Times New Roman"/>
          <w:sz w:val="24"/>
          <w:szCs w:val="24"/>
          <w:lang w:eastAsia="cs-CZ"/>
        </w:rPr>
      </w:pPr>
    </w:p>
    <w:p w14:paraId="2543B52B" w14:textId="77777777" w:rsidR="00C60C87" w:rsidRDefault="00C60C87" w:rsidP="00C60C87">
      <w:pPr>
        <w:tabs>
          <w:tab w:val="left" w:pos="3402"/>
          <w:tab w:val="left" w:pos="5580"/>
        </w:tabs>
        <w:autoSpaceDE w:val="0"/>
        <w:autoSpaceDN w:val="0"/>
        <w:adjustRightInd w:val="0"/>
        <w:ind w:left="426"/>
        <w:rPr>
          <w:rFonts w:cs="Times New Roman"/>
          <w:sz w:val="24"/>
          <w:szCs w:val="24"/>
          <w:lang w:eastAsia="cs-CZ"/>
        </w:rPr>
      </w:pPr>
    </w:p>
    <w:p w14:paraId="318A081E" w14:textId="77777777" w:rsidR="00C60C87" w:rsidRPr="00D57D02" w:rsidRDefault="00C60C87" w:rsidP="00C60C87">
      <w:pPr>
        <w:pStyle w:val="Odstavecseseznamem"/>
        <w:numPr>
          <w:ilvl w:val="0"/>
          <w:numId w:val="1"/>
        </w:numPr>
        <w:tabs>
          <w:tab w:val="right" w:leader="dot" w:pos="9072"/>
        </w:tabs>
        <w:ind w:left="284" w:hanging="284"/>
        <w:jc w:val="both"/>
        <w:rPr>
          <w:rFonts w:cs="Times New Roman"/>
          <w:b/>
          <w:sz w:val="24"/>
          <w:szCs w:val="24"/>
          <w:lang w:eastAsia="cs-CZ"/>
        </w:rPr>
      </w:pPr>
      <w:r>
        <w:rPr>
          <w:rFonts w:cs="Times New Roman"/>
          <w:b/>
          <w:sz w:val="24"/>
          <w:szCs w:val="24"/>
          <w:lang w:eastAsia="cs-CZ"/>
        </w:rPr>
        <w:t>Myslíte si, že obyvatelé obce</w:t>
      </w:r>
      <w:r w:rsidRPr="00D57D02">
        <w:rPr>
          <w:rFonts w:cs="Times New Roman"/>
          <w:b/>
          <w:sz w:val="24"/>
          <w:szCs w:val="24"/>
          <w:lang w:eastAsia="cs-CZ"/>
        </w:rPr>
        <w:t xml:space="preserve"> mají dostatek příležitostí ke vzájemným společenským </w:t>
      </w:r>
      <w:r w:rsidRPr="00D57D02">
        <w:rPr>
          <w:rFonts w:ascii="Arial,Bold" w:hAnsi="Arial,Bold" w:cs="Arial,Bold"/>
          <w:b/>
          <w:bCs/>
        </w:rPr>
        <w:t>kontaktům?</w:t>
      </w:r>
    </w:p>
    <w:p w14:paraId="1766240B" w14:textId="050D0C34"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rozhodně ano</w:t>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rozhodně ne</w:t>
      </w:r>
    </w:p>
    <w:p w14:paraId="448175DD" w14:textId="2B216EF6"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spíše ano</w:t>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nedovedu posoudit</w:t>
      </w:r>
    </w:p>
    <w:p w14:paraId="35937E25" w14:textId="152F47BD"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spíše ne</w:t>
      </w:r>
    </w:p>
    <w:p w14:paraId="765B29A1" w14:textId="77777777" w:rsidR="00C60C87" w:rsidRDefault="00C60C87" w:rsidP="00C60C87">
      <w:pPr>
        <w:tabs>
          <w:tab w:val="left" w:pos="3402"/>
          <w:tab w:val="left" w:pos="5580"/>
        </w:tabs>
        <w:autoSpaceDE w:val="0"/>
        <w:autoSpaceDN w:val="0"/>
        <w:adjustRightInd w:val="0"/>
        <w:ind w:left="426"/>
        <w:rPr>
          <w:rFonts w:cs="Times New Roman"/>
          <w:sz w:val="24"/>
          <w:szCs w:val="24"/>
          <w:lang w:eastAsia="cs-CZ"/>
        </w:rPr>
      </w:pPr>
    </w:p>
    <w:p w14:paraId="2258FDAD" w14:textId="77777777" w:rsidR="00C60C87" w:rsidRDefault="00C60C87" w:rsidP="00C60C87">
      <w:pPr>
        <w:tabs>
          <w:tab w:val="left" w:pos="3402"/>
          <w:tab w:val="left" w:pos="5580"/>
        </w:tabs>
        <w:autoSpaceDE w:val="0"/>
        <w:autoSpaceDN w:val="0"/>
        <w:adjustRightInd w:val="0"/>
        <w:ind w:left="426"/>
        <w:rPr>
          <w:rFonts w:cs="Times New Roman"/>
          <w:sz w:val="24"/>
          <w:szCs w:val="24"/>
          <w:lang w:eastAsia="cs-CZ"/>
        </w:rPr>
      </w:pPr>
    </w:p>
    <w:p w14:paraId="4B0896CF" w14:textId="77777777" w:rsidR="00C60C87" w:rsidRPr="00D57D02" w:rsidRDefault="00C60C87" w:rsidP="00C60C87">
      <w:pPr>
        <w:pStyle w:val="Odstavecseseznamem"/>
        <w:numPr>
          <w:ilvl w:val="0"/>
          <w:numId w:val="1"/>
        </w:numPr>
        <w:tabs>
          <w:tab w:val="right" w:leader="dot" w:pos="9072"/>
        </w:tabs>
        <w:ind w:left="284" w:hanging="284"/>
        <w:jc w:val="both"/>
        <w:rPr>
          <w:rFonts w:cs="Times New Roman"/>
          <w:b/>
          <w:sz w:val="24"/>
          <w:szCs w:val="24"/>
          <w:lang w:eastAsia="cs-CZ"/>
        </w:rPr>
      </w:pPr>
      <w:r>
        <w:rPr>
          <w:rFonts w:cs="Times New Roman"/>
          <w:b/>
          <w:sz w:val="24"/>
          <w:szCs w:val="24"/>
          <w:lang w:eastAsia="cs-CZ"/>
        </w:rPr>
        <w:t>Jaké komunikační kanály Vám nejvíce vyhovují</w:t>
      </w:r>
      <w:r w:rsidRPr="00D57D02">
        <w:rPr>
          <w:rFonts w:cs="Times New Roman"/>
          <w:b/>
          <w:sz w:val="24"/>
          <w:szCs w:val="24"/>
          <w:lang w:eastAsia="cs-CZ"/>
        </w:rPr>
        <w:t>?</w:t>
      </w:r>
      <w:r>
        <w:rPr>
          <w:rFonts w:cs="Times New Roman"/>
          <w:b/>
          <w:sz w:val="24"/>
          <w:szCs w:val="24"/>
          <w:lang w:eastAsia="cs-CZ"/>
        </w:rPr>
        <w:t xml:space="preserve"> </w:t>
      </w:r>
      <w:r w:rsidRPr="0000047D">
        <w:rPr>
          <w:rFonts w:cs="Times New Roman"/>
          <w:b/>
          <w:sz w:val="24"/>
          <w:szCs w:val="24"/>
          <w:lang w:eastAsia="cs-CZ"/>
        </w:rPr>
        <w:t>(zatrhněte maximálně tři možnosti)</w:t>
      </w:r>
    </w:p>
    <w:p w14:paraId="238E6F8C" w14:textId="03A74182" w:rsidR="00C60C87" w:rsidRDefault="00C60C87" w:rsidP="00C60C87">
      <w:pPr>
        <w:tabs>
          <w:tab w:val="left" w:pos="3402"/>
          <w:tab w:val="left" w:pos="4536"/>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výlepové plochy</w:t>
      </w:r>
      <w:r>
        <w:rPr>
          <w:rFonts w:cs="Times New Roman"/>
          <w:sz w:val="24"/>
          <w:szCs w:val="24"/>
          <w:lang w:eastAsia="cs-CZ"/>
        </w:rPr>
        <w:tab/>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e-mail</w:t>
      </w:r>
    </w:p>
    <w:p w14:paraId="2A5A1A5D" w14:textId="0583F677" w:rsidR="00C60C87" w:rsidRDefault="00C60C87" w:rsidP="00C60C87">
      <w:pPr>
        <w:tabs>
          <w:tab w:val="left" w:pos="3402"/>
          <w:tab w:val="left" w:pos="4536"/>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SMS</w:t>
      </w:r>
      <w:r>
        <w:rPr>
          <w:rFonts w:cs="Times New Roman"/>
          <w:sz w:val="24"/>
          <w:szCs w:val="24"/>
          <w:lang w:eastAsia="cs-CZ"/>
        </w:rPr>
        <w:tab/>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webové stránky obce</w:t>
      </w:r>
      <w:r>
        <w:rPr>
          <w:rFonts w:cs="Times New Roman"/>
          <w:sz w:val="24"/>
          <w:szCs w:val="24"/>
          <w:lang w:eastAsia="cs-CZ"/>
        </w:rPr>
        <w:tab/>
      </w:r>
      <w:r>
        <w:rPr>
          <w:rFonts w:cs="Times New Roman"/>
          <w:sz w:val="24"/>
          <w:szCs w:val="24"/>
          <w:lang w:eastAsia="cs-CZ"/>
        </w:rPr>
        <w:tab/>
      </w:r>
      <w:r>
        <w:rPr>
          <w:rFonts w:cs="Times New Roman"/>
          <w:sz w:val="24"/>
          <w:szCs w:val="24"/>
          <w:lang w:eastAsia="cs-CZ"/>
        </w:rPr>
        <w:tab/>
      </w:r>
    </w:p>
    <w:p w14:paraId="5DB226B8" w14:textId="268536C6" w:rsidR="00C60C87" w:rsidRDefault="00C60C87" w:rsidP="00C60C87">
      <w:pPr>
        <w:tabs>
          <w:tab w:val="left" w:pos="3402"/>
          <w:tab w:val="left" w:pos="4536"/>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Facebook</w:t>
      </w:r>
      <w:r w:rsidRPr="00060E96">
        <w:rPr>
          <w:rFonts w:cs="Times New Roman"/>
          <w:sz w:val="24"/>
          <w:szCs w:val="24"/>
          <w:lang w:eastAsia="cs-CZ"/>
        </w:rPr>
        <w:t xml:space="preserve"> </w:t>
      </w:r>
      <w:r>
        <w:rPr>
          <w:rFonts w:cs="Times New Roman"/>
          <w:sz w:val="24"/>
          <w:szCs w:val="24"/>
          <w:lang w:eastAsia="cs-CZ"/>
        </w:rPr>
        <w:tab/>
      </w:r>
      <w:r>
        <w:rPr>
          <w:rFonts w:cs="Times New Roman"/>
          <w:sz w:val="24"/>
          <w:szCs w:val="24"/>
          <w:lang w:eastAsia="cs-CZ"/>
        </w:rPr>
        <w:tab/>
      </w:r>
    </w:p>
    <w:p w14:paraId="16843EE2" w14:textId="09A7B006"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334F2">
        <w:rPr>
          <w:rFonts w:cs="Times New Roman"/>
          <w:sz w:val="24"/>
          <w:szCs w:val="24"/>
          <w:lang w:eastAsia="cs-CZ"/>
        </w:rPr>
        <w:t xml:space="preserve"> jiné: </w:t>
      </w:r>
      <w:r>
        <w:rPr>
          <w:rFonts w:cs="Times New Roman"/>
          <w:sz w:val="24"/>
          <w:szCs w:val="24"/>
          <w:lang w:eastAsia="cs-CZ"/>
        </w:rPr>
        <w:t>……………………………………………………………………………………………………………………………</w:t>
      </w:r>
      <w:r>
        <w:rPr>
          <w:rFonts w:cs="Times New Roman"/>
          <w:sz w:val="24"/>
          <w:szCs w:val="24"/>
          <w:lang w:eastAsia="cs-CZ"/>
        </w:rPr>
        <w:tab/>
      </w:r>
    </w:p>
    <w:p w14:paraId="6A6D1600" w14:textId="77777777" w:rsidR="00C60C87" w:rsidRDefault="00C60C87" w:rsidP="00C60C87">
      <w:pPr>
        <w:tabs>
          <w:tab w:val="left" w:pos="3402"/>
          <w:tab w:val="left" w:pos="5580"/>
        </w:tabs>
        <w:autoSpaceDE w:val="0"/>
        <w:autoSpaceDN w:val="0"/>
        <w:adjustRightInd w:val="0"/>
        <w:ind w:left="426"/>
        <w:rPr>
          <w:rFonts w:cs="Times New Roman"/>
          <w:sz w:val="24"/>
          <w:szCs w:val="24"/>
          <w:lang w:eastAsia="cs-CZ"/>
        </w:rPr>
      </w:pPr>
    </w:p>
    <w:p w14:paraId="75F1FD26" w14:textId="77777777" w:rsidR="00C60C87" w:rsidRPr="00D57D02" w:rsidRDefault="00C60C87" w:rsidP="00C60C87">
      <w:pPr>
        <w:pStyle w:val="Odstavecseseznamem"/>
        <w:numPr>
          <w:ilvl w:val="0"/>
          <w:numId w:val="1"/>
        </w:numPr>
        <w:tabs>
          <w:tab w:val="right" w:leader="dot" w:pos="9072"/>
        </w:tabs>
        <w:ind w:left="284" w:hanging="284"/>
        <w:jc w:val="both"/>
        <w:rPr>
          <w:rFonts w:cs="Times New Roman"/>
          <w:b/>
          <w:sz w:val="24"/>
          <w:szCs w:val="24"/>
          <w:lang w:eastAsia="cs-CZ"/>
        </w:rPr>
      </w:pPr>
      <w:r w:rsidRPr="00D57D02">
        <w:rPr>
          <w:rFonts w:cs="Times New Roman"/>
          <w:b/>
          <w:sz w:val="24"/>
          <w:szCs w:val="24"/>
          <w:lang w:eastAsia="cs-CZ"/>
        </w:rPr>
        <w:t>S</w:t>
      </w:r>
      <w:r>
        <w:rPr>
          <w:rFonts w:cs="Times New Roman"/>
          <w:b/>
          <w:sz w:val="24"/>
          <w:szCs w:val="24"/>
          <w:lang w:eastAsia="cs-CZ"/>
        </w:rPr>
        <w:t xml:space="preserve">ledujete informace o dění v obci </w:t>
      </w:r>
      <w:r w:rsidRPr="00D57D02">
        <w:rPr>
          <w:rFonts w:cs="Times New Roman"/>
          <w:b/>
          <w:sz w:val="24"/>
          <w:szCs w:val="24"/>
          <w:lang w:eastAsia="cs-CZ"/>
        </w:rPr>
        <w:t>na webových stránkách?</w:t>
      </w:r>
    </w:p>
    <w:p w14:paraId="5F89A45F" w14:textId="431DA143" w:rsidR="00C60C87" w:rsidRDefault="00C60C87" w:rsidP="00C60C87">
      <w:pPr>
        <w:tabs>
          <w:tab w:val="left" w:pos="3402"/>
          <w:tab w:val="left" w:pos="4536"/>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pravidelně (min. 1x týdně)</w:t>
      </w:r>
      <w:r>
        <w:rPr>
          <w:rFonts w:cs="Times New Roman"/>
          <w:sz w:val="24"/>
          <w:szCs w:val="24"/>
          <w:lang w:eastAsia="cs-CZ"/>
        </w:rPr>
        <w:tab/>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vůbec</w:t>
      </w:r>
    </w:p>
    <w:p w14:paraId="3E73BD3C" w14:textId="38DFAE0F" w:rsidR="00C60C87" w:rsidRDefault="00C60C87" w:rsidP="00C60C87">
      <w:pPr>
        <w:tabs>
          <w:tab w:val="left" w:pos="3402"/>
          <w:tab w:val="left" w:pos="4536"/>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občas (cca 1x za měsíc)</w:t>
      </w:r>
      <w:r>
        <w:rPr>
          <w:rFonts w:cs="Times New Roman"/>
          <w:sz w:val="24"/>
          <w:szCs w:val="24"/>
          <w:lang w:eastAsia="cs-CZ"/>
        </w:rPr>
        <w:tab/>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nemám internet</w:t>
      </w:r>
    </w:p>
    <w:p w14:paraId="4AD2D288" w14:textId="77777777" w:rsidR="00C60C87" w:rsidRDefault="00C60C87" w:rsidP="00C60C87">
      <w:pPr>
        <w:tabs>
          <w:tab w:val="left" w:pos="3402"/>
          <w:tab w:val="left" w:pos="4536"/>
        </w:tabs>
        <w:autoSpaceDE w:val="0"/>
        <w:autoSpaceDN w:val="0"/>
        <w:adjustRightInd w:val="0"/>
        <w:ind w:left="426"/>
        <w:rPr>
          <w:rFonts w:cs="Times New Roman"/>
          <w:sz w:val="24"/>
          <w:szCs w:val="24"/>
          <w:lang w:eastAsia="cs-CZ"/>
        </w:rPr>
      </w:pPr>
    </w:p>
    <w:p w14:paraId="14E37909" w14:textId="77777777" w:rsidR="00C60C87" w:rsidRDefault="00C60C87" w:rsidP="00C60C87">
      <w:pPr>
        <w:tabs>
          <w:tab w:val="left" w:pos="3402"/>
          <w:tab w:val="left" w:pos="4536"/>
        </w:tabs>
        <w:autoSpaceDE w:val="0"/>
        <w:autoSpaceDN w:val="0"/>
        <w:adjustRightInd w:val="0"/>
        <w:ind w:left="426"/>
        <w:rPr>
          <w:rFonts w:cs="Times New Roman"/>
          <w:sz w:val="24"/>
          <w:szCs w:val="24"/>
          <w:lang w:eastAsia="cs-CZ"/>
        </w:rPr>
      </w:pPr>
    </w:p>
    <w:p w14:paraId="75A708A3" w14:textId="77777777" w:rsidR="00C60C87" w:rsidRPr="00D57D02" w:rsidRDefault="00C60C87" w:rsidP="00C60C87">
      <w:pPr>
        <w:pStyle w:val="Odstavecseseznamem"/>
        <w:numPr>
          <w:ilvl w:val="0"/>
          <w:numId w:val="1"/>
        </w:numPr>
        <w:tabs>
          <w:tab w:val="right" w:leader="dot" w:pos="9072"/>
        </w:tabs>
        <w:ind w:left="426" w:hanging="426"/>
        <w:jc w:val="both"/>
        <w:rPr>
          <w:rFonts w:cs="Times New Roman"/>
          <w:b/>
          <w:sz w:val="24"/>
          <w:szCs w:val="24"/>
          <w:lang w:eastAsia="cs-CZ"/>
        </w:rPr>
      </w:pPr>
      <w:r w:rsidRPr="00D57D02">
        <w:rPr>
          <w:rFonts w:cs="Times New Roman"/>
          <w:b/>
          <w:sz w:val="24"/>
          <w:szCs w:val="24"/>
          <w:lang w:eastAsia="cs-CZ"/>
        </w:rPr>
        <w:t xml:space="preserve">Jste ochoten/ochotna </w:t>
      </w:r>
      <w:r>
        <w:rPr>
          <w:rFonts w:cs="Times New Roman"/>
          <w:b/>
          <w:sz w:val="24"/>
          <w:szCs w:val="24"/>
          <w:lang w:eastAsia="cs-CZ"/>
        </w:rPr>
        <w:t>udělat něco pro rozvoj své obce?</w:t>
      </w:r>
    </w:p>
    <w:p w14:paraId="2403422A" w14:textId="298A5EC5" w:rsidR="00C60C87" w:rsidRPr="00D57D02" w:rsidRDefault="00C60C87" w:rsidP="00C60C87">
      <w:pPr>
        <w:tabs>
          <w:tab w:val="left" w:pos="3402"/>
          <w:tab w:val="left" w:pos="5580"/>
        </w:tabs>
        <w:autoSpaceDE w:val="0"/>
        <w:autoSpaceDN w:val="0"/>
        <w:adjustRightInd w:val="0"/>
        <w:ind w:left="425"/>
        <w:rPr>
          <w:rFonts w:cs="Times New Roman"/>
          <w:sz w:val="24"/>
          <w:szCs w:val="24"/>
          <w:lang w:eastAsia="cs-CZ"/>
        </w:rPr>
      </w:pPr>
      <w:r>
        <w:rPr>
          <w:rFonts w:ascii="MS Gothic" w:eastAsia="MS Gothic" w:hAnsi="MS Gothic" w:cs="Times New Roman" w:hint="eastAsia"/>
          <w:sz w:val="24"/>
          <w:szCs w:val="24"/>
          <w:lang w:eastAsia="cs-CZ"/>
        </w:rPr>
        <w:t>☐</w:t>
      </w:r>
      <w:r w:rsidRPr="00D57D02">
        <w:rPr>
          <w:rFonts w:cs="Times New Roman"/>
          <w:sz w:val="24"/>
          <w:szCs w:val="24"/>
          <w:lang w:eastAsia="cs-CZ"/>
        </w:rPr>
        <w:t xml:space="preserve"> rozhodně ano</w:t>
      </w:r>
      <w:r w:rsidRPr="00D57D02">
        <w:rPr>
          <w:rFonts w:cs="Times New Roman"/>
          <w:sz w:val="24"/>
          <w:szCs w:val="24"/>
          <w:lang w:eastAsia="cs-CZ"/>
        </w:rPr>
        <w:tab/>
      </w:r>
      <w:r>
        <w:rPr>
          <w:rFonts w:ascii="MS Gothic" w:eastAsia="MS Gothic" w:hAnsi="MS Gothic" w:cs="Times New Roman" w:hint="eastAsia"/>
          <w:sz w:val="24"/>
          <w:szCs w:val="24"/>
          <w:lang w:eastAsia="cs-CZ"/>
        </w:rPr>
        <w:t>☐</w:t>
      </w:r>
      <w:r w:rsidRPr="00D57D02">
        <w:rPr>
          <w:rFonts w:cs="Times New Roman"/>
          <w:sz w:val="24"/>
          <w:szCs w:val="24"/>
          <w:lang w:eastAsia="cs-CZ"/>
        </w:rPr>
        <w:t xml:space="preserve"> rozhodně ne</w:t>
      </w:r>
    </w:p>
    <w:p w14:paraId="2C0DFCEE" w14:textId="4975298A" w:rsidR="00C60C87" w:rsidRPr="00D57D02"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D57D02">
        <w:rPr>
          <w:rFonts w:cs="Times New Roman"/>
          <w:sz w:val="24"/>
          <w:szCs w:val="24"/>
          <w:lang w:eastAsia="cs-CZ"/>
        </w:rPr>
        <w:t xml:space="preserve"> spíše ano</w:t>
      </w:r>
      <w:r w:rsidRPr="00D57D02">
        <w:rPr>
          <w:rFonts w:cs="Times New Roman"/>
          <w:sz w:val="24"/>
          <w:szCs w:val="24"/>
          <w:lang w:eastAsia="cs-CZ"/>
        </w:rPr>
        <w:tab/>
      </w:r>
      <w:r w:rsidRPr="00D57D02">
        <w:rPr>
          <w:rFonts w:ascii="MS Gothic" w:eastAsia="MS Gothic" w:hAnsi="MS Gothic" w:cs="Times New Roman" w:hint="eastAsia"/>
          <w:sz w:val="24"/>
          <w:szCs w:val="24"/>
          <w:lang w:eastAsia="cs-CZ"/>
        </w:rPr>
        <w:t>☐</w:t>
      </w:r>
      <w:r w:rsidRPr="00D57D02">
        <w:rPr>
          <w:rFonts w:cs="Times New Roman"/>
          <w:sz w:val="24"/>
          <w:szCs w:val="24"/>
          <w:lang w:eastAsia="cs-CZ"/>
        </w:rPr>
        <w:t xml:space="preserve"> nedovedu posoudit</w:t>
      </w:r>
    </w:p>
    <w:p w14:paraId="2FAD0EBA" w14:textId="74E089A7" w:rsidR="00C60C87" w:rsidRPr="00D57D02"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D57D02">
        <w:rPr>
          <w:rFonts w:cs="Times New Roman"/>
          <w:sz w:val="24"/>
          <w:szCs w:val="24"/>
          <w:lang w:eastAsia="cs-CZ"/>
        </w:rPr>
        <w:t xml:space="preserve"> spíše ne</w:t>
      </w:r>
    </w:p>
    <w:p w14:paraId="1D1ACE5D" w14:textId="77777777" w:rsidR="00C60C87" w:rsidRDefault="00C60C87" w:rsidP="00C60C87">
      <w:pPr>
        <w:tabs>
          <w:tab w:val="right" w:leader="dot" w:pos="9072"/>
        </w:tabs>
        <w:autoSpaceDE w:val="0"/>
        <w:autoSpaceDN w:val="0"/>
        <w:adjustRightInd w:val="0"/>
        <w:spacing w:after="120"/>
        <w:rPr>
          <w:rFonts w:cs="Times New Roman"/>
          <w:b/>
          <w:sz w:val="24"/>
          <w:szCs w:val="24"/>
          <w:lang w:eastAsia="cs-CZ"/>
        </w:rPr>
      </w:pPr>
    </w:p>
    <w:p w14:paraId="286B82A1" w14:textId="77777777" w:rsidR="00C60C87" w:rsidRPr="00376AEF" w:rsidRDefault="00C60C87" w:rsidP="00C60C87">
      <w:pPr>
        <w:pStyle w:val="Odstavecseseznamem"/>
        <w:numPr>
          <w:ilvl w:val="0"/>
          <w:numId w:val="1"/>
        </w:numPr>
        <w:tabs>
          <w:tab w:val="right" w:leader="dot" w:pos="9072"/>
        </w:tabs>
        <w:autoSpaceDE w:val="0"/>
        <w:autoSpaceDN w:val="0"/>
        <w:adjustRightInd w:val="0"/>
        <w:spacing w:after="120"/>
        <w:ind w:left="426" w:hanging="426"/>
        <w:rPr>
          <w:rFonts w:cs="Times New Roman"/>
          <w:b/>
          <w:sz w:val="24"/>
          <w:szCs w:val="24"/>
          <w:lang w:eastAsia="cs-CZ"/>
        </w:rPr>
      </w:pPr>
      <w:r w:rsidRPr="00376AEF">
        <w:rPr>
          <w:rFonts w:cs="Times New Roman"/>
          <w:b/>
          <w:sz w:val="24"/>
          <w:szCs w:val="24"/>
          <w:lang w:eastAsia="cs-CZ"/>
        </w:rPr>
        <w:lastRenderedPageBreak/>
        <w:t xml:space="preserve">Pokud ano, jak se můžete zapojit? </w:t>
      </w:r>
      <w:r w:rsidRPr="00376AEF">
        <w:rPr>
          <w:rFonts w:cs="Times New Roman"/>
          <w:sz w:val="24"/>
          <w:szCs w:val="24"/>
          <w:lang w:eastAsia="cs-CZ"/>
        </w:rPr>
        <w:tab/>
      </w:r>
    </w:p>
    <w:p w14:paraId="3F7F20D9" w14:textId="77777777" w:rsidR="00C60C87" w:rsidRDefault="00C60C87" w:rsidP="00C60C87">
      <w:pPr>
        <w:tabs>
          <w:tab w:val="right" w:leader="dot" w:pos="9072"/>
        </w:tabs>
        <w:autoSpaceDE w:val="0"/>
        <w:autoSpaceDN w:val="0"/>
        <w:adjustRightInd w:val="0"/>
        <w:rPr>
          <w:rFonts w:cs="Times New Roman"/>
          <w:sz w:val="24"/>
          <w:szCs w:val="24"/>
          <w:lang w:eastAsia="cs-CZ"/>
        </w:rPr>
      </w:pPr>
      <w:r>
        <w:rPr>
          <w:rFonts w:cs="Times New Roman"/>
          <w:sz w:val="24"/>
          <w:szCs w:val="24"/>
          <w:lang w:eastAsia="cs-CZ"/>
        </w:rPr>
        <w:tab/>
      </w:r>
    </w:p>
    <w:p w14:paraId="0B1BEDD1" w14:textId="77777777" w:rsidR="00C60C87" w:rsidRDefault="00C60C87" w:rsidP="00C60C87">
      <w:pPr>
        <w:tabs>
          <w:tab w:val="left" w:pos="3402"/>
          <w:tab w:val="left" w:pos="5580"/>
        </w:tabs>
        <w:autoSpaceDE w:val="0"/>
        <w:autoSpaceDN w:val="0"/>
        <w:adjustRightInd w:val="0"/>
        <w:ind w:left="426"/>
        <w:rPr>
          <w:rFonts w:cs="Times New Roman"/>
          <w:sz w:val="24"/>
          <w:szCs w:val="24"/>
          <w:lang w:eastAsia="cs-CZ"/>
        </w:rPr>
      </w:pPr>
    </w:p>
    <w:p w14:paraId="497F1B41" w14:textId="77777777" w:rsidR="00C60C87" w:rsidRDefault="00C60C87" w:rsidP="00C60C87">
      <w:pPr>
        <w:tabs>
          <w:tab w:val="left" w:pos="3402"/>
          <w:tab w:val="left" w:pos="5580"/>
        </w:tabs>
        <w:autoSpaceDE w:val="0"/>
        <w:autoSpaceDN w:val="0"/>
        <w:adjustRightInd w:val="0"/>
        <w:ind w:left="426"/>
        <w:rPr>
          <w:rFonts w:cs="Times New Roman"/>
          <w:sz w:val="24"/>
          <w:szCs w:val="24"/>
          <w:lang w:eastAsia="cs-CZ"/>
        </w:rPr>
      </w:pPr>
    </w:p>
    <w:p w14:paraId="2C456C86" w14:textId="77777777" w:rsidR="00C60C87" w:rsidRPr="004334F2" w:rsidRDefault="00C60C87" w:rsidP="00C60C87">
      <w:pPr>
        <w:pStyle w:val="Odstavecseseznamem"/>
        <w:numPr>
          <w:ilvl w:val="0"/>
          <w:numId w:val="1"/>
        </w:numPr>
        <w:tabs>
          <w:tab w:val="right" w:leader="dot" w:pos="9072"/>
        </w:tabs>
        <w:ind w:left="426" w:hanging="426"/>
        <w:jc w:val="both"/>
        <w:rPr>
          <w:rFonts w:cs="Times New Roman"/>
          <w:b/>
          <w:sz w:val="24"/>
          <w:szCs w:val="24"/>
          <w:lang w:eastAsia="cs-CZ"/>
        </w:rPr>
      </w:pPr>
      <w:r w:rsidRPr="004334F2">
        <w:rPr>
          <w:rFonts w:cs="Times New Roman"/>
          <w:b/>
          <w:sz w:val="24"/>
          <w:szCs w:val="24"/>
          <w:lang w:eastAsia="cs-CZ"/>
        </w:rPr>
        <w:t>Představte si, že můžete rozhodnout o využití obecních finančních prostředků. Na</w:t>
      </w:r>
      <w:r>
        <w:rPr>
          <w:rFonts w:cs="Times New Roman"/>
          <w:b/>
          <w:sz w:val="24"/>
          <w:szCs w:val="24"/>
          <w:lang w:eastAsia="cs-CZ"/>
        </w:rPr>
        <w:t xml:space="preserve"> </w:t>
      </w:r>
      <w:r w:rsidRPr="004334F2">
        <w:rPr>
          <w:rFonts w:cs="Times New Roman"/>
          <w:b/>
          <w:sz w:val="24"/>
          <w:szCs w:val="24"/>
          <w:lang w:eastAsia="cs-CZ"/>
        </w:rPr>
        <w:t xml:space="preserve">co byste je přednostně využil/a? </w:t>
      </w:r>
      <w:r w:rsidRPr="004334F2">
        <w:rPr>
          <w:rFonts w:cs="Times New Roman"/>
          <w:sz w:val="24"/>
          <w:szCs w:val="24"/>
          <w:lang w:eastAsia="cs-CZ"/>
        </w:rPr>
        <w:t>(zatrhněte maximálně 3 možnosti)</w:t>
      </w:r>
    </w:p>
    <w:p w14:paraId="7E611755" w14:textId="3DE70563" w:rsidR="00C60C87" w:rsidRPr="004334F2"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334F2">
        <w:rPr>
          <w:rFonts w:cs="Times New Roman"/>
          <w:sz w:val="24"/>
          <w:szCs w:val="24"/>
          <w:lang w:eastAsia="cs-CZ"/>
        </w:rPr>
        <w:t xml:space="preserve"> zlepšení podmínek pro podnikání</w:t>
      </w:r>
    </w:p>
    <w:p w14:paraId="6DC92318" w14:textId="1B04A9FD" w:rsidR="00C60C87" w:rsidRPr="004334F2" w:rsidRDefault="00C60C87" w:rsidP="00C60C87">
      <w:pPr>
        <w:tabs>
          <w:tab w:val="left" w:pos="3402"/>
          <w:tab w:val="left" w:pos="5580"/>
        </w:tabs>
        <w:autoSpaceDE w:val="0"/>
        <w:autoSpaceDN w:val="0"/>
        <w:adjustRightInd w:val="0"/>
        <w:ind w:left="709" w:hanging="283"/>
        <w:rPr>
          <w:rFonts w:cs="Times New Roman"/>
          <w:sz w:val="24"/>
          <w:szCs w:val="24"/>
          <w:lang w:eastAsia="cs-CZ"/>
        </w:rPr>
      </w:pPr>
      <w:r>
        <w:rPr>
          <w:rFonts w:ascii="MS Gothic" w:eastAsia="MS Gothic" w:hAnsi="MS Gothic" w:cs="Times New Roman" w:hint="eastAsia"/>
          <w:sz w:val="24"/>
          <w:szCs w:val="24"/>
          <w:lang w:eastAsia="cs-CZ"/>
        </w:rPr>
        <w:t>☐</w:t>
      </w:r>
      <w:r w:rsidRPr="004334F2">
        <w:rPr>
          <w:rFonts w:cs="Times New Roman"/>
          <w:sz w:val="24"/>
          <w:szCs w:val="24"/>
          <w:lang w:eastAsia="cs-CZ"/>
        </w:rPr>
        <w:t xml:space="preserve"> podpora bytové výstavby</w:t>
      </w:r>
    </w:p>
    <w:p w14:paraId="58543C70" w14:textId="486B326E" w:rsidR="00C60C87" w:rsidRPr="004334F2"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334F2">
        <w:rPr>
          <w:rFonts w:cs="Times New Roman"/>
          <w:sz w:val="24"/>
          <w:szCs w:val="24"/>
          <w:lang w:eastAsia="cs-CZ"/>
        </w:rPr>
        <w:t xml:space="preserve"> častější spoje veřejné dopravy</w:t>
      </w:r>
    </w:p>
    <w:p w14:paraId="329F841B" w14:textId="026AEFEC" w:rsidR="00C60C87" w:rsidRPr="004334F2"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334F2">
        <w:rPr>
          <w:rFonts w:cs="Times New Roman"/>
          <w:sz w:val="24"/>
          <w:szCs w:val="24"/>
          <w:lang w:eastAsia="cs-CZ"/>
        </w:rPr>
        <w:t xml:space="preserve"> z</w:t>
      </w:r>
      <w:r>
        <w:rPr>
          <w:rFonts w:cs="Times New Roman"/>
          <w:sz w:val="24"/>
          <w:szCs w:val="24"/>
          <w:lang w:eastAsia="cs-CZ"/>
        </w:rPr>
        <w:t xml:space="preserve">řízení </w:t>
      </w:r>
      <w:r w:rsidRPr="004334F2">
        <w:rPr>
          <w:rFonts w:cs="Times New Roman"/>
          <w:sz w:val="24"/>
          <w:szCs w:val="24"/>
          <w:lang w:eastAsia="cs-CZ"/>
        </w:rPr>
        <w:t>provozoven obchodu a služeb v</w:t>
      </w:r>
      <w:r>
        <w:rPr>
          <w:rFonts w:cs="Times New Roman"/>
          <w:sz w:val="24"/>
          <w:szCs w:val="24"/>
          <w:lang w:eastAsia="cs-CZ"/>
        </w:rPr>
        <w:t xml:space="preserve"> obci</w:t>
      </w:r>
    </w:p>
    <w:p w14:paraId="2C9BDD78" w14:textId="17720596"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334F2">
        <w:rPr>
          <w:rFonts w:cs="Times New Roman"/>
          <w:sz w:val="24"/>
          <w:szCs w:val="24"/>
          <w:lang w:eastAsia="cs-CZ"/>
        </w:rPr>
        <w:t xml:space="preserve"> rekonstrukce místních komunikací</w:t>
      </w:r>
    </w:p>
    <w:p w14:paraId="728C2061" w14:textId="0E07D1E1" w:rsidR="00C60C87"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334F2">
        <w:rPr>
          <w:rFonts w:cs="Times New Roman"/>
          <w:sz w:val="24"/>
          <w:szCs w:val="24"/>
          <w:lang w:eastAsia="cs-CZ"/>
        </w:rPr>
        <w:t xml:space="preserve"> </w:t>
      </w:r>
      <w:r>
        <w:rPr>
          <w:rFonts w:cs="Times New Roman"/>
          <w:sz w:val="24"/>
          <w:szCs w:val="24"/>
          <w:lang w:eastAsia="cs-CZ"/>
        </w:rPr>
        <w:t>vybudování chodníků</w:t>
      </w:r>
    </w:p>
    <w:p w14:paraId="04C316A3" w14:textId="20571AFB" w:rsidR="00C60C87" w:rsidRPr="004334F2"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334F2">
        <w:rPr>
          <w:rFonts w:cs="Times New Roman"/>
          <w:sz w:val="24"/>
          <w:szCs w:val="24"/>
          <w:lang w:eastAsia="cs-CZ"/>
        </w:rPr>
        <w:t xml:space="preserve"> podpora kulturních, společenských a sportovních aktivit</w:t>
      </w:r>
    </w:p>
    <w:p w14:paraId="4B48262F" w14:textId="334A25FD" w:rsidR="00C60C87" w:rsidRPr="004334F2"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334F2">
        <w:rPr>
          <w:rFonts w:cs="Times New Roman"/>
          <w:sz w:val="24"/>
          <w:szCs w:val="24"/>
          <w:lang w:eastAsia="cs-CZ"/>
        </w:rPr>
        <w:t xml:space="preserve"> péče o veřejnou zeleň a prostředí v</w:t>
      </w:r>
      <w:r>
        <w:rPr>
          <w:rFonts w:cs="Times New Roman"/>
          <w:sz w:val="24"/>
          <w:szCs w:val="24"/>
          <w:lang w:eastAsia="cs-CZ"/>
        </w:rPr>
        <w:t xml:space="preserve"> obci</w:t>
      </w:r>
    </w:p>
    <w:p w14:paraId="29EDB10B" w14:textId="3311EC9A" w:rsidR="00C60C87" w:rsidRPr="004334F2" w:rsidRDefault="00C60C87" w:rsidP="00C60C87">
      <w:pPr>
        <w:tabs>
          <w:tab w:val="left" w:pos="3402"/>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334F2">
        <w:rPr>
          <w:rFonts w:cs="Times New Roman"/>
          <w:sz w:val="24"/>
          <w:szCs w:val="24"/>
          <w:lang w:eastAsia="cs-CZ"/>
        </w:rPr>
        <w:t xml:space="preserve"> opravy památek v</w:t>
      </w:r>
      <w:r>
        <w:rPr>
          <w:rFonts w:cs="Times New Roman"/>
          <w:sz w:val="24"/>
          <w:szCs w:val="24"/>
          <w:lang w:eastAsia="cs-CZ"/>
        </w:rPr>
        <w:t xml:space="preserve"> obci</w:t>
      </w:r>
    </w:p>
    <w:p w14:paraId="1EADAFEA" w14:textId="386CBD4F" w:rsidR="00C60C87" w:rsidRDefault="00C60C87" w:rsidP="00C60C87">
      <w:pPr>
        <w:tabs>
          <w:tab w:val="right" w:leader="dot" w:pos="9072"/>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sidRPr="004334F2">
        <w:rPr>
          <w:rFonts w:cs="Times New Roman"/>
          <w:sz w:val="24"/>
          <w:szCs w:val="24"/>
          <w:lang w:eastAsia="cs-CZ"/>
        </w:rPr>
        <w:t xml:space="preserve"> jiné: </w:t>
      </w:r>
      <w:r>
        <w:rPr>
          <w:rFonts w:cs="Times New Roman"/>
          <w:sz w:val="24"/>
          <w:szCs w:val="24"/>
          <w:lang w:eastAsia="cs-CZ"/>
        </w:rPr>
        <w:tab/>
      </w:r>
    </w:p>
    <w:p w14:paraId="08427156" w14:textId="77777777" w:rsidR="00C60C87" w:rsidRDefault="00C60C87" w:rsidP="00C60C87">
      <w:pPr>
        <w:tabs>
          <w:tab w:val="right" w:leader="dot" w:pos="9072"/>
        </w:tabs>
        <w:autoSpaceDE w:val="0"/>
        <w:autoSpaceDN w:val="0"/>
        <w:adjustRightInd w:val="0"/>
        <w:ind w:left="426"/>
        <w:rPr>
          <w:rFonts w:cs="Times New Roman"/>
          <w:sz w:val="24"/>
          <w:szCs w:val="24"/>
          <w:lang w:eastAsia="cs-CZ"/>
        </w:rPr>
      </w:pPr>
    </w:p>
    <w:p w14:paraId="7802B519" w14:textId="77777777" w:rsidR="00C60C87" w:rsidRDefault="00C60C87" w:rsidP="00C60C87">
      <w:pPr>
        <w:tabs>
          <w:tab w:val="right" w:leader="dot" w:pos="9072"/>
        </w:tabs>
        <w:autoSpaceDE w:val="0"/>
        <w:autoSpaceDN w:val="0"/>
        <w:adjustRightInd w:val="0"/>
        <w:ind w:left="426"/>
        <w:rPr>
          <w:rFonts w:cs="Times New Roman"/>
          <w:sz w:val="24"/>
          <w:szCs w:val="24"/>
          <w:lang w:eastAsia="cs-CZ"/>
        </w:rPr>
      </w:pPr>
    </w:p>
    <w:p w14:paraId="1AEA7D84" w14:textId="77777777" w:rsidR="00C60C87" w:rsidRPr="004334F2" w:rsidRDefault="00C60C87" w:rsidP="00C60C87">
      <w:pPr>
        <w:pStyle w:val="Odstavecseseznamem"/>
        <w:numPr>
          <w:ilvl w:val="0"/>
          <w:numId w:val="1"/>
        </w:numPr>
        <w:tabs>
          <w:tab w:val="right" w:leader="dot" w:pos="9072"/>
        </w:tabs>
        <w:ind w:left="426" w:hanging="426"/>
        <w:jc w:val="both"/>
        <w:rPr>
          <w:rFonts w:cs="Times New Roman"/>
          <w:b/>
          <w:sz w:val="24"/>
          <w:szCs w:val="24"/>
          <w:lang w:eastAsia="cs-CZ"/>
        </w:rPr>
      </w:pPr>
      <w:r w:rsidRPr="004334F2">
        <w:rPr>
          <w:rFonts w:cs="Times New Roman"/>
          <w:b/>
          <w:sz w:val="24"/>
          <w:szCs w:val="24"/>
          <w:lang w:eastAsia="cs-CZ"/>
        </w:rPr>
        <w:t>Obecné informace o respondentovi</w:t>
      </w:r>
    </w:p>
    <w:p w14:paraId="30DDE721" w14:textId="69292A89" w:rsidR="00C60C87" w:rsidRPr="004334F2" w:rsidRDefault="00C60C87" w:rsidP="00C60C87">
      <w:pPr>
        <w:tabs>
          <w:tab w:val="left" w:pos="1701"/>
          <w:tab w:val="left" w:pos="3261"/>
          <w:tab w:val="left" w:leader="dot" w:pos="5812"/>
          <w:tab w:val="left" w:leader="dot" w:pos="9072"/>
        </w:tabs>
        <w:ind w:left="425"/>
        <w:jc w:val="both"/>
        <w:rPr>
          <w:rFonts w:cs="Times New Roman"/>
          <w:sz w:val="24"/>
          <w:szCs w:val="24"/>
          <w:lang w:eastAsia="cs-CZ"/>
        </w:rPr>
      </w:pPr>
      <w:r>
        <w:rPr>
          <w:rFonts w:ascii="MS Gothic" w:eastAsia="MS Gothic" w:hAnsi="MS Gothic" w:cs="Times New Roman" w:hint="eastAsia"/>
          <w:sz w:val="24"/>
          <w:szCs w:val="24"/>
          <w:lang w:eastAsia="cs-CZ"/>
        </w:rPr>
        <w:t>☐</w:t>
      </w:r>
      <w:r w:rsidRPr="004334F2">
        <w:rPr>
          <w:rFonts w:cs="Times New Roman"/>
          <w:sz w:val="24"/>
          <w:szCs w:val="24"/>
          <w:lang w:eastAsia="cs-CZ"/>
        </w:rPr>
        <w:t xml:space="preserve"> žena</w:t>
      </w:r>
      <w:r w:rsidRPr="004334F2">
        <w:rPr>
          <w:rFonts w:cs="Times New Roman"/>
          <w:sz w:val="24"/>
          <w:szCs w:val="24"/>
          <w:lang w:eastAsia="cs-CZ"/>
        </w:rPr>
        <w:tab/>
      </w:r>
      <w:r w:rsidRPr="004334F2">
        <w:rPr>
          <w:rFonts w:ascii="MS Gothic" w:eastAsia="MS Gothic" w:hAnsi="MS Gothic" w:cs="Times New Roman" w:hint="eastAsia"/>
          <w:sz w:val="24"/>
          <w:szCs w:val="24"/>
          <w:lang w:eastAsia="cs-CZ"/>
        </w:rPr>
        <w:t>☐</w:t>
      </w:r>
      <w:r w:rsidRPr="004334F2">
        <w:rPr>
          <w:rFonts w:cs="Times New Roman"/>
          <w:sz w:val="24"/>
          <w:szCs w:val="24"/>
          <w:lang w:eastAsia="cs-CZ"/>
        </w:rPr>
        <w:t xml:space="preserve"> muž</w:t>
      </w:r>
      <w:r w:rsidRPr="004334F2">
        <w:rPr>
          <w:rFonts w:cs="Times New Roman"/>
          <w:sz w:val="24"/>
          <w:szCs w:val="24"/>
          <w:lang w:eastAsia="cs-CZ"/>
        </w:rPr>
        <w:tab/>
        <w:t xml:space="preserve">Název subjektu / instituce </w:t>
      </w:r>
      <w:r w:rsidRPr="004334F2">
        <w:rPr>
          <w:rFonts w:cs="Times New Roman"/>
          <w:sz w:val="24"/>
          <w:szCs w:val="24"/>
          <w:lang w:eastAsia="cs-CZ"/>
        </w:rPr>
        <w:tab/>
      </w:r>
    </w:p>
    <w:p w14:paraId="4BF89CFA" w14:textId="77777777" w:rsidR="00C60C87" w:rsidRDefault="00C60C87" w:rsidP="00C60C87">
      <w:pPr>
        <w:tabs>
          <w:tab w:val="right" w:leader="dot" w:pos="9072"/>
        </w:tabs>
        <w:autoSpaceDE w:val="0"/>
        <w:autoSpaceDN w:val="0"/>
        <w:adjustRightInd w:val="0"/>
        <w:ind w:left="425"/>
        <w:rPr>
          <w:rFonts w:cs="Times New Roman"/>
          <w:sz w:val="24"/>
          <w:szCs w:val="24"/>
          <w:lang w:eastAsia="cs-CZ"/>
        </w:rPr>
      </w:pPr>
    </w:p>
    <w:p w14:paraId="1BAB014F" w14:textId="77777777" w:rsidR="00C60C87" w:rsidRDefault="00C60C87" w:rsidP="00C60C87">
      <w:pPr>
        <w:tabs>
          <w:tab w:val="right" w:leader="dot" w:pos="9072"/>
        </w:tabs>
        <w:autoSpaceDE w:val="0"/>
        <w:autoSpaceDN w:val="0"/>
        <w:adjustRightInd w:val="0"/>
        <w:ind w:left="425"/>
        <w:rPr>
          <w:rFonts w:cs="Times New Roman"/>
          <w:sz w:val="24"/>
          <w:szCs w:val="24"/>
          <w:lang w:eastAsia="cs-CZ"/>
        </w:rPr>
      </w:pPr>
    </w:p>
    <w:p w14:paraId="0A5DE90D" w14:textId="77777777" w:rsidR="00C60C87" w:rsidRDefault="00C60C87" w:rsidP="00C60C87">
      <w:pPr>
        <w:pStyle w:val="Odstavecseseznamem"/>
        <w:numPr>
          <w:ilvl w:val="0"/>
          <w:numId w:val="1"/>
        </w:numPr>
        <w:ind w:left="425" w:hanging="425"/>
        <w:jc w:val="both"/>
        <w:rPr>
          <w:rFonts w:cs="Times New Roman"/>
          <w:b/>
          <w:sz w:val="24"/>
          <w:szCs w:val="24"/>
          <w:lang w:eastAsia="cs-CZ"/>
        </w:rPr>
      </w:pPr>
      <w:r w:rsidRPr="00C25820">
        <w:rPr>
          <w:rFonts w:cs="Times New Roman"/>
          <w:b/>
          <w:sz w:val="24"/>
          <w:szCs w:val="24"/>
          <w:lang w:eastAsia="cs-CZ"/>
        </w:rPr>
        <w:t>Věk</w:t>
      </w:r>
    </w:p>
    <w:p w14:paraId="4FC257C9" w14:textId="5D116C20" w:rsidR="00C60C87" w:rsidRPr="00891A25" w:rsidRDefault="00C60C87" w:rsidP="00C60C87">
      <w:pPr>
        <w:tabs>
          <w:tab w:val="left" w:pos="1701"/>
          <w:tab w:val="left" w:pos="3402"/>
          <w:tab w:val="left" w:pos="5103"/>
          <w:tab w:val="left" w:pos="6804"/>
        </w:tabs>
        <w:ind w:left="425"/>
        <w:jc w:val="both"/>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d</w:t>
      </w:r>
      <w:r w:rsidRPr="00891A25">
        <w:rPr>
          <w:rFonts w:cs="Times New Roman"/>
          <w:sz w:val="24"/>
          <w:szCs w:val="24"/>
          <w:lang w:eastAsia="cs-CZ"/>
        </w:rPr>
        <w:t>o</w:t>
      </w:r>
      <w:r>
        <w:rPr>
          <w:rFonts w:cs="Times New Roman"/>
          <w:sz w:val="24"/>
          <w:szCs w:val="24"/>
          <w:lang w:eastAsia="cs-CZ"/>
        </w:rPr>
        <w:t xml:space="preserve"> 18 let</w:t>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19 – 29 let</w:t>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30 – 49 let</w:t>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50 – 64 let</w:t>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65 a více let </w:t>
      </w:r>
    </w:p>
    <w:p w14:paraId="6DAE9F78" w14:textId="77777777" w:rsidR="00C60C87" w:rsidRDefault="00C60C87" w:rsidP="00C60C87">
      <w:pPr>
        <w:tabs>
          <w:tab w:val="right" w:leader="dot" w:pos="9072"/>
        </w:tabs>
        <w:autoSpaceDE w:val="0"/>
        <w:autoSpaceDN w:val="0"/>
        <w:adjustRightInd w:val="0"/>
        <w:ind w:left="426"/>
        <w:rPr>
          <w:rFonts w:cs="Times New Roman"/>
          <w:sz w:val="24"/>
          <w:szCs w:val="24"/>
          <w:lang w:eastAsia="cs-CZ"/>
        </w:rPr>
      </w:pPr>
    </w:p>
    <w:p w14:paraId="5F28BC8C" w14:textId="77777777" w:rsidR="00C60C87" w:rsidRDefault="00C60C87" w:rsidP="00C60C87">
      <w:pPr>
        <w:tabs>
          <w:tab w:val="right" w:leader="dot" w:pos="9072"/>
        </w:tabs>
        <w:autoSpaceDE w:val="0"/>
        <w:autoSpaceDN w:val="0"/>
        <w:adjustRightInd w:val="0"/>
        <w:ind w:left="426"/>
        <w:rPr>
          <w:rFonts w:cs="Times New Roman"/>
          <w:sz w:val="24"/>
          <w:szCs w:val="24"/>
          <w:lang w:eastAsia="cs-CZ"/>
        </w:rPr>
      </w:pPr>
    </w:p>
    <w:p w14:paraId="38D62DBD" w14:textId="77777777" w:rsidR="00C60C87" w:rsidRPr="004334F2" w:rsidRDefault="00C60C87" w:rsidP="00C60C87">
      <w:pPr>
        <w:pStyle w:val="Odstavecseseznamem"/>
        <w:numPr>
          <w:ilvl w:val="0"/>
          <w:numId w:val="1"/>
        </w:numPr>
        <w:ind w:left="425" w:hanging="425"/>
        <w:jc w:val="both"/>
        <w:rPr>
          <w:rFonts w:cs="Times New Roman"/>
          <w:b/>
          <w:sz w:val="24"/>
          <w:szCs w:val="24"/>
          <w:lang w:eastAsia="cs-CZ"/>
        </w:rPr>
      </w:pPr>
      <w:r>
        <w:rPr>
          <w:rFonts w:cs="Times New Roman"/>
          <w:b/>
          <w:sz w:val="24"/>
          <w:szCs w:val="24"/>
          <w:lang w:eastAsia="cs-CZ"/>
        </w:rPr>
        <w:t>Vaše vzdělání</w:t>
      </w:r>
    </w:p>
    <w:p w14:paraId="0BA56E33" w14:textId="1072C5EF" w:rsidR="00C60C87" w:rsidRDefault="00C60C87" w:rsidP="00C60C87">
      <w:pPr>
        <w:tabs>
          <w:tab w:val="left" w:pos="4536"/>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základní</w:t>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vyšší odborné</w:t>
      </w:r>
    </w:p>
    <w:p w14:paraId="64815964" w14:textId="0EE883A4" w:rsidR="00C60C87" w:rsidRDefault="00C60C87" w:rsidP="00C60C87">
      <w:pPr>
        <w:tabs>
          <w:tab w:val="left" w:pos="4536"/>
          <w:tab w:val="left" w:pos="5580"/>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střední odborné</w:t>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vysokoškolské</w:t>
      </w:r>
    </w:p>
    <w:p w14:paraId="514F3A60" w14:textId="1455644A" w:rsidR="00C60C87" w:rsidRDefault="00C60C87" w:rsidP="00C60C87">
      <w:pPr>
        <w:tabs>
          <w:tab w:val="right" w:leader="dot" w:pos="9072"/>
        </w:tabs>
        <w:autoSpaceDE w:val="0"/>
        <w:autoSpaceDN w:val="0"/>
        <w:adjustRightInd w:val="0"/>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střední odborné s maturitou</w:t>
      </w:r>
    </w:p>
    <w:p w14:paraId="677F680A" w14:textId="77777777" w:rsidR="00C60C87" w:rsidRDefault="00C60C87" w:rsidP="00C60C87">
      <w:pPr>
        <w:tabs>
          <w:tab w:val="right" w:leader="dot" w:pos="9072"/>
        </w:tabs>
        <w:autoSpaceDE w:val="0"/>
        <w:autoSpaceDN w:val="0"/>
        <w:adjustRightInd w:val="0"/>
        <w:ind w:left="426"/>
        <w:rPr>
          <w:rFonts w:cs="Times New Roman"/>
          <w:sz w:val="24"/>
          <w:szCs w:val="24"/>
          <w:lang w:eastAsia="cs-CZ"/>
        </w:rPr>
      </w:pPr>
    </w:p>
    <w:p w14:paraId="1DC72871" w14:textId="77777777" w:rsidR="00C60C87" w:rsidRDefault="00C60C87" w:rsidP="00C60C87">
      <w:pPr>
        <w:tabs>
          <w:tab w:val="right" w:leader="dot" w:pos="9072"/>
        </w:tabs>
        <w:autoSpaceDE w:val="0"/>
        <w:autoSpaceDN w:val="0"/>
        <w:adjustRightInd w:val="0"/>
        <w:ind w:left="426"/>
        <w:rPr>
          <w:rFonts w:cs="Times New Roman"/>
          <w:sz w:val="24"/>
          <w:szCs w:val="24"/>
          <w:lang w:eastAsia="cs-CZ"/>
        </w:rPr>
      </w:pPr>
    </w:p>
    <w:p w14:paraId="7C674499" w14:textId="77777777" w:rsidR="00C60C87" w:rsidRDefault="00C60C87" w:rsidP="00C60C87">
      <w:pPr>
        <w:pStyle w:val="Odstavecseseznamem"/>
        <w:numPr>
          <w:ilvl w:val="0"/>
          <w:numId w:val="1"/>
        </w:numPr>
        <w:ind w:left="426" w:hanging="426"/>
        <w:jc w:val="both"/>
        <w:rPr>
          <w:rFonts w:cs="Times New Roman"/>
          <w:b/>
          <w:sz w:val="24"/>
          <w:szCs w:val="24"/>
          <w:lang w:eastAsia="cs-CZ"/>
        </w:rPr>
      </w:pPr>
      <w:r>
        <w:rPr>
          <w:rFonts w:cs="Times New Roman"/>
          <w:b/>
          <w:sz w:val="24"/>
          <w:szCs w:val="24"/>
          <w:lang w:eastAsia="cs-CZ"/>
        </w:rPr>
        <w:t xml:space="preserve">Jak dlouho v obci </w:t>
      </w:r>
      <w:r w:rsidRPr="00C25820">
        <w:rPr>
          <w:rFonts w:cs="Times New Roman"/>
          <w:b/>
          <w:sz w:val="24"/>
          <w:szCs w:val="24"/>
          <w:lang w:eastAsia="cs-CZ"/>
        </w:rPr>
        <w:t>žijete/působíte?</w:t>
      </w:r>
    </w:p>
    <w:p w14:paraId="20BFA1B6" w14:textId="74EC3DC8" w:rsidR="00C60C87" w:rsidRDefault="00C60C87" w:rsidP="00C60C87">
      <w:pPr>
        <w:tabs>
          <w:tab w:val="left" w:pos="1843"/>
          <w:tab w:val="left" w:pos="3119"/>
          <w:tab w:val="left" w:pos="4536"/>
          <w:tab w:val="left" w:pos="6096"/>
          <w:tab w:val="left" w:pos="7513"/>
        </w:tabs>
        <w:ind w:left="426"/>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do 1 roku</w:t>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1-5 let</w:t>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6-10 let</w:t>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11-20 let</w:t>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21-30 let</w:t>
      </w:r>
      <w:r>
        <w:rPr>
          <w:rFonts w:cs="Times New Roman"/>
          <w:sz w:val="24"/>
          <w:szCs w:val="24"/>
          <w:lang w:eastAsia="cs-CZ"/>
        </w:rPr>
        <w:tab/>
      </w:r>
      <w:r>
        <w:rPr>
          <w:rFonts w:ascii="MS Gothic" w:eastAsia="MS Gothic" w:hAnsi="MS Gothic" w:cs="Times New Roman" w:hint="eastAsia"/>
          <w:sz w:val="24"/>
          <w:szCs w:val="24"/>
          <w:lang w:eastAsia="cs-CZ"/>
        </w:rPr>
        <w:t>☐</w:t>
      </w:r>
      <w:r>
        <w:rPr>
          <w:rFonts w:cs="Times New Roman"/>
          <w:sz w:val="24"/>
          <w:szCs w:val="24"/>
          <w:lang w:eastAsia="cs-CZ"/>
        </w:rPr>
        <w:t xml:space="preserve"> 31 a více let</w:t>
      </w:r>
    </w:p>
    <w:p w14:paraId="72AB8DF8" w14:textId="77777777" w:rsidR="00C60C87" w:rsidRDefault="00C60C87" w:rsidP="00C60C87">
      <w:pPr>
        <w:tabs>
          <w:tab w:val="left" w:pos="1843"/>
          <w:tab w:val="left" w:pos="3119"/>
          <w:tab w:val="left" w:pos="4536"/>
          <w:tab w:val="left" w:pos="6096"/>
          <w:tab w:val="left" w:pos="7513"/>
        </w:tabs>
        <w:ind w:left="426"/>
        <w:rPr>
          <w:rFonts w:cs="Times New Roman"/>
          <w:sz w:val="24"/>
          <w:szCs w:val="24"/>
          <w:lang w:eastAsia="cs-CZ"/>
        </w:rPr>
      </w:pPr>
    </w:p>
    <w:p w14:paraId="4E3BF041" w14:textId="77777777" w:rsidR="00C60C87" w:rsidRDefault="00C60C87" w:rsidP="00C60C87">
      <w:pPr>
        <w:tabs>
          <w:tab w:val="left" w:pos="1843"/>
          <w:tab w:val="left" w:pos="3119"/>
          <w:tab w:val="left" w:pos="4536"/>
          <w:tab w:val="left" w:pos="6096"/>
          <w:tab w:val="left" w:pos="7513"/>
        </w:tabs>
        <w:ind w:left="426"/>
        <w:rPr>
          <w:rFonts w:cs="Times New Roman"/>
          <w:sz w:val="24"/>
          <w:szCs w:val="24"/>
          <w:lang w:eastAsia="cs-CZ"/>
        </w:rPr>
      </w:pPr>
    </w:p>
    <w:p w14:paraId="6C7CCB92" w14:textId="77777777" w:rsidR="00C60C87" w:rsidRDefault="00C60C87" w:rsidP="00C60C87">
      <w:pPr>
        <w:pStyle w:val="Odstavecseseznamem"/>
        <w:numPr>
          <w:ilvl w:val="0"/>
          <w:numId w:val="1"/>
        </w:numPr>
        <w:ind w:left="426" w:hanging="426"/>
        <w:jc w:val="both"/>
        <w:rPr>
          <w:rFonts w:cs="Times New Roman"/>
          <w:b/>
          <w:sz w:val="24"/>
          <w:szCs w:val="24"/>
          <w:lang w:eastAsia="cs-CZ"/>
        </w:rPr>
      </w:pPr>
      <w:r>
        <w:rPr>
          <w:rFonts w:cs="Times New Roman"/>
          <w:b/>
          <w:sz w:val="24"/>
          <w:szCs w:val="24"/>
          <w:lang w:eastAsia="cs-CZ"/>
        </w:rPr>
        <w:t>Jsem</w:t>
      </w:r>
    </w:p>
    <w:p w14:paraId="0A9A97B4" w14:textId="388287F4" w:rsidR="00C60C87" w:rsidRPr="00D4402B" w:rsidRDefault="00C60C87" w:rsidP="00C60C87">
      <w:pPr>
        <w:tabs>
          <w:tab w:val="right" w:leader="dot" w:pos="9072"/>
        </w:tabs>
        <w:autoSpaceDE w:val="0"/>
        <w:autoSpaceDN w:val="0"/>
        <w:adjustRightInd w:val="0"/>
        <w:rPr>
          <w:rFonts w:cs="Times New Roman"/>
          <w:sz w:val="24"/>
          <w:szCs w:val="24"/>
          <w:lang w:eastAsia="cs-CZ"/>
        </w:rPr>
      </w:pPr>
      <w:r>
        <w:rPr>
          <w:rFonts w:ascii="MS Gothic" w:eastAsia="MS Gothic" w:hAnsi="MS Gothic" w:cs="Times New Roman" w:hint="eastAsia"/>
          <w:sz w:val="24"/>
          <w:szCs w:val="24"/>
          <w:lang w:eastAsia="cs-CZ"/>
        </w:rPr>
        <w:t>☐</w:t>
      </w:r>
      <w:r w:rsidRPr="00D4402B">
        <w:rPr>
          <w:rFonts w:cs="Times New Roman"/>
          <w:sz w:val="24"/>
          <w:szCs w:val="24"/>
          <w:lang w:eastAsia="cs-CZ"/>
        </w:rPr>
        <w:t xml:space="preserve"> </w:t>
      </w:r>
      <w:r>
        <w:rPr>
          <w:rFonts w:cs="Times New Roman"/>
          <w:sz w:val="24"/>
          <w:szCs w:val="24"/>
          <w:lang w:eastAsia="cs-CZ"/>
        </w:rPr>
        <w:t>trvale bydlící osoba</w:t>
      </w:r>
    </w:p>
    <w:p w14:paraId="67BA8B03" w14:textId="4F1E4077" w:rsidR="00C60C87" w:rsidRPr="00D4402B" w:rsidRDefault="00C60C87" w:rsidP="00C60C87">
      <w:pPr>
        <w:tabs>
          <w:tab w:val="right" w:leader="dot" w:pos="9072"/>
        </w:tabs>
        <w:autoSpaceDE w:val="0"/>
        <w:autoSpaceDN w:val="0"/>
        <w:adjustRightInd w:val="0"/>
        <w:rPr>
          <w:rFonts w:cs="Times New Roman"/>
          <w:sz w:val="24"/>
          <w:szCs w:val="24"/>
          <w:lang w:eastAsia="cs-CZ"/>
        </w:rPr>
      </w:pPr>
      <w:r>
        <w:rPr>
          <w:rFonts w:ascii="MS Gothic" w:eastAsia="MS Gothic" w:hAnsi="MS Gothic" w:cs="Times New Roman" w:hint="eastAsia"/>
          <w:sz w:val="24"/>
          <w:szCs w:val="24"/>
          <w:lang w:eastAsia="cs-CZ"/>
        </w:rPr>
        <w:t>☐</w:t>
      </w:r>
      <w:r w:rsidRPr="00D4402B">
        <w:rPr>
          <w:rFonts w:cs="Times New Roman"/>
          <w:sz w:val="24"/>
          <w:szCs w:val="24"/>
          <w:lang w:eastAsia="cs-CZ"/>
        </w:rPr>
        <w:t xml:space="preserve"> </w:t>
      </w:r>
      <w:r>
        <w:rPr>
          <w:rFonts w:cs="Times New Roman"/>
          <w:sz w:val="24"/>
          <w:szCs w:val="24"/>
          <w:lang w:eastAsia="cs-CZ"/>
        </w:rPr>
        <w:t>chatař či chalupář</w:t>
      </w:r>
    </w:p>
    <w:p w14:paraId="7A73DBE3" w14:textId="77777777" w:rsidR="00C60C87" w:rsidRDefault="00C60C87" w:rsidP="00C60C87">
      <w:pPr>
        <w:pStyle w:val="Odstavecseseznamem"/>
        <w:ind w:left="426"/>
        <w:jc w:val="both"/>
        <w:rPr>
          <w:rFonts w:cs="Times New Roman"/>
          <w:b/>
          <w:sz w:val="24"/>
          <w:szCs w:val="24"/>
          <w:lang w:eastAsia="cs-CZ"/>
        </w:rPr>
      </w:pPr>
    </w:p>
    <w:p w14:paraId="49C77F96" w14:textId="77777777" w:rsidR="00C60C87" w:rsidRDefault="00C60C87" w:rsidP="00C60C87">
      <w:pPr>
        <w:pStyle w:val="Odstavecseseznamem"/>
        <w:ind w:left="426"/>
        <w:jc w:val="both"/>
        <w:rPr>
          <w:rFonts w:cs="Times New Roman"/>
          <w:b/>
          <w:sz w:val="24"/>
          <w:szCs w:val="24"/>
          <w:lang w:eastAsia="cs-CZ"/>
        </w:rPr>
      </w:pPr>
    </w:p>
    <w:p w14:paraId="05767B88" w14:textId="77777777" w:rsidR="00C60C87" w:rsidRPr="00F94E48" w:rsidRDefault="00C60C87" w:rsidP="00C60C87">
      <w:pPr>
        <w:pStyle w:val="Odstavecseseznamem"/>
        <w:numPr>
          <w:ilvl w:val="0"/>
          <w:numId w:val="1"/>
        </w:numPr>
        <w:ind w:left="426" w:hanging="426"/>
        <w:jc w:val="both"/>
        <w:rPr>
          <w:rFonts w:cs="Times New Roman"/>
          <w:b/>
          <w:sz w:val="24"/>
          <w:szCs w:val="24"/>
          <w:lang w:eastAsia="cs-CZ"/>
        </w:rPr>
      </w:pPr>
      <w:r>
        <w:rPr>
          <w:rFonts w:cs="Times New Roman"/>
          <w:b/>
          <w:sz w:val="24"/>
          <w:szCs w:val="24"/>
          <w:lang w:eastAsia="cs-CZ"/>
        </w:rPr>
        <w:t>Typ Vaší domácnosti</w:t>
      </w:r>
    </w:p>
    <w:p w14:paraId="2D6DC24F" w14:textId="544FF8FE" w:rsidR="00C60C87" w:rsidRDefault="00C60C87" w:rsidP="00C60C87">
      <w:pPr>
        <w:tabs>
          <w:tab w:val="right" w:leader="dot" w:pos="9072"/>
        </w:tabs>
        <w:autoSpaceDE w:val="0"/>
        <w:autoSpaceDN w:val="0"/>
        <w:adjustRightInd w:val="0"/>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domácnost bez dětí</w:t>
      </w:r>
    </w:p>
    <w:p w14:paraId="66C4297D" w14:textId="00E35E3B" w:rsidR="00C60C87" w:rsidRDefault="00C60C87" w:rsidP="00C60C87">
      <w:pPr>
        <w:tabs>
          <w:tab w:val="right" w:leader="dot" w:pos="9072"/>
        </w:tabs>
        <w:autoSpaceDE w:val="0"/>
        <w:autoSpaceDN w:val="0"/>
        <w:adjustRightInd w:val="0"/>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domácnost s nezaopatřenými dětmi (do 18 let)</w:t>
      </w:r>
    </w:p>
    <w:p w14:paraId="0E78839E" w14:textId="6EC0EC77" w:rsidR="00C60C87" w:rsidRDefault="00C60C87" w:rsidP="00C60C87">
      <w:pPr>
        <w:tabs>
          <w:tab w:val="right" w:leader="dot" w:pos="9072"/>
        </w:tabs>
        <w:autoSpaceDE w:val="0"/>
        <w:autoSpaceDN w:val="0"/>
        <w:adjustRightInd w:val="0"/>
        <w:rPr>
          <w:rFonts w:cs="Times New Roman"/>
          <w:sz w:val="24"/>
          <w:szCs w:val="24"/>
          <w:lang w:eastAsia="cs-CZ"/>
        </w:rPr>
      </w:pPr>
      <w:r>
        <w:rPr>
          <w:rFonts w:ascii="MS Gothic" w:eastAsia="MS Gothic" w:hAnsi="MS Gothic" w:cs="Times New Roman" w:hint="eastAsia"/>
          <w:sz w:val="24"/>
          <w:szCs w:val="24"/>
          <w:lang w:eastAsia="cs-CZ"/>
        </w:rPr>
        <w:t>☐</w:t>
      </w:r>
      <w:r>
        <w:rPr>
          <w:rFonts w:cs="Times New Roman"/>
          <w:sz w:val="24"/>
          <w:szCs w:val="24"/>
          <w:lang w:eastAsia="cs-CZ"/>
        </w:rPr>
        <w:t xml:space="preserve"> jiné</w:t>
      </w:r>
      <w:r>
        <w:rPr>
          <w:rFonts w:cs="Times New Roman"/>
          <w:sz w:val="24"/>
          <w:szCs w:val="24"/>
          <w:lang w:eastAsia="cs-CZ"/>
        </w:rPr>
        <w:tab/>
      </w:r>
    </w:p>
    <w:p w14:paraId="0E690627" w14:textId="77777777" w:rsidR="00C60C87" w:rsidRDefault="00C60C87" w:rsidP="00C60C87">
      <w:pPr>
        <w:pStyle w:val="Odstavecseseznamem"/>
        <w:numPr>
          <w:ilvl w:val="0"/>
          <w:numId w:val="1"/>
        </w:numPr>
        <w:ind w:left="425" w:hanging="425"/>
        <w:jc w:val="both"/>
        <w:rPr>
          <w:rFonts w:cs="Times New Roman"/>
          <w:b/>
          <w:sz w:val="24"/>
          <w:szCs w:val="24"/>
          <w:lang w:eastAsia="cs-CZ"/>
        </w:rPr>
      </w:pPr>
      <w:r w:rsidRPr="00F94E48">
        <w:rPr>
          <w:rFonts w:cs="Times New Roman"/>
          <w:b/>
          <w:sz w:val="24"/>
          <w:szCs w:val="24"/>
          <w:lang w:eastAsia="cs-CZ"/>
        </w:rPr>
        <w:lastRenderedPageBreak/>
        <w:t>Vaše další náměty, připomínky, komentáře:</w:t>
      </w:r>
    </w:p>
    <w:p w14:paraId="6E1DAD6E" w14:textId="77777777" w:rsidR="00C60C87" w:rsidRPr="00A23B9B" w:rsidRDefault="00C60C87" w:rsidP="00C60C87">
      <w:pPr>
        <w:jc w:val="both"/>
        <w:rPr>
          <w:rFonts w:cs="Times New Roman"/>
          <w:bCs/>
          <w:sz w:val="24"/>
          <w:szCs w:val="24"/>
          <w:lang w:eastAsia="cs-CZ"/>
        </w:rPr>
      </w:pPr>
      <w:r w:rsidRPr="00A23B9B">
        <w:rPr>
          <w:rFonts w:cs="Times New Roman"/>
          <w:bCs/>
          <w:sz w:val="24"/>
          <w:szCs w:val="24"/>
          <w:lang w:eastAsia="cs-CZ"/>
        </w:rPr>
        <w:t xml:space="preserve">Uveďte </w:t>
      </w:r>
      <w:r>
        <w:rPr>
          <w:rFonts w:cs="Times New Roman"/>
          <w:bCs/>
          <w:sz w:val="24"/>
          <w:szCs w:val="24"/>
          <w:lang w:eastAsia="cs-CZ"/>
        </w:rPr>
        <w:t xml:space="preserve">např. </w:t>
      </w:r>
      <w:r w:rsidRPr="00A23B9B">
        <w:rPr>
          <w:rFonts w:cs="Times New Roman"/>
          <w:bCs/>
          <w:sz w:val="24"/>
          <w:szCs w:val="24"/>
          <w:lang w:eastAsia="cs-CZ"/>
        </w:rPr>
        <w:t>konkrétně</w:t>
      </w:r>
      <w:r>
        <w:rPr>
          <w:rFonts w:cs="Times New Roman"/>
          <w:bCs/>
          <w:sz w:val="24"/>
          <w:szCs w:val="24"/>
          <w:lang w:eastAsia="cs-CZ"/>
        </w:rPr>
        <w:t>, co by bylo potřeba v obci opravit (např. uveďte, jaká komunikace potřebuje rekonstruovat, jaká veřejná budova potřebuje opravit apod.) či zlepšit (např. zlepšení zeleně ve vytipovaném místě, více prvků na dětské hřiště apod.)</w:t>
      </w:r>
    </w:p>
    <w:p w14:paraId="039335B3" w14:textId="77777777" w:rsidR="00C60C87" w:rsidRPr="0082038C" w:rsidRDefault="00C60C87" w:rsidP="00C60C87">
      <w:pPr>
        <w:rPr>
          <w:iCs/>
        </w:rPr>
      </w:pPr>
    </w:p>
    <w:p w14:paraId="417FB452" w14:textId="77777777" w:rsidR="00C60C87" w:rsidRPr="0082038C" w:rsidRDefault="00C60C87" w:rsidP="00C60C87">
      <w:pPr>
        <w:rPr>
          <w:iCs/>
        </w:rPr>
      </w:pPr>
    </w:p>
    <w:p w14:paraId="5B3592A4" w14:textId="77777777" w:rsidR="00C60C87" w:rsidRPr="0082038C" w:rsidRDefault="00C60C87" w:rsidP="00C60C87">
      <w:pPr>
        <w:rPr>
          <w:iCs/>
        </w:rPr>
      </w:pPr>
    </w:p>
    <w:p w14:paraId="31478A27" w14:textId="77777777" w:rsidR="00C60C87" w:rsidRPr="0082038C" w:rsidRDefault="00C60C87" w:rsidP="00C60C87">
      <w:pPr>
        <w:rPr>
          <w:iCs/>
        </w:rPr>
      </w:pPr>
    </w:p>
    <w:p w14:paraId="208BB537" w14:textId="77777777" w:rsidR="00C60C87" w:rsidRPr="0082038C" w:rsidRDefault="00C60C87" w:rsidP="00C60C87">
      <w:pPr>
        <w:rPr>
          <w:iCs/>
        </w:rPr>
      </w:pPr>
    </w:p>
    <w:p w14:paraId="2AB3B78E" w14:textId="77777777" w:rsidR="00C60C87" w:rsidRPr="0082038C" w:rsidRDefault="00C60C87" w:rsidP="00C60C87">
      <w:pPr>
        <w:rPr>
          <w:iCs/>
        </w:rPr>
      </w:pPr>
    </w:p>
    <w:p w14:paraId="4B957B62" w14:textId="77777777" w:rsidR="00C60C87" w:rsidRPr="0082038C" w:rsidRDefault="00C60C87" w:rsidP="00C60C87">
      <w:pPr>
        <w:rPr>
          <w:iCs/>
        </w:rPr>
      </w:pPr>
    </w:p>
    <w:p w14:paraId="40AB2C4D" w14:textId="77777777" w:rsidR="00C60C87" w:rsidRPr="0082038C" w:rsidRDefault="00C60C87" w:rsidP="00C60C87">
      <w:pPr>
        <w:rPr>
          <w:iCs/>
        </w:rPr>
      </w:pPr>
    </w:p>
    <w:p w14:paraId="01CF6DAD" w14:textId="3754192E" w:rsidR="00C60C87" w:rsidRDefault="00C60C87" w:rsidP="00C60C87">
      <w:pPr>
        <w:rPr>
          <w:iCs/>
        </w:rPr>
      </w:pPr>
    </w:p>
    <w:p w14:paraId="3056C491" w14:textId="0BBFB3C3" w:rsidR="00C60C87" w:rsidRDefault="00C60C87" w:rsidP="00C60C87">
      <w:pPr>
        <w:rPr>
          <w:iCs/>
        </w:rPr>
      </w:pPr>
    </w:p>
    <w:p w14:paraId="54600573" w14:textId="77777777" w:rsidR="00C60C87" w:rsidRPr="0082038C" w:rsidRDefault="00C60C87" w:rsidP="00C60C87">
      <w:pPr>
        <w:rPr>
          <w:iCs/>
        </w:rPr>
      </w:pPr>
    </w:p>
    <w:p w14:paraId="0DAF4850" w14:textId="77777777" w:rsidR="00C60C87" w:rsidRPr="0082038C" w:rsidRDefault="00C60C87" w:rsidP="00C60C87">
      <w:pPr>
        <w:rPr>
          <w:iCs/>
        </w:rPr>
      </w:pPr>
    </w:p>
    <w:p w14:paraId="1875DCF7" w14:textId="77777777" w:rsidR="00C60C87" w:rsidRPr="0082038C" w:rsidRDefault="00C60C87" w:rsidP="00C60C87">
      <w:pPr>
        <w:rPr>
          <w:iCs/>
        </w:rPr>
      </w:pPr>
    </w:p>
    <w:p w14:paraId="7CAAA72D" w14:textId="77777777" w:rsidR="00C60C87" w:rsidRPr="00942A3A" w:rsidRDefault="00C60C87" w:rsidP="00C60C87">
      <w:pPr>
        <w:jc w:val="center"/>
        <w:rPr>
          <w:i/>
        </w:rPr>
      </w:pPr>
      <w:r w:rsidRPr="00942A3A">
        <w:rPr>
          <w:i/>
        </w:rPr>
        <w:t>Děkujeme za Váš čas při vyplnění dotazníku.</w:t>
      </w:r>
    </w:p>
    <w:p w14:paraId="29697F4A" w14:textId="77777777" w:rsidR="00C60C87" w:rsidRPr="00B86EC0" w:rsidRDefault="00C60C87" w:rsidP="00B86EC0">
      <w:pPr>
        <w:spacing w:after="160" w:line="259" w:lineRule="auto"/>
        <w:jc w:val="both"/>
        <w:rPr>
          <w:rFonts w:ascii="Calibri" w:eastAsia="Calibri" w:hAnsi="Calibri" w:cs="Times New Roman"/>
        </w:rPr>
      </w:pPr>
    </w:p>
    <w:sectPr w:rsidR="00C60C87" w:rsidRPr="00B86EC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B5D4C" w14:textId="77777777" w:rsidR="00FA0526" w:rsidRDefault="00FA0526" w:rsidP="00F449FF">
      <w:r>
        <w:separator/>
      </w:r>
    </w:p>
    <w:p w14:paraId="57B6F1D8" w14:textId="77777777" w:rsidR="00FA0526" w:rsidRDefault="00FA0526"/>
  </w:endnote>
  <w:endnote w:type="continuationSeparator" w:id="0">
    <w:p w14:paraId="6D74C43B" w14:textId="77777777" w:rsidR="00FA0526" w:rsidRDefault="00FA0526" w:rsidP="00F449FF">
      <w:r>
        <w:continuationSeparator/>
      </w:r>
    </w:p>
    <w:p w14:paraId="33990C16" w14:textId="77777777" w:rsidR="00FA0526" w:rsidRDefault="00FA05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WXLTG+TimesNewRoman">
    <w:altName w:val="Yu Gothic UI"/>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DWMIWO+TimesNewRoman,Bold">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Arial,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374E" w14:textId="77777777" w:rsidR="00C80509" w:rsidRPr="00BB6E17" w:rsidRDefault="00C80509" w:rsidP="00BB6E17">
    <w:pPr>
      <w:rPr>
        <w:sz w:val="16"/>
        <w:szCs w:val="16"/>
      </w:rPr>
    </w:pPr>
  </w:p>
  <w:p w14:paraId="053496DD" w14:textId="11FBB358" w:rsidR="00C80509" w:rsidRDefault="00000000" w:rsidP="00475D57">
    <w:pPr>
      <w:pStyle w:val="Zpat"/>
      <w:tabs>
        <w:tab w:val="right" w:pos="14004"/>
      </w:tabs>
    </w:pPr>
    <w:sdt>
      <w:sdtPr>
        <w:id w:val="482290589"/>
        <w:docPartObj>
          <w:docPartGallery w:val="Page Numbers (Bottom of Page)"/>
          <w:docPartUnique/>
        </w:docPartObj>
      </w:sdtPr>
      <w:sdtContent>
        <w:sdt>
          <w:sdtPr>
            <w:id w:val="-2096077223"/>
            <w:docPartObj>
              <w:docPartGallery w:val="Page Numbers (Top of Page)"/>
              <w:docPartUnique/>
            </w:docPartObj>
          </w:sdtPr>
          <w:sdtContent>
            <w:r w:rsidR="00475D57">
              <w:t>Zpracovatel: DRAG s.r.o., Trutnov</w:t>
            </w:r>
            <w:r w:rsidR="00475D57">
              <w:tab/>
            </w:r>
            <w:r w:rsidR="00475D57">
              <w:tab/>
            </w:r>
            <w:r w:rsidR="00475D57">
              <w:rPr>
                <w:noProof/>
                <w:lang w:eastAsia="cs-CZ"/>
              </w:rPr>
              <w:drawing>
                <wp:inline distT="0" distB="0" distL="0" distR="0" wp14:anchorId="01664062" wp14:editId="4AC09B82">
                  <wp:extent cx="790575" cy="375523"/>
                  <wp:effectExtent l="19050" t="0" r="9525" b="0"/>
                  <wp:docPr id="225" name="Obrázek 0" descr="poz_DRAG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_DRAG_RGB_72dpi.png"/>
                          <pic:cNvPicPr/>
                        </pic:nvPicPr>
                        <pic:blipFill>
                          <a:blip r:embed="rId1"/>
                          <a:stretch>
                            <a:fillRect/>
                          </a:stretch>
                        </pic:blipFill>
                        <pic:spPr>
                          <a:xfrm>
                            <a:off x="0" y="0"/>
                            <a:ext cx="789859" cy="375183"/>
                          </a:xfrm>
                          <a:prstGeom prst="rect">
                            <a:avLst/>
                          </a:prstGeom>
                        </pic:spPr>
                      </pic:pic>
                    </a:graphicData>
                  </a:graphic>
                </wp:inline>
              </w:drawing>
            </w:r>
          </w:sdtContent>
        </w:sdt>
      </w:sdtContent>
    </w:sdt>
    <w:r w:rsidR="00C80509">
      <w:tab/>
    </w:r>
    <w:r w:rsidR="00C80509">
      <w:tab/>
    </w:r>
    <w:r w:rsidR="00C80509">
      <w:tab/>
    </w:r>
    <w:r w:rsidR="00C80509">
      <w:tab/>
    </w:r>
    <w:r w:rsidR="00C80509">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494101"/>
      <w:docPartObj>
        <w:docPartGallery w:val="Page Numbers (Bottom of Page)"/>
        <w:docPartUnique/>
      </w:docPartObj>
    </w:sdtPr>
    <w:sdtContent>
      <w:sdt>
        <w:sdtPr>
          <w:id w:val="640240233"/>
          <w:docPartObj>
            <w:docPartGallery w:val="Page Numbers (Top of Page)"/>
            <w:docPartUnique/>
          </w:docPartObj>
        </w:sdtPr>
        <w:sdtContent>
          <w:p w14:paraId="0BA18C3E" w14:textId="77777777" w:rsidR="00B86EC0" w:rsidRDefault="00B86EC0" w:rsidP="00021B06">
            <w:pPr>
              <w:jc w:val="center"/>
            </w:pPr>
          </w:p>
          <w:p w14:paraId="4F8DE6E3" w14:textId="77777777" w:rsidR="00B86EC0" w:rsidRDefault="00B86EC0" w:rsidP="00021B06">
            <w:pPr>
              <w:pStyle w:val="Zpat"/>
              <w:tabs>
                <w:tab w:val="right" w:pos="14004"/>
              </w:tabs>
            </w:pPr>
            <w:r>
              <w:t>listopad 2022</w:t>
            </w:r>
            <w:r>
              <w:tab/>
              <w:t xml:space="preserve">Stránka </w:t>
            </w:r>
            <w:r>
              <w:rPr>
                <w:b/>
                <w:sz w:val="24"/>
                <w:szCs w:val="24"/>
              </w:rPr>
              <w:fldChar w:fldCharType="begin"/>
            </w:r>
            <w:r>
              <w:rPr>
                <w:b/>
              </w:rPr>
              <w:instrText>PAGE</w:instrText>
            </w:r>
            <w:r>
              <w:rPr>
                <w:b/>
                <w:sz w:val="24"/>
                <w:szCs w:val="24"/>
              </w:rPr>
              <w:fldChar w:fldCharType="separate"/>
            </w:r>
            <w:r>
              <w:rPr>
                <w:b/>
                <w:sz w:val="24"/>
                <w:szCs w:val="24"/>
              </w:rPr>
              <w:t>84</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89</w:t>
            </w:r>
            <w:r>
              <w:rPr>
                <w:b/>
                <w:sz w:val="24"/>
                <w:szCs w:val="24"/>
              </w:rPr>
              <w:fldChar w:fldCharType="end"/>
            </w:r>
            <w:r>
              <w:rPr>
                <w:b/>
                <w:sz w:val="24"/>
                <w:szCs w:val="24"/>
              </w:rPr>
              <w:tab/>
            </w:r>
            <w:r w:rsidRPr="00CD3177">
              <w:rPr>
                <w:b/>
                <w:noProof/>
                <w:sz w:val="24"/>
                <w:szCs w:val="24"/>
                <w:lang w:eastAsia="cs-CZ"/>
              </w:rPr>
              <w:drawing>
                <wp:inline distT="0" distB="0" distL="0" distR="0" wp14:anchorId="5EF79E51" wp14:editId="5C8170E6">
                  <wp:extent cx="542925" cy="290024"/>
                  <wp:effectExtent l="19050" t="0" r="9525" b="0"/>
                  <wp:docPr id="60"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03405"/>
      <w:docPartObj>
        <w:docPartGallery w:val="Page Numbers (Bottom of Page)"/>
        <w:docPartUnique/>
      </w:docPartObj>
    </w:sdtPr>
    <w:sdtContent>
      <w:sdt>
        <w:sdtPr>
          <w:id w:val="1945417481"/>
          <w:docPartObj>
            <w:docPartGallery w:val="Page Numbers (Top of Page)"/>
            <w:docPartUnique/>
          </w:docPartObj>
        </w:sdtPr>
        <w:sdtContent>
          <w:p w14:paraId="4375DC11" w14:textId="77777777" w:rsidR="00B86EC0" w:rsidRDefault="00B86EC0" w:rsidP="00021B06">
            <w:pPr>
              <w:jc w:val="center"/>
            </w:pPr>
          </w:p>
          <w:p w14:paraId="1B88607A" w14:textId="77777777" w:rsidR="00B86EC0" w:rsidRDefault="00B86EC0" w:rsidP="007202CD">
            <w:pPr>
              <w:pStyle w:val="Zpat"/>
              <w:tabs>
                <w:tab w:val="clear" w:pos="9072"/>
                <w:tab w:val="right" w:pos="7797"/>
                <w:tab w:val="right" w:pos="14004"/>
              </w:tabs>
            </w:pPr>
            <w:r>
              <w:t>listopad 2022</w:t>
            </w:r>
            <w:r>
              <w:tab/>
            </w:r>
            <w:r>
              <w:tab/>
              <w:t xml:space="preserve">Stránka </w:t>
            </w:r>
            <w:r>
              <w:rPr>
                <w:b/>
                <w:sz w:val="24"/>
                <w:szCs w:val="24"/>
              </w:rPr>
              <w:fldChar w:fldCharType="begin"/>
            </w:r>
            <w:r>
              <w:rPr>
                <w:b/>
              </w:rPr>
              <w:instrText>PAGE</w:instrText>
            </w:r>
            <w:r>
              <w:rPr>
                <w:b/>
                <w:sz w:val="24"/>
                <w:szCs w:val="24"/>
              </w:rPr>
              <w:fldChar w:fldCharType="separate"/>
            </w:r>
            <w:r>
              <w:rPr>
                <w:b/>
                <w:sz w:val="24"/>
                <w:szCs w:val="24"/>
              </w:rPr>
              <w:t>84</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89</w:t>
            </w:r>
            <w:r>
              <w:rPr>
                <w:b/>
                <w:sz w:val="24"/>
                <w:szCs w:val="24"/>
              </w:rPr>
              <w:fldChar w:fldCharType="end"/>
            </w:r>
            <w:r>
              <w:rPr>
                <w:b/>
                <w:sz w:val="24"/>
                <w:szCs w:val="24"/>
              </w:rPr>
              <w:tab/>
            </w:r>
            <w:r w:rsidRPr="00CD3177">
              <w:rPr>
                <w:b/>
                <w:noProof/>
                <w:sz w:val="24"/>
                <w:szCs w:val="24"/>
                <w:lang w:eastAsia="cs-CZ"/>
              </w:rPr>
              <w:drawing>
                <wp:inline distT="0" distB="0" distL="0" distR="0" wp14:anchorId="6CD521D6" wp14:editId="477FF95D">
                  <wp:extent cx="542925" cy="290024"/>
                  <wp:effectExtent l="19050" t="0" r="9525" b="0"/>
                  <wp:docPr id="5"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730231"/>
      <w:docPartObj>
        <w:docPartGallery w:val="Page Numbers (Bottom of Page)"/>
        <w:docPartUnique/>
      </w:docPartObj>
    </w:sdtPr>
    <w:sdtContent>
      <w:sdt>
        <w:sdtPr>
          <w:id w:val="-2122215967"/>
          <w:docPartObj>
            <w:docPartGallery w:val="Page Numbers (Top of Page)"/>
            <w:docPartUnique/>
          </w:docPartObj>
        </w:sdtPr>
        <w:sdtContent>
          <w:p w14:paraId="007BBAEB" w14:textId="77777777" w:rsidR="00B86EC0" w:rsidRDefault="00B86EC0" w:rsidP="00021B06">
            <w:pPr>
              <w:jc w:val="center"/>
            </w:pPr>
          </w:p>
          <w:p w14:paraId="25BE6CD0" w14:textId="77777777" w:rsidR="00B86EC0" w:rsidRDefault="00B86EC0" w:rsidP="00021B06">
            <w:pPr>
              <w:pStyle w:val="Zpat"/>
              <w:tabs>
                <w:tab w:val="right" w:pos="14004"/>
              </w:tabs>
            </w:pPr>
            <w:r>
              <w:t>listopad 2022</w:t>
            </w:r>
            <w:r>
              <w:tab/>
              <w:t xml:space="preserve">Stránka </w:t>
            </w:r>
            <w:r>
              <w:rPr>
                <w:b/>
                <w:sz w:val="24"/>
                <w:szCs w:val="24"/>
              </w:rPr>
              <w:fldChar w:fldCharType="begin"/>
            </w:r>
            <w:r>
              <w:rPr>
                <w:b/>
              </w:rPr>
              <w:instrText>PAGE</w:instrText>
            </w:r>
            <w:r>
              <w:rPr>
                <w:b/>
                <w:sz w:val="24"/>
                <w:szCs w:val="24"/>
              </w:rPr>
              <w:fldChar w:fldCharType="separate"/>
            </w:r>
            <w:r>
              <w:rPr>
                <w:b/>
                <w:sz w:val="24"/>
                <w:szCs w:val="24"/>
              </w:rPr>
              <w:t>84</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89</w:t>
            </w:r>
            <w:r>
              <w:rPr>
                <w:b/>
                <w:sz w:val="24"/>
                <w:szCs w:val="24"/>
              </w:rPr>
              <w:fldChar w:fldCharType="end"/>
            </w:r>
            <w:r>
              <w:rPr>
                <w:b/>
                <w:sz w:val="24"/>
                <w:szCs w:val="24"/>
              </w:rPr>
              <w:tab/>
            </w:r>
            <w:r w:rsidRPr="00CD3177">
              <w:rPr>
                <w:b/>
                <w:noProof/>
                <w:sz w:val="24"/>
                <w:szCs w:val="24"/>
                <w:lang w:eastAsia="cs-CZ"/>
              </w:rPr>
              <w:drawing>
                <wp:inline distT="0" distB="0" distL="0" distR="0" wp14:anchorId="138E50E9" wp14:editId="55C2B23E">
                  <wp:extent cx="542925" cy="290024"/>
                  <wp:effectExtent l="19050" t="0" r="9525" b="0"/>
                  <wp:docPr id="61"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43894"/>
      <w:docPartObj>
        <w:docPartGallery w:val="Page Numbers (Bottom of Page)"/>
        <w:docPartUnique/>
      </w:docPartObj>
    </w:sdtPr>
    <w:sdtContent>
      <w:sdt>
        <w:sdtPr>
          <w:id w:val="-1360893769"/>
          <w:docPartObj>
            <w:docPartGallery w:val="Page Numbers (Top of Page)"/>
            <w:docPartUnique/>
          </w:docPartObj>
        </w:sdtPr>
        <w:sdtContent>
          <w:p w14:paraId="4E9B4F27" w14:textId="77777777" w:rsidR="00B86EC0" w:rsidRDefault="00B86EC0" w:rsidP="00021B06">
            <w:pPr>
              <w:jc w:val="center"/>
            </w:pPr>
          </w:p>
          <w:p w14:paraId="37386499" w14:textId="77777777" w:rsidR="00B86EC0" w:rsidRDefault="00B86EC0" w:rsidP="007202CD">
            <w:pPr>
              <w:pStyle w:val="Zpat"/>
              <w:tabs>
                <w:tab w:val="clear" w:pos="9072"/>
                <w:tab w:val="right" w:pos="7938"/>
                <w:tab w:val="right" w:pos="14004"/>
              </w:tabs>
            </w:pPr>
            <w:r>
              <w:t>listopad 2022</w:t>
            </w:r>
            <w:r>
              <w:tab/>
            </w:r>
            <w:r>
              <w:tab/>
              <w:t xml:space="preserve">Stránka </w:t>
            </w:r>
            <w:r>
              <w:rPr>
                <w:b/>
                <w:sz w:val="24"/>
                <w:szCs w:val="24"/>
              </w:rPr>
              <w:fldChar w:fldCharType="begin"/>
            </w:r>
            <w:r>
              <w:rPr>
                <w:b/>
              </w:rPr>
              <w:instrText>PAGE</w:instrText>
            </w:r>
            <w:r>
              <w:rPr>
                <w:b/>
                <w:sz w:val="24"/>
                <w:szCs w:val="24"/>
              </w:rPr>
              <w:fldChar w:fldCharType="separate"/>
            </w:r>
            <w:r>
              <w:rPr>
                <w:b/>
                <w:sz w:val="24"/>
                <w:szCs w:val="24"/>
              </w:rPr>
              <w:t>84</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89</w:t>
            </w:r>
            <w:r>
              <w:rPr>
                <w:b/>
                <w:sz w:val="24"/>
                <w:szCs w:val="24"/>
              </w:rPr>
              <w:fldChar w:fldCharType="end"/>
            </w:r>
            <w:r>
              <w:rPr>
                <w:b/>
                <w:sz w:val="24"/>
                <w:szCs w:val="24"/>
              </w:rPr>
              <w:tab/>
            </w:r>
            <w:r w:rsidRPr="00CD3177">
              <w:rPr>
                <w:b/>
                <w:noProof/>
                <w:sz w:val="24"/>
                <w:szCs w:val="24"/>
                <w:lang w:eastAsia="cs-CZ"/>
              </w:rPr>
              <w:drawing>
                <wp:inline distT="0" distB="0" distL="0" distR="0" wp14:anchorId="293CC5D3" wp14:editId="1B7DE634">
                  <wp:extent cx="542925" cy="290024"/>
                  <wp:effectExtent l="19050" t="0" r="9525" b="0"/>
                  <wp:docPr id="7"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448265"/>
      <w:docPartObj>
        <w:docPartGallery w:val="Page Numbers (Bottom of Page)"/>
        <w:docPartUnique/>
      </w:docPartObj>
    </w:sdtPr>
    <w:sdtContent>
      <w:sdt>
        <w:sdtPr>
          <w:id w:val="-1130083370"/>
          <w:docPartObj>
            <w:docPartGallery w:val="Page Numbers (Top of Page)"/>
            <w:docPartUnique/>
          </w:docPartObj>
        </w:sdtPr>
        <w:sdtContent>
          <w:p w14:paraId="5B0373B4" w14:textId="77777777" w:rsidR="00B86EC0" w:rsidRDefault="00B86EC0" w:rsidP="00021B06">
            <w:pPr>
              <w:jc w:val="center"/>
            </w:pPr>
          </w:p>
          <w:sdt>
            <w:sdtPr>
              <w:id w:val="958301258"/>
              <w:docPartObj>
                <w:docPartGallery w:val="Page Numbers (Bottom of Page)"/>
                <w:docPartUnique/>
              </w:docPartObj>
            </w:sdtPr>
            <w:sdtContent>
              <w:sdt>
                <w:sdtPr>
                  <w:id w:val="1855996413"/>
                  <w:docPartObj>
                    <w:docPartGallery w:val="Page Numbers (Top of Page)"/>
                    <w:docPartUnique/>
                  </w:docPartObj>
                </w:sdtPr>
                <w:sdtContent>
                  <w:p w14:paraId="7578C15B" w14:textId="77777777" w:rsidR="00B86EC0" w:rsidRDefault="00B86EC0" w:rsidP="00B86EC0">
                    <w:pPr>
                      <w:jc w:val="center"/>
                    </w:pPr>
                  </w:p>
                  <w:p w14:paraId="2E7AAC10" w14:textId="654CE73D" w:rsidR="00B86EC0" w:rsidRDefault="00B86EC0" w:rsidP="00B86EC0">
                    <w:pPr>
                      <w:pStyle w:val="Zpat"/>
                      <w:tabs>
                        <w:tab w:val="right" w:pos="14004"/>
                      </w:tabs>
                    </w:pPr>
                    <w:r>
                      <w:t>listopad 2022</w:t>
                    </w:r>
                    <w:r>
                      <w:tab/>
                      <w:t xml:space="preserve">Stránka </w:t>
                    </w:r>
                    <w:r>
                      <w:rPr>
                        <w:b/>
                        <w:sz w:val="24"/>
                        <w:szCs w:val="24"/>
                      </w:rPr>
                      <w:fldChar w:fldCharType="begin"/>
                    </w:r>
                    <w:r>
                      <w:rPr>
                        <w:b/>
                      </w:rPr>
                      <w:instrText>PAGE</w:instrText>
                    </w:r>
                    <w:r>
                      <w:rPr>
                        <w:b/>
                        <w:sz w:val="24"/>
                        <w:szCs w:val="24"/>
                      </w:rPr>
                      <w:fldChar w:fldCharType="separate"/>
                    </w:r>
                    <w:r>
                      <w:rPr>
                        <w:b/>
                        <w:sz w:val="24"/>
                        <w:szCs w:val="24"/>
                      </w:rPr>
                      <w:t>113</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118</w:t>
                    </w:r>
                    <w:r>
                      <w:rPr>
                        <w:b/>
                        <w:sz w:val="24"/>
                        <w:szCs w:val="24"/>
                      </w:rPr>
                      <w:fldChar w:fldCharType="end"/>
                    </w:r>
                    <w:r>
                      <w:rPr>
                        <w:b/>
                        <w:sz w:val="24"/>
                        <w:szCs w:val="24"/>
                      </w:rPr>
                      <w:tab/>
                    </w:r>
                    <w:r w:rsidRPr="00CD3177">
                      <w:rPr>
                        <w:b/>
                        <w:noProof/>
                        <w:sz w:val="24"/>
                        <w:szCs w:val="24"/>
                        <w:lang w:eastAsia="cs-CZ"/>
                      </w:rPr>
                      <w:drawing>
                        <wp:inline distT="0" distB="0" distL="0" distR="0" wp14:anchorId="462EFF86" wp14:editId="140D8250">
                          <wp:extent cx="542925" cy="290024"/>
                          <wp:effectExtent l="19050" t="0" r="9525" b="0"/>
                          <wp:docPr id="63"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670167"/>
      <w:docPartObj>
        <w:docPartGallery w:val="Page Numbers (Bottom of Page)"/>
        <w:docPartUnique/>
      </w:docPartObj>
    </w:sdtPr>
    <w:sdtContent>
      <w:sdt>
        <w:sdtPr>
          <w:id w:val="-7600151"/>
          <w:docPartObj>
            <w:docPartGallery w:val="Page Numbers (Top of Page)"/>
            <w:docPartUnique/>
          </w:docPartObj>
        </w:sdtPr>
        <w:sdtContent>
          <w:p w14:paraId="7DCE0F83" w14:textId="77777777" w:rsidR="00470596" w:rsidRDefault="00000000" w:rsidP="00470596">
            <w:pPr>
              <w:jc w:val="center"/>
            </w:pPr>
          </w:p>
          <w:p w14:paraId="65360DBF" w14:textId="77777777" w:rsidR="001940DC" w:rsidRDefault="00000000" w:rsidP="00470596">
            <w:pPr>
              <w:pStyle w:val="Zpat"/>
              <w:tabs>
                <w:tab w:val="right" w:pos="14004"/>
              </w:tabs>
            </w:pPr>
            <w:r>
              <w:t>listopad</w:t>
            </w:r>
            <w:r>
              <w:t xml:space="preserve"> 2022</w:t>
            </w:r>
            <w:r>
              <w:tab/>
              <w:t xml:space="preserve">Stránka </w:t>
            </w:r>
            <w:r>
              <w:rPr>
                <w:b/>
                <w:sz w:val="24"/>
                <w:szCs w:val="24"/>
              </w:rPr>
              <w:fldChar w:fldCharType="begin"/>
            </w:r>
            <w:r>
              <w:rPr>
                <w:b/>
              </w:rPr>
              <w:instrText>PAGE</w:instrText>
            </w:r>
            <w:r>
              <w:rPr>
                <w:b/>
                <w:sz w:val="24"/>
                <w:szCs w:val="24"/>
              </w:rPr>
              <w:fldChar w:fldCharType="separate"/>
            </w:r>
            <w:r>
              <w:rPr>
                <w:b/>
                <w:sz w:val="24"/>
                <w:szCs w:val="24"/>
              </w:rPr>
              <w:t>8</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30</w:t>
            </w:r>
            <w:r>
              <w:rPr>
                <w:b/>
                <w:sz w:val="24"/>
                <w:szCs w:val="24"/>
              </w:rPr>
              <w:fldChar w:fldCharType="end"/>
            </w:r>
            <w:r>
              <w:rPr>
                <w:b/>
                <w:sz w:val="24"/>
                <w:szCs w:val="24"/>
              </w:rPr>
              <w:tab/>
            </w:r>
            <w:r w:rsidRPr="00CD3177">
              <w:rPr>
                <w:b/>
                <w:noProof/>
                <w:sz w:val="24"/>
                <w:szCs w:val="24"/>
                <w:lang w:eastAsia="cs-CZ"/>
              </w:rPr>
              <w:drawing>
                <wp:inline distT="0" distB="0" distL="0" distR="0" wp14:anchorId="3741BD69" wp14:editId="700C3265">
                  <wp:extent cx="542925" cy="290024"/>
                  <wp:effectExtent l="19050" t="0" r="9525" b="0"/>
                  <wp:docPr id="291"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131300"/>
      <w:docPartObj>
        <w:docPartGallery w:val="Page Numbers (Bottom of Page)"/>
        <w:docPartUnique/>
      </w:docPartObj>
    </w:sdtPr>
    <w:sdtContent>
      <w:sdt>
        <w:sdtPr>
          <w:id w:val="-1002352925"/>
          <w:docPartObj>
            <w:docPartGallery w:val="Page Numbers (Top of Page)"/>
            <w:docPartUnique/>
          </w:docPartObj>
        </w:sdtPr>
        <w:sdtContent>
          <w:p w14:paraId="1A1888D5" w14:textId="77777777" w:rsidR="00837905" w:rsidRDefault="00837905" w:rsidP="00320178">
            <w:pPr>
              <w:jc w:val="center"/>
            </w:pPr>
          </w:p>
          <w:p w14:paraId="3A4615B1" w14:textId="77777777" w:rsidR="00837905" w:rsidRDefault="00837905" w:rsidP="00320178">
            <w:pPr>
              <w:pStyle w:val="Zpat"/>
              <w:tabs>
                <w:tab w:val="right" w:pos="14004"/>
              </w:tabs>
              <w:jc w:val="center"/>
            </w:pPr>
            <w:r>
              <w:t>listopad 2022</w:t>
            </w:r>
            <w:r>
              <w:tab/>
              <w:t xml:space="preserve">Stránka </w:t>
            </w:r>
            <w:r>
              <w:rPr>
                <w:b/>
                <w:sz w:val="24"/>
                <w:szCs w:val="24"/>
              </w:rPr>
              <w:fldChar w:fldCharType="begin"/>
            </w:r>
            <w:r>
              <w:rPr>
                <w:b/>
              </w:rPr>
              <w:instrText>PAGE</w:instrText>
            </w:r>
            <w:r>
              <w:rPr>
                <w:b/>
                <w:sz w:val="24"/>
                <w:szCs w:val="24"/>
              </w:rPr>
              <w:fldChar w:fldCharType="separate"/>
            </w:r>
            <w:r>
              <w:rPr>
                <w:b/>
                <w:sz w:val="24"/>
                <w:szCs w:val="24"/>
              </w:rPr>
              <w:t>1</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12</w:t>
            </w:r>
            <w:r>
              <w:rPr>
                <w:b/>
                <w:sz w:val="24"/>
                <w:szCs w:val="24"/>
              </w:rPr>
              <w:fldChar w:fldCharType="end"/>
            </w:r>
            <w:r>
              <w:rPr>
                <w:b/>
                <w:sz w:val="24"/>
                <w:szCs w:val="24"/>
              </w:rPr>
              <w:tab/>
            </w:r>
            <w:r w:rsidRPr="00CD3177">
              <w:rPr>
                <w:b/>
                <w:noProof/>
                <w:sz w:val="24"/>
                <w:szCs w:val="24"/>
                <w:lang w:eastAsia="cs-CZ"/>
              </w:rPr>
              <w:drawing>
                <wp:inline distT="0" distB="0" distL="0" distR="0" wp14:anchorId="78BA842C" wp14:editId="266D7E07">
                  <wp:extent cx="542925" cy="290024"/>
                  <wp:effectExtent l="19050" t="0" r="9525" b="0"/>
                  <wp:docPr id="294"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r>
              <w:rPr>
                <w:b/>
                <w:sz w:val="24"/>
                <w:szCs w:val="24"/>
              </w:rPr>
              <w:tab/>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146506"/>
      <w:docPartObj>
        <w:docPartGallery w:val="Page Numbers (Bottom of Page)"/>
        <w:docPartUnique/>
      </w:docPartObj>
    </w:sdtPr>
    <w:sdtContent>
      <w:sdt>
        <w:sdtPr>
          <w:id w:val="-618836608"/>
          <w:docPartObj>
            <w:docPartGallery w:val="Page Numbers (Top of Page)"/>
            <w:docPartUnique/>
          </w:docPartObj>
        </w:sdtPr>
        <w:sdtContent>
          <w:p w14:paraId="394E749E" w14:textId="77777777" w:rsidR="00837905" w:rsidRDefault="00837905" w:rsidP="00320178">
            <w:pPr>
              <w:jc w:val="center"/>
            </w:pPr>
          </w:p>
          <w:sdt>
            <w:sdtPr>
              <w:id w:val="-426655668"/>
              <w:docPartObj>
                <w:docPartGallery w:val="Page Numbers (Bottom of Page)"/>
                <w:docPartUnique/>
              </w:docPartObj>
            </w:sdtPr>
            <w:sdtContent>
              <w:sdt>
                <w:sdtPr>
                  <w:id w:val="-1751643378"/>
                  <w:docPartObj>
                    <w:docPartGallery w:val="Page Numbers (Top of Page)"/>
                    <w:docPartUnique/>
                  </w:docPartObj>
                </w:sdtPr>
                <w:sdtContent>
                  <w:p w14:paraId="35017F98" w14:textId="77777777" w:rsidR="00837905" w:rsidRDefault="00837905" w:rsidP="00837905">
                    <w:pPr>
                      <w:jc w:val="center"/>
                    </w:pPr>
                  </w:p>
                  <w:p w14:paraId="11DCA014" w14:textId="57F62101" w:rsidR="00837905" w:rsidRDefault="00837905" w:rsidP="00837905">
                    <w:pPr>
                      <w:pStyle w:val="Zpat"/>
                      <w:tabs>
                        <w:tab w:val="clear" w:pos="4536"/>
                        <w:tab w:val="clear" w:pos="9072"/>
                        <w:tab w:val="center" w:pos="2977"/>
                        <w:tab w:val="right" w:pos="7797"/>
                        <w:tab w:val="right" w:pos="14004"/>
                      </w:tabs>
                    </w:pPr>
                    <w:r>
                      <w:t>listopad 2022</w:t>
                    </w:r>
                    <w:r>
                      <w:tab/>
                    </w:r>
                    <w:r>
                      <w:tab/>
                      <w:t xml:space="preserve">Stránka </w:t>
                    </w:r>
                    <w:r>
                      <w:rPr>
                        <w:b/>
                        <w:sz w:val="24"/>
                        <w:szCs w:val="24"/>
                      </w:rPr>
                      <w:fldChar w:fldCharType="begin"/>
                    </w:r>
                    <w:r>
                      <w:rPr>
                        <w:b/>
                      </w:rPr>
                      <w:instrText>PAGE</w:instrText>
                    </w:r>
                    <w:r>
                      <w:rPr>
                        <w:b/>
                        <w:sz w:val="24"/>
                        <w:szCs w:val="24"/>
                      </w:rPr>
                      <w:fldChar w:fldCharType="separate"/>
                    </w:r>
                    <w:r>
                      <w:rPr>
                        <w:b/>
                        <w:sz w:val="24"/>
                        <w:szCs w:val="24"/>
                      </w:rPr>
                      <w:t>94</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141</w:t>
                    </w:r>
                    <w:r>
                      <w:rPr>
                        <w:b/>
                        <w:sz w:val="24"/>
                        <w:szCs w:val="24"/>
                      </w:rPr>
                      <w:fldChar w:fldCharType="end"/>
                    </w:r>
                    <w:r>
                      <w:rPr>
                        <w:b/>
                        <w:sz w:val="24"/>
                        <w:szCs w:val="24"/>
                      </w:rPr>
                      <w:tab/>
                    </w:r>
                    <w:r w:rsidRPr="00CD3177">
                      <w:rPr>
                        <w:b/>
                        <w:noProof/>
                        <w:sz w:val="24"/>
                        <w:szCs w:val="24"/>
                        <w:lang w:eastAsia="cs-CZ"/>
                      </w:rPr>
                      <w:drawing>
                        <wp:inline distT="0" distB="0" distL="0" distR="0" wp14:anchorId="3997337A" wp14:editId="789EA5C9">
                          <wp:extent cx="542925" cy="290024"/>
                          <wp:effectExtent l="19050" t="0" r="9525" b="0"/>
                          <wp:docPr id="296"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743561"/>
      <w:docPartObj>
        <w:docPartGallery w:val="Page Numbers (Bottom of Page)"/>
        <w:docPartUnique/>
      </w:docPartObj>
    </w:sdtPr>
    <w:sdtContent>
      <w:sdt>
        <w:sdtPr>
          <w:id w:val="1812755401"/>
          <w:docPartObj>
            <w:docPartGallery w:val="Page Numbers (Top of Page)"/>
            <w:docPartUnique/>
          </w:docPartObj>
        </w:sdtPr>
        <w:sdtContent>
          <w:p w14:paraId="10451F9E" w14:textId="77777777" w:rsidR="00837905" w:rsidRDefault="00837905" w:rsidP="00320178">
            <w:pPr>
              <w:jc w:val="center"/>
            </w:pPr>
          </w:p>
          <w:sdt>
            <w:sdtPr>
              <w:id w:val="1273901882"/>
              <w:docPartObj>
                <w:docPartGallery w:val="Page Numbers (Bottom of Page)"/>
                <w:docPartUnique/>
              </w:docPartObj>
            </w:sdtPr>
            <w:sdtContent>
              <w:sdt>
                <w:sdtPr>
                  <w:id w:val="-1716647730"/>
                  <w:docPartObj>
                    <w:docPartGallery w:val="Page Numbers (Top of Page)"/>
                    <w:docPartUnique/>
                  </w:docPartObj>
                </w:sdtPr>
                <w:sdtContent>
                  <w:p w14:paraId="46DAAA05" w14:textId="6455005D" w:rsidR="00837905" w:rsidRDefault="00364201" w:rsidP="00837905">
                    <w:pPr>
                      <w:jc w:val="center"/>
                    </w:pPr>
                    <w:r w:rsidRPr="00CD3177">
                      <w:rPr>
                        <w:b/>
                        <w:noProof/>
                        <w:sz w:val="24"/>
                        <w:szCs w:val="24"/>
                        <w:lang w:eastAsia="cs-CZ"/>
                      </w:rPr>
                      <w:drawing>
                        <wp:anchor distT="0" distB="0" distL="114300" distR="114300" simplePos="0" relativeHeight="251658240" behindDoc="1" locked="0" layoutInCell="1" allowOverlap="1" wp14:anchorId="25AD2539" wp14:editId="34C11175">
                          <wp:simplePos x="0" y="0"/>
                          <wp:positionH relativeFrom="column">
                            <wp:posOffset>5215255</wp:posOffset>
                          </wp:positionH>
                          <wp:positionV relativeFrom="paragraph">
                            <wp:posOffset>4445</wp:posOffset>
                          </wp:positionV>
                          <wp:extent cx="542925" cy="289560"/>
                          <wp:effectExtent l="0" t="0" r="0" b="0"/>
                          <wp:wrapTight wrapText="bothSides">
                            <wp:wrapPolygon edited="0">
                              <wp:start x="0" y="0"/>
                              <wp:lineTo x="0" y="19895"/>
                              <wp:lineTo x="21221" y="19895"/>
                              <wp:lineTo x="21221" y="0"/>
                              <wp:lineTo x="0" y="0"/>
                            </wp:wrapPolygon>
                          </wp:wrapTight>
                          <wp:docPr id="300"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extLst>
                                      <a:ext uri="{28A0092B-C50C-407E-A947-70E740481C1C}">
                                        <a14:useLocalDpi xmlns:a14="http://schemas.microsoft.com/office/drawing/2010/main" val="0"/>
                                      </a:ext>
                                    </a:extLst>
                                  </a:blip>
                                  <a:stretch>
                                    <a:fillRect/>
                                  </a:stretch>
                                </pic:blipFill>
                                <pic:spPr>
                                  <a:xfrm>
                                    <a:off x="0" y="0"/>
                                    <a:ext cx="542925" cy="289560"/>
                                  </a:xfrm>
                                  <a:prstGeom prst="rect">
                                    <a:avLst/>
                                  </a:prstGeom>
                                </pic:spPr>
                              </pic:pic>
                            </a:graphicData>
                          </a:graphic>
                        </wp:anchor>
                      </w:drawing>
                    </w:r>
                  </w:p>
                  <w:p w14:paraId="4DB94F71" w14:textId="0FDB1F86" w:rsidR="00837905" w:rsidRDefault="00364201" w:rsidP="00364201">
                    <w:pPr>
                      <w:pStyle w:val="Zpat"/>
                      <w:tabs>
                        <w:tab w:val="clear" w:pos="4536"/>
                        <w:tab w:val="clear" w:pos="9072"/>
                        <w:tab w:val="center" w:pos="4678"/>
                        <w:tab w:val="right" w:pos="7797"/>
                        <w:tab w:val="right" w:pos="14004"/>
                      </w:tabs>
                    </w:pPr>
                    <w:r>
                      <w:t>listopad 2022</w:t>
                    </w:r>
                    <w:r>
                      <w:tab/>
                      <w:t xml:space="preserve">Stránka </w:t>
                    </w:r>
                    <w:r>
                      <w:rPr>
                        <w:b/>
                        <w:sz w:val="24"/>
                        <w:szCs w:val="24"/>
                      </w:rPr>
                      <w:fldChar w:fldCharType="begin"/>
                    </w:r>
                    <w:r>
                      <w:rPr>
                        <w:b/>
                      </w:rPr>
                      <w:instrText>PAGE</w:instrText>
                    </w:r>
                    <w:r>
                      <w:rPr>
                        <w:b/>
                        <w:sz w:val="24"/>
                        <w:szCs w:val="24"/>
                      </w:rPr>
                      <w:fldChar w:fldCharType="separate"/>
                    </w:r>
                    <w:r>
                      <w:rPr>
                        <w:b/>
                        <w:sz w:val="24"/>
                        <w:szCs w:val="24"/>
                      </w:rPr>
                      <w:t>136</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142</w:t>
                    </w:r>
                    <w:r>
                      <w:rPr>
                        <w:b/>
                        <w:sz w:val="24"/>
                        <w:szCs w:val="24"/>
                      </w:rPr>
                      <w:fldChar w:fldCharType="end"/>
                    </w:r>
                    <w:r>
                      <w:rPr>
                        <w:b/>
                        <w:sz w:val="24"/>
                        <w:szCs w:val="24"/>
                      </w:rPr>
                      <w:tab/>
                    </w:r>
                  </w:p>
                </w:sdtContent>
              </w:sdt>
            </w:sdtContent>
          </w:sdt>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283160"/>
      <w:docPartObj>
        <w:docPartGallery w:val="Page Numbers (Bottom of Page)"/>
        <w:docPartUnique/>
      </w:docPartObj>
    </w:sdtPr>
    <w:sdtContent>
      <w:sdt>
        <w:sdtPr>
          <w:id w:val="1764416312"/>
          <w:docPartObj>
            <w:docPartGallery w:val="Page Numbers (Top of Page)"/>
            <w:docPartUnique/>
          </w:docPartObj>
        </w:sdtPr>
        <w:sdtContent>
          <w:p w14:paraId="1A6D5198" w14:textId="77777777" w:rsidR="00470596" w:rsidRDefault="00000000" w:rsidP="00470596">
            <w:pPr>
              <w:jc w:val="center"/>
            </w:pPr>
          </w:p>
          <w:p w14:paraId="6EDFEC56" w14:textId="77777777" w:rsidR="001940DC" w:rsidRDefault="00000000" w:rsidP="00470596">
            <w:pPr>
              <w:pStyle w:val="Zpat"/>
              <w:tabs>
                <w:tab w:val="right" w:pos="14004"/>
              </w:tabs>
            </w:pPr>
            <w:r>
              <w:t>listopad</w:t>
            </w:r>
            <w:r>
              <w:t xml:space="preserve"> 2022</w:t>
            </w:r>
            <w:r>
              <w:tab/>
              <w:t xml:space="preserve">Stránka </w:t>
            </w:r>
            <w:r>
              <w:rPr>
                <w:b/>
                <w:sz w:val="24"/>
                <w:szCs w:val="24"/>
              </w:rPr>
              <w:fldChar w:fldCharType="begin"/>
            </w:r>
            <w:r>
              <w:rPr>
                <w:b/>
              </w:rPr>
              <w:instrText>PAGE</w:instrText>
            </w:r>
            <w:r>
              <w:rPr>
                <w:b/>
                <w:sz w:val="24"/>
                <w:szCs w:val="24"/>
              </w:rPr>
              <w:fldChar w:fldCharType="separate"/>
            </w:r>
            <w:r>
              <w:rPr>
                <w:b/>
                <w:sz w:val="24"/>
                <w:szCs w:val="24"/>
              </w:rPr>
              <w:t>8</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30</w:t>
            </w:r>
            <w:r>
              <w:rPr>
                <w:b/>
                <w:sz w:val="24"/>
                <w:szCs w:val="24"/>
              </w:rPr>
              <w:fldChar w:fldCharType="end"/>
            </w:r>
            <w:r>
              <w:rPr>
                <w:b/>
                <w:sz w:val="24"/>
                <w:szCs w:val="24"/>
              </w:rPr>
              <w:tab/>
            </w:r>
            <w:r w:rsidRPr="00CD3177">
              <w:rPr>
                <w:b/>
                <w:noProof/>
                <w:sz w:val="24"/>
                <w:szCs w:val="24"/>
                <w:lang w:eastAsia="cs-CZ"/>
              </w:rPr>
              <w:drawing>
                <wp:inline distT="0" distB="0" distL="0" distR="0" wp14:anchorId="3E8B86DA" wp14:editId="09C13EA7">
                  <wp:extent cx="542925" cy="290024"/>
                  <wp:effectExtent l="19050" t="0" r="9525" b="0"/>
                  <wp:docPr id="304"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284534"/>
      <w:docPartObj>
        <w:docPartGallery w:val="Page Numbers (Bottom of Page)"/>
        <w:docPartUnique/>
      </w:docPartObj>
    </w:sdtPr>
    <w:sdtContent>
      <w:sdt>
        <w:sdtPr>
          <w:id w:val="1287697888"/>
          <w:docPartObj>
            <w:docPartGallery w:val="Page Numbers (Top of Page)"/>
            <w:docPartUnique/>
          </w:docPartObj>
        </w:sdtPr>
        <w:sdtContent>
          <w:p w14:paraId="4DD1BE91" w14:textId="7998342A" w:rsidR="004B50CA" w:rsidRDefault="004B50CA" w:rsidP="004B50CA">
            <w:pPr>
              <w:jc w:val="center"/>
            </w:pPr>
          </w:p>
          <w:p w14:paraId="62AFED55" w14:textId="7F200289" w:rsidR="00C80509" w:rsidRDefault="00C20E52" w:rsidP="004B50CA">
            <w:pPr>
              <w:pStyle w:val="Zpat"/>
              <w:tabs>
                <w:tab w:val="right" w:pos="14004"/>
              </w:tabs>
            </w:pPr>
            <w:r>
              <w:t>listopad</w:t>
            </w:r>
            <w:r w:rsidR="004B50CA">
              <w:t xml:space="preserve"> 2022</w:t>
            </w:r>
            <w:r w:rsidR="004B50CA">
              <w:tab/>
              <w:t xml:space="preserve">Stránka </w:t>
            </w:r>
            <w:r w:rsidR="004B50CA">
              <w:rPr>
                <w:b/>
                <w:sz w:val="24"/>
                <w:szCs w:val="24"/>
              </w:rPr>
              <w:fldChar w:fldCharType="begin"/>
            </w:r>
            <w:r w:rsidR="004B50CA">
              <w:rPr>
                <w:b/>
              </w:rPr>
              <w:instrText>PAGE</w:instrText>
            </w:r>
            <w:r w:rsidR="004B50CA">
              <w:rPr>
                <w:b/>
                <w:sz w:val="24"/>
                <w:szCs w:val="24"/>
              </w:rPr>
              <w:fldChar w:fldCharType="separate"/>
            </w:r>
            <w:r w:rsidR="004B50CA">
              <w:rPr>
                <w:b/>
                <w:sz w:val="24"/>
                <w:szCs w:val="24"/>
              </w:rPr>
              <w:t>2</w:t>
            </w:r>
            <w:r w:rsidR="004B50CA">
              <w:rPr>
                <w:b/>
                <w:sz w:val="24"/>
                <w:szCs w:val="24"/>
              </w:rPr>
              <w:fldChar w:fldCharType="end"/>
            </w:r>
            <w:r w:rsidR="004B50CA">
              <w:t xml:space="preserve"> z </w:t>
            </w:r>
            <w:r w:rsidR="004B50CA">
              <w:rPr>
                <w:b/>
                <w:sz w:val="24"/>
                <w:szCs w:val="24"/>
              </w:rPr>
              <w:fldChar w:fldCharType="begin"/>
            </w:r>
            <w:r w:rsidR="004B50CA">
              <w:rPr>
                <w:b/>
              </w:rPr>
              <w:instrText>NUMPAGES</w:instrText>
            </w:r>
            <w:r w:rsidR="004B50CA">
              <w:rPr>
                <w:b/>
                <w:sz w:val="24"/>
                <w:szCs w:val="24"/>
              </w:rPr>
              <w:fldChar w:fldCharType="separate"/>
            </w:r>
            <w:r w:rsidR="004B50CA">
              <w:rPr>
                <w:b/>
                <w:sz w:val="24"/>
                <w:szCs w:val="24"/>
              </w:rPr>
              <w:t>187</w:t>
            </w:r>
            <w:r w:rsidR="004B50CA">
              <w:rPr>
                <w:b/>
                <w:sz w:val="24"/>
                <w:szCs w:val="24"/>
              </w:rPr>
              <w:fldChar w:fldCharType="end"/>
            </w:r>
            <w:r w:rsidR="004B50CA">
              <w:rPr>
                <w:b/>
                <w:sz w:val="24"/>
                <w:szCs w:val="24"/>
              </w:rPr>
              <w:tab/>
            </w:r>
            <w:r w:rsidR="004B50CA" w:rsidRPr="00CD3177">
              <w:rPr>
                <w:b/>
                <w:noProof/>
                <w:sz w:val="24"/>
                <w:szCs w:val="24"/>
                <w:lang w:eastAsia="cs-CZ"/>
              </w:rPr>
              <w:drawing>
                <wp:inline distT="0" distB="0" distL="0" distR="0" wp14:anchorId="504D70BD" wp14:editId="45EAF0BB">
                  <wp:extent cx="542925" cy="290024"/>
                  <wp:effectExtent l="19050" t="0" r="9525" b="0"/>
                  <wp:docPr id="244"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486223"/>
      <w:docPartObj>
        <w:docPartGallery w:val="Page Numbers (Bottom of Page)"/>
        <w:docPartUnique/>
      </w:docPartObj>
    </w:sdtPr>
    <w:sdtContent>
      <w:sdt>
        <w:sdtPr>
          <w:id w:val="-1823264292"/>
          <w:docPartObj>
            <w:docPartGallery w:val="Page Numbers (Top of Page)"/>
            <w:docPartUnique/>
          </w:docPartObj>
        </w:sdtPr>
        <w:sdtContent>
          <w:p w14:paraId="0A29C486" w14:textId="77777777" w:rsidR="00102D9A" w:rsidRDefault="00102D9A" w:rsidP="004B50CA">
            <w:pPr>
              <w:jc w:val="center"/>
            </w:pPr>
          </w:p>
          <w:p w14:paraId="7F6503DF" w14:textId="25C1E150" w:rsidR="00102D9A" w:rsidRDefault="00C20E52" w:rsidP="00102D9A">
            <w:pPr>
              <w:pStyle w:val="Zpat"/>
              <w:tabs>
                <w:tab w:val="clear" w:pos="4536"/>
                <w:tab w:val="clear" w:pos="9072"/>
                <w:tab w:val="center" w:pos="6663"/>
                <w:tab w:val="right" w:pos="14004"/>
              </w:tabs>
            </w:pPr>
            <w:r>
              <w:t>listopad</w:t>
            </w:r>
            <w:r w:rsidR="00102D9A">
              <w:t xml:space="preserve"> 2022</w:t>
            </w:r>
            <w:r w:rsidR="00102D9A">
              <w:tab/>
              <w:t xml:space="preserve">Stránka </w:t>
            </w:r>
            <w:r w:rsidR="00102D9A">
              <w:rPr>
                <w:b/>
                <w:sz w:val="24"/>
                <w:szCs w:val="24"/>
              </w:rPr>
              <w:fldChar w:fldCharType="begin"/>
            </w:r>
            <w:r w:rsidR="00102D9A">
              <w:rPr>
                <w:b/>
              </w:rPr>
              <w:instrText>PAGE</w:instrText>
            </w:r>
            <w:r w:rsidR="00102D9A">
              <w:rPr>
                <w:b/>
                <w:sz w:val="24"/>
                <w:szCs w:val="24"/>
              </w:rPr>
              <w:fldChar w:fldCharType="separate"/>
            </w:r>
            <w:r w:rsidR="00102D9A">
              <w:rPr>
                <w:b/>
                <w:sz w:val="24"/>
                <w:szCs w:val="24"/>
              </w:rPr>
              <w:t>2</w:t>
            </w:r>
            <w:r w:rsidR="00102D9A">
              <w:rPr>
                <w:b/>
                <w:sz w:val="24"/>
                <w:szCs w:val="24"/>
              </w:rPr>
              <w:fldChar w:fldCharType="end"/>
            </w:r>
            <w:r w:rsidR="00102D9A">
              <w:t xml:space="preserve"> z </w:t>
            </w:r>
            <w:r w:rsidR="00102D9A">
              <w:rPr>
                <w:b/>
                <w:sz w:val="24"/>
                <w:szCs w:val="24"/>
              </w:rPr>
              <w:fldChar w:fldCharType="begin"/>
            </w:r>
            <w:r w:rsidR="00102D9A">
              <w:rPr>
                <w:b/>
              </w:rPr>
              <w:instrText>NUMPAGES</w:instrText>
            </w:r>
            <w:r w:rsidR="00102D9A">
              <w:rPr>
                <w:b/>
                <w:sz w:val="24"/>
                <w:szCs w:val="24"/>
              </w:rPr>
              <w:fldChar w:fldCharType="separate"/>
            </w:r>
            <w:r w:rsidR="00102D9A">
              <w:rPr>
                <w:b/>
                <w:sz w:val="24"/>
                <w:szCs w:val="24"/>
              </w:rPr>
              <w:t>187</w:t>
            </w:r>
            <w:r w:rsidR="00102D9A">
              <w:rPr>
                <w:b/>
                <w:sz w:val="24"/>
                <w:szCs w:val="24"/>
              </w:rPr>
              <w:fldChar w:fldCharType="end"/>
            </w:r>
            <w:r w:rsidR="00102D9A">
              <w:rPr>
                <w:b/>
                <w:sz w:val="24"/>
                <w:szCs w:val="24"/>
              </w:rPr>
              <w:tab/>
            </w:r>
            <w:r w:rsidR="00102D9A" w:rsidRPr="00CD3177">
              <w:rPr>
                <w:b/>
                <w:noProof/>
                <w:sz w:val="24"/>
                <w:szCs w:val="24"/>
                <w:lang w:eastAsia="cs-CZ"/>
              </w:rPr>
              <w:drawing>
                <wp:inline distT="0" distB="0" distL="0" distR="0" wp14:anchorId="61526EE1" wp14:editId="3274AB18">
                  <wp:extent cx="542925" cy="290024"/>
                  <wp:effectExtent l="19050" t="0" r="9525" b="0"/>
                  <wp:docPr id="264"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848068"/>
      <w:docPartObj>
        <w:docPartGallery w:val="Page Numbers (Bottom of Page)"/>
        <w:docPartUnique/>
      </w:docPartObj>
    </w:sdtPr>
    <w:sdtContent>
      <w:sdt>
        <w:sdtPr>
          <w:id w:val="-379717437"/>
          <w:docPartObj>
            <w:docPartGallery w:val="Page Numbers (Top of Page)"/>
            <w:docPartUnique/>
          </w:docPartObj>
        </w:sdtPr>
        <w:sdtContent>
          <w:p w14:paraId="5FE7EA28" w14:textId="76F9ABBB" w:rsidR="00102D9A" w:rsidRDefault="00102D9A" w:rsidP="004B50CA">
            <w:pPr>
              <w:jc w:val="center"/>
            </w:pPr>
          </w:p>
          <w:p w14:paraId="5F0EE0AA" w14:textId="644B40E8" w:rsidR="00102D9A" w:rsidRDefault="00C20E52" w:rsidP="004B50CA">
            <w:pPr>
              <w:pStyle w:val="Zpat"/>
              <w:tabs>
                <w:tab w:val="right" w:pos="14004"/>
              </w:tabs>
            </w:pPr>
            <w:r>
              <w:t>listopad</w:t>
            </w:r>
            <w:r w:rsidR="00102D9A">
              <w:t xml:space="preserve"> 2022</w:t>
            </w:r>
            <w:r w:rsidR="00102D9A">
              <w:tab/>
              <w:t xml:space="preserve">Stránka </w:t>
            </w:r>
            <w:r w:rsidR="00102D9A">
              <w:rPr>
                <w:b/>
                <w:sz w:val="24"/>
                <w:szCs w:val="24"/>
              </w:rPr>
              <w:fldChar w:fldCharType="begin"/>
            </w:r>
            <w:r w:rsidR="00102D9A">
              <w:rPr>
                <w:b/>
              </w:rPr>
              <w:instrText>PAGE</w:instrText>
            </w:r>
            <w:r w:rsidR="00102D9A">
              <w:rPr>
                <w:b/>
                <w:sz w:val="24"/>
                <w:szCs w:val="24"/>
              </w:rPr>
              <w:fldChar w:fldCharType="separate"/>
            </w:r>
            <w:r w:rsidR="00102D9A">
              <w:rPr>
                <w:b/>
                <w:sz w:val="24"/>
                <w:szCs w:val="24"/>
              </w:rPr>
              <w:t>2</w:t>
            </w:r>
            <w:r w:rsidR="00102D9A">
              <w:rPr>
                <w:b/>
                <w:sz w:val="24"/>
                <w:szCs w:val="24"/>
              </w:rPr>
              <w:fldChar w:fldCharType="end"/>
            </w:r>
            <w:r w:rsidR="00102D9A">
              <w:t xml:space="preserve"> z </w:t>
            </w:r>
            <w:r w:rsidR="00102D9A">
              <w:rPr>
                <w:b/>
                <w:sz w:val="24"/>
                <w:szCs w:val="24"/>
              </w:rPr>
              <w:fldChar w:fldCharType="begin"/>
            </w:r>
            <w:r w:rsidR="00102D9A">
              <w:rPr>
                <w:b/>
              </w:rPr>
              <w:instrText>NUMPAGES</w:instrText>
            </w:r>
            <w:r w:rsidR="00102D9A">
              <w:rPr>
                <w:b/>
                <w:sz w:val="24"/>
                <w:szCs w:val="24"/>
              </w:rPr>
              <w:fldChar w:fldCharType="separate"/>
            </w:r>
            <w:r w:rsidR="00102D9A">
              <w:rPr>
                <w:b/>
                <w:sz w:val="24"/>
                <w:szCs w:val="24"/>
              </w:rPr>
              <w:t>187</w:t>
            </w:r>
            <w:r w:rsidR="00102D9A">
              <w:rPr>
                <w:b/>
                <w:sz w:val="24"/>
                <w:szCs w:val="24"/>
              </w:rPr>
              <w:fldChar w:fldCharType="end"/>
            </w:r>
            <w:r w:rsidR="00102D9A">
              <w:rPr>
                <w:b/>
                <w:sz w:val="24"/>
                <w:szCs w:val="24"/>
              </w:rPr>
              <w:tab/>
            </w:r>
            <w:r w:rsidR="00102D9A" w:rsidRPr="00CD3177">
              <w:rPr>
                <w:b/>
                <w:noProof/>
                <w:sz w:val="24"/>
                <w:szCs w:val="24"/>
                <w:lang w:eastAsia="cs-CZ"/>
              </w:rPr>
              <w:drawing>
                <wp:inline distT="0" distB="0" distL="0" distR="0" wp14:anchorId="58CDB552" wp14:editId="66B1E347">
                  <wp:extent cx="542925" cy="290024"/>
                  <wp:effectExtent l="19050" t="0" r="9525" b="0"/>
                  <wp:docPr id="12"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47564"/>
      <w:docPartObj>
        <w:docPartGallery w:val="Page Numbers (Bottom of Page)"/>
        <w:docPartUnique/>
      </w:docPartObj>
    </w:sdtPr>
    <w:sdtContent>
      <w:sdt>
        <w:sdtPr>
          <w:id w:val="-1323273677"/>
          <w:docPartObj>
            <w:docPartGallery w:val="Page Numbers (Top of Page)"/>
            <w:docPartUnique/>
          </w:docPartObj>
        </w:sdtPr>
        <w:sdtContent>
          <w:p w14:paraId="14FA5575" w14:textId="77777777" w:rsidR="00B86EC0" w:rsidRDefault="00B86EC0" w:rsidP="0060593D">
            <w:pPr>
              <w:jc w:val="center"/>
            </w:pPr>
          </w:p>
          <w:p w14:paraId="62AD1496" w14:textId="77777777" w:rsidR="00B86EC0" w:rsidRDefault="00B86EC0" w:rsidP="0060593D">
            <w:pPr>
              <w:pStyle w:val="Zpat"/>
              <w:tabs>
                <w:tab w:val="right" w:pos="14004"/>
              </w:tabs>
            </w:pPr>
            <w:r>
              <w:t>listopad 2022</w:t>
            </w:r>
            <w:r>
              <w:tab/>
              <w:t xml:space="preserve">Stránka </w:t>
            </w:r>
            <w:r>
              <w:rPr>
                <w:b/>
                <w:sz w:val="24"/>
                <w:szCs w:val="24"/>
              </w:rPr>
              <w:fldChar w:fldCharType="begin"/>
            </w:r>
            <w:r>
              <w:rPr>
                <w:b/>
              </w:rPr>
              <w:instrText>PAGE</w:instrText>
            </w:r>
            <w:r>
              <w:rPr>
                <w:b/>
                <w:sz w:val="24"/>
                <w:szCs w:val="24"/>
              </w:rPr>
              <w:fldChar w:fldCharType="separate"/>
            </w:r>
            <w:r>
              <w:rPr>
                <w:b/>
                <w:sz w:val="24"/>
                <w:szCs w:val="24"/>
              </w:rPr>
              <w:t>6</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28</w:t>
            </w:r>
            <w:r>
              <w:rPr>
                <w:b/>
                <w:sz w:val="24"/>
                <w:szCs w:val="24"/>
              </w:rPr>
              <w:fldChar w:fldCharType="end"/>
            </w:r>
            <w:r>
              <w:rPr>
                <w:b/>
                <w:sz w:val="24"/>
                <w:szCs w:val="24"/>
              </w:rPr>
              <w:tab/>
            </w:r>
            <w:r w:rsidRPr="00CD3177">
              <w:rPr>
                <w:b/>
                <w:noProof/>
                <w:sz w:val="24"/>
                <w:szCs w:val="24"/>
                <w:lang w:eastAsia="cs-CZ"/>
              </w:rPr>
              <w:drawing>
                <wp:inline distT="0" distB="0" distL="0" distR="0" wp14:anchorId="5BA79F1C" wp14:editId="488FD694">
                  <wp:extent cx="542925" cy="290024"/>
                  <wp:effectExtent l="19050" t="0" r="9525" b="0"/>
                  <wp:docPr id="56"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410920"/>
      <w:docPartObj>
        <w:docPartGallery w:val="Page Numbers (Bottom of Page)"/>
        <w:docPartUnique/>
      </w:docPartObj>
    </w:sdtPr>
    <w:sdtContent>
      <w:sdt>
        <w:sdtPr>
          <w:id w:val="960686085"/>
          <w:docPartObj>
            <w:docPartGallery w:val="Page Numbers (Top of Page)"/>
            <w:docPartUnique/>
          </w:docPartObj>
        </w:sdtPr>
        <w:sdtContent>
          <w:p w14:paraId="659C4931" w14:textId="77777777" w:rsidR="00B86EC0" w:rsidRDefault="00B86EC0" w:rsidP="0060593D">
            <w:pPr>
              <w:jc w:val="center"/>
            </w:pPr>
          </w:p>
          <w:p w14:paraId="37B0CDCB" w14:textId="77777777" w:rsidR="00B86EC0" w:rsidRDefault="00B86EC0" w:rsidP="0060593D">
            <w:pPr>
              <w:pStyle w:val="Zpat"/>
              <w:tabs>
                <w:tab w:val="clear" w:pos="9072"/>
                <w:tab w:val="right" w:pos="7797"/>
                <w:tab w:val="right" w:pos="14004"/>
              </w:tabs>
            </w:pPr>
            <w:r>
              <w:t>listopad 2022</w:t>
            </w:r>
            <w:r>
              <w:tab/>
            </w:r>
            <w:r>
              <w:tab/>
              <w:t xml:space="preserve">Stránka </w:t>
            </w:r>
            <w:r>
              <w:rPr>
                <w:b/>
                <w:sz w:val="24"/>
                <w:szCs w:val="24"/>
              </w:rPr>
              <w:fldChar w:fldCharType="begin"/>
            </w:r>
            <w:r>
              <w:rPr>
                <w:b/>
              </w:rPr>
              <w:instrText>PAGE</w:instrText>
            </w:r>
            <w:r>
              <w:rPr>
                <w:b/>
                <w:sz w:val="24"/>
                <w:szCs w:val="24"/>
              </w:rPr>
              <w:fldChar w:fldCharType="separate"/>
            </w:r>
            <w:r>
              <w:rPr>
                <w:b/>
                <w:sz w:val="24"/>
                <w:szCs w:val="24"/>
              </w:rPr>
              <w:t>4</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28</w:t>
            </w:r>
            <w:r>
              <w:rPr>
                <w:b/>
                <w:sz w:val="24"/>
                <w:szCs w:val="24"/>
              </w:rPr>
              <w:fldChar w:fldCharType="end"/>
            </w:r>
            <w:r>
              <w:rPr>
                <w:b/>
                <w:sz w:val="24"/>
                <w:szCs w:val="24"/>
              </w:rPr>
              <w:tab/>
            </w:r>
            <w:r w:rsidRPr="00CD3177">
              <w:rPr>
                <w:b/>
                <w:noProof/>
                <w:sz w:val="24"/>
                <w:szCs w:val="24"/>
                <w:lang w:eastAsia="cs-CZ"/>
              </w:rPr>
              <w:drawing>
                <wp:inline distT="0" distB="0" distL="0" distR="0" wp14:anchorId="5127CAB3" wp14:editId="7E98142F">
                  <wp:extent cx="542925" cy="290024"/>
                  <wp:effectExtent l="19050" t="0" r="9525" b="0"/>
                  <wp:docPr id="33"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47730"/>
      <w:docPartObj>
        <w:docPartGallery w:val="Page Numbers (Bottom of Page)"/>
        <w:docPartUnique/>
      </w:docPartObj>
    </w:sdtPr>
    <w:sdtContent>
      <w:sdt>
        <w:sdtPr>
          <w:id w:val="1510412304"/>
          <w:docPartObj>
            <w:docPartGallery w:val="Page Numbers (Top of Page)"/>
            <w:docPartUnique/>
          </w:docPartObj>
        </w:sdtPr>
        <w:sdtContent>
          <w:p w14:paraId="19C4D7DB" w14:textId="77777777" w:rsidR="00B86EC0" w:rsidRDefault="00B86EC0" w:rsidP="0060593D">
            <w:pPr>
              <w:jc w:val="center"/>
            </w:pPr>
          </w:p>
          <w:p w14:paraId="2F99BB76" w14:textId="77777777" w:rsidR="00B86EC0" w:rsidRDefault="00B86EC0" w:rsidP="0060593D">
            <w:pPr>
              <w:pStyle w:val="Zpat"/>
              <w:tabs>
                <w:tab w:val="right" w:pos="14004"/>
              </w:tabs>
            </w:pPr>
            <w:r>
              <w:t>listopad 2022</w:t>
            </w:r>
            <w:r>
              <w:tab/>
              <w:t xml:space="preserve">Stránka </w:t>
            </w:r>
            <w:r>
              <w:rPr>
                <w:b/>
                <w:sz w:val="24"/>
                <w:szCs w:val="24"/>
              </w:rPr>
              <w:fldChar w:fldCharType="begin"/>
            </w:r>
            <w:r>
              <w:rPr>
                <w:b/>
              </w:rPr>
              <w:instrText>PAGE</w:instrText>
            </w:r>
            <w:r>
              <w:rPr>
                <w:b/>
                <w:sz w:val="24"/>
                <w:szCs w:val="24"/>
              </w:rPr>
              <w:fldChar w:fldCharType="separate"/>
            </w:r>
            <w:r>
              <w:rPr>
                <w:b/>
                <w:sz w:val="24"/>
                <w:szCs w:val="24"/>
              </w:rPr>
              <w:t>6</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28</w:t>
            </w:r>
            <w:r>
              <w:rPr>
                <w:b/>
                <w:sz w:val="24"/>
                <w:szCs w:val="24"/>
              </w:rPr>
              <w:fldChar w:fldCharType="end"/>
            </w:r>
            <w:r>
              <w:rPr>
                <w:b/>
                <w:sz w:val="24"/>
                <w:szCs w:val="24"/>
              </w:rPr>
              <w:tab/>
            </w:r>
            <w:r w:rsidRPr="00CD3177">
              <w:rPr>
                <w:b/>
                <w:noProof/>
                <w:sz w:val="24"/>
                <w:szCs w:val="24"/>
                <w:lang w:eastAsia="cs-CZ"/>
              </w:rPr>
              <w:drawing>
                <wp:inline distT="0" distB="0" distL="0" distR="0" wp14:anchorId="2B4B4324" wp14:editId="015B7D7F">
                  <wp:extent cx="542925" cy="290024"/>
                  <wp:effectExtent l="19050" t="0" r="9525" b="0"/>
                  <wp:docPr id="57"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457667"/>
      <w:docPartObj>
        <w:docPartGallery w:val="Page Numbers (Bottom of Page)"/>
        <w:docPartUnique/>
      </w:docPartObj>
    </w:sdtPr>
    <w:sdtContent>
      <w:sdt>
        <w:sdtPr>
          <w:id w:val="316535763"/>
          <w:docPartObj>
            <w:docPartGallery w:val="Page Numbers (Top of Page)"/>
            <w:docPartUnique/>
          </w:docPartObj>
        </w:sdtPr>
        <w:sdtContent>
          <w:p w14:paraId="5CFC3CEC" w14:textId="77777777" w:rsidR="00B86EC0" w:rsidRDefault="00B86EC0" w:rsidP="00021B06">
            <w:pPr>
              <w:jc w:val="center"/>
            </w:pPr>
          </w:p>
          <w:p w14:paraId="53BA0DFD" w14:textId="77777777" w:rsidR="00B86EC0" w:rsidRDefault="00B86EC0" w:rsidP="0060593D">
            <w:pPr>
              <w:pStyle w:val="Zpat"/>
              <w:tabs>
                <w:tab w:val="clear" w:pos="9072"/>
                <w:tab w:val="right" w:pos="7797"/>
                <w:tab w:val="right" w:pos="14004"/>
              </w:tabs>
            </w:pPr>
            <w:r>
              <w:t>listopad 2022</w:t>
            </w:r>
            <w:r>
              <w:tab/>
            </w:r>
            <w:r>
              <w:tab/>
              <w:t xml:space="preserve">Stránka </w:t>
            </w:r>
            <w:r>
              <w:rPr>
                <w:b/>
                <w:sz w:val="24"/>
                <w:szCs w:val="24"/>
              </w:rPr>
              <w:fldChar w:fldCharType="begin"/>
            </w:r>
            <w:r>
              <w:rPr>
                <w:b/>
              </w:rPr>
              <w:instrText>PAGE</w:instrText>
            </w:r>
            <w:r>
              <w:rPr>
                <w:b/>
                <w:sz w:val="24"/>
                <w:szCs w:val="24"/>
              </w:rPr>
              <w:fldChar w:fldCharType="separate"/>
            </w:r>
            <w:r>
              <w:rPr>
                <w:b/>
                <w:sz w:val="24"/>
                <w:szCs w:val="24"/>
              </w:rPr>
              <w:t>84</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89</w:t>
            </w:r>
            <w:r>
              <w:rPr>
                <w:b/>
                <w:sz w:val="24"/>
                <w:szCs w:val="24"/>
              </w:rPr>
              <w:fldChar w:fldCharType="end"/>
            </w:r>
            <w:r>
              <w:rPr>
                <w:b/>
                <w:sz w:val="24"/>
                <w:szCs w:val="24"/>
              </w:rPr>
              <w:tab/>
            </w:r>
            <w:r w:rsidRPr="00CD3177">
              <w:rPr>
                <w:b/>
                <w:noProof/>
                <w:sz w:val="24"/>
                <w:szCs w:val="24"/>
                <w:lang w:eastAsia="cs-CZ"/>
              </w:rPr>
              <w:drawing>
                <wp:inline distT="0" distB="0" distL="0" distR="0" wp14:anchorId="2DEA1434" wp14:editId="0815E909">
                  <wp:extent cx="542925" cy="290024"/>
                  <wp:effectExtent l="19050" t="0" r="9525" b="0"/>
                  <wp:docPr id="58"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854058"/>
      <w:docPartObj>
        <w:docPartGallery w:val="Page Numbers (Bottom of Page)"/>
        <w:docPartUnique/>
      </w:docPartObj>
    </w:sdtPr>
    <w:sdtContent>
      <w:sdt>
        <w:sdtPr>
          <w:id w:val="-957420370"/>
          <w:docPartObj>
            <w:docPartGallery w:val="Page Numbers (Top of Page)"/>
            <w:docPartUnique/>
          </w:docPartObj>
        </w:sdtPr>
        <w:sdtContent>
          <w:p w14:paraId="516D6118" w14:textId="77777777" w:rsidR="00B86EC0" w:rsidRDefault="00B86EC0" w:rsidP="00021B06">
            <w:pPr>
              <w:jc w:val="center"/>
            </w:pPr>
          </w:p>
          <w:p w14:paraId="6C32B1A7" w14:textId="77777777" w:rsidR="00B86EC0" w:rsidRDefault="00B86EC0" w:rsidP="007202CD">
            <w:pPr>
              <w:pStyle w:val="Zpat"/>
              <w:tabs>
                <w:tab w:val="clear" w:pos="4536"/>
                <w:tab w:val="clear" w:pos="9072"/>
                <w:tab w:val="center" w:pos="2977"/>
                <w:tab w:val="right" w:pos="7797"/>
                <w:tab w:val="right" w:pos="14004"/>
              </w:tabs>
            </w:pPr>
            <w:r>
              <w:t>listopad 2022</w:t>
            </w:r>
            <w:r>
              <w:tab/>
            </w:r>
            <w:r>
              <w:tab/>
              <w:t xml:space="preserve">Stránka </w:t>
            </w:r>
            <w:r>
              <w:rPr>
                <w:b/>
                <w:sz w:val="24"/>
                <w:szCs w:val="24"/>
              </w:rPr>
              <w:fldChar w:fldCharType="begin"/>
            </w:r>
            <w:r>
              <w:rPr>
                <w:b/>
              </w:rPr>
              <w:instrText>PAGE</w:instrText>
            </w:r>
            <w:r>
              <w:rPr>
                <w:b/>
                <w:sz w:val="24"/>
                <w:szCs w:val="24"/>
              </w:rPr>
              <w:fldChar w:fldCharType="separate"/>
            </w:r>
            <w:r>
              <w:rPr>
                <w:b/>
                <w:sz w:val="24"/>
                <w:szCs w:val="24"/>
              </w:rPr>
              <w:t>84</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sz w:val="24"/>
                <w:szCs w:val="24"/>
              </w:rPr>
              <w:t>89</w:t>
            </w:r>
            <w:r>
              <w:rPr>
                <w:b/>
                <w:sz w:val="24"/>
                <w:szCs w:val="24"/>
              </w:rPr>
              <w:fldChar w:fldCharType="end"/>
            </w:r>
            <w:r>
              <w:rPr>
                <w:b/>
                <w:sz w:val="24"/>
                <w:szCs w:val="24"/>
              </w:rPr>
              <w:tab/>
            </w:r>
            <w:r w:rsidRPr="00CD3177">
              <w:rPr>
                <w:b/>
                <w:noProof/>
                <w:sz w:val="24"/>
                <w:szCs w:val="24"/>
                <w:lang w:eastAsia="cs-CZ"/>
              </w:rPr>
              <w:drawing>
                <wp:inline distT="0" distB="0" distL="0" distR="0" wp14:anchorId="4B99AA97" wp14:editId="61323A68">
                  <wp:extent cx="542925" cy="290024"/>
                  <wp:effectExtent l="19050" t="0" r="9525" b="0"/>
                  <wp:docPr id="59"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stretch>
                            <a:fillRect/>
                          </a:stretch>
                        </pic:blipFill>
                        <pic:spPr>
                          <a:xfrm>
                            <a:off x="0" y="0"/>
                            <a:ext cx="542925" cy="290024"/>
                          </a:xfrm>
                          <a:prstGeom prst="rect">
                            <a:avLst/>
                          </a:prstGeom>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C8A5B" w14:textId="77777777" w:rsidR="00FA0526" w:rsidRDefault="00FA0526" w:rsidP="00F449FF">
      <w:r>
        <w:separator/>
      </w:r>
    </w:p>
    <w:p w14:paraId="30747A7C" w14:textId="77777777" w:rsidR="00FA0526" w:rsidRDefault="00FA0526"/>
  </w:footnote>
  <w:footnote w:type="continuationSeparator" w:id="0">
    <w:p w14:paraId="2CA21699" w14:textId="77777777" w:rsidR="00FA0526" w:rsidRDefault="00FA0526" w:rsidP="00F449FF">
      <w:r>
        <w:continuationSeparator/>
      </w:r>
    </w:p>
    <w:p w14:paraId="6149C39F" w14:textId="77777777" w:rsidR="00FA0526" w:rsidRDefault="00FA0526"/>
  </w:footnote>
  <w:footnote w:id="1">
    <w:p w14:paraId="5E093341" w14:textId="0EEC2E80" w:rsidR="00C80509" w:rsidRDefault="00C80509">
      <w:pPr>
        <w:pStyle w:val="Textpoznpodarou"/>
      </w:pPr>
      <w:r>
        <w:rPr>
          <w:rStyle w:val="Znakapoznpodarou"/>
        </w:rPr>
        <w:footnoteRef/>
      </w:r>
      <w:r w:rsidRPr="00EC2B19">
        <w:rPr>
          <w:rFonts w:cstheme="minorHAnsi"/>
        </w:rPr>
        <w:t xml:space="preserve">Zdroj: </w:t>
      </w:r>
      <w:bookmarkStart w:id="28" w:name="_Hlk32353774"/>
      <w:r w:rsidRPr="00EC2B19">
        <w:rPr>
          <w:rFonts w:cstheme="minorHAnsi"/>
        </w:rPr>
        <w:t xml:space="preserve">Internetové stránky Regionálního informačního servisu </w:t>
      </w:r>
      <w:hyperlink r:id="rId1" w:history="1">
        <w:r w:rsidRPr="006341E4">
          <w:rPr>
            <w:rStyle w:val="Hypertextovodkaz"/>
            <w:rFonts w:cstheme="minorHAnsi"/>
          </w:rPr>
          <w:t>https://www.risy.cz/</w:t>
        </w:r>
      </w:hyperlink>
      <w:bookmarkEnd w:id="28"/>
    </w:p>
  </w:footnote>
  <w:footnote w:id="2">
    <w:p w14:paraId="345C4810" w14:textId="77777777" w:rsidR="00C80509" w:rsidRPr="00AD4387" w:rsidRDefault="00C80509" w:rsidP="00232B04">
      <w:pPr>
        <w:pStyle w:val="Textpoznpodarou"/>
        <w:jc w:val="both"/>
      </w:pPr>
      <w:r w:rsidRPr="00AD4387">
        <w:rPr>
          <w:rStyle w:val="Znakapoznpodarou"/>
        </w:rPr>
        <w:footnoteRef/>
      </w:r>
      <w:r w:rsidRPr="00AD4387">
        <w:t xml:space="preserve"> Část obce je evidenční jednotka vytvářená budovami s čísly popisnými a čísly evidenčními přidělenými v jedné číselné řadě, která leží v jednom souvislém území (§27, odst. 2 zákona č. 128/2000 Sb., o obcích).</w:t>
      </w:r>
    </w:p>
  </w:footnote>
  <w:footnote w:id="3">
    <w:p w14:paraId="79B418C6" w14:textId="20AE6210" w:rsidR="00C80509" w:rsidRPr="00AD4387" w:rsidRDefault="00C80509" w:rsidP="00D26C9D">
      <w:pPr>
        <w:pStyle w:val="Textpoznpodarou"/>
        <w:jc w:val="both"/>
      </w:pPr>
      <w:r w:rsidRPr="00AD4387">
        <w:rPr>
          <w:rStyle w:val="Znakapoznpodarou"/>
        </w:rPr>
        <w:footnoteRef/>
      </w:r>
      <w:r w:rsidRPr="00AD4387">
        <w:t xml:space="preserve"> Zdroj: </w:t>
      </w:r>
      <w:r w:rsidR="003B6A93" w:rsidRPr="00852124">
        <w:t>Veřejný dálkový přístup</w:t>
      </w:r>
      <w:r w:rsidR="003B6A93">
        <w:t xml:space="preserve"> </w:t>
      </w:r>
      <w:r w:rsidR="003B6A93" w:rsidRPr="00852124">
        <w:t>k datům registru územní identifikace, adres a nemovitostí</w:t>
      </w:r>
      <w:r w:rsidR="003B6A93">
        <w:t xml:space="preserve"> </w:t>
      </w:r>
      <w:hyperlink r:id="rId2" w:history="1">
        <w:r w:rsidR="003B6A93" w:rsidRPr="006977D8">
          <w:rPr>
            <w:rStyle w:val="Hypertextovodkaz"/>
          </w:rPr>
          <w:t>https://vdp.cuzk.cz/</w:t>
        </w:r>
      </w:hyperlink>
      <w:r w:rsidRPr="00AD4387">
        <w:t xml:space="preserve"> </w:t>
      </w:r>
    </w:p>
  </w:footnote>
  <w:footnote w:id="4">
    <w:p w14:paraId="18E8DA3E" w14:textId="77777777" w:rsidR="00F67D0F" w:rsidRPr="00AD4387" w:rsidRDefault="00F67D0F" w:rsidP="00F67D0F">
      <w:pPr>
        <w:pStyle w:val="Textpoznpodarou"/>
        <w:jc w:val="both"/>
      </w:pPr>
      <w:r w:rsidRPr="00AD4387">
        <w:rPr>
          <w:rStyle w:val="Znakapoznpodarou"/>
        </w:rPr>
        <w:footnoteRef/>
      </w:r>
      <w:r w:rsidRPr="00AD4387">
        <w:t xml:space="preserve"> Zdroj: </w:t>
      </w:r>
      <w:bookmarkStart w:id="38" w:name="_Hlk32353866"/>
      <w:r w:rsidRPr="004D1FC6">
        <w:t xml:space="preserve">Městská a obecní statistika </w:t>
      </w:r>
      <w:hyperlink r:id="rId3" w:history="1">
        <w:r w:rsidRPr="008D7437">
          <w:rPr>
            <w:rStyle w:val="Hypertextovodkaz"/>
          </w:rPr>
          <w:t>https://vdb.czso.cz/mos/</w:t>
        </w:r>
      </w:hyperlink>
      <w:bookmarkEnd w:id="38"/>
    </w:p>
  </w:footnote>
  <w:footnote w:id="5">
    <w:p w14:paraId="7679F807" w14:textId="77777777" w:rsidR="0064437D" w:rsidRPr="00D34207" w:rsidRDefault="0064437D" w:rsidP="0064437D">
      <w:pPr>
        <w:pStyle w:val="Textpoznpodarou"/>
        <w:jc w:val="both"/>
      </w:pPr>
      <w:r w:rsidRPr="00B459F2">
        <w:rPr>
          <w:rStyle w:val="Znakapoznpodarou"/>
        </w:rPr>
        <w:footnoteRef/>
      </w:r>
      <w:r w:rsidRPr="00B459F2">
        <w:t xml:space="preserve"> Základní sídelní jednotky jsou územní jednotky, které jsou skladebné (spolu se svými díly) jak do správní (obce), tak do technické (katastrální území), evidenční (části obcí) i sídelní struktury a z toho důvodu mají velký význam pro prostorovou identifikaci (jako základní číselník, z něhož se odvozují kódy dalších prostorových jednotek) a také při přípravě a vyhodnocování sč</w:t>
      </w:r>
      <w:r>
        <w:t xml:space="preserve">ítání lidu. </w:t>
      </w:r>
      <w:r w:rsidRPr="00B459F2">
        <w:t>ZSJ mají své územní vymezení, kt</w:t>
      </w:r>
      <w:r>
        <w:t xml:space="preserve">erým beze zbytku vyplňují obce. Zdroj: Územně identifikační registr ČR, dostupné z: </w:t>
      </w:r>
      <w:hyperlink r:id="rId4" w:history="1">
        <w:r w:rsidRPr="00492626">
          <w:rPr>
            <w:rStyle w:val="Hypertextovodkaz"/>
          </w:rPr>
          <w:t>http://www.uir.cz/</w:t>
        </w:r>
      </w:hyperlink>
      <w:r>
        <w:t xml:space="preserve"> </w:t>
      </w:r>
    </w:p>
  </w:footnote>
  <w:footnote w:id="6">
    <w:p w14:paraId="5CC3A9F0" w14:textId="77777777" w:rsidR="00C80509" w:rsidRDefault="00C80509" w:rsidP="00773E19">
      <w:pPr>
        <w:pStyle w:val="Textpoznpodarou"/>
      </w:pPr>
      <w:r>
        <w:rPr>
          <w:rStyle w:val="Znakapoznpodarou"/>
        </w:rPr>
        <w:footnoteRef/>
      </w:r>
      <w:r>
        <w:t xml:space="preserve"> Zdroj: Mapový server Mapy.cz </w:t>
      </w:r>
      <w:hyperlink r:id="rId5" w:history="1">
        <w:r>
          <w:rPr>
            <w:rStyle w:val="Hypertextovodkaz"/>
          </w:rPr>
          <w:t>https://mapy.cz/</w:t>
        </w:r>
      </w:hyperlink>
    </w:p>
  </w:footnote>
  <w:footnote w:id="7">
    <w:p w14:paraId="0C37723A" w14:textId="77777777" w:rsidR="00C80509" w:rsidRDefault="00C80509">
      <w:pPr>
        <w:pStyle w:val="Textpoznpodarou"/>
      </w:pPr>
      <w:r>
        <w:rPr>
          <w:rStyle w:val="Znakapoznpodarou"/>
        </w:rPr>
        <w:footnoteRef/>
      </w:r>
      <w:r>
        <w:t xml:space="preserve"> Zdroj: </w:t>
      </w:r>
      <w:bookmarkStart w:id="44" w:name="_Hlk32353886"/>
      <w:r>
        <w:t xml:space="preserve">Registr komunálních symbolů </w:t>
      </w:r>
      <w:hyperlink r:id="rId6" w:history="1">
        <w:r w:rsidRPr="00E37FA1">
          <w:rPr>
            <w:rStyle w:val="Hypertextovodkaz"/>
          </w:rPr>
          <w:t>https://rekos.psp.cz/</w:t>
        </w:r>
      </w:hyperlink>
      <w:bookmarkEnd w:id="44"/>
      <w:r>
        <w:t xml:space="preserve"> </w:t>
      </w:r>
    </w:p>
  </w:footnote>
  <w:footnote w:id="8">
    <w:p w14:paraId="5366DF42" w14:textId="59CAAC8F" w:rsidR="009126C7" w:rsidRDefault="009126C7">
      <w:pPr>
        <w:pStyle w:val="Textpoznpodarou"/>
      </w:pPr>
      <w:r>
        <w:rPr>
          <w:rStyle w:val="Znakapoznpodarou"/>
        </w:rPr>
        <w:footnoteRef/>
      </w:r>
      <w:r>
        <w:t xml:space="preserve"> Zdroj: Mapový server České geologické služby </w:t>
      </w:r>
      <w:hyperlink r:id="rId7" w:history="1">
        <w:r w:rsidRPr="006D7A8A">
          <w:rPr>
            <w:rStyle w:val="Hypertextovodkaz"/>
          </w:rPr>
          <w:t>https://mapy.geology.cz/</w:t>
        </w:r>
      </w:hyperlink>
      <w:r>
        <w:t xml:space="preserve"> </w:t>
      </w:r>
    </w:p>
  </w:footnote>
  <w:footnote w:id="9">
    <w:p w14:paraId="2495DAA5" w14:textId="77777777" w:rsidR="00C80509" w:rsidRPr="00912A77" w:rsidRDefault="00C80509" w:rsidP="00574496">
      <w:pPr>
        <w:pStyle w:val="Textpoznpodarou"/>
      </w:pPr>
      <w:r>
        <w:rPr>
          <w:rStyle w:val="Znakapoznpodarou"/>
        </w:rPr>
        <w:footnoteRef/>
      </w:r>
      <w:r>
        <w:t xml:space="preserve"> </w:t>
      </w:r>
      <w:r w:rsidRPr="00B222ED">
        <w:t>ID = identifikátor</w:t>
      </w:r>
    </w:p>
  </w:footnote>
  <w:footnote w:id="10">
    <w:p w14:paraId="490526BC" w14:textId="2362918E" w:rsidR="00C80509" w:rsidRDefault="00C80509">
      <w:pPr>
        <w:pStyle w:val="Textpoznpodarou"/>
      </w:pPr>
      <w:r>
        <w:rPr>
          <w:rStyle w:val="Znakapoznpodarou"/>
        </w:rPr>
        <w:footnoteRef/>
      </w:r>
      <w:r>
        <w:t xml:space="preserve"> Zdroj: Centrální evidence vodních toků, dostupné z </w:t>
      </w:r>
      <w:hyperlink r:id="rId8" w:history="1">
        <w:r w:rsidRPr="00D510BC">
          <w:rPr>
            <w:rStyle w:val="Hypertextovodkaz"/>
          </w:rPr>
          <w:t>http://eagri.cz/public/web/mze/voda/aplikace/cevt.html</w:t>
        </w:r>
      </w:hyperlink>
    </w:p>
  </w:footnote>
  <w:footnote w:id="11">
    <w:p w14:paraId="6FA23965" w14:textId="70D47874" w:rsidR="00CF77A3" w:rsidRDefault="00CF77A3">
      <w:pPr>
        <w:pStyle w:val="Textpoznpodarou"/>
      </w:pPr>
      <w:r>
        <w:rPr>
          <w:rStyle w:val="Znakapoznpodarou"/>
        </w:rPr>
        <w:footnoteRef/>
      </w:r>
      <w:r>
        <w:t xml:space="preserve"> Zdroj: Mapový server Mapy.cz </w:t>
      </w:r>
      <w:hyperlink r:id="rId9" w:history="1">
        <w:r>
          <w:rPr>
            <w:rStyle w:val="Hypertextovodkaz"/>
          </w:rPr>
          <w:t>https://mapy.cz/</w:t>
        </w:r>
      </w:hyperlink>
    </w:p>
  </w:footnote>
  <w:footnote w:id="12">
    <w:p w14:paraId="00149ABC" w14:textId="77777777" w:rsidR="00C54952" w:rsidRPr="00A55852" w:rsidRDefault="00C54952" w:rsidP="00C54952">
      <w:pPr>
        <w:pStyle w:val="Textpoznpodarou"/>
        <w:jc w:val="both"/>
        <w:rPr>
          <w:rFonts w:cstheme="minorHAnsi"/>
        </w:rPr>
      </w:pPr>
      <w:r w:rsidRPr="00A55852">
        <w:rPr>
          <w:rStyle w:val="Znakapoznpodarou"/>
          <w:rFonts w:cstheme="minorHAnsi"/>
        </w:rPr>
        <w:footnoteRef/>
      </w:r>
      <w:r w:rsidRPr="00A55852">
        <w:rPr>
          <w:rFonts w:cstheme="minorHAnsi"/>
        </w:rPr>
        <w:t xml:space="preserve"> Zdroj: </w:t>
      </w:r>
      <w:bookmarkStart w:id="64" w:name="_Hlk32354028"/>
      <w:r w:rsidRPr="00A55852">
        <w:rPr>
          <w:rFonts w:cstheme="minorHAnsi"/>
        </w:rPr>
        <w:t xml:space="preserve">Internetové stránky Národního registru pramenů a studánek </w:t>
      </w:r>
      <w:hyperlink r:id="rId10" w:history="1">
        <w:r w:rsidRPr="00A55852">
          <w:rPr>
            <w:rStyle w:val="Hypertextovodkaz"/>
            <w:rFonts w:cstheme="minorHAnsi"/>
          </w:rPr>
          <w:t>https://www.estudanky.eu/</w:t>
        </w:r>
      </w:hyperlink>
      <w:bookmarkEnd w:id="64"/>
    </w:p>
  </w:footnote>
  <w:footnote w:id="13">
    <w:p w14:paraId="62786886" w14:textId="77777777" w:rsidR="00C80509" w:rsidRDefault="00C80509" w:rsidP="00331D87">
      <w:pPr>
        <w:pStyle w:val="Textpoznpodarou"/>
      </w:pPr>
      <w:r>
        <w:rPr>
          <w:rStyle w:val="Znakapoznpodarou"/>
        </w:rPr>
        <w:footnoteRef/>
      </w:r>
      <w:r>
        <w:t xml:space="preserve"> </w:t>
      </w:r>
      <w:r w:rsidRPr="005B6218">
        <w:t>Z</w:t>
      </w:r>
      <w:r w:rsidRPr="005B6218">
        <w:rPr>
          <w:rFonts w:ascii="Calibri" w:eastAsia="Calibri" w:hAnsi="Calibri" w:cs="Times New Roman"/>
        </w:rPr>
        <w:t>droj:</w:t>
      </w:r>
      <w:r w:rsidRPr="006422B5">
        <w:rPr>
          <w:rFonts w:ascii="Calibri" w:eastAsia="Calibri" w:hAnsi="Calibri" w:cs="Times New Roman"/>
        </w:rPr>
        <w:t xml:space="preserve"> Internetové stránky Národního geoportálu INSPIRE </w:t>
      </w:r>
      <w:hyperlink r:id="rId11" w:history="1">
        <w:r w:rsidRPr="008D7437">
          <w:rPr>
            <w:rStyle w:val="Hypertextovodkaz"/>
            <w:rFonts w:ascii="Calibri" w:eastAsia="Calibri" w:hAnsi="Calibri" w:cs="Times New Roman"/>
          </w:rPr>
          <w:t>https://geoportal.gov.cz/</w:t>
        </w:r>
      </w:hyperlink>
    </w:p>
  </w:footnote>
  <w:footnote w:id="14">
    <w:p w14:paraId="71225962" w14:textId="0A996B54" w:rsidR="00C80509" w:rsidRDefault="00C80509" w:rsidP="00B603B5">
      <w:pPr>
        <w:pStyle w:val="Textpoznpodarou"/>
      </w:pPr>
      <w:r>
        <w:rPr>
          <w:rStyle w:val="Znakapoznpodarou"/>
        </w:rPr>
        <w:footnoteRef/>
      </w:r>
      <w:r>
        <w:t xml:space="preserve"> </w:t>
      </w:r>
      <w:r w:rsidRPr="005B6218">
        <w:t>Z</w:t>
      </w:r>
      <w:r w:rsidRPr="005B6218">
        <w:rPr>
          <w:rFonts w:ascii="Calibri" w:eastAsia="Calibri" w:hAnsi="Calibri" w:cs="Times New Roman"/>
        </w:rPr>
        <w:t>droj:</w:t>
      </w:r>
      <w:r w:rsidRPr="006422B5">
        <w:rPr>
          <w:rFonts w:ascii="Calibri" w:eastAsia="Calibri" w:hAnsi="Calibri" w:cs="Times New Roman"/>
        </w:rPr>
        <w:t xml:space="preserve"> Internetové stránky Národního geoportálu INSPIRE </w:t>
      </w:r>
      <w:hyperlink r:id="rId12" w:history="1">
        <w:r w:rsidRPr="008D7437">
          <w:rPr>
            <w:rStyle w:val="Hypertextovodkaz"/>
            <w:rFonts w:ascii="Calibri" w:eastAsia="Calibri" w:hAnsi="Calibri" w:cs="Times New Roman"/>
          </w:rPr>
          <w:t>https://geoportal.gov.cz/</w:t>
        </w:r>
      </w:hyperlink>
    </w:p>
  </w:footnote>
  <w:footnote w:id="15">
    <w:p w14:paraId="704B90DD" w14:textId="3934DD55" w:rsidR="00C80509" w:rsidRPr="00C77747" w:rsidRDefault="00C80509" w:rsidP="00B45004">
      <w:pPr>
        <w:pStyle w:val="Textpoznpodarou"/>
        <w:jc w:val="both"/>
        <w:rPr>
          <w:rFonts w:cstheme="minorHAnsi"/>
          <w:bCs/>
        </w:rPr>
      </w:pPr>
      <w:r w:rsidRPr="009A46E8">
        <w:rPr>
          <w:rStyle w:val="Znakapoznpodarou"/>
        </w:rPr>
        <w:footnoteRef/>
      </w:r>
      <w:r w:rsidRPr="009A46E8">
        <w:t xml:space="preserve"> </w:t>
      </w:r>
      <w:r w:rsidRPr="00720A99">
        <w:t>Kambizem je typ půdy, která se zpravidla nachází ve svažitých a členitých oblastech. Dříve byla nazývána jako hnědá (lesní) půda</w:t>
      </w:r>
      <w:r w:rsidR="00C77747">
        <w:t xml:space="preserve">. </w:t>
      </w:r>
      <w:r w:rsidRPr="006B40FF">
        <w:t>(</w:t>
      </w:r>
      <w:bookmarkStart w:id="65" w:name="_Hlk32354067"/>
      <w:r w:rsidRPr="006B40FF">
        <w:t xml:space="preserve">Elektronický taxonomický klasifikační systém půd ČR </w:t>
      </w:r>
      <w:hyperlink r:id="rId13" w:history="1">
        <w:r w:rsidRPr="006B40FF">
          <w:rPr>
            <w:rStyle w:val="Hypertextovodkaz"/>
          </w:rPr>
          <w:t>https://klasifikace.pedologie.czu.cz/</w:t>
        </w:r>
      </w:hyperlink>
      <w:bookmarkEnd w:id="65"/>
      <w:r w:rsidRPr="006B40FF">
        <w:t xml:space="preserve">, </w:t>
      </w:r>
      <w:r w:rsidRPr="006B40FF">
        <w:rPr>
          <w:rFonts w:cstheme="minorHAnsi"/>
        </w:rPr>
        <w:t>Internetové stránky encyklopedie Wikipedi</w:t>
      </w:r>
      <w:r w:rsidR="00917C96">
        <w:rPr>
          <w:rFonts w:cstheme="minorHAnsi"/>
        </w:rPr>
        <w:t>a</w:t>
      </w:r>
      <w:r w:rsidRPr="006B40FF">
        <w:rPr>
          <w:rFonts w:cstheme="minorHAnsi"/>
        </w:rPr>
        <w:t xml:space="preserve"> </w:t>
      </w:r>
      <w:hyperlink r:id="rId14" w:history="1">
        <w:r w:rsidRPr="006B40FF">
          <w:rPr>
            <w:rStyle w:val="Hypertextovodkaz"/>
            <w:rFonts w:cstheme="minorHAnsi"/>
          </w:rPr>
          <w:t>https://cs.wikipedia.org/</w:t>
        </w:r>
      </w:hyperlink>
      <w:r w:rsidR="00E83618" w:rsidRPr="00720A99">
        <w:t>)</w:t>
      </w:r>
    </w:p>
  </w:footnote>
  <w:footnote w:id="16">
    <w:p w14:paraId="03F9A587" w14:textId="77777777" w:rsidR="00D76098" w:rsidRPr="00D707A5" w:rsidRDefault="00D76098" w:rsidP="00D76098">
      <w:pPr>
        <w:pStyle w:val="Textpoznpodarou"/>
        <w:jc w:val="both"/>
      </w:pPr>
      <w:r w:rsidRPr="009A46E8">
        <w:rPr>
          <w:rStyle w:val="Znakapoznpodarou"/>
          <w:rFonts w:cs="Times New Roman"/>
        </w:rPr>
        <w:footnoteRef/>
      </w:r>
      <w:r w:rsidRPr="009A46E8">
        <w:rPr>
          <w:rFonts w:cs="Times New Roman"/>
        </w:rPr>
        <w:t xml:space="preserve"> Zdroj: </w:t>
      </w:r>
      <w:bookmarkStart w:id="73" w:name="_Hlk32354086"/>
      <w:r w:rsidRPr="009A46E8">
        <w:t xml:space="preserve">Aplikace Českého úřadu zeměměřického a katastrálního „Nahlížení do katastru nemovitostí“ </w:t>
      </w:r>
      <w:hyperlink r:id="rId15" w:history="1">
        <w:r w:rsidRPr="008D7437">
          <w:rPr>
            <w:rStyle w:val="Hypertextovodkaz"/>
            <w:rFonts w:eastAsia="TimesNewRoman" w:cs="TimesNewRoman"/>
          </w:rPr>
          <w:t>https://nahlizenidokn.cuzk.cz/</w:t>
        </w:r>
      </w:hyperlink>
      <w:bookmarkEnd w:id="73"/>
    </w:p>
  </w:footnote>
  <w:footnote w:id="17">
    <w:p w14:paraId="3E9C24B4" w14:textId="574693CB" w:rsidR="00C80509" w:rsidRDefault="00C80509">
      <w:pPr>
        <w:pStyle w:val="Textpoznpodarou"/>
      </w:pPr>
      <w:r>
        <w:rPr>
          <w:rStyle w:val="Znakapoznpodarou"/>
        </w:rPr>
        <w:footnoteRef/>
      </w:r>
      <w:r>
        <w:t xml:space="preserve"> Zdroj: Internetové stránky obce </w:t>
      </w:r>
      <w:r w:rsidR="00F24DBA">
        <w:t xml:space="preserve">Staré Buky </w:t>
      </w:r>
      <w:hyperlink r:id="rId16" w:history="1">
        <w:r w:rsidR="00F24DBA" w:rsidRPr="005225D0">
          <w:rPr>
            <w:rStyle w:val="Hypertextovodkaz"/>
          </w:rPr>
          <w:t>https://www.starebuky.cz/</w:t>
        </w:r>
      </w:hyperlink>
      <w:r w:rsidR="00F24DBA">
        <w:t xml:space="preserve"> </w:t>
      </w:r>
    </w:p>
  </w:footnote>
  <w:footnote w:id="18">
    <w:p w14:paraId="77C115BF" w14:textId="77777777" w:rsidR="006F39A9" w:rsidRDefault="006F39A9" w:rsidP="006F39A9">
      <w:pPr>
        <w:pStyle w:val="Textpoznpodarou"/>
        <w:jc w:val="both"/>
      </w:pPr>
      <w:r>
        <w:rPr>
          <w:rStyle w:val="Znakapoznpodarou"/>
        </w:rPr>
        <w:footnoteRef/>
      </w:r>
      <w:r>
        <w:t xml:space="preserve"> </w:t>
      </w:r>
      <w:r>
        <w:rPr>
          <w:rFonts w:eastAsia="RWXLTG+TimesNewRoman" w:cs="RWXLTG+TimesNewRoman"/>
        </w:rPr>
        <w:t>Ř</w:t>
      </w:r>
      <w:r w:rsidRPr="004F0C89">
        <w:rPr>
          <w:rFonts w:eastAsia="RWXLTG+TimesNewRoman" w:cs="RWXLTG+TimesNewRoman"/>
        </w:rPr>
        <w:t>etězový index</w:t>
      </w:r>
      <w:r>
        <w:rPr>
          <w:rFonts w:eastAsia="RWXLTG+TimesNewRoman" w:cs="RWXLTG+TimesNewRoman"/>
        </w:rPr>
        <w:t xml:space="preserve"> vývoje počtu obyvatel</w:t>
      </w:r>
      <w:r w:rsidRPr="004F0C89">
        <w:rPr>
          <w:rFonts w:eastAsia="RWXLTG+TimesNewRoman" w:cs="RWXLTG+TimesNewRoman"/>
        </w:rPr>
        <w:t xml:space="preserve"> je podíl počtu obyvatel v mladším časovém horizontu ku počtu obyvatel ve starším časovém horizontu vynásobený stem</w:t>
      </w:r>
      <w:r>
        <w:rPr>
          <w:rFonts w:eastAsia="RWXLTG+TimesNewRoman" w:cs="RWXLTG+TimesNewRoman"/>
        </w:rPr>
        <w:t>.</w:t>
      </w:r>
    </w:p>
  </w:footnote>
  <w:footnote w:id="19">
    <w:p w14:paraId="3855111E" w14:textId="4107F6A7" w:rsidR="00C80509" w:rsidRDefault="00C80509" w:rsidP="001A3BAA">
      <w:pPr>
        <w:pStyle w:val="Textpoznpodarou"/>
      </w:pPr>
      <w:r>
        <w:rPr>
          <w:rStyle w:val="Znakapoznpodarou"/>
        </w:rPr>
        <w:footnoteRef/>
      </w:r>
      <w:r>
        <w:t xml:space="preserve"> Zdroj: Internetové stránky Českého statistického úřadu </w:t>
      </w:r>
      <w:hyperlink r:id="rId17" w:history="1">
        <w:r w:rsidRPr="002F241F">
          <w:rPr>
            <w:rStyle w:val="Hypertextovodkaz"/>
          </w:rPr>
          <w:t>https://www.czso.cz/</w:t>
        </w:r>
      </w:hyperlink>
    </w:p>
  </w:footnote>
  <w:footnote w:id="20">
    <w:p w14:paraId="327E85E3" w14:textId="77777777" w:rsidR="00C80509" w:rsidRPr="0012433C" w:rsidRDefault="00C80509" w:rsidP="007A11B2">
      <w:pPr>
        <w:pStyle w:val="Textpoznpodarou"/>
        <w:jc w:val="both"/>
        <w:rPr>
          <w:rFonts w:cstheme="minorHAnsi"/>
        </w:rPr>
      </w:pPr>
      <w:r w:rsidRPr="0012433C">
        <w:rPr>
          <w:rStyle w:val="Znakapoznpodarou"/>
          <w:rFonts w:cstheme="minorHAnsi"/>
        </w:rPr>
        <w:footnoteRef/>
      </w:r>
      <w:r w:rsidRPr="0012433C">
        <w:rPr>
          <w:rFonts w:cstheme="minorHAnsi"/>
        </w:rPr>
        <w:t xml:space="preserve"> </w:t>
      </w:r>
      <w:r w:rsidRPr="0012433C">
        <w:rPr>
          <w:rFonts w:eastAsia="RWXLTG+TimesNewRoman" w:cstheme="minorHAnsi"/>
        </w:rPr>
        <w:t xml:space="preserve">Index stáří je vypočítán jako podíl počtu obyvatel ve věku 65 a více let ku počtu obyvatel ve věku 0-14 let vynásobený stem. </w:t>
      </w:r>
      <w:r w:rsidRPr="0012433C">
        <w:rPr>
          <w:rFonts w:cstheme="minorHAnsi"/>
        </w:rPr>
        <w:t>Pokud je tento index větší než 100, převažuje v dané obci poproduktivní složka populace. Pokud je menší než 100, převažuje v dané obci naopak předproduktivní populace.</w:t>
      </w:r>
    </w:p>
  </w:footnote>
  <w:footnote w:id="21">
    <w:p w14:paraId="3AE33513" w14:textId="4290E610" w:rsidR="00C80509" w:rsidRPr="00BF306E" w:rsidRDefault="00C80509" w:rsidP="00FA7FD1">
      <w:pPr>
        <w:pStyle w:val="Textpoznpodarou"/>
        <w:jc w:val="both"/>
        <w:rPr>
          <w:rFonts w:cstheme="minorHAnsi"/>
        </w:rPr>
      </w:pPr>
      <w:r w:rsidRPr="00BF306E">
        <w:rPr>
          <w:rStyle w:val="Znakapoznpodarou"/>
          <w:rFonts w:cstheme="minorHAnsi"/>
        </w:rPr>
        <w:footnoteRef/>
      </w:r>
      <w:r w:rsidRPr="00BF306E">
        <w:rPr>
          <w:rFonts w:cstheme="minorHAnsi"/>
        </w:rPr>
        <w:t xml:space="preserve"> </w:t>
      </w:r>
      <w:r w:rsidRPr="00BF306E">
        <w:rPr>
          <w:rFonts w:eastAsia="RWXLTG+TimesNewRoman" w:cstheme="minorHAnsi"/>
        </w:rPr>
        <w:t>Index vzdělanosti je ukazatel, který je konstruován jako podíl obyvatel se středoškolským a vysokoškolským vzděláním na dospělé populaci vynásobený stem. Při jeho konstrukci je vysokoškolskému stupni dávána vyšší</w:t>
      </w:r>
      <w:r>
        <w:rPr>
          <w:rFonts w:eastAsia="RWXLTG+TimesNewRoman" w:cstheme="minorHAnsi"/>
        </w:rPr>
        <w:t xml:space="preserve"> </w:t>
      </w:r>
      <w:r w:rsidRPr="00BF306E">
        <w:rPr>
          <w:rFonts w:eastAsia="RWXLTG+TimesNewRoman" w:cstheme="minorHAnsi"/>
        </w:rPr>
        <w:t>váha ve srovnání se středoškolskou úrovní, konkrétně v t</w:t>
      </w:r>
      <w:r w:rsidR="00AC089A">
        <w:rPr>
          <w:rFonts w:eastAsia="RWXLTG+TimesNewRoman" w:cstheme="minorHAnsi"/>
        </w:rPr>
        <w:t>omto</w:t>
      </w:r>
      <w:r w:rsidRPr="00BF306E">
        <w:rPr>
          <w:rFonts w:eastAsia="RWXLTG+TimesNewRoman" w:cstheme="minorHAnsi"/>
        </w:rPr>
        <w:t xml:space="preserve"> </w:t>
      </w:r>
      <w:r w:rsidR="00AC089A">
        <w:rPr>
          <w:rFonts w:eastAsia="RWXLTG+TimesNewRoman" w:cstheme="minorHAnsi"/>
        </w:rPr>
        <w:t>dokumentu</w:t>
      </w:r>
      <w:r w:rsidRPr="00BF306E">
        <w:rPr>
          <w:rFonts w:eastAsia="RWXLTG+TimesNewRoman" w:cstheme="minorHAnsi"/>
        </w:rPr>
        <w:t xml:space="preserve"> je přidělená váha třínásobná.</w:t>
      </w:r>
      <w:r>
        <w:rPr>
          <w:rFonts w:eastAsia="RWXLTG+TimesNewRoman" w:cstheme="minorHAnsi"/>
        </w:rPr>
        <w:t xml:space="preserve"> </w:t>
      </w:r>
      <w:r>
        <w:rPr>
          <w:rFonts w:eastAsia="RWXLTG+TimesNewRoman" w:cstheme="minorHAnsi"/>
        </w:rPr>
        <w:br/>
      </w:r>
      <w:r w:rsidRPr="00BF306E">
        <w:rPr>
          <w:rFonts w:eastAsia="RWXLTG+TimesNewRoman" w:cstheme="minorHAnsi"/>
        </w:rPr>
        <w:t>Do středoškolského vzdělání byly zařazeny kategorie úplné střední vzdělání zakončené maturitní zkouškou, nástavbové studium zakončené maturitní zkouškou a vyšší odborné vzdělání.</w:t>
      </w:r>
    </w:p>
  </w:footnote>
  <w:footnote w:id="22">
    <w:p w14:paraId="3977EB0D" w14:textId="72794E48" w:rsidR="00C80509" w:rsidRDefault="00C80509" w:rsidP="008147E6">
      <w:pPr>
        <w:pStyle w:val="Textpoznpodarou"/>
      </w:pPr>
      <w:r>
        <w:rPr>
          <w:rStyle w:val="Znakapoznpodarou"/>
        </w:rPr>
        <w:footnoteRef/>
      </w:r>
      <w:r>
        <w:t xml:space="preserve"> Blíže viz Internetové stránky Insolvenčního rejstříku </w:t>
      </w:r>
      <w:hyperlink r:id="rId18" w:history="1">
        <w:r w:rsidRPr="006341E4">
          <w:rPr>
            <w:rStyle w:val="Hypertextovodkaz"/>
          </w:rPr>
          <w:t>https://isir.justice.cz/</w:t>
        </w:r>
      </w:hyperlink>
    </w:p>
  </w:footnote>
  <w:footnote w:id="23">
    <w:p w14:paraId="488120B2" w14:textId="24540CD5" w:rsidR="00C80509" w:rsidRDefault="00C80509" w:rsidP="002C4BE8">
      <w:pPr>
        <w:pStyle w:val="Textpoznpodarou"/>
      </w:pPr>
      <w:r>
        <w:rPr>
          <w:rStyle w:val="Znakapoznpodarou"/>
        </w:rPr>
        <w:footnoteRef/>
      </w:r>
      <w:r>
        <w:t xml:space="preserve"> Blíže viz Internetové stránky obce </w:t>
      </w:r>
      <w:r w:rsidR="00ED17CD">
        <w:t xml:space="preserve">Staré Buky </w:t>
      </w:r>
      <w:hyperlink r:id="rId19" w:history="1">
        <w:r w:rsidR="00ED17CD" w:rsidRPr="00A43CE6">
          <w:rPr>
            <w:rStyle w:val="Hypertextovodkaz"/>
          </w:rPr>
          <w:t>https://www.starebuky.cz/</w:t>
        </w:r>
      </w:hyperlink>
      <w:r w:rsidR="00ED17CD">
        <w:t xml:space="preserve"> </w:t>
      </w:r>
    </w:p>
  </w:footnote>
  <w:footnote w:id="24">
    <w:p w14:paraId="2525EB13" w14:textId="2F9D6927" w:rsidR="006D5840" w:rsidRDefault="006D5840">
      <w:pPr>
        <w:pStyle w:val="Textpoznpodarou"/>
      </w:pPr>
      <w:r>
        <w:rPr>
          <w:rStyle w:val="Znakapoznpodarou"/>
        </w:rPr>
        <w:footnoteRef/>
      </w:r>
      <w:r>
        <w:t xml:space="preserve"> Zdroj: Internetové stránky obce Staré Buky </w:t>
      </w:r>
      <w:hyperlink r:id="rId20" w:history="1">
        <w:r w:rsidRPr="00A43CE6">
          <w:rPr>
            <w:rStyle w:val="Hypertextovodkaz"/>
          </w:rPr>
          <w:t>https://www.starebuky.cz/</w:t>
        </w:r>
      </w:hyperlink>
    </w:p>
  </w:footnote>
  <w:footnote w:id="25">
    <w:p w14:paraId="3FB12447" w14:textId="27D1DCB5" w:rsidR="00C80509" w:rsidRPr="0038533D" w:rsidRDefault="00C80509" w:rsidP="004B6184">
      <w:pPr>
        <w:pStyle w:val="Textpoznpodarou"/>
        <w:jc w:val="both"/>
      </w:pPr>
      <w:r w:rsidRPr="0038533D">
        <w:rPr>
          <w:rStyle w:val="Znakapoznpodarou"/>
        </w:rPr>
        <w:footnoteRef/>
      </w:r>
      <w:r w:rsidRPr="0038533D">
        <w:t xml:space="preserve"> </w:t>
      </w:r>
      <w:r w:rsidRPr="00B40150">
        <w:rPr>
          <w:b/>
          <w:bCs/>
          <w:iCs/>
        </w:rPr>
        <w:t>Brownfield</w:t>
      </w:r>
      <w:r w:rsidRPr="0038533D">
        <w:rPr>
          <w:iCs/>
        </w:rPr>
        <w:t xml:space="preserve"> definujeme jako nemovitost (pozemek, objekt, areál), která je nedostatečně využívána, zanedbána a případně i kontaminována, nelze ji efektivně využívat, aniž by proběhl proces její regenerace. Vzniká jako pozůstatek průmyslové, zemědělské, rezidenční, vojenské či j</w:t>
      </w:r>
      <w:r>
        <w:rPr>
          <w:iCs/>
        </w:rPr>
        <w:t xml:space="preserve">iné aktivity (zdroj a blíže viz </w:t>
      </w:r>
      <w:r w:rsidR="00E57506" w:rsidRPr="00E57506">
        <w:rPr>
          <w:iCs/>
        </w:rPr>
        <w:t xml:space="preserve">Internetové stránky Národní databáze brownfieldů </w:t>
      </w:r>
      <w:hyperlink r:id="rId21" w:history="1">
        <w:r w:rsidR="00E57506" w:rsidRPr="0071584A">
          <w:rPr>
            <w:rStyle w:val="Hypertextovodkaz"/>
          </w:rPr>
          <w:t>https://www.brownfieldy.eu/</w:t>
        </w:r>
      </w:hyperlink>
      <w:r w:rsidRPr="0038533D">
        <w:rPr>
          <w:iCs/>
        </w:rPr>
        <w:t>).</w:t>
      </w:r>
    </w:p>
  </w:footnote>
  <w:footnote w:id="26">
    <w:p w14:paraId="0E2EC497" w14:textId="77777777" w:rsidR="00C52527" w:rsidRPr="001F049E" w:rsidRDefault="00C52527" w:rsidP="00C52527">
      <w:pPr>
        <w:pStyle w:val="Textpoznpodarou"/>
        <w:jc w:val="both"/>
        <w:rPr>
          <w:rFonts w:cstheme="minorHAnsi"/>
        </w:rPr>
      </w:pPr>
      <w:r w:rsidRPr="001F049E">
        <w:rPr>
          <w:rStyle w:val="Znakapoznpodarou"/>
          <w:rFonts w:cstheme="minorHAnsi"/>
        </w:rPr>
        <w:footnoteRef/>
      </w:r>
      <w:r w:rsidRPr="001F049E">
        <w:rPr>
          <w:rFonts w:cstheme="minorHAnsi"/>
        </w:rPr>
        <w:t xml:space="preserve"> </w:t>
      </w:r>
      <w:r>
        <w:rPr>
          <w:rFonts w:cstheme="minorHAnsi"/>
        </w:rPr>
        <w:t xml:space="preserve">Zdroj: </w:t>
      </w:r>
      <w:bookmarkStart w:id="167" w:name="_Hlk86868376"/>
      <w:r>
        <w:rPr>
          <w:rFonts w:cstheme="minorHAnsi"/>
        </w:rPr>
        <w:t xml:space="preserve">Internetové stránky Ministerstva práce a sociálních věcí </w:t>
      </w:r>
      <w:hyperlink r:id="rId22" w:history="1">
        <w:r w:rsidRPr="00BC68A4">
          <w:rPr>
            <w:rStyle w:val="Hypertextovodkaz"/>
            <w:rFonts w:cstheme="minorHAnsi"/>
          </w:rPr>
          <w:t>https://www.mpsv.cz/web/cz/upozorneni-na-zmenu-metodiky</w:t>
        </w:r>
      </w:hyperlink>
      <w:bookmarkEnd w:id="167"/>
      <w:r>
        <w:rPr>
          <w:rFonts w:cstheme="minorHAnsi"/>
        </w:rPr>
        <w:t xml:space="preserve"> </w:t>
      </w:r>
    </w:p>
  </w:footnote>
  <w:footnote w:id="27">
    <w:p w14:paraId="5528872A" w14:textId="6696928E" w:rsidR="00C80509" w:rsidRPr="00337C7B" w:rsidRDefault="00C80509" w:rsidP="00337C7B">
      <w:pPr>
        <w:contextualSpacing/>
        <w:rPr>
          <w:rFonts w:eastAsia="Times New Roman" w:cs="Times New Roman"/>
          <w:color w:val="000000"/>
          <w:sz w:val="20"/>
          <w:szCs w:val="20"/>
          <w:lang w:eastAsia="cs-CZ"/>
        </w:rPr>
      </w:pPr>
      <w:r w:rsidRPr="00337C7B">
        <w:rPr>
          <w:rStyle w:val="Znakapoznpodarou"/>
          <w:rFonts w:cstheme="minorHAnsi"/>
          <w:sz w:val="20"/>
          <w:szCs w:val="20"/>
        </w:rPr>
        <w:footnoteRef/>
      </w:r>
      <w:r w:rsidRPr="00337C7B">
        <w:rPr>
          <w:rFonts w:cstheme="minorHAnsi"/>
          <w:sz w:val="20"/>
          <w:szCs w:val="20"/>
        </w:rPr>
        <w:t xml:space="preserve"> Intenzita dopravy = celoroční průměrný počet vozidel, která projedou daným úsekem za 24 hodin. (</w:t>
      </w:r>
      <w:hyperlink r:id="rId23" w:history="1">
        <w:r w:rsidR="00337C7B" w:rsidRPr="00337C7B">
          <w:rPr>
            <w:rStyle w:val="Hypertextovodkaz"/>
            <w:rFonts w:eastAsia="Times New Roman" w:cs="Times New Roman"/>
            <w:sz w:val="20"/>
            <w:szCs w:val="20"/>
            <w:lang w:eastAsia="cs-CZ"/>
          </w:rPr>
          <w:t>https://www.rsd.cz/cs/silnice-a-dalnice/scitani-dopravy</w:t>
        </w:r>
      </w:hyperlink>
      <w:r w:rsidRPr="00337C7B">
        <w:rPr>
          <w:rFonts w:cstheme="minorHAnsi"/>
          <w:sz w:val="20"/>
          <w:szCs w:val="20"/>
        </w:rPr>
        <w:t xml:space="preserve">) </w:t>
      </w:r>
    </w:p>
  </w:footnote>
  <w:footnote w:id="28">
    <w:p w14:paraId="4A535D01" w14:textId="77777777" w:rsidR="00C80509" w:rsidRPr="005A311E" w:rsidRDefault="00C80509" w:rsidP="00152B12">
      <w:pPr>
        <w:pStyle w:val="Textpoznpodarou"/>
        <w:rPr>
          <w:rFonts w:cstheme="minorHAnsi"/>
        </w:rPr>
      </w:pPr>
      <w:r w:rsidRPr="005A311E">
        <w:rPr>
          <w:rStyle w:val="Znakapoznpodarou"/>
          <w:rFonts w:cstheme="minorHAnsi"/>
        </w:rPr>
        <w:footnoteRef/>
      </w:r>
      <w:r w:rsidRPr="005A311E">
        <w:rPr>
          <w:rFonts w:cstheme="minorHAnsi"/>
        </w:rPr>
        <w:t xml:space="preserve"> Zdroj: Internetové stránky encyklopedie Wikipedia </w:t>
      </w:r>
      <w:hyperlink r:id="rId24" w:history="1">
        <w:r w:rsidRPr="00043390">
          <w:rPr>
            <w:rStyle w:val="Hypertextovodkaz"/>
            <w:rFonts w:cstheme="minorHAnsi"/>
          </w:rPr>
          <w:t>https://cs.wikipedia.org/</w:t>
        </w:r>
      </w:hyperlink>
      <w:r w:rsidRPr="005A311E">
        <w:rPr>
          <w:rFonts w:cstheme="minorHAnsi"/>
        </w:rPr>
        <w:t xml:space="preserve"> </w:t>
      </w:r>
    </w:p>
  </w:footnote>
  <w:footnote w:id="29">
    <w:p w14:paraId="0584912B" w14:textId="1723729E" w:rsidR="00C80509" w:rsidRDefault="00C80509">
      <w:pPr>
        <w:pStyle w:val="Textpoznpodarou"/>
      </w:pPr>
      <w:r>
        <w:rPr>
          <w:rStyle w:val="Znakapoznpodarou"/>
        </w:rPr>
        <w:footnoteRef/>
      </w:r>
      <w:r>
        <w:t xml:space="preserve"> </w:t>
      </w:r>
      <w:r w:rsidRPr="00587873">
        <w:rPr>
          <w:rFonts w:cstheme="minorHAnsi"/>
        </w:rPr>
        <w:t xml:space="preserve">Zdroj: </w:t>
      </w:r>
      <w:r w:rsidRPr="00587873">
        <w:rPr>
          <w:rFonts w:eastAsia="RWXLTG+TimesNewRoman" w:cstheme="minorHAnsi"/>
        </w:rPr>
        <w:t>Plán rozvoje vodovodů a kanalizací Královéhradeckého kraje</w:t>
      </w:r>
      <w:r w:rsidR="003E428F">
        <w:rPr>
          <w:rFonts w:eastAsia="RWXLTG+TimesNewRoman" w:cstheme="minorHAnsi"/>
        </w:rPr>
        <w:t xml:space="preserve"> </w:t>
      </w:r>
      <w:hyperlink r:id="rId25" w:history="1">
        <w:r w:rsidR="003E428F" w:rsidRPr="00E727C4">
          <w:rPr>
            <w:rStyle w:val="Hypertextovodkaz"/>
            <w:rFonts w:eastAsia="RWXLTG+TimesNewRoman" w:cstheme="minorHAnsi"/>
          </w:rPr>
          <w:t>https://prvk.kr-kralovehradecky.cz/</w:t>
        </w:r>
      </w:hyperlink>
      <w:r w:rsidR="003E428F">
        <w:rPr>
          <w:rFonts w:eastAsia="RWXLTG+TimesNewRoman" w:cstheme="minorHAnsi"/>
        </w:rPr>
        <w:t xml:space="preserve"> </w:t>
      </w:r>
    </w:p>
  </w:footnote>
  <w:footnote w:id="30">
    <w:p w14:paraId="14E95E18" w14:textId="1F9C196F" w:rsidR="00F466A9" w:rsidRDefault="00F466A9">
      <w:pPr>
        <w:pStyle w:val="Textpoznpodarou"/>
      </w:pPr>
      <w:r>
        <w:rPr>
          <w:rStyle w:val="Znakapoznpodarou"/>
        </w:rPr>
        <w:footnoteRef/>
      </w:r>
      <w:r>
        <w:t xml:space="preserve"> </w:t>
      </w:r>
      <w:r w:rsidRPr="00587873">
        <w:rPr>
          <w:rFonts w:cstheme="minorHAnsi"/>
        </w:rPr>
        <w:t xml:space="preserve">Zdroj: </w:t>
      </w:r>
      <w:r w:rsidRPr="00587873">
        <w:rPr>
          <w:rFonts w:eastAsia="RWXLTG+TimesNewRoman" w:cstheme="minorHAnsi"/>
        </w:rPr>
        <w:t>Plán rozvoje vodovodů a kanalizací Královéhradeckého kraje</w:t>
      </w:r>
      <w:r>
        <w:rPr>
          <w:rFonts w:eastAsia="RWXLTG+TimesNewRoman" w:cstheme="minorHAnsi"/>
        </w:rPr>
        <w:t xml:space="preserve"> </w:t>
      </w:r>
      <w:hyperlink r:id="rId26" w:history="1">
        <w:r w:rsidRPr="00E727C4">
          <w:rPr>
            <w:rStyle w:val="Hypertextovodkaz"/>
            <w:rFonts w:eastAsia="RWXLTG+TimesNewRoman" w:cstheme="minorHAnsi"/>
          </w:rPr>
          <w:t>https://prvk.kr-kralovehradecky.cz/</w:t>
        </w:r>
      </w:hyperlink>
    </w:p>
  </w:footnote>
  <w:footnote w:id="31">
    <w:p w14:paraId="5A9C7A00" w14:textId="77777777" w:rsidR="00C80509" w:rsidRDefault="00C80509" w:rsidP="008D57D8">
      <w:pPr>
        <w:pStyle w:val="Textpoznpodarou"/>
      </w:pPr>
      <w:r>
        <w:rPr>
          <w:rStyle w:val="Znakapoznpodarou"/>
        </w:rPr>
        <w:footnoteRef/>
      </w:r>
      <w:r>
        <w:t xml:space="preserve"> Zdroj: </w:t>
      </w:r>
      <w:r w:rsidRPr="00595412">
        <w:rPr>
          <w:rFonts w:cstheme="minorHAnsi"/>
        </w:rPr>
        <w:t xml:space="preserve">Internetový server Internet pro všechny </w:t>
      </w:r>
      <w:hyperlink r:id="rId27" w:history="1">
        <w:r w:rsidRPr="00595412">
          <w:rPr>
            <w:rStyle w:val="Hypertextovodkaz"/>
            <w:rFonts w:cstheme="minorHAnsi"/>
          </w:rPr>
          <w:t>http://www.internetprovsechny.cz/</w:t>
        </w:r>
      </w:hyperlink>
    </w:p>
  </w:footnote>
  <w:footnote w:id="32">
    <w:p w14:paraId="1B7FBD0F" w14:textId="4F9A1312" w:rsidR="0050634D" w:rsidRDefault="0050634D" w:rsidP="0050634D">
      <w:pPr>
        <w:pStyle w:val="Textpoznpodarou"/>
        <w:jc w:val="both"/>
      </w:pPr>
      <w:r>
        <w:rPr>
          <w:rStyle w:val="Znakapoznpodarou"/>
        </w:rPr>
        <w:footnoteRef/>
      </w:r>
      <w:r>
        <w:t xml:space="preserve"> Zdroj: </w:t>
      </w:r>
      <w:r w:rsidR="00600377" w:rsidRPr="009D0914">
        <w:t xml:space="preserve">Údaje </w:t>
      </w:r>
      <w:r w:rsidR="00600377">
        <w:t>poskytnuté</w:t>
      </w:r>
      <w:r w:rsidR="00600377" w:rsidRPr="009D0914">
        <w:t> obecní</w:t>
      </w:r>
      <w:r w:rsidR="00600377">
        <w:t>m</w:t>
      </w:r>
      <w:r w:rsidR="00600377" w:rsidRPr="009D0914">
        <w:t xml:space="preserve"> úřad</w:t>
      </w:r>
      <w:r w:rsidR="00600377">
        <w:t xml:space="preserve">em </w:t>
      </w:r>
      <w:r w:rsidR="00600377" w:rsidRPr="009D0914">
        <w:t xml:space="preserve">ve </w:t>
      </w:r>
      <w:r w:rsidR="00600377">
        <w:t>Starých Bukách</w:t>
      </w:r>
    </w:p>
  </w:footnote>
  <w:footnote w:id="33">
    <w:p w14:paraId="4D5EAE63" w14:textId="7F6A9494" w:rsidR="00C80509" w:rsidRDefault="00C80509" w:rsidP="00A31BE7">
      <w:pPr>
        <w:pStyle w:val="Textpoznpodarou"/>
        <w:jc w:val="both"/>
      </w:pPr>
      <w:r>
        <w:rPr>
          <w:rStyle w:val="Znakapoznpodarou"/>
        </w:rPr>
        <w:footnoteRef/>
      </w:r>
      <w:r>
        <w:t xml:space="preserve"> </w:t>
      </w:r>
      <w:r w:rsidR="00A31BE7">
        <w:t xml:space="preserve">Zdroj: </w:t>
      </w:r>
      <w:bookmarkStart w:id="268" w:name="_Hlk86868704"/>
      <w:r w:rsidR="00A31BE7">
        <w:t xml:space="preserve">Obecně závazná vyhláška obce </w:t>
      </w:r>
      <w:r w:rsidR="00325D5A">
        <w:t>Staré Buky</w:t>
      </w:r>
      <w:r w:rsidR="00A31BE7">
        <w:t xml:space="preserve"> č. 1/20</w:t>
      </w:r>
      <w:r w:rsidR="00325D5A">
        <w:t>02</w:t>
      </w:r>
      <w:r w:rsidR="00A31BE7">
        <w:t xml:space="preserve"> o </w:t>
      </w:r>
      <w:r w:rsidR="00325D5A">
        <w:t>nakládání s komunálním odpadem a se stavebním odpadem</w:t>
      </w:r>
      <w:r w:rsidR="00A31BE7">
        <w:t>, dostupná z:</w:t>
      </w:r>
      <w:bookmarkEnd w:id="268"/>
      <w:r w:rsidR="00325D5A">
        <w:t xml:space="preserve"> </w:t>
      </w:r>
      <w:hyperlink r:id="rId28" w:history="1">
        <w:r w:rsidR="00325D5A" w:rsidRPr="00E727C4">
          <w:rPr>
            <w:rStyle w:val="Hypertextovodkaz"/>
          </w:rPr>
          <w:t>https://www.starebuky.cz/vyhlasky-zakony-a-usneseni-zastupitelstva</w:t>
        </w:r>
      </w:hyperlink>
      <w:r w:rsidR="00325D5A">
        <w:t xml:space="preserve"> </w:t>
      </w:r>
    </w:p>
  </w:footnote>
  <w:footnote w:id="34">
    <w:p w14:paraId="58085A34" w14:textId="652E744F" w:rsidR="00E14493" w:rsidRDefault="00E14493" w:rsidP="00E14493">
      <w:pPr>
        <w:pStyle w:val="Textpoznpodarou"/>
        <w:jc w:val="both"/>
      </w:pPr>
      <w:r>
        <w:rPr>
          <w:rStyle w:val="Znakapoznpodarou"/>
        </w:rPr>
        <w:footnoteRef/>
      </w:r>
      <w:r>
        <w:t xml:space="preserve"> Zdroje: </w:t>
      </w:r>
      <w:r w:rsidRPr="002D52AB">
        <w:t>Systém evidence památek Památkový katalog</w:t>
      </w:r>
      <w:r>
        <w:t xml:space="preserve"> </w:t>
      </w:r>
      <w:hyperlink r:id="rId29" w:history="1">
        <w:r w:rsidRPr="009569CD">
          <w:rPr>
            <w:rStyle w:val="Hypertextovodkaz"/>
          </w:rPr>
          <w:t>https://www.pamatkovykatalog.cz/</w:t>
        </w:r>
      </w:hyperlink>
      <w:r>
        <w:t xml:space="preserve">, </w:t>
      </w:r>
      <w:r w:rsidR="00DD5155">
        <w:t>vlastní průzkum</w:t>
      </w:r>
    </w:p>
  </w:footnote>
  <w:footnote w:id="35">
    <w:p w14:paraId="051656E9" w14:textId="27180FCD" w:rsidR="000E63C3" w:rsidRDefault="000E63C3">
      <w:pPr>
        <w:pStyle w:val="Textpoznpodarou"/>
      </w:pPr>
      <w:r>
        <w:rPr>
          <w:rStyle w:val="Znakapoznpodarou"/>
        </w:rPr>
        <w:footnoteRef/>
      </w:r>
      <w:r>
        <w:t xml:space="preserve"> Zdroj: </w:t>
      </w:r>
      <w:bookmarkStart w:id="323" w:name="_Hlk32356420"/>
      <w:r>
        <w:t xml:space="preserve">Plánovač tras KČT </w:t>
      </w:r>
      <w:hyperlink r:id="rId30" w:history="1">
        <w:r w:rsidRPr="00F548A9">
          <w:rPr>
            <w:rStyle w:val="Hypertextovodkaz"/>
          </w:rPr>
          <w:t>http://trasy.kct.cz/</w:t>
        </w:r>
      </w:hyperlink>
      <w:bookmarkEnd w:id="323"/>
    </w:p>
  </w:footnote>
  <w:footnote w:id="36">
    <w:p w14:paraId="39B4AD08" w14:textId="5DBA08E2" w:rsidR="00C63E7D" w:rsidRDefault="00C63E7D" w:rsidP="00C63E7D">
      <w:pPr>
        <w:pStyle w:val="Textpoznpodarou"/>
      </w:pPr>
      <w:r>
        <w:rPr>
          <w:rStyle w:val="Znakapoznpodarou"/>
        </w:rPr>
        <w:footnoteRef/>
      </w:r>
      <w:r>
        <w:t xml:space="preserve"> Zdroj: Internetový portál NAUČNÉ-STEZKY.CZ </w:t>
      </w:r>
      <w:hyperlink r:id="rId31" w:history="1">
        <w:r w:rsidRPr="00E727C4">
          <w:rPr>
            <w:rStyle w:val="Hypertextovodkaz"/>
          </w:rPr>
          <w:t>https://www.naucne-stezky.cz/</w:t>
        </w:r>
      </w:hyperlink>
      <w:r>
        <w:t xml:space="preserve"> </w:t>
      </w:r>
    </w:p>
  </w:footnote>
  <w:footnote w:id="37">
    <w:p w14:paraId="29EA00A5" w14:textId="0BC1D894" w:rsidR="00992760" w:rsidRDefault="00992760">
      <w:pPr>
        <w:pStyle w:val="Textpoznpodarou"/>
      </w:pPr>
      <w:r>
        <w:rPr>
          <w:rStyle w:val="Znakapoznpodarou"/>
        </w:rPr>
        <w:footnoteRef/>
      </w:r>
      <w:r>
        <w:t xml:space="preserve"> </w:t>
      </w:r>
      <w:r w:rsidRPr="004D0CD5">
        <w:t xml:space="preserve">Mapový server České geologické služby </w:t>
      </w:r>
      <w:hyperlink r:id="rId32" w:history="1">
        <w:r w:rsidRPr="005A1DF2">
          <w:rPr>
            <w:rStyle w:val="Hypertextovodkaz"/>
          </w:rPr>
          <w:t>https://mapy.geology.cz/svahove_nestability/</w:t>
        </w:r>
      </w:hyperlink>
    </w:p>
  </w:footnote>
  <w:footnote w:id="38">
    <w:p w14:paraId="15858653" w14:textId="77777777" w:rsidR="00921D32" w:rsidRPr="00452D95" w:rsidRDefault="00921D32" w:rsidP="00921D32">
      <w:pPr>
        <w:pStyle w:val="Textpoznpodarou"/>
        <w:rPr>
          <w:rFonts w:cstheme="minorHAnsi"/>
        </w:rPr>
      </w:pPr>
      <w:r w:rsidRPr="00452D95">
        <w:rPr>
          <w:rStyle w:val="Znakapoznpodarou"/>
          <w:rFonts w:cstheme="minorHAnsi"/>
        </w:rPr>
        <w:footnoteRef/>
      </w:r>
      <w:r w:rsidRPr="00452D95">
        <w:rPr>
          <w:rFonts w:cstheme="minorHAnsi"/>
        </w:rPr>
        <w:t xml:space="preserve"> Zdroj: Internetové stránky Národního geoportálu INSPIRE </w:t>
      </w:r>
      <w:hyperlink r:id="rId33" w:history="1">
        <w:r w:rsidRPr="00452D95">
          <w:rPr>
            <w:rStyle w:val="Hypertextovodkaz"/>
            <w:rFonts w:cstheme="minorHAnsi"/>
          </w:rPr>
          <w:t>https://geoportal.gov.cz/</w:t>
        </w:r>
      </w:hyperlink>
    </w:p>
  </w:footnote>
  <w:footnote w:id="39">
    <w:p w14:paraId="2EBF630D" w14:textId="77777777" w:rsidR="00C80509" w:rsidRPr="00452D95" w:rsidRDefault="00C80509" w:rsidP="00977BE6">
      <w:pPr>
        <w:pStyle w:val="Textpoznpodarou"/>
        <w:rPr>
          <w:rFonts w:cstheme="minorHAnsi"/>
        </w:rPr>
      </w:pPr>
      <w:r w:rsidRPr="00452D95">
        <w:rPr>
          <w:rStyle w:val="Znakapoznpodarou"/>
          <w:rFonts w:cstheme="minorHAnsi"/>
        </w:rPr>
        <w:footnoteRef/>
      </w:r>
      <w:r w:rsidRPr="00452D95">
        <w:rPr>
          <w:rFonts w:cstheme="minorHAnsi"/>
        </w:rPr>
        <w:t xml:space="preserve"> Zdroj: Internetové stránky Národního geoportálu INSPIRE </w:t>
      </w:r>
      <w:hyperlink r:id="rId34" w:history="1">
        <w:r w:rsidRPr="00452D95">
          <w:rPr>
            <w:rStyle w:val="Hypertextovodkaz"/>
            <w:rFonts w:cstheme="minorHAnsi"/>
          </w:rPr>
          <w:t>https://geoportal.gov.cz/</w:t>
        </w:r>
      </w:hyperlink>
    </w:p>
  </w:footnote>
  <w:footnote w:id="40">
    <w:p w14:paraId="68ACCAE0" w14:textId="77777777" w:rsidR="00BA7B48" w:rsidRPr="00091742" w:rsidRDefault="00BA7B48" w:rsidP="00BA7B48">
      <w:pPr>
        <w:pStyle w:val="Textpoznpodarou"/>
        <w:rPr>
          <w:rFonts w:cs="Calibri"/>
        </w:rPr>
      </w:pPr>
      <w:r w:rsidRPr="00091742">
        <w:rPr>
          <w:rStyle w:val="Znakapoznpodarou"/>
          <w:rFonts w:cs="Calibri"/>
        </w:rPr>
        <w:footnoteRef/>
      </w:r>
      <w:r w:rsidRPr="00091742">
        <w:rPr>
          <w:rFonts w:cs="Calibri"/>
        </w:rPr>
        <w:t xml:space="preserve"> Zdroj: Systém evidence kontaminovaných míst </w:t>
      </w:r>
      <w:hyperlink r:id="rId35" w:history="1">
        <w:r w:rsidRPr="00091742">
          <w:rPr>
            <w:rStyle w:val="Hypertextovodkaz"/>
            <w:rFonts w:cs="Calibri"/>
          </w:rPr>
          <w:t>https://www.sekm.cz/</w:t>
        </w:r>
      </w:hyperlink>
      <w:r w:rsidRPr="00091742">
        <w:rPr>
          <w:rFonts w:cs="Calibri"/>
        </w:rPr>
        <w:t xml:space="preserve"> </w:t>
      </w:r>
    </w:p>
  </w:footnote>
  <w:footnote w:id="41">
    <w:p w14:paraId="5074731B" w14:textId="77777777" w:rsidR="00C80509" w:rsidRPr="00BF6CFC" w:rsidRDefault="00C80509" w:rsidP="00954060">
      <w:pPr>
        <w:pStyle w:val="Textpoznpodarou"/>
        <w:rPr>
          <w:rFonts w:cstheme="minorHAnsi"/>
        </w:rPr>
      </w:pPr>
      <w:r w:rsidRPr="00BF6CFC">
        <w:rPr>
          <w:rStyle w:val="Znakapoznpodarou"/>
          <w:rFonts w:cstheme="minorHAnsi"/>
        </w:rPr>
        <w:footnoteRef/>
      </w:r>
      <w:r w:rsidRPr="00BF6CFC">
        <w:rPr>
          <w:rFonts w:cstheme="minorHAnsi"/>
        </w:rPr>
        <w:t xml:space="preserve"> Zdroj a blíže viz § 1 zákona č. 334/1992 Sb., o ochraně zemědělského půdního fondu</w:t>
      </w:r>
    </w:p>
  </w:footnote>
  <w:footnote w:id="42">
    <w:p w14:paraId="1E70A981" w14:textId="77777777" w:rsidR="00C80509" w:rsidRPr="00B16BA3" w:rsidRDefault="00C80509" w:rsidP="00954060">
      <w:pPr>
        <w:pStyle w:val="Textpoznpodarou"/>
        <w:jc w:val="both"/>
        <w:rPr>
          <w:rFonts w:cstheme="minorHAnsi"/>
        </w:rPr>
      </w:pPr>
      <w:r w:rsidRPr="00B16BA3">
        <w:rPr>
          <w:rStyle w:val="Znakapoznpodarou"/>
          <w:rFonts w:cstheme="minorHAnsi"/>
        </w:rPr>
        <w:footnoteRef/>
      </w:r>
      <w:r w:rsidRPr="00B16BA3">
        <w:rPr>
          <w:rFonts w:cstheme="minorHAnsi"/>
        </w:rPr>
        <w:t xml:space="preserve"> BPEJ je pětimístný číselný kód charakterizující zemědělské pozemky. Jednotlivé číselné hodnoty vyjadřují hlavní půdní a klimatické podmínky, které mají vliv na produkční schopnost zemědělské půdy a její ekonomické ohodnocení (zdroj: </w:t>
      </w:r>
      <w:hyperlink r:id="rId36" w:history="1">
        <w:r w:rsidRPr="00BE7DBF">
          <w:rPr>
            <w:rStyle w:val="Hypertextovodkaz"/>
            <w:rFonts w:cstheme="minorHAnsi"/>
          </w:rPr>
          <w:t>https://bpej.vumop.cz/</w:t>
        </w:r>
      </w:hyperlink>
      <w:r w:rsidRPr="00B16BA3">
        <w:rPr>
          <w:rFonts w:cstheme="minorHAnsi"/>
        </w:rPr>
        <w:t>).</w:t>
      </w:r>
    </w:p>
  </w:footnote>
  <w:footnote w:id="43">
    <w:p w14:paraId="632381CB" w14:textId="376B41E2" w:rsidR="00C80509" w:rsidRDefault="00C80509" w:rsidP="00954060">
      <w:pPr>
        <w:pStyle w:val="Textpoznpodarou"/>
        <w:jc w:val="both"/>
      </w:pPr>
      <w:r w:rsidRPr="00B16BA3">
        <w:rPr>
          <w:rStyle w:val="Znakapoznpodarou"/>
          <w:rFonts w:cstheme="minorHAnsi"/>
        </w:rPr>
        <w:footnoteRef/>
      </w:r>
      <w:r w:rsidRPr="00B16BA3">
        <w:rPr>
          <w:rFonts w:cstheme="minorHAnsi"/>
        </w:rPr>
        <w:t xml:space="preserve"> Do 1. třídy ochrany jsou zařazeny bonitně nejcennější půdy, které je možno odejmout ze zemědělského půdního fondu pouze výjimečně, a to převážně na záměry související s obnovou ekologické stability krajiny, případně pro liniové stavby zásadního významu. Do 2. třídy ochrany jsou zařazeny zemědělské půdy, které mají nadprůměrnou produkční schopnost. Ve vztahu k ochraně zemědělského půdního fondu jde o půdy vysoce chráněné, jen podmíněně odnímatelné a s ohledem na územní plánování také jen podmíněně zastavitelné. </w:t>
      </w:r>
      <w:r w:rsidRPr="00B16BA3">
        <w:rPr>
          <w:rFonts w:cstheme="minorHAnsi"/>
        </w:rPr>
        <w:br/>
        <w:t xml:space="preserve">Do 3. třídy jsou zařazeny zemědělské půdy, které mají průměrnou produkční schopnost, do 4. třídy zemědělské půdy, které mají podprůměrnou produkční schopnost a do 5. třídy zemědělské půdy, které jsou velmi málo produkční (zdroj: </w:t>
      </w:r>
      <w:bookmarkStart w:id="346" w:name="_Hlk77196429"/>
      <w:r w:rsidR="00F03D7F">
        <w:rPr>
          <w:rFonts w:cstheme="minorHAnsi"/>
        </w:rPr>
        <w:t>Územně analytické podklady obce s rozšířenou působností (</w:t>
      </w:r>
      <w:r w:rsidRPr="00B16BA3">
        <w:rPr>
          <w:rFonts w:cstheme="minorHAnsi"/>
        </w:rPr>
        <w:t>ÚAP ORP</w:t>
      </w:r>
      <w:r w:rsidR="00F03D7F">
        <w:rPr>
          <w:rFonts w:cstheme="minorHAnsi"/>
        </w:rPr>
        <w:t>)</w:t>
      </w:r>
      <w:r w:rsidRPr="00B16BA3">
        <w:rPr>
          <w:rFonts w:cstheme="minorHAnsi"/>
        </w:rPr>
        <w:t xml:space="preserve"> Náchod, dostupné z:</w:t>
      </w:r>
      <w:r>
        <w:rPr>
          <w:rFonts w:cstheme="minorHAnsi"/>
        </w:rPr>
        <w:t xml:space="preserve"> </w:t>
      </w:r>
      <w:hyperlink r:id="rId37" w:history="1">
        <w:r w:rsidRPr="00A3426C">
          <w:rPr>
            <w:rStyle w:val="Hypertextovodkaz"/>
            <w:rFonts w:cstheme="minorHAnsi"/>
          </w:rPr>
          <w:t>https://www.mestonachod.cz/urad/vystavba/uap/default.asp</w:t>
        </w:r>
      </w:hyperlink>
      <w:r>
        <w:rPr>
          <w:rFonts w:cstheme="minorHAnsi"/>
        </w:rPr>
        <w:t xml:space="preserve"> </w:t>
      </w:r>
      <w:r w:rsidRPr="00B16BA3">
        <w:rPr>
          <w:rFonts w:cstheme="minorHAnsi"/>
        </w:rPr>
        <w:t xml:space="preserve">Internetové stránky Výzkumného ústavu meliorací a ochrany půdy </w:t>
      </w:r>
      <w:hyperlink r:id="rId38" w:history="1">
        <w:r w:rsidRPr="00BE7DBF">
          <w:rPr>
            <w:rStyle w:val="Hypertextovodkaz"/>
            <w:rFonts w:cstheme="minorHAnsi"/>
          </w:rPr>
          <w:t>https://www.vumop.cz/</w:t>
        </w:r>
      </w:hyperlink>
      <w:bookmarkEnd w:id="346"/>
      <w:r w:rsidRPr="00B16BA3">
        <w:rPr>
          <w:rFonts w:cstheme="minorHAnsi"/>
        </w:rPr>
        <w:t>).</w:t>
      </w:r>
    </w:p>
  </w:footnote>
  <w:footnote w:id="44">
    <w:p w14:paraId="64BCB9CE" w14:textId="77777777" w:rsidR="00C80509" w:rsidRPr="00BD6BCF" w:rsidRDefault="00C80509" w:rsidP="0030697A">
      <w:pPr>
        <w:pStyle w:val="Textpoznpodarou"/>
        <w:rPr>
          <w:rFonts w:cstheme="minorHAnsi"/>
        </w:rPr>
      </w:pPr>
      <w:r w:rsidRPr="00BD6BCF">
        <w:rPr>
          <w:rStyle w:val="Znakapoznpodarou"/>
          <w:rFonts w:cstheme="minorHAnsi"/>
        </w:rPr>
        <w:footnoteRef/>
      </w:r>
      <w:r w:rsidRPr="00BD6BCF">
        <w:rPr>
          <w:rFonts w:cstheme="minorHAnsi"/>
        </w:rPr>
        <w:t xml:space="preserve"> </w:t>
      </w:r>
      <w:r w:rsidRPr="00BD6BCF">
        <w:rPr>
          <w:rFonts w:cstheme="minorHAnsi"/>
          <w:b/>
        </w:rPr>
        <w:t>Zdroj:</w:t>
      </w:r>
      <w:r w:rsidRPr="00BD6BCF">
        <w:rPr>
          <w:rFonts w:cstheme="minorHAnsi"/>
        </w:rPr>
        <w:t xml:space="preserve"> Geoportál SOWAC-GIS </w:t>
      </w:r>
      <w:hyperlink r:id="rId39" w:history="1">
        <w:r w:rsidRPr="00BD6BCF">
          <w:rPr>
            <w:rStyle w:val="Hypertextovodkaz"/>
            <w:rFonts w:cstheme="minorHAnsi"/>
          </w:rPr>
          <w:t>https://geoportal.vumop.cz/</w:t>
        </w:r>
      </w:hyperlink>
    </w:p>
  </w:footnote>
  <w:footnote w:id="45">
    <w:p w14:paraId="15504F6A" w14:textId="77777777" w:rsidR="00C80509" w:rsidRPr="00A00473" w:rsidRDefault="00C80509" w:rsidP="00A30347">
      <w:pPr>
        <w:pStyle w:val="Textpoznpodarou"/>
        <w:jc w:val="both"/>
        <w:rPr>
          <w:rFonts w:cstheme="minorHAnsi"/>
        </w:rPr>
      </w:pPr>
      <w:r w:rsidRPr="00A00473">
        <w:rPr>
          <w:rStyle w:val="Znakapoznpodarou"/>
          <w:rFonts w:cstheme="minorHAnsi"/>
        </w:rPr>
        <w:footnoteRef/>
      </w:r>
      <w:r w:rsidRPr="00A00473">
        <w:rPr>
          <w:rFonts w:cstheme="minorHAnsi"/>
        </w:rPr>
        <w:t xml:space="preserve"> Pozemkovými úpravami se ve veřejném zájmu prostorově a funkčně uspořádávají pozemky, scelují se nebo dělí a zabezpečuje se jimi přístupnost a využití pozemků a vyrovnání jejich hranic tak, aby se vytvořily podmínky pro racionální hospodaření vlastníků půdy. V těchto souvislostech původní pozemky zanikají a zároveň se vytvářejí pozemky nové, k nimž se uspořádávají vlastnická práva a s nimi související věcná břemena. Současně se jimi zajišťují podmínky pro zlepšení kvality života ve venkovských oblastech včetně napomáhání diverzifikace hospodářské činnosti a zlepšování konkurenceschopnosti zemědělství, zlepšení životního prostředí, ochraně a zúrodnění půdního fondu, lesního hospodářství a vodního hospodářství zejména v oblasti snižování nepříznivých účinků povodní a sucha, řešení odtokových poměrů v krajině a zvýšení ekologické stability krajiny. Výsledky pozemkových úprav slouží pro obnovu katastrálního operátu a jako neopomenutelný podklad pro územní plánování</w:t>
      </w:r>
      <w:r>
        <w:rPr>
          <w:rFonts w:cstheme="minorHAnsi"/>
        </w:rPr>
        <w:t>.</w:t>
      </w:r>
      <w:r w:rsidRPr="00A00473">
        <w:rPr>
          <w:rFonts w:cstheme="minorHAnsi"/>
        </w:rPr>
        <w:t xml:space="preserve"> </w:t>
      </w:r>
      <w:r w:rsidRPr="00AE737D">
        <w:rPr>
          <w:rFonts w:cstheme="minorHAnsi"/>
        </w:rPr>
        <w:t>Zdroj a blíže viz: §2 zákona č. 139/2002 Sb., o pozemkových úpravách a pozemkových úřadech</w:t>
      </w:r>
    </w:p>
  </w:footnote>
  <w:footnote w:id="46">
    <w:p w14:paraId="511BAB85" w14:textId="32F78105" w:rsidR="00D75556" w:rsidRDefault="00D75556">
      <w:pPr>
        <w:pStyle w:val="Textpoznpodarou"/>
      </w:pPr>
      <w:r>
        <w:rPr>
          <w:rStyle w:val="Znakapoznpodarou"/>
        </w:rPr>
        <w:footnoteRef/>
      </w:r>
      <w:r>
        <w:t xml:space="preserve"> Zdroj: Internetové stránky Ministerstva zemědělství </w:t>
      </w:r>
      <w:hyperlink r:id="rId40" w:history="1">
        <w:r w:rsidRPr="005A1DF2">
          <w:rPr>
            <w:rStyle w:val="Hypertextovodkaz"/>
          </w:rPr>
          <w:t>https://eagri.cz/public/app/eagriapp/PU/Prehled/</w:t>
        </w:r>
      </w:hyperlink>
      <w:r>
        <w:t xml:space="preserve"> </w:t>
      </w:r>
    </w:p>
  </w:footnote>
  <w:footnote w:id="47">
    <w:p w14:paraId="77DC40A4" w14:textId="77777777" w:rsidR="00C80509" w:rsidRPr="00E86A66" w:rsidRDefault="00C80509" w:rsidP="00CB15B7">
      <w:pPr>
        <w:pStyle w:val="Textpoznpodarou"/>
        <w:rPr>
          <w:rFonts w:cs="Calibri"/>
        </w:rPr>
      </w:pPr>
      <w:r w:rsidRPr="00E86A66">
        <w:rPr>
          <w:rStyle w:val="Znakapoznpodarou"/>
          <w:rFonts w:cs="Calibri"/>
        </w:rPr>
        <w:footnoteRef/>
      </w:r>
      <w:r w:rsidRPr="00E86A66">
        <w:rPr>
          <w:rFonts w:cs="Calibri"/>
        </w:rPr>
        <w:t xml:space="preserve"> Zdroj: Internetové stránky encyklopedie Wikipedia </w:t>
      </w:r>
      <w:hyperlink r:id="rId41" w:history="1">
        <w:r w:rsidRPr="00E86A66">
          <w:rPr>
            <w:rStyle w:val="Hypertextovodkaz"/>
            <w:rFonts w:cs="Calibri"/>
          </w:rPr>
          <w:t>https://cs.wikipedia.org/</w:t>
        </w:r>
      </w:hyperlink>
    </w:p>
  </w:footnote>
  <w:footnote w:id="48">
    <w:p w14:paraId="57A8D4AE" w14:textId="77777777" w:rsidR="00C80509" w:rsidRPr="00315121" w:rsidRDefault="00C80509" w:rsidP="00CB15B7">
      <w:pPr>
        <w:pStyle w:val="Textpoznpodarou"/>
      </w:pPr>
      <w:r w:rsidRPr="00E86A66">
        <w:rPr>
          <w:rStyle w:val="Znakapoznpodarou"/>
          <w:rFonts w:cs="Calibri"/>
        </w:rPr>
        <w:footnoteRef/>
      </w:r>
      <w:r w:rsidRPr="00E86A66">
        <w:rPr>
          <w:rFonts w:cs="Calibri"/>
        </w:rPr>
        <w:t xml:space="preserve"> </w:t>
      </w:r>
      <w:r w:rsidRPr="00E86A66">
        <w:rPr>
          <w:rFonts w:cs="Calibri"/>
          <w:bCs/>
        </w:rPr>
        <w:t>Imisní limity znečišťujících látek a jejich povolený počet překročení za kalendářní rok jsou definovány v příloze 1 zákona č. 201/2012 Sb., o ochraně ovzduší.</w:t>
      </w:r>
    </w:p>
  </w:footnote>
  <w:footnote w:id="49">
    <w:p w14:paraId="01977C4E" w14:textId="5E241EE8" w:rsidR="00C80509" w:rsidRDefault="00C80509">
      <w:pPr>
        <w:pStyle w:val="Textpoznpodarou"/>
      </w:pPr>
      <w:r>
        <w:rPr>
          <w:rStyle w:val="Znakapoznpodarou"/>
        </w:rPr>
        <w:footnoteRef/>
      </w:r>
      <w:r>
        <w:t xml:space="preserve"> </w:t>
      </w:r>
      <w:r w:rsidRPr="00E86A66">
        <w:rPr>
          <w:rFonts w:ascii="Calibri" w:eastAsia="Calibri" w:hAnsi="Calibri" w:cs="Times New Roman"/>
          <w:bCs/>
        </w:rPr>
        <w:t>Zdroj:</w:t>
      </w:r>
      <w:r w:rsidRPr="00E86A66">
        <w:rPr>
          <w:rFonts w:ascii="Calibri" w:eastAsia="Calibri" w:hAnsi="Calibri" w:cs="Times New Roman"/>
        </w:rPr>
        <w:t xml:space="preserve"> Internetové stránky Národního geoportálu INSPIRE </w:t>
      </w:r>
      <w:hyperlink r:id="rId42" w:history="1">
        <w:r w:rsidRPr="00E86A66">
          <w:rPr>
            <w:rFonts w:ascii="Calibri" w:eastAsia="Calibri" w:hAnsi="Calibri" w:cs="Times New Roman"/>
            <w:color w:val="0563C1"/>
            <w:u w:val="single"/>
          </w:rPr>
          <w:t>https://geoportal.gov.cz/</w:t>
        </w:r>
      </w:hyperlink>
    </w:p>
  </w:footnote>
  <w:footnote w:id="50">
    <w:p w14:paraId="403A7369" w14:textId="77777777" w:rsidR="00AF6B70" w:rsidRDefault="00AF6B70" w:rsidP="00AF6B70">
      <w:pPr>
        <w:pStyle w:val="Textpoznpodarou"/>
      </w:pPr>
      <w:r>
        <w:rPr>
          <w:rStyle w:val="Znakapoznpodarou"/>
        </w:rPr>
        <w:footnoteRef/>
      </w:r>
      <w:r>
        <w:t xml:space="preserve"> </w:t>
      </w:r>
      <w:r w:rsidRPr="00B04737">
        <w:rPr>
          <w:rFonts w:eastAsia="Calibri" w:cs="Calibri"/>
        </w:rPr>
        <w:t xml:space="preserve">Zdroj: Digitální registr Ústředního seznamu ochrany přírody </w:t>
      </w:r>
      <w:hyperlink r:id="rId43" w:history="1">
        <w:r w:rsidRPr="00B04737">
          <w:rPr>
            <w:rStyle w:val="Hypertextovodkaz"/>
            <w:rFonts w:eastAsia="Calibri" w:cs="Calibri"/>
          </w:rPr>
          <w:t>https://drusop.nature.cz/mapa/drusop/</w:t>
        </w:r>
      </w:hyperlink>
      <w:r>
        <w:t xml:space="preserve"> </w:t>
      </w:r>
    </w:p>
  </w:footnote>
  <w:footnote w:id="51">
    <w:p w14:paraId="0AB304FE" w14:textId="65DFE333" w:rsidR="00AF6B70" w:rsidRDefault="00AF6B70" w:rsidP="00AF6B70">
      <w:pPr>
        <w:pStyle w:val="Textpoznpodarou"/>
        <w:jc w:val="both"/>
      </w:pPr>
      <w:r>
        <w:rPr>
          <w:rStyle w:val="Znakapoznpodarou"/>
        </w:rPr>
        <w:footnoteRef/>
      </w:r>
      <w:r>
        <w:t xml:space="preserve"> </w:t>
      </w:r>
      <w:r w:rsidRPr="00D5678C">
        <w:rPr>
          <w:rFonts w:ascii="Calibri" w:hAnsi="Calibri"/>
        </w:rPr>
        <w:t xml:space="preserve">Natura 2000 je </w:t>
      </w:r>
      <w:r w:rsidRPr="006E40C7">
        <w:rPr>
          <w:rStyle w:val="Siln"/>
          <w:rFonts w:ascii="Calibri" w:hAnsi="Calibri"/>
        </w:rPr>
        <w:t>soustava chráněných území</w:t>
      </w:r>
      <w:r w:rsidRPr="006E40C7">
        <w:rPr>
          <w:rFonts w:ascii="Calibri" w:hAnsi="Calibri"/>
          <w:b/>
        </w:rPr>
        <w:t>,</w:t>
      </w:r>
      <w:r w:rsidRPr="00D5678C">
        <w:rPr>
          <w:rFonts w:ascii="Calibri" w:hAnsi="Calibri"/>
        </w:rPr>
        <w:t xml:space="preserve"> které vytvářejí na svém území podle jednotných principů všechny státy Evropské unie. Cílem této soustavy je zabezpečit ochranu těch druhů živočichů, rostlin a typů přírodních stanovišť, které jsou z evropského pohledu nejcennější, nejvíce ohrožené, vzácné či omezené svým výskytem jen na určitou oblast</w:t>
      </w:r>
      <w:r>
        <w:rPr>
          <w:rFonts w:ascii="Calibri" w:hAnsi="Calibri"/>
        </w:rPr>
        <w:t xml:space="preserve"> (zdroj: Internetové stránky Agentury ochrany přírody a krajiny České republiky </w:t>
      </w:r>
      <w:hyperlink r:id="rId44" w:history="1">
        <w:r w:rsidR="00AF6011" w:rsidRPr="00E727C4">
          <w:rPr>
            <w:rStyle w:val="Hypertextovodkaz"/>
          </w:rPr>
          <w:t>https://www.ochranaprirody.cz/</w:t>
        </w:r>
      </w:hyperlink>
      <w:r>
        <w:t>)</w:t>
      </w:r>
      <w:r>
        <w:rPr>
          <w:rFonts w:ascii="Calibri" w:hAnsi="Calibri"/>
        </w:rPr>
        <w:t xml:space="preserve">. </w:t>
      </w:r>
    </w:p>
  </w:footnote>
  <w:footnote w:id="52">
    <w:p w14:paraId="06734FEA" w14:textId="77777777" w:rsidR="00C80509" w:rsidRDefault="00C80509" w:rsidP="0020034A">
      <w:pPr>
        <w:pStyle w:val="Textpoznpodarou"/>
        <w:jc w:val="both"/>
      </w:pPr>
      <w:r>
        <w:rPr>
          <w:rStyle w:val="Znakapoznpodarou"/>
        </w:rPr>
        <w:footnoteRef/>
      </w:r>
      <w:r>
        <w:t xml:space="preserve"> </w:t>
      </w:r>
      <w:r w:rsidRPr="00383975">
        <w:rPr>
          <w:b/>
        </w:rPr>
        <w:t>Biocentrum</w:t>
      </w:r>
      <w:r>
        <w:t xml:space="preserve"> je </w:t>
      </w:r>
      <w:r w:rsidRPr="00383975">
        <w:t>biotop nebo soubor biotopů v krajině, který svým stav</w:t>
      </w:r>
      <w:r>
        <w:t xml:space="preserve">em a velikostí umožňuje trvalou </w:t>
      </w:r>
      <w:r w:rsidRPr="00383975">
        <w:t>existenci přirozeného či pozměněného, avšak přírodě blízkého ekosystému</w:t>
      </w:r>
      <w:r>
        <w:t>.</w:t>
      </w:r>
    </w:p>
    <w:p w14:paraId="10CD668E" w14:textId="77777777" w:rsidR="00C80509" w:rsidRDefault="00C80509" w:rsidP="0020034A">
      <w:pPr>
        <w:pStyle w:val="Textpoznpodarou"/>
        <w:jc w:val="both"/>
      </w:pPr>
      <w:r w:rsidRPr="00383975">
        <w:rPr>
          <w:b/>
        </w:rPr>
        <w:t>Biokoridor</w:t>
      </w:r>
      <w:r>
        <w:t xml:space="preserve"> je </w:t>
      </w:r>
      <w:r w:rsidRPr="00383975">
        <w:t>území, které neumožňuje rozhodující části organismů trvalou dlouhodobou existenci, avšak umožňuje jejich migraci mezi biocentry a tím vytváří z oddělených biocenter síť</w:t>
      </w:r>
      <w:r>
        <w:t>.</w:t>
      </w:r>
    </w:p>
    <w:p w14:paraId="32E3FEF3" w14:textId="38D88A7B" w:rsidR="00C80509" w:rsidRDefault="00C80509" w:rsidP="0020034A">
      <w:pPr>
        <w:pStyle w:val="Textpoznpodarou"/>
        <w:jc w:val="both"/>
      </w:pPr>
      <w:r w:rsidRPr="00383975">
        <w:rPr>
          <w:b/>
        </w:rPr>
        <w:t>Interakční prvek</w:t>
      </w:r>
      <w:r>
        <w:t xml:space="preserve"> je </w:t>
      </w:r>
      <w:r w:rsidRPr="00383975">
        <w:t>krajinný segment, který na lokální úrovni zprostředkovává příznivé působení základních skladebných částí ÚSES (biocenter a biokoridorů) na okolní méně stabilní krajinu do větší vzdálenosti. Mimo to interakční prvky často umožňují trvalou existenci určitých druhů organismů, majících menší prostorové nároky (vedle řady druhů rostlin některé druhy hmyzu, drobných hlodavců, hmyzožravců, ptáků, obojživelníků atd.)</w:t>
      </w:r>
      <w:r>
        <w:t xml:space="preserve">. (zdroj: </w:t>
      </w:r>
      <w:bookmarkStart w:id="378" w:name="_Hlk32356889"/>
      <w:r>
        <w:t xml:space="preserve">Portál Územních systémů ekologické stability </w:t>
      </w:r>
      <w:hyperlink r:id="rId45" w:history="1">
        <w:r w:rsidR="002E0EFD" w:rsidRPr="0071584A">
          <w:rPr>
            <w:rStyle w:val="Hypertextovodkaz"/>
          </w:rPr>
          <w:t>https://uses.cz/</w:t>
        </w:r>
      </w:hyperlink>
      <w:bookmarkEnd w:id="378"/>
      <w:r>
        <w:t xml:space="preserve">) </w:t>
      </w:r>
    </w:p>
  </w:footnote>
  <w:footnote w:id="53">
    <w:p w14:paraId="49D28235" w14:textId="77777777" w:rsidR="00C80509" w:rsidRPr="00D923D3" w:rsidRDefault="00C80509" w:rsidP="00394561">
      <w:pPr>
        <w:pStyle w:val="Textpoznpodarou"/>
        <w:jc w:val="both"/>
        <w:rPr>
          <w:rFonts w:cstheme="minorHAnsi"/>
        </w:rPr>
      </w:pPr>
      <w:r w:rsidRPr="00D923D3">
        <w:rPr>
          <w:rStyle w:val="Znakapoznpodarou"/>
          <w:rFonts w:cstheme="minorHAnsi"/>
        </w:rPr>
        <w:footnoteRef/>
      </w:r>
      <w:r w:rsidRPr="00D923D3">
        <w:rPr>
          <w:rFonts w:cstheme="minorHAnsi"/>
        </w:rPr>
        <w:t xml:space="preserve"> Zdroj: </w:t>
      </w:r>
      <w:bookmarkStart w:id="384" w:name="_Hlk32356932"/>
      <w:r w:rsidRPr="00D923D3">
        <w:rPr>
          <w:rFonts w:cstheme="minorHAnsi"/>
          <w:bCs/>
        </w:rPr>
        <w:t>Plán nadregionálního a regionálního územního systému ekologické stability pro území Královéhradeckého kraje, dostupné z:</w:t>
      </w:r>
      <w:r w:rsidRPr="00D923D3">
        <w:rPr>
          <w:rFonts w:cstheme="minorHAnsi"/>
        </w:rPr>
        <w:t xml:space="preserve"> </w:t>
      </w:r>
    </w:p>
    <w:p w14:paraId="2BDA08B1" w14:textId="53062671" w:rsidR="00C80509" w:rsidRPr="00D923D3" w:rsidRDefault="00000000" w:rsidP="00394561">
      <w:pPr>
        <w:pStyle w:val="Textpoznpodarou"/>
        <w:jc w:val="both"/>
        <w:rPr>
          <w:rFonts w:cstheme="minorHAnsi"/>
        </w:rPr>
      </w:pPr>
      <w:hyperlink r:id="rId46" w:history="1">
        <w:r w:rsidR="003A5E6D" w:rsidRPr="005A1DF2">
          <w:rPr>
            <w:rStyle w:val="Hypertextovodkaz"/>
            <w:rFonts w:cstheme="minorHAnsi"/>
            <w:bCs/>
          </w:rPr>
          <w:t>https://gis.kr-kralovehradecky.cz/assets/GIS/projekty/ziv-prostredi/Plan_USES_KHK.pdf</w:t>
        </w:r>
      </w:hyperlink>
      <w:bookmarkEnd w:id="384"/>
      <w:r w:rsidR="00C80509" w:rsidRPr="00D923D3">
        <w:rPr>
          <w:rFonts w:cstheme="minorHAnsi"/>
          <w:bCs/>
        </w:rPr>
        <w:t xml:space="preserve"> </w:t>
      </w:r>
    </w:p>
  </w:footnote>
  <w:footnote w:id="54">
    <w:p w14:paraId="76A79DB0" w14:textId="77777777" w:rsidR="00C80509" w:rsidRPr="00F76EE8" w:rsidRDefault="00C80509" w:rsidP="0020034A">
      <w:pPr>
        <w:pStyle w:val="Textpoznpodarou"/>
        <w:jc w:val="both"/>
      </w:pPr>
      <w:r w:rsidRPr="000344F8">
        <w:rPr>
          <w:rStyle w:val="Znakapoznpodarou"/>
        </w:rPr>
        <w:footnoteRef/>
      </w:r>
      <w:r w:rsidRPr="000344F8">
        <w:t xml:space="preserve"> Koeficient ekologické stability je vypočítán jako poměr ploch tzv. stabilních a nestabilních krajinotvorných prvků ve zkoumaném území. Mezi ekologicky stabilní plochy patří: lesy, louky, pastviny, zahrady, vinice, ovocné sady, rybníky, ostatní vodní plochy, doprovodná a rozptýlená zeleň, přírodní plochy. Mezi ekologicky nestabilní ploch se řadí orná půda, chmelnice, zastavěné plochy a ostatní plochy. Klasifikace území podle hodnoty KES: Krajinný typ A (krajina zcela přeměněná člověkem): KES do 0,3</w:t>
      </w:r>
      <w:r>
        <w:t>9</w:t>
      </w:r>
      <w:r w:rsidRPr="000344F8">
        <w:t xml:space="preserve"> – území nestabilní, KES 0,4-0,8</w:t>
      </w:r>
      <w:r>
        <w:t>9</w:t>
      </w:r>
      <w:r w:rsidRPr="000344F8">
        <w:t xml:space="preserve"> – území málo stabilní. Krajinný typ B (krajina intermediální): KES 0,9-2,9</w:t>
      </w:r>
      <w:r>
        <w:t>9</w:t>
      </w:r>
      <w:r w:rsidRPr="000344F8">
        <w:t xml:space="preserve"> – území mírně stabilní. Krajinný typ C (krajina relativně přírodní): KES 3,0-6,2</w:t>
      </w:r>
      <w:r>
        <w:t>9</w:t>
      </w:r>
      <w:r w:rsidRPr="000344F8">
        <w:t xml:space="preserve"> – území stabilní, KES nad 6,</w:t>
      </w:r>
      <w:r>
        <w:t>3</w:t>
      </w:r>
      <w:r w:rsidRPr="000344F8">
        <w:t xml:space="preserve"> – území relativně přírodní.</w:t>
      </w:r>
      <w:r>
        <w:t xml:space="preserve"> </w:t>
      </w:r>
      <w:r w:rsidRPr="00F76EE8">
        <w:t xml:space="preserve">Zdroj: </w:t>
      </w:r>
      <w:bookmarkStart w:id="385" w:name="_Hlk32356948"/>
      <w:r w:rsidRPr="00F76EE8">
        <w:t>Rozbor udržitelného rozvoje území Královéhradeckého kraje, dostupné z:</w:t>
      </w:r>
    </w:p>
    <w:p w14:paraId="175951B1" w14:textId="57D723F5" w:rsidR="00C80509" w:rsidRPr="000344F8" w:rsidRDefault="00000000" w:rsidP="0020034A">
      <w:pPr>
        <w:pStyle w:val="Textpoznpodarou"/>
        <w:jc w:val="both"/>
      </w:pPr>
      <w:hyperlink r:id="rId47" w:history="1">
        <w:r w:rsidR="00175421" w:rsidRPr="005A1DF2">
          <w:rPr>
            <w:rStyle w:val="Hypertextovodkaz"/>
          </w:rPr>
          <w:t>https://www.kr-kralovehradecky.cz/assets/rozvoj-kraje/uzemni-planovani/4--Uplna-aktulizace-UAP-KHK---textova-cast---PRURU-a-RURU.pdf</w:t>
        </w:r>
      </w:hyperlink>
      <w:bookmarkEnd w:id="385"/>
      <w:r w:rsidR="00C80509">
        <w:t xml:space="preserve">  </w:t>
      </w:r>
    </w:p>
  </w:footnote>
  <w:footnote w:id="55">
    <w:p w14:paraId="589FA461" w14:textId="1D81DF34" w:rsidR="00C80509" w:rsidRPr="000344F8" w:rsidRDefault="00C80509" w:rsidP="0020034A">
      <w:pPr>
        <w:pStyle w:val="Textpoznpodarou"/>
        <w:jc w:val="both"/>
      </w:pPr>
      <w:r w:rsidRPr="000344F8">
        <w:rPr>
          <w:rStyle w:val="Znakapoznpodarou"/>
        </w:rPr>
        <w:footnoteRef/>
      </w:r>
      <w:r w:rsidRPr="000344F8">
        <w:t xml:space="preserve"> Zdroj: ÚAP ORP Náchod </w:t>
      </w:r>
      <w:hyperlink r:id="rId48" w:history="1">
        <w:r w:rsidRPr="006341E4">
          <w:rPr>
            <w:rStyle w:val="Hypertextovodkaz"/>
          </w:rPr>
          <w:t>https://www.mestonachod.cz/mestsky-urad/vystavba/uap/default.asp</w:t>
        </w:r>
      </w:hyperlink>
    </w:p>
  </w:footnote>
  <w:footnote w:id="56">
    <w:p w14:paraId="4A157437" w14:textId="77777777" w:rsidR="00302AED" w:rsidRPr="00AD58E4" w:rsidRDefault="00302AED" w:rsidP="00210C90">
      <w:pPr>
        <w:pStyle w:val="Textpoznpodarou"/>
        <w:jc w:val="both"/>
      </w:pPr>
      <w:r w:rsidRPr="00AD58E4">
        <w:rPr>
          <w:rStyle w:val="Znakapoznpodarou"/>
        </w:rPr>
        <w:footnoteRef/>
      </w:r>
      <w:r w:rsidRPr="00AD58E4">
        <w:t xml:space="preserve"> Slovo uvolněný znamená, že dotyčný vykonává pouze svoji funkci starosty, je uvolněn z pracovního poměru, který před svým zvolením vykonával (</w:t>
      </w:r>
      <w:hyperlink r:id="rId49" w:history="1">
        <w:r w:rsidRPr="00AD58E4">
          <w:rPr>
            <w:rStyle w:val="Hypertextovodkaz"/>
          </w:rPr>
          <w:t>http://denik.obce.cz/</w:t>
        </w:r>
      </w:hyperlink>
      <w:r w:rsidRPr="00AD58E4">
        <w:t>).</w:t>
      </w:r>
    </w:p>
  </w:footnote>
  <w:footnote w:id="57">
    <w:p w14:paraId="34183CA5" w14:textId="20C79379" w:rsidR="00302AED" w:rsidRDefault="00302AED" w:rsidP="00210C90">
      <w:pPr>
        <w:pStyle w:val="Textpoznpodarou"/>
        <w:jc w:val="both"/>
      </w:pPr>
      <w:r w:rsidRPr="00AD58E4">
        <w:rPr>
          <w:rStyle w:val="Znakapoznpodarou"/>
        </w:rPr>
        <w:footnoteRef/>
      </w:r>
      <w:r w:rsidRPr="00AD58E4">
        <w:t xml:space="preserve"> Neuvolněný znamená, že kromě povinností souvisejících s pozicí místostarosty, vykonává dotyčný ještě své civilní zaměstnání</w:t>
      </w:r>
      <w:r>
        <w:t xml:space="preserve"> </w:t>
      </w:r>
      <w:r w:rsidRPr="00AD58E4">
        <w:t>(</w:t>
      </w:r>
      <w:hyperlink r:id="rId50" w:history="1">
        <w:r w:rsidRPr="00AD58E4">
          <w:rPr>
            <w:rStyle w:val="Hypertextovodkaz"/>
          </w:rPr>
          <w:t>http://denik.obce.cz/</w:t>
        </w:r>
      </w:hyperlink>
      <w:r w:rsidRPr="00AD58E4">
        <w:t>).</w:t>
      </w:r>
    </w:p>
  </w:footnote>
  <w:footnote w:id="58">
    <w:p w14:paraId="7658BFA3" w14:textId="77777777" w:rsidR="00C80509" w:rsidRPr="00D003CD" w:rsidRDefault="00C80509" w:rsidP="00224E70">
      <w:pPr>
        <w:pStyle w:val="Textpoznpodarou"/>
        <w:rPr>
          <w:rFonts w:cstheme="minorHAnsi"/>
        </w:rPr>
      </w:pPr>
      <w:r w:rsidRPr="00D003CD">
        <w:rPr>
          <w:rStyle w:val="Znakapoznpodarou"/>
          <w:rFonts w:cstheme="minorHAnsi"/>
        </w:rPr>
        <w:footnoteRef/>
      </w:r>
      <w:r w:rsidRPr="00D003CD">
        <w:rPr>
          <w:rFonts w:cstheme="minorHAnsi"/>
        </w:rPr>
        <w:t xml:space="preserve"> Konkrétní pravomoci jsou uvedeny v §84 a §85 zákona č. 128/2000 Sb., o obcích</w:t>
      </w:r>
    </w:p>
  </w:footnote>
  <w:footnote w:id="59">
    <w:p w14:paraId="45BCC122" w14:textId="77777777" w:rsidR="00C80509" w:rsidRPr="003E3141" w:rsidRDefault="00C80509" w:rsidP="00224E70">
      <w:pPr>
        <w:pStyle w:val="Textpoznpodarou"/>
      </w:pPr>
      <w:r w:rsidRPr="003E3141">
        <w:rPr>
          <w:rStyle w:val="Znakapoznpodarou"/>
          <w:rFonts w:cs="Calibri"/>
        </w:rPr>
        <w:footnoteRef/>
      </w:r>
      <w:r w:rsidRPr="003E3141">
        <w:rPr>
          <w:rFonts w:cs="Calibri"/>
        </w:rPr>
        <w:t xml:space="preserve"> § 117, odst. 2 zákona č. 128/2000 Sb., o obcích</w:t>
      </w:r>
    </w:p>
  </w:footnote>
  <w:footnote w:id="60">
    <w:p w14:paraId="754A04FF" w14:textId="2B28AECF" w:rsidR="00C80509" w:rsidRDefault="00C80509" w:rsidP="00224E70">
      <w:pPr>
        <w:pStyle w:val="Textpoznpodarou"/>
      </w:pPr>
      <w:r>
        <w:rPr>
          <w:rStyle w:val="Znakapoznpodarou"/>
        </w:rPr>
        <w:footnoteRef/>
      </w:r>
      <w:r>
        <w:t xml:space="preserve"> Zdroj a blíže viz: </w:t>
      </w:r>
      <w:bookmarkStart w:id="403" w:name="_Hlk32357104"/>
      <w:r>
        <w:t xml:space="preserve">Povodňový informační systém na území Královéhradeckého kraje </w:t>
      </w:r>
      <w:hyperlink r:id="rId51" w:history="1">
        <w:r w:rsidR="00477A28" w:rsidRPr="005A1DF2">
          <w:rPr>
            <w:rStyle w:val="Hypertextovodkaz"/>
          </w:rPr>
          <w:t>https://kralovehradecky.dppcr.cz/html/index.html</w:t>
        </w:r>
      </w:hyperlink>
      <w:bookmarkEnd w:id="403"/>
    </w:p>
  </w:footnote>
  <w:footnote w:id="61">
    <w:p w14:paraId="0CA54821" w14:textId="77777777" w:rsidR="00C80509" w:rsidRPr="001D2916" w:rsidRDefault="00C80509" w:rsidP="00224E70">
      <w:pPr>
        <w:pStyle w:val="Textpoznpodarou"/>
      </w:pPr>
      <w:r w:rsidRPr="001D2916">
        <w:rPr>
          <w:rStyle w:val="Znakapoznpodarou"/>
        </w:rPr>
        <w:footnoteRef/>
      </w:r>
      <w:r w:rsidRPr="001D2916">
        <w:t xml:space="preserve"> Zdroj: Internetové stránky Ministerstva vnitra </w:t>
      </w:r>
      <w:hyperlink r:id="rId52" w:history="1">
        <w:r w:rsidRPr="001D2916">
          <w:rPr>
            <w:rStyle w:val="Hypertextovodkaz"/>
          </w:rPr>
          <w:t>https://www.mvcr.cz/egovernment.aspx</w:t>
        </w:r>
      </w:hyperlink>
      <w:r w:rsidRPr="001D2916">
        <w:t xml:space="preserve"> </w:t>
      </w:r>
    </w:p>
  </w:footnote>
  <w:footnote w:id="62">
    <w:p w14:paraId="6AFF32CD" w14:textId="77777777" w:rsidR="00C80509" w:rsidRPr="003E48E5" w:rsidRDefault="00C80509" w:rsidP="0075053B">
      <w:pPr>
        <w:pStyle w:val="Textpoznpodarou"/>
        <w:jc w:val="both"/>
        <w:rPr>
          <w:rFonts w:cs="Calibri"/>
        </w:rPr>
      </w:pPr>
      <w:r w:rsidRPr="003E48E5">
        <w:rPr>
          <w:rStyle w:val="Znakapoznpodarou"/>
          <w:rFonts w:cs="Calibri"/>
        </w:rPr>
        <w:footnoteRef/>
      </w:r>
      <w:r w:rsidRPr="003E48E5">
        <w:rPr>
          <w:rFonts w:cs="Calibri"/>
        </w:rPr>
        <w:t xml:space="preserve"> Příjmy a výdaje rozpočtu obce tvoří zejména: příjmy viz §7 zákona č. 250/2000 Sb., výdaje viz §9 zákona</w:t>
      </w:r>
      <w:r w:rsidRPr="003E48E5">
        <w:rPr>
          <w:rFonts w:cs="Calibri"/>
        </w:rPr>
        <w:br/>
        <w:t>č. 250/2000 Sb., o rozpočtových pravidlech územních rozpočtů</w:t>
      </w:r>
    </w:p>
  </w:footnote>
  <w:footnote w:id="63">
    <w:p w14:paraId="5B4CC959" w14:textId="77777777" w:rsidR="00C80509" w:rsidRPr="003E48E5" w:rsidRDefault="00C80509" w:rsidP="0075053B">
      <w:pPr>
        <w:pStyle w:val="Textpoznpodarou"/>
        <w:rPr>
          <w:rFonts w:cs="Calibri"/>
        </w:rPr>
      </w:pPr>
      <w:r w:rsidRPr="003E48E5">
        <w:rPr>
          <w:rStyle w:val="Znakapoznpodarou"/>
          <w:rFonts w:cs="Calibri"/>
        </w:rPr>
        <w:footnoteRef/>
      </w:r>
      <w:r w:rsidRPr="003E48E5">
        <w:rPr>
          <w:rFonts w:cs="Calibri"/>
        </w:rPr>
        <w:t xml:space="preserve"> Zdroj: </w:t>
      </w:r>
      <w:bookmarkStart w:id="415" w:name="_Hlk32357144"/>
      <w:r w:rsidRPr="003E48E5">
        <w:rPr>
          <w:rFonts w:cs="Calibri"/>
        </w:rPr>
        <w:t xml:space="preserve">Portál na podporu rozvoje obcí ČR </w:t>
      </w:r>
      <w:hyperlink r:id="rId53" w:history="1">
        <w:r w:rsidRPr="003E48E5">
          <w:rPr>
            <w:rStyle w:val="Hypertextovodkaz"/>
            <w:rFonts w:cs="Calibri"/>
          </w:rPr>
          <w:t>https://www.rozvojobci.cz/news/financovani-rozvoje-obce-souhrn/</w:t>
        </w:r>
      </w:hyperlink>
      <w:bookmarkEnd w:id="415"/>
    </w:p>
  </w:footnote>
  <w:footnote w:id="64">
    <w:p w14:paraId="2A0DF091" w14:textId="77777777" w:rsidR="00C80509" w:rsidRDefault="00C80509" w:rsidP="00385ADC">
      <w:pPr>
        <w:pStyle w:val="Textpoznpodarou"/>
      </w:pPr>
      <w:r>
        <w:rPr>
          <w:rStyle w:val="Znakapoznpodarou"/>
        </w:rPr>
        <w:footnoteRef/>
      </w:r>
      <w:r>
        <w:t xml:space="preserve"> Zdroj: Internetové stránky encyklopedie Wikipedia </w:t>
      </w:r>
      <w:hyperlink r:id="rId54" w:history="1">
        <w:r w:rsidRPr="00BE7DBF">
          <w:rPr>
            <w:rStyle w:val="Hypertextovodkaz"/>
          </w:rPr>
          <w:t>https://cs.wikipedia.org/</w:t>
        </w:r>
      </w:hyperlink>
      <w:r>
        <w:t xml:space="preserve"> </w:t>
      </w:r>
    </w:p>
  </w:footnote>
  <w:footnote w:id="65">
    <w:p w14:paraId="125A87B2" w14:textId="77777777" w:rsidR="00C80509" w:rsidRDefault="00C80509" w:rsidP="005E4837">
      <w:pPr>
        <w:pStyle w:val="Textpoznpodarou"/>
      </w:pPr>
      <w:r>
        <w:rPr>
          <w:rStyle w:val="Znakapoznpodarou"/>
        </w:rPr>
        <w:footnoteRef/>
      </w:r>
      <w:r>
        <w:t xml:space="preserve"> Zdroj: Internetové stránky Policie České republiky </w:t>
      </w:r>
      <w:hyperlink r:id="rId55" w:history="1">
        <w:r w:rsidRPr="002C1A5B">
          <w:rPr>
            <w:rStyle w:val="Hypertextovodkaz"/>
          </w:rPr>
          <w:t>https://www.policie.cz/</w:t>
        </w:r>
      </w:hyperlink>
      <w:r>
        <w:t xml:space="preserve"> </w:t>
      </w:r>
    </w:p>
  </w:footnote>
  <w:footnote w:id="66">
    <w:p w14:paraId="50EBA01D" w14:textId="77777777" w:rsidR="005D502E" w:rsidRPr="00767343" w:rsidRDefault="005D502E" w:rsidP="005D502E">
      <w:pPr>
        <w:pStyle w:val="Textpoznpodarou"/>
        <w:jc w:val="both"/>
        <w:rPr>
          <w:rFonts w:cstheme="minorHAnsi"/>
        </w:rPr>
      </w:pPr>
      <w:r w:rsidRPr="00767343">
        <w:rPr>
          <w:rStyle w:val="Znakapoznpodarou"/>
          <w:rFonts w:cstheme="minorHAnsi"/>
        </w:rPr>
        <w:footnoteRef/>
      </w:r>
      <w:r w:rsidRPr="00767343">
        <w:rPr>
          <w:rFonts w:cstheme="minorHAnsi"/>
        </w:rPr>
        <w:t xml:space="preserve"> Jedná se o povinnost obce, která pro ni vyplývá z § 29, odst. 1, písm. o) zákona č. 133/1985 Sb., o požární ochraně</w:t>
      </w:r>
    </w:p>
  </w:footnote>
  <w:footnote w:id="67">
    <w:p w14:paraId="46772EF9" w14:textId="77777777" w:rsidR="00FD6E57" w:rsidRPr="005735AE" w:rsidRDefault="00FD6E57" w:rsidP="00FD6E57">
      <w:pPr>
        <w:pStyle w:val="Textpoznpodarou"/>
        <w:rPr>
          <w:rFonts w:cstheme="minorHAnsi"/>
        </w:rPr>
      </w:pPr>
      <w:r w:rsidRPr="005735AE">
        <w:rPr>
          <w:rStyle w:val="Znakapoznpodarou"/>
          <w:rFonts w:cstheme="minorHAnsi"/>
        </w:rPr>
        <w:footnoteRef/>
      </w:r>
      <w:r w:rsidRPr="005735AE">
        <w:rPr>
          <w:rFonts w:cstheme="minorHAnsi"/>
        </w:rPr>
        <w:t xml:space="preserve"> Zdroj: Internetové stránky Hasičského záchranného sboru České republiky </w:t>
      </w:r>
      <w:hyperlink r:id="rId56" w:history="1">
        <w:r w:rsidRPr="005735AE">
          <w:rPr>
            <w:rStyle w:val="Hypertextovodkaz"/>
            <w:rFonts w:cstheme="minorHAnsi"/>
          </w:rPr>
          <w:t>https://www.hzscr.cz/</w:t>
        </w:r>
      </w:hyperlink>
      <w:r w:rsidRPr="005735AE">
        <w:rPr>
          <w:rFonts w:cstheme="minorHAnsi"/>
        </w:rPr>
        <w:t xml:space="preserve"> </w:t>
      </w:r>
    </w:p>
  </w:footnote>
  <w:footnote w:id="68">
    <w:p w14:paraId="055F2C9F" w14:textId="77777777" w:rsidR="009F44B5" w:rsidRPr="007B2328" w:rsidRDefault="009F44B5" w:rsidP="009F44B5">
      <w:pPr>
        <w:pStyle w:val="Textpoznpodarou"/>
        <w:rPr>
          <w:rFonts w:cs="Calibri"/>
        </w:rPr>
      </w:pPr>
      <w:r w:rsidRPr="007B2328">
        <w:rPr>
          <w:rStyle w:val="Znakapoznpodarou"/>
          <w:rFonts w:cs="Calibri"/>
        </w:rPr>
        <w:footnoteRef/>
      </w:r>
      <w:r w:rsidRPr="007B2328">
        <w:rPr>
          <w:rFonts w:cs="Calibri"/>
        </w:rPr>
        <w:t xml:space="preserve"> Zdroj: Internetové stránky Zdravotnické záchranné služby Královéhradeckého kraje </w:t>
      </w:r>
      <w:hyperlink r:id="rId57" w:history="1">
        <w:r w:rsidRPr="007B2328">
          <w:rPr>
            <w:rStyle w:val="Hypertextovodkaz"/>
            <w:rFonts w:cs="Calibri"/>
          </w:rPr>
          <w:t>https://www.zzskhk.cz/</w:t>
        </w:r>
      </w:hyperlink>
      <w:r w:rsidRPr="007B2328">
        <w:rPr>
          <w:rFonts w:cs="Calibri"/>
        </w:rPr>
        <w:t xml:space="preserve"> </w:t>
      </w:r>
    </w:p>
  </w:footnote>
  <w:footnote w:id="69">
    <w:p w14:paraId="5979D38B" w14:textId="77777777" w:rsidR="0080665A" w:rsidRDefault="0080665A" w:rsidP="0080665A">
      <w:pPr>
        <w:pStyle w:val="Textpoznpodarou"/>
        <w:jc w:val="both"/>
      </w:pPr>
      <w:r w:rsidRPr="000344F8">
        <w:rPr>
          <w:rStyle w:val="Znakapoznpodarou"/>
        </w:rPr>
        <w:footnoteRef/>
      </w:r>
      <w:r w:rsidRPr="000344F8">
        <w:t xml:space="preserve"> Zdroj: </w:t>
      </w:r>
      <w:r>
        <w:t xml:space="preserve">Statut </w:t>
      </w:r>
      <w:r w:rsidRPr="004079E6">
        <w:t>MAS Království – Jestřebí hory, o.p.s.</w:t>
      </w:r>
      <w:r>
        <w:t xml:space="preserve"> </w:t>
      </w:r>
      <w:hyperlink r:id="rId58" w:history="1">
        <w:r w:rsidRPr="00A64C2E">
          <w:rPr>
            <w:rStyle w:val="Hypertextovodkaz"/>
          </w:rPr>
          <w:t>https://kjh.cz/uc/clanky/176/statut-mas-kjh-o-p-s-28-7-2020.pdf</w:t>
        </w:r>
      </w:hyperlink>
      <w:r>
        <w:t xml:space="preserve"> </w:t>
      </w:r>
    </w:p>
  </w:footnote>
  <w:footnote w:id="70">
    <w:p w14:paraId="72AF8413" w14:textId="7D387D7B" w:rsidR="00B019CE" w:rsidRDefault="00B019CE" w:rsidP="00FC3905">
      <w:pPr>
        <w:pStyle w:val="Textpoznpodarou"/>
        <w:jc w:val="both"/>
      </w:pPr>
      <w:r>
        <w:rPr>
          <w:rStyle w:val="Znakapoznpodarou"/>
        </w:rPr>
        <w:footnoteRef/>
      </w:r>
      <w:r>
        <w:t xml:space="preserve"> Zdroje: </w:t>
      </w:r>
      <w:bookmarkStart w:id="534" w:name="_Hlk31221381"/>
      <w:bookmarkStart w:id="535" w:name="_Hlk100603717"/>
      <w:r w:rsidRPr="00DB41A1">
        <w:t xml:space="preserve">Evidence územně plánovací činnosti obcí – Lokální aktualizační systém </w:t>
      </w:r>
      <w:r>
        <w:t>–</w:t>
      </w:r>
      <w:r w:rsidRPr="00DB41A1">
        <w:t xml:space="preserve"> iLAS</w:t>
      </w:r>
      <w:bookmarkEnd w:id="534"/>
      <w:bookmarkEnd w:id="535"/>
      <w:r w:rsidR="00FC3905">
        <w:t xml:space="preserve"> </w:t>
      </w:r>
      <w:hyperlink r:id="rId59" w:history="1">
        <w:r w:rsidR="00FC3905" w:rsidRPr="0071584A">
          <w:rPr>
            <w:rStyle w:val="Hypertextovodkaz"/>
          </w:rPr>
          <w:t>https://www.uur.cz/eupc/ilas</w:t>
        </w:r>
      </w:hyperlink>
      <w:r>
        <w:t xml:space="preserve">, </w:t>
      </w:r>
      <w:bookmarkStart w:id="536" w:name="_Hlk100603745"/>
      <w:r>
        <w:t xml:space="preserve">Územně plánovací dokumentace ORP na území Trutnov </w:t>
      </w:r>
      <w:bookmarkEnd w:id="536"/>
      <w:r w:rsidR="00347FCC">
        <w:fldChar w:fldCharType="begin"/>
      </w:r>
      <w:r w:rsidR="00347FCC">
        <w:instrText xml:space="preserve"> HYPERLINK "</w:instrText>
      </w:r>
      <w:r w:rsidR="00347FCC" w:rsidRPr="00347FCC">
        <w:instrText>http://upd.trutnov.cz/upd/stare-buky/</w:instrText>
      </w:r>
      <w:r w:rsidR="00347FCC">
        <w:instrText xml:space="preserve">" </w:instrText>
      </w:r>
      <w:r w:rsidR="00347FCC">
        <w:fldChar w:fldCharType="separate"/>
      </w:r>
      <w:r w:rsidR="00347FCC" w:rsidRPr="00B52C05">
        <w:rPr>
          <w:rStyle w:val="Hypertextovodkaz"/>
        </w:rPr>
        <w:t>http://upd.trutnov.cz/upd/stare-buky/</w:t>
      </w:r>
      <w:r w:rsidR="00347FCC">
        <w:fldChar w:fldCharType="end"/>
      </w:r>
      <w:r w:rsidR="00347FCC">
        <w:t xml:space="preserve">; </w:t>
      </w:r>
      <w:r w:rsidR="00347FCC" w:rsidRPr="00E92FFC">
        <w:t>Internetové stránky</w:t>
      </w:r>
      <w:r w:rsidR="00347FCC">
        <w:t xml:space="preserve"> obce Staré Buky </w:t>
      </w:r>
      <w:hyperlink r:id="rId60" w:history="1">
        <w:r w:rsidR="00347FCC" w:rsidRPr="00B52C05">
          <w:rPr>
            <w:rStyle w:val="Hypertextovodkaz"/>
          </w:rPr>
          <w:t>https://www.starebuky.cz/</w:t>
        </w:r>
      </w:hyperlink>
    </w:p>
  </w:footnote>
  <w:footnote w:id="71">
    <w:p w14:paraId="43F9B76F" w14:textId="77777777" w:rsidR="00973B0D" w:rsidRPr="0047083A" w:rsidRDefault="00973B0D" w:rsidP="00973B0D">
      <w:pPr>
        <w:pStyle w:val="Textpoznpodarou"/>
        <w:rPr>
          <w:rFonts w:cstheme="minorHAnsi"/>
        </w:rPr>
      </w:pPr>
      <w:r w:rsidRPr="0047083A">
        <w:rPr>
          <w:rStyle w:val="Znakapoznpodarou"/>
          <w:rFonts w:cstheme="minorHAnsi"/>
        </w:rPr>
        <w:footnoteRef/>
      </w:r>
      <w:r w:rsidRPr="0047083A">
        <w:rPr>
          <w:rFonts w:cstheme="minorHAnsi"/>
        </w:rPr>
        <w:t xml:space="preserve"> Blíže viz § 30 zákona č. 13/1997 Sb., o pozemních komunikacích</w:t>
      </w:r>
    </w:p>
  </w:footnote>
  <w:footnote w:id="72">
    <w:p w14:paraId="5DFF02ED" w14:textId="77777777" w:rsidR="00973B0D" w:rsidRDefault="00973B0D" w:rsidP="00973B0D">
      <w:pPr>
        <w:pStyle w:val="Textpoznpodarou"/>
      </w:pPr>
      <w:r>
        <w:rPr>
          <w:rStyle w:val="Znakapoznpodarou"/>
        </w:rPr>
        <w:footnoteRef/>
      </w:r>
      <w:r>
        <w:t xml:space="preserve"> Blíže viz § 8 zákona č. 266/1994 Sb., o dráhách</w:t>
      </w:r>
    </w:p>
  </w:footnote>
  <w:footnote w:id="73">
    <w:p w14:paraId="1B2023A1" w14:textId="77777777" w:rsidR="00973B0D" w:rsidRPr="0047083A" w:rsidRDefault="00973B0D" w:rsidP="00973B0D">
      <w:pPr>
        <w:pStyle w:val="Textpoznpodarou"/>
        <w:rPr>
          <w:rFonts w:cstheme="minorHAnsi"/>
        </w:rPr>
      </w:pPr>
      <w:r w:rsidRPr="0047083A">
        <w:rPr>
          <w:rStyle w:val="Znakapoznpodarou"/>
          <w:rFonts w:cstheme="minorHAnsi"/>
        </w:rPr>
        <w:footnoteRef/>
      </w:r>
      <w:r w:rsidRPr="0047083A">
        <w:rPr>
          <w:rFonts w:cstheme="minorHAnsi"/>
        </w:rPr>
        <w:t xml:space="preserve"> Blíže viz § 46 a § 68 zákona č. 458/2000 Sb. (energetický zákon)</w:t>
      </w:r>
    </w:p>
  </w:footnote>
  <w:footnote w:id="74">
    <w:p w14:paraId="3B038FAF" w14:textId="77777777" w:rsidR="00973B0D" w:rsidRPr="0047083A" w:rsidRDefault="00973B0D" w:rsidP="00973B0D">
      <w:pPr>
        <w:pStyle w:val="Textpoznpodarou"/>
        <w:rPr>
          <w:rFonts w:cstheme="minorHAnsi"/>
        </w:rPr>
      </w:pPr>
      <w:r w:rsidRPr="0047083A">
        <w:rPr>
          <w:rStyle w:val="Znakapoznpodarou"/>
          <w:rFonts w:cstheme="minorHAnsi"/>
        </w:rPr>
        <w:footnoteRef/>
      </w:r>
      <w:r w:rsidRPr="0047083A">
        <w:rPr>
          <w:rFonts w:cstheme="minorHAnsi"/>
        </w:rPr>
        <w:t xml:space="preserve"> Blíže viz § 23 zákona č. 274/2001 Sb. (zákon o vodovodech a kanalizacích)</w:t>
      </w:r>
    </w:p>
  </w:footnote>
  <w:footnote w:id="75">
    <w:p w14:paraId="12AC0F42" w14:textId="77777777" w:rsidR="00973B0D" w:rsidRPr="0047083A" w:rsidRDefault="00973B0D" w:rsidP="00973B0D">
      <w:pPr>
        <w:pStyle w:val="Textpoznpodarou"/>
        <w:rPr>
          <w:rFonts w:cstheme="minorHAnsi"/>
        </w:rPr>
      </w:pPr>
      <w:r w:rsidRPr="0047083A">
        <w:rPr>
          <w:rStyle w:val="Znakapoznpodarou"/>
          <w:rFonts w:cstheme="minorHAnsi"/>
        </w:rPr>
        <w:footnoteRef/>
      </w:r>
      <w:r w:rsidRPr="0047083A">
        <w:rPr>
          <w:rFonts w:cstheme="minorHAnsi"/>
        </w:rPr>
        <w:t xml:space="preserve"> Blíže viz § 102 a § 103 zákona č. 127/2005 Sb. (zákon o elektronických komunikacích)</w:t>
      </w:r>
    </w:p>
  </w:footnote>
  <w:footnote w:id="76">
    <w:p w14:paraId="6DD212EB" w14:textId="77777777" w:rsidR="00973B0D" w:rsidRPr="0047083A" w:rsidRDefault="00973B0D" w:rsidP="00973B0D">
      <w:pPr>
        <w:pStyle w:val="Textpoznpodarou"/>
        <w:rPr>
          <w:rFonts w:cstheme="minorHAnsi"/>
        </w:rPr>
      </w:pPr>
      <w:r w:rsidRPr="0047083A">
        <w:rPr>
          <w:rStyle w:val="Znakapoznpodarou"/>
          <w:rFonts w:cstheme="minorHAnsi"/>
        </w:rPr>
        <w:footnoteRef/>
      </w:r>
      <w:r w:rsidRPr="0047083A">
        <w:rPr>
          <w:rFonts w:cstheme="minorHAnsi"/>
        </w:rPr>
        <w:t xml:space="preserve"> Blíže viz zákon č. 334/1992 Sb., o ochraně zemědělského půdního fondu</w:t>
      </w:r>
    </w:p>
  </w:footnote>
  <w:footnote w:id="77">
    <w:p w14:paraId="2F2CA733" w14:textId="77777777" w:rsidR="00973B0D" w:rsidRDefault="00973B0D" w:rsidP="00973B0D">
      <w:pPr>
        <w:pStyle w:val="Textpoznpodarou"/>
      </w:pPr>
      <w:r w:rsidRPr="0047083A">
        <w:rPr>
          <w:rStyle w:val="Znakapoznpodarou"/>
          <w:rFonts w:cstheme="minorHAnsi"/>
        </w:rPr>
        <w:footnoteRef/>
      </w:r>
      <w:r w:rsidRPr="0047083A">
        <w:rPr>
          <w:rFonts w:cstheme="minorHAnsi"/>
        </w:rPr>
        <w:t xml:space="preserve"> Blíže viz § 17 zákona č. 20/1987 Sb., o státní památkové péči</w:t>
      </w:r>
    </w:p>
  </w:footnote>
  <w:footnote w:id="78">
    <w:p w14:paraId="5B576FED" w14:textId="77777777" w:rsidR="00C80509" w:rsidRPr="00322218" w:rsidRDefault="00C80509" w:rsidP="00A943D0">
      <w:pPr>
        <w:pStyle w:val="Textpoznpodarou"/>
        <w:rPr>
          <w:rFonts w:cs="Calibri"/>
        </w:rPr>
      </w:pPr>
      <w:r w:rsidRPr="00322218">
        <w:rPr>
          <w:rStyle w:val="Znakapoznpodarou"/>
          <w:rFonts w:cs="Calibri"/>
        </w:rPr>
        <w:footnoteRef/>
      </w:r>
      <w:r w:rsidRPr="00322218">
        <w:rPr>
          <w:rFonts w:cs="Calibri"/>
        </w:rPr>
        <w:t xml:space="preserve"> Zdroj: PERLÍN (2001): </w:t>
      </w:r>
      <w:r w:rsidRPr="00322218">
        <w:rPr>
          <w:rFonts w:eastAsia="RWXLTG+TimesNewRoman" w:cs="Calibri"/>
          <w:i/>
        </w:rPr>
        <w:t>Strategie rozvoje mikroregionu 4/5</w:t>
      </w:r>
      <w:r w:rsidRPr="00322218">
        <w:rPr>
          <w:rFonts w:eastAsia="RWXLTG+TimesNewRoman" w:cs="Calibri"/>
        </w:rPr>
        <w:t>. Geografické rozhledy, 10, č. 4, s. 105</w:t>
      </w:r>
    </w:p>
  </w:footnote>
  <w:footnote w:id="79">
    <w:p w14:paraId="446DC94A" w14:textId="77777777" w:rsidR="00C80509" w:rsidRDefault="00C80509" w:rsidP="00A943D0">
      <w:pPr>
        <w:pStyle w:val="Textpoznpodarou"/>
      </w:pPr>
      <w:r w:rsidRPr="00322218">
        <w:rPr>
          <w:rStyle w:val="Znakapoznpodarou"/>
          <w:rFonts w:cs="Calibri"/>
        </w:rPr>
        <w:footnoteRef/>
      </w:r>
      <w:r w:rsidRPr="00322218">
        <w:rPr>
          <w:rFonts w:cs="Calibri"/>
        </w:rPr>
        <w:t xml:space="preserve"> Zdroj a blíže viz: PŮČEK, M. a kol. (2013): Metodika strategického řízení pro meziobecní spolupráci, 40 s.</w:t>
      </w:r>
    </w:p>
  </w:footnote>
  <w:footnote w:id="80">
    <w:p w14:paraId="292CE480" w14:textId="77777777" w:rsidR="00B86EC0" w:rsidRPr="001D1DDD" w:rsidRDefault="00B86EC0" w:rsidP="00B86EC0">
      <w:pPr>
        <w:pStyle w:val="Textpoznpodarou"/>
        <w:jc w:val="both"/>
        <w:rPr>
          <w:rFonts w:cs="Calibri"/>
        </w:rPr>
      </w:pPr>
      <w:r w:rsidRPr="001D1DDD">
        <w:rPr>
          <w:rStyle w:val="Znakapoznpodarou"/>
          <w:rFonts w:eastAsia="TimesNewRoman" w:cs="Calibri"/>
        </w:rPr>
        <w:footnoteRef/>
      </w:r>
      <w:r w:rsidRPr="001D1DDD">
        <w:rPr>
          <w:rFonts w:cs="Calibri"/>
        </w:rPr>
        <w:t xml:space="preserve"> Zdroj: GaREP spol. s r.o., e-Rozvoj.cz, s.r.o. (2014): </w:t>
      </w:r>
      <w:r w:rsidRPr="001D1DDD">
        <w:rPr>
          <w:rFonts w:cs="Calibri"/>
          <w:i/>
        </w:rPr>
        <w:t xml:space="preserve">Metodika tvorby programu rozvoje obce. </w:t>
      </w:r>
      <w:r w:rsidRPr="001D1DDD">
        <w:rPr>
          <w:rFonts w:cs="Calibri"/>
        </w:rPr>
        <w:t xml:space="preserve">Ministerstvo </w:t>
      </w:r>
      <w:r w:rsidRPr="001D1DDD">
        <w:rPr>
          <w:rFonts w:cs="Calibri"/>
        </w:rPr>
        <w:br/>
        <w:t>pro místní rozvoj České republiky, finální verze, 72 s.</w:t>
      </w:r>
    </w:p>
  </w:footnote>
  <w:footnote w:id="81">
    <w:p w14:paraId="3A46BF44" w14:textId="77777777" w:rsidR="00B86EC0" w:rsidRDefault="00B86EC0" w:rsidP="00B86EC0">
      <w:pPr>
        <w:pStyle w:val="Textpoznpodarou"/>
      </w:pPr>
      <w:r>
        <w:rPr>
          <w:rStyle w:val="Znakapoznpodarou"/>
        </w:rPr>
        <w:footnoteRef/>
      </w:r>
      <w:r>
        <w:t xml:space="preserve"> Zdroj: Internetový portál Sociální bydlení </w:t>
      </w:r>
      <w:hyperlink r:id="rId61" w:history="1">
        <w:r w:rsidRPr="00925C86">
          <w:rPr>
            <w:rStyle w:val="Hypertextovodkaz"/>
          </w:rPr>
          <w:t>http://socialnibydleni.mpsv.cz/cs/</w:t>
        </w:r>
      </w:hyperlink>
      <w:r>
        <w:t xml:space="preserve"> </w:t>
      </w:r>
    </w:p>
  </w:footnote>
  <w:footnote w:id="82">
    <w:p w14:paraId="47247975" w14:textId="77777777" w:rsidR="00B86EC0" w:rsidRPr="00B86EC0" w:rsidRDefault="00B86EC0" w:rsidP="00B86EC0">
      <w:pPr>
        <w:pStyle w:val="Textpoznpodarou"/>
        <w:jc w:val="both"/>
        <w:rPr>
          <w:rFonts w:cs="Calibri"/>
        </w:rPr>
      </w:pPr>
      <w:r>
        <w:rPr>
          <w:rStyle w:val="Znakapoznpodarou"/>
        </w:rPr>
        <w:footnoteRef/>
      </w:r>
      <w:r>
        <w:t xml:space="preserve"> Zdroj: </w:t>
      </w:r>
      <w:r w:rsidRPr="00B86EC0">
        <w:rPr>
          <w:rFonts w:cs="Calibri"/>
        </w:rPr>
        <w:t xml:space="preserve">Internetové stránky encyklopedie Wikipedia </w:t>
      </w:r>
      <w:hyperlink r:id="rId62" w:history="1">
        <w:r w:rsidRPr="00B86EC0">
          <w:rPr>
            <w:rStyle w:val="Hypertextovodkaz"/>
            <w:rFonts w:cs="Calibri"/>
          </w:rPr>
          <w:t>https://cs.wikipedia.org/</w:t>
        </w:r>
      </w:hyperlink>
      <w:r w:rsidRPr="00B86EC0">
        <w:rPr>
          <w:rFonts w:cs="Calibri"/>
        </w:rPr>
        <w:t>, PAVLIŠOVÁ, P. (2015): Technicko-ekonomické řešení startovacího nájemného bydlení. Diplomová práce. Katedra ekonomiky a řízení ve stavebnictví Stavební fakulty Českého vysokého učení technického v Praze, Praha, 73 s.</w:t>
      </w:r>
    </w:p>
  </w:footnote>
  <w:footnote w:id="83">
    <w:p w14:paraId="02AB8C9B" w14:textId="77777777" w:rsidR="00962D34" w:rsidRPr="005A7B68" w:rsidRDefault="00962D34" w:rsidP="00962D34">
      <w:pPr>
        <w:pStyle w:val="Textpoznpodarou"/>
        <w:jc w:val="both"/>
        <w:rPr>
          <w:rFonts w:cs="Calibri"/>
        </w:rPr>
      </w:pPr>
      <w:r w:rsidRPr="005A7B68">
        <w:rPr>
          <w:rStyle w:val="Znakapoznpodarou"/>
          <w:rFonts w:cs="Calibri"/>
        </w:rPr>
        <w:footnoteRef/>
      </w:r>
      <w:r w:rsidRPr="005A7B68">
        <w:rPr>
          <w:rFonts w:cs="Calibri"/>
        </w:rPr>
        <w:t xml:space="preserve"> Zdroj: GaREP spol. s r.o., e-Rozvoj.cz, s.r.o. (2013): Metodika tvorby programu rozvoje obce. Ministerstvo </w:t>
      </w:r>
      <w:r w:rsidRPr="005A7B68">
        <w:rPr>
          <w:rFonts w:cs="Calibri"/>
        </w:rPr>
        <w:br/>
        <w:t>pro místní rozvoj České republiky, 70 s.</w:t>
      </w:r>
    </w:p>
  </w:footnote>
  <w:footnote w:id="84">
    <w:p w14:paraId="5DE07FED" w14:textId="77777777" w:rsidR="00837905" w:rsidRPr="00A14622" w:rsidRDefault="00837905" w:rsidP="00837905">
      <w:pPr>
        <w:pStyle w:val="Textpoznpodarou"/>
        <w:jc w:val="both"/>
        <w:rPr>
          <w:rFonts w:cs="Calibri"/>
        </w:rPr>
      </w:pPr>
      <w:r w:rsidRPr="00A14622">
        <w:rPr>
          <w:rStyle w:val="Znakapoznpodarou"/>
          <w:rFonts w:cs="Calibri"/>
        </w:rPr>
        <w:footnoteRef/>
      </w:r>
      <w:r w:rsidRPr="00A14622">
        <w:rPr>
          <w:rFonts w:cs="Calibri"/>
        </w:rPr>
        <w:t xml:space="preserve"> Zdroj a blíže viz: Metodika přípravy veřejných strategií, ve znění aktualizace z prosince 2018. MMR, 103 s., dostupná z: </w:t>
      </w:r>
      <w:hyperlink r:id="rId63" w:history="1">
        <w:r w:rsidRPr="00A14622">
          <w:rPr>
            <w:rStyle w:val="Hypertextovodkaz"/>
            <w:rFonts w:cs="Calibri"/>
          </w:rPr>
          <w:t>https://www.mmr.cz/getmedia/70d00bf5-cec5-4ddd-9309-a3f54c216ea8/Metodika-pripravy-verejnych-strategii-plna-verze_1.pdf.aspx?ext=.pdf</w:t>
        </w:r>
      </w:hyperlink>
      <w:r w:rsidRPr="00A14622">
        <w:rPr>
          <w:rFonts w:cs="Calibri"/>
        </w:rPr>
        <w:t xml:space="preserve"> </w:t>
      </w:r>
    </w:p>
  </w:footnote>
  <w:footnote w:id="85">
    <w:p w14:paraId="08988C8E" w14:textId="77777777" w:rsidR="00837905" w:rsidRPr="00A14622" w:rsidRDefault="00837905" w:rsidP="00837905">
      <w:pPr>
        <w:pStyle w:val="Textpoznpodarou"/>
        <w:jc w:val="both"/>
        <w:rPr>
          <w:rFonts w:cs="Calibri"/>
        </w:rPr>
      </w:pPr>
      <w:r w:rsidRPr="00A14622">
        <w:rPr>
          <w:rStyle w:val="Znakapoznpodarou"/>
          <w:rFonts w:eastAsia="RWXLTG+TimesNewRoman" w:cs="Calibri"/>
        </w:rPr>
        <w:footnoteRef/>
      </w:r>
      <w:r w:rsidRPr="00A14622">
        <w:rPr>
          <w:rFonts w:cs="Calibri"/>
        </w:rPr>
        <w:t xml:space="preserve"> Zdroj: GaREP spol. s r.o., e-Rozvoj.cz, s.r.o. (2014): Metodika tvorby programu rozvoje obce. Ministerstvo </w:t>
      </w:r>
      <w:r w:rsidRPr="00A14622">
        <w:rPr>
          <w:rFonts w:cs="Calibri"/>
        </w:rPr>
        <w:br/>
        <w:t>pro místní rozvoj České republiky, 72 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3F995" w14:textId="0ED6171A" w:rsidR="00C80509" w:rsidRDefault="00C80509">
    <w:pPr>
      <w:pStyle w:val="Zpat"/>
    </w:pPr>
    <w:r>
      <w:t xml:space="preserve">Program rozvoje </w:t>
    </w:r>
    <w:r w:rsidRPr="00B9456E">
      <w:t xml:space="preserve">obce </w:t>
    </w:r>
    <w:r w:rsidR="00A474F8">
      <w:t>Staré Buky</w:t>
    </w:r>
    <w:r w:rsidRPr="00B9456E">
      <w:t xml:space="preserve"> na období </w:t>
    </w:r>
    <w:r>
      <w:t xml:space="preserve">let </w:t>
    </w:r>
    <w:r w:rsidRPr="00B9456E">
      <w:t>20</w:t>
    </w:r>
    <w:r>
      <w:t>2</w:t>
    </w:r>
    <w:r w:rsidR="00A474F8">
      <w:t>2</w:t>
    </w:r>
    <w:r w:rsidRPr="00B9456E">
      <w:t>-20</w:t>
    </w:r>
    <w:r w:rsidR="00E84FCD">
      <w:t>3</w:t>
    </w:r>
    <w:r w:rsidR="00A474F8">
      <w:t>1</w:t>
    </w:r>
    <w:r w:rsidRPr="00B9456E">
      <w:t xml:space="preserve"> – Obsah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B6705" w14:textId="3550002C" w:rsidR="00C80509" w:rsidRDefault="00A474F8">
    <w:pPr>
      <w:pStyle w:val="Zpat"/>
    </w:pPr>
    <w:r>
      <w:t xml:space="preserve">Program rozvoje </w:t>
    </w:r>
    <w:r w:rsidRPr="00B9456E">
      <w:t xml:space="preserve">obce </w:t>
    </w:r>
    <w:r>
      <w:t>Staré Buky</w:t>
    </w:r>
    <w:r w:rsidRPr="00B9456E">
      <w:t xml:space="preserve"> na období </w:t>
    </w:r>
    <w:r>
      <w:t xml:space="preserve">let </w:t>
    </w:r>
    <w:r w:rsidRPr="00B9456E">
      <w:t>20</w:t>
    </w:r>
    <w:r>
      <w:t>22</w:t>
    </w:r>
    <w:r w:rsidRPr="00B9456E">
      <w:t>-20</w:t>
    </w:r>
    <w:r>
      <w:t>31</w:t>
    </w:r>
    <w:r w:rsidR="00C80509" w:rsidRPr="00B9456E">
      <w:t xml:space="preserve"> </w:t>
    </w:r>
    <w:r w:rsidR="00C80509">
      <w:t>– Úvod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BFDBD" w14:textId="75E9A678" w:rsidR="00C80509" w:rsidRDefault="00A91624">
    <w:pPr>
      <w:pStyle w:val="Zhlav"/>
    </w:pPr>
    <w:r>
      <w:t xml:space="preserve">Program rozvoje </w:t>
    </w:r>
    <w:r w:rsidRPr="00B9456E">
      <w:t xml:space="preserve">obce </w:t>
    </w:r>
    <w:r>
      <w:t>Staré Buky</w:t>
    </w:r>
    <w:r w:rsidRPr="00B9456E">
      <w:t xml:space="preserve"> na období </w:t>
    </w:r>
    <w:r>
      <w:t xml:space="preserve">let </w:t>
    </w:r>
    <w:r w:rsidRPr="00B9456E">
      <w:t>20</w:t>
    </w:r>
    <w:r>
      <w:t>22</w:t>
    </w:r>
    <w:r w:rsidRPr="00B9456E">
      <w:t>-20</w:t>
    </w:r>
    <w:r>
      <w:t>31</w:t>
    </w:r>
    <w:r w:rsidR="00C80509" w:rsidRPr="00B9456E">
      <w:t xml:space="preserve"> </w:t>
    </w:r>
    <w:r w:rsidR="00C80509">
      <w:t>– Analytická část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00D0" w14:textId="77777777" w:rsidR="00B86EC0" w:rsidRDefault="00B86EC0">
    <w:pPr>
      <w:pStyle w:val="Zhlav"/>
    </w:pPr>
    <w:r>
      <w:t xml:space="preserve">Program rozvoje </w:t>
    </w:r>
    <w:r w:rsidRPr="00B9456E">
      <w:t xml:space="preserve">obce </w:t>
    </w:r>
    <w:r>
      <w:t>Staré Buky</w:t>
    </w:r>
    <w:r w:rsidRPr="00B9456E">
      <w:t xml:space="preserve"> na období </w:t>
    </w:r>
    <w:r>
      <w:t xml:space="preserve">let </w:t>
    </w:r>
    <w:r w:rsidRPr="00B9456E">
      <w:t>20</w:t>
    </w:r>
    <w:r>
      <w:t>22</w:t>
    </w:r>
    <w:r w:rsidRPr="00B9456E">
      <w:t>-20</w:t>
    </w:r>
    <w:r>
      <w:t>31</w:t>
    </w:r>
    <w:r w:rsidRPr="00B9456E">
      <w:t xml:space="preserve"> </w:t>
    </w:r>
    <w:r>
      <w:t>– Strategická část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173A" w14:textId="77777777" w:rsidR="008F6153" w:rsidRDefault="00000000">
    <w:pPr>
      <w:pStyle w:val="Zhlav"/>
    </w:pPr>
    <w:r>
      <w:t xml:space="preserve">Program rozvoje </w:t>
    </w:r>
    <w:r w:rsidRPr="00B9456E">
      <w:t xml:space="preserve">obce </w:t>
    </w:r>
    <w:r>
      <w:t>Staré Buky</w:t>
    </w:r>
    <w:r w:rsidRPr="00B9456E">
      <w:t xml:space="preserve"> na období </w:t>
    </w:r>
    <w:r>
      <w:t xml:space="preserve">let </w:t>
    </w:r>
    <w:r w:rsidRPr="00B9456E">
      <w:t>20</w:t>
    </w:r>
    <w:r>
      <w:t>22</w:t>
    </w:r>
    <w:r w:rsidRPr="00B9456E">
      <w:t>-20</w:t>
    </w:r>
    <w:r>
      <w:t>31</w:t>
    </w:r>
    <w:r w:rsidRPr="00B9456E">
      <w:t xml:space="preserve"> </w:t>
    </w:r>
    <w:r>
      <w:t>– Akční plán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D4D0" w14:textId="77777777" w:rsidR="00837905" w:rsidRDefault="00837905" w:rsidP="00FC3169">
    <w:pPr>
      <w:pStyle w:val="Zhlav"/>
    </w:pPr>
    <w:r>
      <w:t xml:space="preserve">Program rozvoje </w:t>
    </w:r>
    <w:r w:rsidRPr="00B9456E">
      <w:t xml:space="preserve">obce </w:t>
    </w:r>
    <w:r>
      <w:t>Staré Buky</w:t>
    </w:r>
    <w:r w:rsidRPr="00B9456E">
      <w:t xml:space="preserve"> na období </w:t>
    </w:r>
    <w:r>
      <w:t xml:space="preserve">let </w:t>
    </w:r>
    <w:r w:rsidRPr="00B9456E">
      <w:t>20</w:t>
    </w:r>
    <w:r>
      <w:t>22</w:t>
    </w:r>
    <w:r w:rsidRPr="00B9456E">
      <w:t>-20</w:t>
    </w:r>
    <w:r>
      <w:t xml:space="preserve">31 </w:t>
    </w:r>
    <w:r w:rsidRPr="00B9456E">
      <w:t>–</w:t>
    </w:r>
    <w:r>
      <w:t xml:space="preserve"> Implementační část</w:t>
    </w:r>
  </w:p>
  <w:p w14:paraId="5475165D" w14:textId="77777777" w:rsidR="00837905" w:rsidRPr="000B7967" w:rsidRDefault="00837905" w:rsidP="00FC3169">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D053C" w14:textId="7B63502B" w:rsidR="00837905" w:rsidRDefault="00837905" w:rsidP="00FC3169">
    <w:pPr>
      <w:pStyle w:val="Zhlav"/>
    </w:pPr>
    <w:r>
      <w:t xml:space="preserve">Program rozvoje </w:t>
    </w:r>
    <w:r w:rsidRPr="00B9456E">
      <w:t xml:space="preserve">obce </w:t>
    </w:r>
    <w:r>
      <w:t>Staré Buky</w:t>
    </w:r>
    <w:r w:rsidRPr="00B9456E">
      <w:t xml:space="preserve"> na období </w:t>
    </w:r>
    <w:r>
      <w:t xml:space="preserve">let </w:t>
    </w:r>
    <w:r w:rsidRPr="00B9456E">
      <w:t>20</w:t>
    </w:r>
    <w:r>
      <w:t>22</w:t>
    </w:r>
    <w:r w:rsidRPr="00B9456E">
      <w:t>-20</w:t>
    </w:r>
    <w:r>
      <w:t xml:space="preserve">31 </w:t>
    </w:r>
    <w:r w:rsidRPr="00B9456E">
      <w:t>–</w:t>
    </w:r>
    <w:r>
      <w:t xml:space="preserve"> </w:t>
    </w:r>
    <w:r w:rsidR="00364201">
      <w:t>Přílohy</w:t>
    </w:r>
  </w:p>
  <w:p w14:paraId="738E9A66" w14:textId="77777777" w:rsidR="00837905" w:rsidRPr="000B7967" w:rsidRDefault="00837905" w:rsidP="00FC3169">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97B9" w14:textId="77777777" w:rsidR="008F6153" w:rsidRDefault="00000000">
    <w:pPr>
      <w:pStyle w:val="Zhlav"/>
    </w:pPr>
    <w:r>
      <w:t xml:space="preserve">Program rozvoje </w:t>
    </w:r>
    <w:r w:rsidRPr="00B9456E">
      <w:t xml:space="preserve">obce </w:t>
    </w:r>
    <w:r>
      <w:t>Staré Buky</w:t>
    </w:r>
    <w:r w:rsidRPr="00B9456E">
      <w:t xml:space="preserve"> na období </w:t>
    </w:r>
    <w:r>
      <w:t xml:space="preserve">let </w:t>
    </w:r>
    <w:r w:rsidRPr="00B9456E">
      <w:t>20</w:t>
    </w:r>
    <w:r>
      <w:t>22</w:t>
    </w:r>
    <w:r w:rsidRPr="00B9456E">
      <w:t>-20</w:t>
    </w:r>
    <w:r>
      <w:t>31</w:t>
    </w:r>
    <w:r w:rsidRPr="00B9456E">
      <w:t xml:space="preserve"> </w:t>
    </w:r>
    <w:r>
      <w:t xml:space="preserve">– </w:t>
    </w:r>
    <w:r>
      <w:t>Přílohy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1B02"/>
    <w:multiLevelType w:val="hybridMultilevel"/>
    <w:tmpl w:val="C8B6A6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2B7ABA"/>
    <w:multiLevelType w:val="hybridMultilevel"/>
    <w:tmpl w:val="6416FF42"/>
    <w:lvl w:ilvl="0" w:tplc="0405000F">
      <w:start w:val="1"/>
      <w:numFmt w:val="decimal"/>
      <w:lvlText w:val="%1."/>
      <w:lvlJc w:val="left"/>
      <w:pPr>
        <w:ind w:left="1353"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109B2D6D"/>
    <w:multiLevelType w:val="hybridMultilevel"/>
    <w:tmpl w:val="DEB6664C"/>
    <w:lvl w:ilvl="0" w:tplc="0405000B">
      <w:start w:val="1"/>
      <w:numFmt w:val="bullet"/>
      <w:lvlText w:val=""/>
      <w:lvlJc w:val="left"/>
      <w:pPr>
        <w:ind w:left="768" w:hanging="360"/>
      </w:pPr>
      <w:rPr>
        <w:rFonts w:ascii="Wingdings" w:hAnsi="Wingdings"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3" w15:restartNumberingAfterBreak="0">
    <w:nsid w:val="10ED7DFE"/>
    <w:multiLevelType w:val="hybridMultilevel"/>
    <w:tmpl w:val="0F74432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882F38"/>
    <w:multiLevelType w:val="hybridMultilevel"/>
    <w:tmpl w:val="72BCF0B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88E2F6A"/>
    <w:multiLevelType w:val="hybridMultilevel"/>
    <w:tmpl w:val="6CFC9E7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98F32BC"/>
    <w:multiLevelType w:val="hybridMultilevel"/>
    <w:tmpl w:val="A3BC05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D673F33"/>
    <w:multiLevelType w:val="hybridMultilevel"/>
    <w:tmpl w:val="3140DE4C"/>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3">
      <w:start w:val="1"/>
      <w:numFmt w:val="bullet"/>
      <w:lvlText w:val="o"/>
      <w:lvlJc w:val="left"/>
      <w:pPr>
        <w:ind w:left="1440" w:hanging="360"/>
      </w:pPr>
      <w:rPr>
        <w:rFonts w:ascii="Courier New" w:hAnsi="Courier New" w:cs="Courier New"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0A22D5C"/>
    <w:multiLevelType w:val="hybridMultilevel"/>
    <w:tmpl w:val="048A5E5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99321F5"/>
    <w:multiLevelType w:val="hybridMultilevel"/>
    <w:tmpl w:val="F8A6B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6CA1A39"/>
    <w:multiLevelType w:val="hybridMultilevel"/>
    <w:tmpl w:val="680CF2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9315811"/>
    <w:multiLevelType w:val="hybridMultilevel"/>
    <w:tmpl w:val="F7FC1CA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D187B0E"/>
    <w:multiLevelType w:val="hybridMultilevel"/>
    <w:tmpl w:val="1BC810F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2FC5C36"/>
    <w:multiLevelType w:val="hybridMultilevel"/>
    <w:tmpl w:val="EB444E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3622D76"/>
    <w:multiLevelType w:val="hybridMultilevel"/>
    <w:tmpl w:val="6C2E9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39C4B48"/>
    <w:multiLevelType w:val="hybridMultilevel"/>
    <w:tmpl w:val="A2CC1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9513CA4"/>
    <w:multiLevelType w:val="hybridMultilevel"/>
    <w:tmpl w:val="DD5E13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03653D3"/>
    <w:multiLevelType w:val="hybridMultilevel"/>
    <w:tmpl w:val="CCD475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5827342"/>
    <w:multiLevelType w:val="hybridMultilevel"/>
    <w:tmpl w:val="2EE204E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BB425E8"/>
    <w:multiLevelType w:val="hybridMultilevel"/>
    <w:tmpl w:val="039A625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BDB10EC"/>
    <w:multiLevelType w:val="hybridMultilevel"/>
    <w:tmpl w:val="9202C25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6AC08EC"/>
    <w:multiLevelType w:val="hybridMultilevel"/>
    <w:tmpl w:val="E92CE22E"/>
    <w:lvl w:ilvl="0" w:tplc="0405000B">
      <w:start w:val="1"/>
      <w:numFmt w:val="bullet"/>
      <w:lvlText w:val=""/>
      <w:lvlJc w:val="left"/>
      <w:pPr>
        <w:ind w:left="3600" w:hanging="360"/>
      </w:pPr>
      <w:rPr>
        <w:rFonts w:ascii="Wingdings" w:hAnsi="Wingdings" w:hint="default"/>
      </w:rPr>
    </w:lvl>
    <w:lvl w:ilvl="1" w:tplc="04050003">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22" w15:restartNumberingAfterBreak="0">
    <w:nsid w:val="7CC1451A"/>
    <w:multiLevelType w:val="hybridMultilevel"/>
    <w:tmpl w:val="A270385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DBA0E71"/>
    <w:multiLevelType w:val="hybridMultilevel"/>
    <w:tmpl w:val="542CB61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05913813">
    <w:abstractNumId w:val="1"/>
  </w:num>
  <w:num w:numId="2" w16cid:durableId="1856387036">
    <w:abstractNumId w:val="8"/>
  </w:num>
  <w:num w:numId="3" w16cid:durableId="445196461">
    <w:abstractNumId w:val="12"/>
  </w:num>
  <w:num w:numId="4" w16cid:durableId="809324333">
    <w:abstractNumId w:val="5"/>
  </w:num>
  <w:num w:numId="5" w16cid:durableId="1792213090">
    <w:abstractNumId w:val="17"/>
  </w:num>
  <w:num w:numId="6" w16cid:durableId="1653023001">
    <w:abstractNumId w:val="6"/>
  </w:num>
  <w:num w:numId="7" w16cid:durableId="170265285">
    <w:abstractNumId w:val="16"/>
  </w:num>
  <w:num w:numId="8" w16cid:durableId="1365180651">
    <w:abstractNumId w:val="10"/>
  </w:num>
  <w:num w:numId="9" w16cid:durableId="133524095">
    <w:abstractNumId w:val="18"/>
  </w:num>
  <w:num w:numId="10" w16cid:durableId="1856462012">
    <w:abstractNumId w:val="23"/>
  </w:num>
  <w:num w:numId="11" w16cid:durableId="710150363">
    <w:abstractNumId w:val="4"/>
  </w:num>
  <w:num w:numId="12" w16cid:durableId="971441260">
    <w:abstractNumId w:val="0"/>
  </w:num>
  <w:num w:numId="13" w16cid:durableId="43332561">
    <w:abstractNumId w:val="11"/>
  </w:num>
  <w:num w:numId="14" w16cid:durableId="620576954">
    <w:abstractNumId w:val="3"/>
  </w:num>
  <w:num w:numId="15" w16cid:durableId="1720127391">
    <w:abstractNumId w:val="7"/>
  </w:num>
  <w:num w:numId="16" w16cid:durableId="2141923212">
    <w:abstractNumId w:val="21"/>
  </w:num>
  <w:num w:numId="17" w16cid:durableId="1134178076">
    <w:abstractNumId w:val="2"/>
  </w:num>
  <w:num w:numId="18" w16cid:durableId="1011486829">
    <w:abstractNumId w:val="20"/>
  </w:num>
  <w:num w:numId="19" w16cid:durableId="643851336">
    <w:abstractNumId w:val="13"/>
  </w:num>
  <w:num w:numId="20" w16cid:durableId="1883471323">
    <w:abstractNumId w:val="15"/>
  </w:num>
  <w:num w:numId="21" w16cid:durableId="408112587">
    <w:abstractNumId w:val="14"/>
  </w:num>
  <w:num w:numId="22" w16cid:durableId="390885864">
    <w:abstractNumId w:val="9"/>
  </w:num>
  <w:num w:numId="23" w16cid:durableId="1899314965">
    <w:abstractNumId w:val="22"/>
  </w:num>
  <w:num w:numId="24" w16cid:durableId="1024281038">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lickAndTypeStyle w:val="Vkldntextu"/>
  <w:drawingGridHorizontalSpacing w:val="110"/>
  <w:displayHorizontalDrawingGridEvery w:val="2"/>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E68B0"/>
    <w:rsid w:val="00000011"/>
    <w:rsid w:val="00000BDD"/>
    <w:rsid w:val="00000C51"/>
    <w:rsid w:val="00000D7F"/>
    <w:rsid w:val="00000DDA"/>
    <w:rsid w:val="00000E83"/>
    <w:rsid w:val="000011E4"/>
    <w:rsid w:val="000012C3"/>
    <w:rsid w:val="000017A2"/>
    <w:rsid w:val="00001A00"/>
    <w:rsid w:val="00001B4D"/>
    <w:rsid w:val="000022A3"/>
    <w:rsid w:val="000027E0"/>
    <w:rsid w:val="00002808"/>
    <w:rsid w:val="00002A73"/>
    <w:rsid w:val="00002C1D"/>
    <w:rsid w:val="00002F8C"/>
    <w:rsid w:val="00003669"/>
    <w:rsid w:val="00003C0A"/>
    <w:rsid w:val="00003DA7"/>
    <w:rsid w:val="00004066"/>
    <w:rsid w:val="000045B3"/>
    <w:rsid w:val="00004BA0"/>
    <w:rsid w:val="0000548D"/>
    <w:rsid w:val="000056B7"/>
    <w:rsid w:val="000057AD"/>
    <w:rsid w:val="00005E44"/>
    <w:rsid w:val="0000611D"/>
    <w:rsid w:val="00006175"/>
    <w:rsid w:val="00006294"/>
    <w:rsid w:val="0000639E"/>
    <w:rsid w:val="00006413"/>
    <w:rsid w:val="0000666C"/>
    <w:rsid w:val="000066CB"/>
    <w:rsid w:val="00006983"/>
    <w:rsid w:val="00007314"/>
    <w:rsid w:val="00007DA7"/>
    <w:rsid w:val="00007E14"/>
    <w:rsid w:val="00010201"/>
    <w:rsid w:val="00010810"/>
    <w:rsid w:val="00010822"/>
    <w:rsid w:val="0001093E"/>
    <w:rsid w:val="00010B41"/>
    <w:rsid w:val="00010F07"/>
    <w:rsid w:val="00011729"/>
    <w:rsid w:val="0001189B"/>
    <w:rsid w:val="00011DD6"/>
    <w:rsid w:val="00011F6D"/>
    <w:rsid w:val="000120D3"/>
    <w:rsid w:val="000121F4"/>
    <w:rsid w:val="000128ED"/>
    <w:rsid w:val="00012C88"/>
    <w:rsid w:val="00012D2C"/>
    <w:rsid w:val="00012D39"/>
    <w:rsid w:val="00012E1C"/>
    <w:rsid w:val="000135A5"/>
    <w:rsid w:val="00013BF6"/>
    <w:rsid w:val="00013D62"/>
    <w:rsid w:val="00014721"/>
    <w:rsid w:val="000148C3"/>
    <w:rsid w:val="00014C79"/>
    <w:rsid w:val="00014F64"/>
    <w:rsid w:val="00015142"/>
    <w:rsid w:val="0001568D"/>
    <w:rsid w:val="0001587B"/>
    <w:rsid w:val="00016DD4"/>
    <w:rsid w:val="00017249"/>
    <w:rsid w:val="0001771A"/>
    <w:rsid w:val="00017B48"/>
    <w:rsid w:val="00017BD4"/>
    <w:rsid w:val="000201E5"/>
    <w:rsid w:val="00020892"/>
    <w:rsid w:val="00020B67"/>
    <w:rsid w:val="00020F4B"/>
    <w:rsid w:val="00020F9B"/>
    <w:rsid w:val="00021166"/>
    <w:rsid w:val="00021906"/>
    <w:rsid w:val="00021E39"/>
    <w:rsid w:val="000221C5"/>
    <w:rsid w:val="0002349E"/>
    <w:rsid w:val="00023566"/>
    <w:rsid w:val="000237D1"/>
    <w:rsid w:val="0002425C"/>
    <w:rsid w:val="0002464C"/>
    <w:rsid w:val="0002559B"/>
    <w:rsid w:val="000255B0"/>
    <w:rsid w:val="000255F8"/>
    <w:rsid w:val="00025F12"/>
    <w:rsid w:val="00025F8B"/>
    <w:rsid w:val="00026F9D"/>
    <w:rsid w:val="00027385"/>
    <w:rsid w:val="000278E4"/>
    <w:rsid w:val="00027BA9"/>
    <w:rsid w:val="00030632"/>
    <w:rsid w:val="000307DD"/>
    <w:rsid w:val="0003090D"/>
    <w:rsid w:val="0003132F"/>
    <w:rsid w:val="00031385"/>
    <w:rsid w:val="00031452"/>
    <w:rsid w:val="0003156A"/>
    <w:rsid w:val="000317B2"/>
    <w:rsid w:val="00031C36"/>
    <w:rsid w:val="00031E08"/>
    <w:rsid w:val="00032237"/>
    <w:rsid w:val="00032286"/>
    <w:rsid w:val="000323CE"/>
    <w:rsid w:val="000323E5"/>
    <w:rsid w:val="00032D4A"/>
    <w:rsid w:val="00032FE4"/>
    <w:rsid w:val="00033384"/>
    <w:rsid w:val="0003405D"/>
    <w:rsid w:val="00034AD7"/>
    <w:rsid w:val="00034B88"/>
    <w:rsid w:val="00034CE0"/>
    <w:rsid w:val="000350EF"/>
    <w:rsid w:val="0003511D"/>
    <w:rsid w:val="00035207"/>
    <w:rsid w:val="00035607"/>
    <w:rsid w:val="0003581B"/>
    <w:rsid w:val="00035BB0"/>
    <w:rsid w:val="00035CAF"/>
    <w:rsid w:val="00035CFE"/>
    <w:rsid w:val="00035F5D"/>
    <w:rsid w:val="000361F7"/>
    <w:rsid w:val="00036353"/>
    <w:rsid w:val="000365BA"/>
    <w:rsid w:val="0003680B"/>
    <w:rsid w:val="000369E3"/>
    <w:rsid w:val="0003702B"/>
    <w:rsid w:val="000372BF"/>
    <w:rsid w:val="00037B61"/>
    <w:rsid w:val="00037C78"/>
    <w:rsid w:val="00037CB7"/>
    <w:rsid w:val="000404B1"/>
    <w:rsid w:val="000404EE"/>
    <w:rsid w:val="000408E5"/>
    <w:rsid w:val="00040B23"/>
    <w:rsid w:val="00040CEB"/>
    <w:rsid w:val="00041134"/>
    <w:rsid w:val="000412A7"/>
    <w:rsid w:val="0004134F"/>
    <w:rsid w:val="000417FE"/>
    <w:rsid w:val="00041989"/>
    <w:rsid w:val="00041A31"/>
    <w:rsid w:val="00041AF3"/>
    <w:rsid w:val="00041D06"/>
    <w:rsid w:val="00042D94"/>
    <w:rsid w:val="000431AB"/>
    <w:rsid w:val="00043451"/>
    <w:rsid w:val="00043CE4"/>
    <w:rsid w:val="00043DFB"/>
    <w:rsid w:val="00043F40"/>
    <w:rsid w:val="00044077"/>
    <w:rsid w:val="00045256"/>
    <w:rsid w:val="00045437"/>
    <w:rsid w:val="0004597D"/>
    <w:rsid w:val="00045F6B"/>
    <w:rsid w:val="000463AB"/>
    <w:rsid w:val="00046744"/>
    <w:rsid w:val="00047E4A"/>
    <w:rsid w:val="000505BC"/>
    <w:rsid w:val="00050684"/>
    <w:rsid w:val="0005098F"/>
    <w:rsid w:val="00050E69"/>
    <w:rsid w:val="0005155E"/>
    <w:rsid w:val="0005167A"/>
    <w:rsid w:val="00051AD7"/>
    <w:rsid w:val="00051CD4"/>
    <w:rsid w:val="00051CEE"/>
    <w:rsid w:val="00051FA4"/>
    <w:rsid w:val="00052124"/>
    <w:rsid w:val="00052AA9"/>
    <w:rsid w:val="000534FC"/>
    <w:rsid w:val="00053D0D"/>
    <w:rsid w:val="00053E17"/>
    <w:rsid w:val="00053F6D"/>
    <w:rsid w:val="0005411B"/>
    <w:rsid w:val="00054695"/>
    <w:rsid w:val="00054BFC"/>
    <w:rsid w:val="00054EF1"/>
    <w:rsid w:val="000550C2"/>
    <w:rsid w:val="000556DA"/>
    <w:rsid w:val="00055D9F"/>
    <w:rsid w:val="00055E71"/>
    <w:rsid w:val="000560DC"/>
    <w:rsid w:val="0005613F"/>
    <w:rsid w:val="000564F8"/>
    <w:rsid w:val="000575F9"/>
    <w:rsid w:val="000579F9"/>
    <w:rsid w:val="00060160"/>
    <w:rsid w:val="000601A1"/>
    <w:rsid w:val="000602C7"/>
    <w:rsid w:val="00060506"/>
    <w:rsid w:val="00060F39"/>
    <w:rsid w:val="0006157E"/>
    <w:rsid w:val="00061ABB"/>
    <w:rsid w:val="000624F1"/>
    <w:rsid w:val="00062C99"/>
    <w:rsid w:val="00062CF2"/>
    <w:rsid w:val="00062F60"/>
    <w:rsid w:val="000630F4"/>
    <w:rsid w:val="000633F1"/>
    <w:rsid w:val="00063613"/>
    <w:rsid w:val="000637D0"/>
    <w:rsid w:val="00063B4E"/>
    <w:rsid w:val="00064447"/>
    <w:rsid w:val="00064485"/>
    <w:rsid w:val="00064597"/>
    <w:rsid w:val="00064EDF"/>
    <w:rsid w:val="000655D6"/>
    <w:rsid w:val="00065694"/>
    <w:rsid w:val="00065AC8"/>
    <w:rsid w:val="00065FF8"/>
    <w:rsid w:val="0006610E"/>
    <w:rsid w:val="0006631C"/>
    <w:rsid w:val="000666FF"/>
    <w:rsid w:val="00066709"/>
    <w:rsid w:val="00066E6A"/>
    <w:rsid w:val="0006707B"/>
    <w:rsid w:val="0006745D"/>
    <w:rsid w:val="00067872"/>
    <w:rsid w:val="000678DF"/>
    <w:rsid w:val="00067AFC"/>
    <w:rsid w:val="0007018D"/>
    <w:rsid w:val="000718D7"/>
    <w:rsid w:val="00071F08"/>
    <w:rsid w:val="00072186"/>
    <w:rsid w:val="00072222"/>
    <w:rsid w:val="000724E0"/>
    <w:rsid w:val="00072B42"/>
    <w:rsid w:val="000730BE"/>
    <w:rsid w:val="000731FA"/>
    <w:rsid w:val="00073592"/>
    <w:rsid w:val="000735E8"/>
    <w:rsid w:val="0007377F"/>
    <w:rsid w:val="000738E1"/>
    <w:rsid w:val="00073907"/>
    <w:rsid w:val="00073D63"/>
    <w:rsid w:val="000750EE"/>
    <w:rsid w:val="000752FF"/>
    <w:rsid w:val="000759AC"/>
    <w:rsid w:val="00075A54"/>
    <w:rsid w:val="00075EB8"/>
    <w:rsid w:val="000761FE"/>
    <w:rsid w:val="0007664C"/>
    <w:rsid w:val="00076984"/>
    <w:rsid w:val="00076C8C"/>
    <w:rsid w:val="00076E12"/>
    <w:rsid w:val="00077D87"/>
    <w:rsid w:val="00077DA1"/>
    <w:rsid w:val="000803E4"/>
    <w:rsid w:val="0008079B"/>
    <w:rsid w:val="0008090D"/>
    <w:rsid w:val="00080EF2"/>
    <w:rsid w:val="000811AD"/>
    <w:rsid w:val="0008126E"/>
    <w:rsid w:val="00081C38"/>
    <w:rsid w:val="00081D8F"/>
    <w:rsid w:val="00081F13"/>
    <w:rsid w:val="00082C39"/>
    <w:rsid w:val="00082D60"/>
    <w:rsid w:val="00082E04"/>
    <w:rsid w:val="0008307C"/>
    <w:rsid w:val="000830A5"/>
    <w:rsid w:val="0008350A"/>
    <w:rsid w:val="0008381A"/>
    <w:rsid w:val="00083864"/>
    <w:rsid w:val="00083A21"/>
    <w:rsid w:val="000847FC"/>
    <w:rsid w:val="000848C2"/>
    <w:rsid w:val="00084C76"/>
    <w:rsid w:val="000852D0"/>
    <w:rsid w:val="000858AA"/>
    <w:rsid w:val="0008627B"/>
    <w:rsid w:val="00086350"/>
    <w:rsid w:val="00086632"/>
    <w:rsid w:val="0008669E"/>
    <w:rsid w:val="00086E7B"/>
    <w:rsid w:val="00086EF4"/>
    <w:rsid w:val="00087217"/>
    <w:rsid w:val="000872EE"/>
    <w:rsid w:val="0009078D"/>
    <w:rsid w:val="00090911"/>
    <w:rsid w:val="00090B82"/>
    <w:rsid w:val="00090BA9"/>
    <w:rsid w:val="00091020"/>
    <w:rsid w:val="0009126D"/>
    <w:rsid w:val="0009176B"/>
    <w:rsid w:val="0009250E"/>
    <w:rsid w:val="00092CA5"/>
    <w:rsid w:val="0009308E"/>
    <w:rsid w:val="00093145"/>
    <w:rsid w:val="00093D53"/>
    <w:rsid w:val="00093FA2"/>
    <w:rsid w:val="0009467D"/>
    <w:rsid w:val="000955DC"/>
    <w:rsid w:val="000955F9"/>
    <w:rsid w:val="00095B14"/>
    <w:rsid w:val="00095BFF"/>
    <w:rsid w:val="00095C9E"/>
    <w:rsid w:val="00096722"/>
    <w:rsid w:val="00096908"/>
    <w:rsid w:val="00096B9B"/>
    <w:rsid w:val="00096E23"/>
    <w:rsid w:val="000970A8"/>
    <w:rsid w:val="000978B1"/>
    <w:rsid w:val="00097983"/>
    <w:rsid w:val="00097DAD"/>
    <w:rsid w:val="000A05FC"/>
    <w:rsid w:val="000A0CEE"/>
    <w:rsid w:val="000A0E57"/>
    <w:rsid w:val="000A11CA"/>
    <w:rsid w:val="000A1336"/>
    <w:rsid w:val="000A1586"/>
    <w:rsid w:val="000A161C"/>
    <w:rsid w:val="000A1CFF"/>
    <w:rsid w:val="000A1E67"/>
    <w:rsid w:val="000A1EEE"/>
    <w:rsid w:val="000A21A8"/>
    <w:rsid w:val="000A23A0"/>
    <w:rsid w:val="000A2960"/>
    <w:rsid w:val="000A2FCE"/>
    <w:rsid w:val="000A3087"/>
    <w:rsid w:val="000A30A1"/>
    <w:rsid w:val="000A3B27"/>
    <w:rsid w:val="000A4285"/>
    <w:rsid w:val="000A4D1F"/>
    <w:rsid w:val="000A50FE"/>
    <w:rsid w:val="000A52DB"/>
    <w:rsid w:val="000A5C66"/>
    <w:rsid w:val="000A6086"/>
    <w:rsid w:val="000A615D"/>
    <w:rsid w:val="000A622E"/>
    <w:rsid w:val="000A62B3"/>
    <w:rsid w:val="000A673A"/>
    <w:rsid w:val="000A6D9D"/>
    <w:rsid w:val="000A6E71"/>
    <w:rsid w:val="000A6F0C"/>
    <w:rsid w:val="000A6F53"/>
    <w:rsid w:val="000A73A5"/>
    <w:rsid w:val="000B0697"/>
    <w:rsid w:val="000B0701"/>
    <w:rsid w:val="000B0BE5"/>
    <w:rsid w:val="000B0C2C"/>
    <w:rsid w:val="000B0EA8"/>
    <w:rsid w:val="000B0EAC"/>
    <w:rsid w:val="000B140A"/>
    <w:rsid w:val="000B1CFF"/>
    <w:rsid w:val="000B1D1E"/>
    <w:rsid w:val="000B1FBC"/>
    <w:rsid w:val="000B241C"/>
    <w:rsid w:val="000B2B54"/>
    <w:rsid w:val="000B2B90"/>
    <w:rsid w:val="000B328A"/>
    <w:rsid w:val="000B3314"/>
    <w:rsid w:val="000B33DA"/>
    <w:rsid w:val="000B3885"/>
    <w:rsid w:val="000B3C3E"/>
    <w:rsid w:val="000B45E1"/>
    <w:rsid w:val="000B4975"/>
    <w:rsid w:val="000B4E9E"/>
    <w:rsid w:val="000B5993"/>
    <w:rsid w:val="000B5A17"/>
    <w:rsid w:val="000B6213"/>
    <w:rsid w:val="000B6489"/>
    <w:rsid w:val="000B6598"/>
    <w:rsid w:val="000B6938"/>
    <w:rsid w:val="000B742F"/>
    <w:rsid w:val="000B7791"/>
    <w:rsid w:val="000B7843"/>
    <w:rsid w:val="000B7960"/>
    <w:rsid w:val="000B7B6E"/>
    <w:rsid w:val="000B7D00"/>
    <w:rsid w:val="000C0222"/>
    <w:rsid w:val="000C0385"/>
    <w:rsid w:val="000C0757"/>
    <w:rsid w:val="000C099D"/>
    <w:rsid w:val="000C0A53"/>
    <w:rsid w:val="000C1C18"/>
    <w:rsid w:val="000C207D"/>
    <w:rsid w:val="000C2639"/>
    <w:rsid w:val="000C268E"/>
    <w:rsid w:val="000C26FD"/>
    <w:rsid w:val="000C26FE"/>
    <w:rsid w:val="000C390B"/>
    <w:rsid w:val="000C3A6C"/>
    <w:rsid w:val="000C3B6F"/>
    <w:rsid w:val="000C3DD1"/>
    <w:rsid w:val="000C42C1"/>
    <w:rsid w:val="000C4572"/>
    <w:rsid w:val="000C45BA"/>
    <w:rsid w:val="000C4D0C"/>
    <w:rsid w:val="000C4D51"/>
    <w:rsid w:val="000C4FA8"/>
    <w:rsid w:val="000C6ED1"/>
    <w:rsid w:val="000C762A"/>
    <w:rsid w:val="000C76A5"/>
    <w:rsid w:val="000C7C2F"/>
    <w:rsid w:val="000C7CD5"/>
    <w:rsid w:val="000D0022"/>
    <w:rsid w:val="000D0956"/>
    <w:rsid w:val="000D0E94"/>
    <w:rsid w:val="000D1032"/>
    <w:rsid w:val="000D1857"/>
    <w:rsid w:val="000D1F7B"/>
    <w:rsid w:val="000D1F88"/>
    <w:rsid w:val="000D1FB8"/>
    <w:rsid w:val="000D2015"/>
    <w:rsid w:val="000D22F2"/>
    <w:rsid w:val="000D25A4"/>
    <w:rsid w:val="000D25D9"/>
    <w:rsid w:val="000D2A14"/>
    <w:rsid w:val="000D2BEC"/>
    <w:rsid w:val="000D2E7F"/>
    <w:rsid w:val="000D43C1"/>
    <w:rsid w:val="000D43ED"/>
    <w:rsid w:val="000D45DD"/>
    <w:rsid w:val="000D4907"/>
    <w:rsid w:val="000D5305"/>
    <w:rsid w:val="000D5862"/>
    <w:rsid w:val="000D5E15"/>
    <w:rsid w:val="000D66CE"/>
    <w:rsid w:val="000D67CC"/>
    <w:rsid w:val="000D6EEB"/>
    <w:rsid w:val="000D735C"/>
    <w:rsid w:val="000D775A"/>
    <w:rsid w:val="000D79AF"/>
    <w:rsid w:val="000D7CF4"/>
    <w:rsid w:val="000E0234"/>
    <w:rsid w:val="000E037E"/>
    <w:rsid w:val="000E04A2"/>
    <w:rsid w:val="000E05D5"/>
    <w:rsid w:val="000E0634"/>
    <w:rsid w:val="000E0A64"/>
    <w:rsid w:val="000E0DA5"/>
    <w:rsid w:val="000E1394"/>
    <w:rsid w:val="000E14B4"/>
    <w:rsid w:val="000E17E6"/>
    <w:rsid w:val="000E1901"/>
    <w:rsid w:val="000E1A39"/>
    <w:rsid w:val="000E1C23"/>
    <w:rsid w:val="000E1FBD"/>
    <w:rsid w:val="000E2082"/>
    <w:rsid w:val="000E2BCC"/>
    <w:rsid w:val="000E3107"/>
    <w:rsid w:val="000E3225"/>
    <w:rsid w:val="000E3663"/>
    <w:rsid w:val="000E3C0B"/>
    <w:rsid w:val="000E3C7B"/>
    <w:rsid w:val="000E42BA"/>
    <w:rsid w:val="000E45AC"/>
    <w:rsid w:val="000E4EC6"/>
    <w:rsid w:val="000E55DC"/>
    <w:rsid w:val="000E5A13"/>
    <w:rsid w:val="000E5B2B"/>
    <w:rsid w:val="000E5D21"/>
    <w:rsid w:val="000E63C3"/>
    <w:rsid w:val="000E6F75"/>
    <w:rsid w:val="000E796A"/>
    <w:rsid w:val="000E7B38"/>
    <w:rsid w:val="000E7E1F"/>
    <w:rsid w:val="000E7E52"/>
    <w:rsid w:val="000F0BA4"/>
    <w:rsid w:val="000F0DF0"/>
    <w:rsid w:val="000F16BA"/>
    <w:rsid w:val="000F17B0"/>
    <w:rsid w:val="000F1839"/>
    <w:rsid w:val="000F19CD"/>
    <w:rsid w:val="000F2047"/>
    <w:rsid w:val="000F27FC"/>
    <w:rsid w:val="000F2ADC"/>
    <w:rsid w:val="000F2C06"/>
    <w:rsid w:val="000F2FEA"/>
    <w:rsid w:val="000F3C7D"/>
    <w:rsid w:val="000F522A"/>
    <w:rsid w:val="000F53A0"/>
    <w:rsid w:val="000F54A2"/>
    <w:rsid w:val="000F5849"/>
    <w:rsid w:val="000F59F7"/>
    <w:rsid w:val="000F5E25"/>
    <w:rsid w:val="000F5EDB"/>
    <w:rsid w:val="000F6BD6"/>
    <w:rsid w:val="000F7372"/>
    <w:rsid w:val="000F755E"/>
    <w:rsid w:val="000F7B44"/>
    <w:rsid w:val="000F7BC2"/>
    <w:rsid w:val="000F7EF9"/>
    <w:rsid w:val="00101101"/>
    <w:rsid w:val="001016C0"/>
    <w:rsid w:val="0010209B"/>
    <w:rsid w:val="0010246F"/>
    <w:rsid w:val="00102531"/>
    <w:rsid w:val="00102A82"/>
    <w:rsid w:val="00102AD7"/>
    <w:rsid w:val="00102D9A"/>
    <w:rsid w:val="0010371C"/>
    <w:rsid w:val="001037D6"/>
    <w:rsid w:val="00103B06"/>
    <w:rsid w:val="00103FF0"/>
    <w:rsid w:val="00104970"/>
    <w:rsid w:val="00104EFB"/>
    <w:rsid w:val="0010543F"/>
    <w:rsid w:val="00105616"/>
    <w:rsid w:val="00105740"/>
    <w:rsid w:val="00105850"/>
    <w:rsid w:val="001063F8"/>
    <w:rsid w:val="00106605"/>
    <w:rsid w:val="00106718"/>
    <w:rsid w:val="00106A01"/>
    <w:rsid w:val="00106C73"/>
    <w:rsid w:val="0010700E"/>
    <w:rsid w:val="001075D9"/>
    <w:rsid w:val="00110156"/>
    <w:rsid w:val="0011033A"/>
    <w:rsid w:val="001105B2"/>
    <w:rsid w:val="00110985"/>
    <w:rsid w:val="00110FD0"/>
    <w:rsid w:val="0011178B"/>
    <w:rsid w:val="00111854"/>
    <w:rsid w:val="00111AE7"/>
    <w:rsid w:val="00111BC4"/>
    <w:rsid w:val="00111C05"/>
    <w:rsid w:val="00111EE7"/>
    <w:rsid w:val="00112256"/>
    <w:rsid w:val="00112726"/>
    <w:rsid w:val="00112863"/>
    <w:rsid w:val="001128B1"/>
    <w:rsid w:val="00112CFA"/>
    <w:rsid w:val="00112FEC"/>
    <w:rsid w:val="001132C4"/>
    <w:rsid w:val="001134EF"/>
    <w:rsid w:val="00113F11"/>
    <w:rsid w:val="00113F50"/>
    <w:rsid w:val="00114387"/>
    <w:rsid w:val="0011441E"/>
    <w:rsid w:val="00114862"/>
    <w:rsid w:val="001148AB"/>
    <w:rsid w:val="00114FC5"/>
    <w:rsid w:val="001154F0"/>
    <w:rsid w:val="0011565A"/>
    <w:rsid w:val="00115A8F"/>
    <w:rsid w:val="00115B9B"/>
    <w:rsid w:val="00116331"/>
    <w:rsid w:val="0011657A"/>
    <w:rsid w:val="00116F95"/>
    <w:rsid w:val="0011770B"/>
    <w:rsid w:val="001177FB"/>
    <w:rsid w:val="001178B1"/>
    <w:rsid w:val="00117A3F"/>
    <w:rsid w:val="00117B90"/>
    <w:rsid w:val="00120009"/>
    <w:rsid w:val="001200A5"/>
    <w:rsid w:val="001201DB"/>
    <w:rsid w:val="001208E7"/>
    <w:rsid w:val="0012096C"/>
    <w:rsid w:val="00120FAB"/>
    <w:rsid w:val="00121C36"/>
    <w:rsid w:val="00121DE7"/>
    <w:rsid w:val="00121EDD"/>
    <w:rsid w:val="0012223F"/>
    <w:rsid w:val="0012238F"/>
    <w:rsid w:val="00122781"/>
    <w:rsid w:val="00122B9E"/>
    <w:rsid w:val="00122F43"/>
    <w:rsid w:val="0012305B"/>
    <w:rsid w:val="00123370"/>
    <w:rsid w:val="00123DEC"/>
    <w:rsid w:val="001248CF"/>
    <w:rsid w:val="0012497F"/>
    <w:rsid w:val="0012521E"/>
    <w:rsid w:val="00125E00"/>
    <w:rsid w:val="00125E0B"/>
    <w:rsid w:val="00126B26"/>
    <w:rsid w:val="00126CEB"/>
    <w:rsid w:val="00126DDD"/>
    <w:rsid w:val="00127036"/>
    <w:rsid w:val="00127194"/>
    <w:rsid w:val="0012720D"/>
    <w:rsid w:val="0012744D"/>
    <w:rsid w:val="00127CBE"/>
    <w:rsid w:val="00127DF8"/>
    <w:rsid w:val="001307DE"/>
    <w:rsid w:val="00130B8A"/>
    <w:rsid w:val="001313AB"/>
    <w:rsid w:val="001315CC"/>
    <w:rsid w:val="00131A93"/>
    <w:rsid w:val="00131AD3"/>
    <w:rsid w:val="00131CA6"/>
    <w:rsid w:val="00131E9D"/>
    <w:rsid w:val="001328E8"/>
    <w:rsid w:val="00132B88"/>
    <w:rsid w:val="00132C57"/>
    <w:rsid w:val="0013318B"/>
    <w:rsid w:val="00133291"/>
    <w:rsid w:val="001333A4"/>
    <w:rsid w:val="00133BD8"/>
    <w:rsid w:val="00134314"/>
    <w:rsid w:val="00134444"/>
    <w:rsid w:val="001344AB"/>
    <w:rsid w:val="001345DD"/>
    <w:rsid w:val="0013465A"/>
    <w:rsid w:val="0013487D"/>
    <w:rsid w:val="00134AC8"/>
    <w:rsid w:val="00134EB8"/>
    <w:rsid w:val="00134F91"/>
    <w:rsid w:val="00135182"/>
    <w:rsid w:val="0013577A"/>
    <w:rsid w:val="001359F0"/>
    <w:rsid w:val="00135E10"/>
    <w:rsid w:val="00135EA8"/>
    <w:rsid w:val="0013631A"/>
    <w:rsid w:val="0013653D"/>
    <w:rsid w:val="0013675A"/>
    <w:rsid w:val="00136A5F"/>
    <w:rsid w:val="00136B92"/>
    <w:rsid w:val="001371CC"/>
    <w:rsid w:val="00137C59"/>
    <w:rsid w:val="001403D8"/>
    <w:rsid w:val="001403F1"/>
    <w:rsid w:val="00140615"/>
    <w:rsid w:val="00140810"/>
    <w:rsid w:val="00140A56"/>
    <w:rsid w:val="00140FF3"/>
    <w:rsid w:val="00141166"/>
    <w:rsid w:val="001412D9"/>
    <w:rsid w:val="001413D4"/>
    <w:rsid w:val="00141461"/>
    <w:rsid w:val="00141994"/>
    <w:rsid w:val="0014220E"/>
    <w:rsid w:val="001427D1"/>
    <w:rsid w:val="001427DD"/>
    <w:rsid w:val="001431EA"/>
    <w:rsid w:val="00143211"/>
    <w:rsid w:val="001434F1"/>
    <w:rsid w:val="00144925"/>
    <w:rsid w:val="0014499C"/>
    <w:rsid w:val="00144E8A"/>
    <w:rsid w:val="00145131"/>
    <w:rsid w:val="00145516"/>
    <w:rsid w:val="00145523"/>
    <w:rsid w:val="00145BCC"/>
    <w:rsid w:val="00146AEC"/>
    <w:rsid w:val="00146D06"/>
    <w:rsid w:val="00146E37"/>
    <w:rsid w:val="001470F1"/>
    <w:rsid w:val="0014751D"/>
    <w:rsid w:val="001479F6"/>
    <w:rsid w:val="00147C76"/>
    <w:rsid w:val="00147EAF"/>
    <w:rsid w:val="00147F4C"/>
    <w:rsid w:val="00150D7E"/>
    <w:rsid w:val="001512FF"/>
    <w:rsid w:val="00151307"/>
    <w:rsid w:val="00151927"/>
    <w:rsid w:val="00151FF7"/>
    <w:rsid w:val="001521BC"/>
    <w:rsid w:val="00152414"/>
    <w:rsid w:val="00152505"/>
    <w:rsid w:val="001525B2"/>
    <w:rsid w:val="0015275E"/>
    <w:rsid w:val="00152B12"/>
    <w:rsid w:val="00152FB3"/>
    <w:rsid w:val="00152FC9"/>
    <w:rsid w:val="001534B8"/>
    <w:rsid w:val="00153531"/>
    <w:rsid w:val="00153F36"/>
    <w:rsid w:val="00153F6D"/>
    <w:rsid w:val="00154020"/>
    <w:rsid w:val="00154462"/>
    <w:rsid w:val="0015459E"/>
    <w:rsid w:val="001547AB"/>
    <w:rsid w:val="00154CCF"/>
    <w:rsid w:val="00155876"/>
    <w:rsid w:val="0015660A"/>
    <w:rsid w:val="0015679F"/>
    <w:rsid w:val="00156C9A"/>
    <w:rsid w:val="00156E2A"/>
    <w:rsid w:val="0015714F"/>
    <w:rsid w:val="001575CB"/>
    <w:rsid w:val="001608D4"/>
    <w:rsid w:val="00160A61"/>
    <w:rsid w:val="00160A94"/>
    <w:rsid w:val="00160B4D"/>
    <w:rsid w:val="00160C91"/>
    <w:rsid w:val="00161184"/>
    <w:rsid w:val="00161AA5"/>
    <w:rsid w:val="00161DA4"/>
    <w:rsid w:val="00161E5B"/>
    <w:rsid w:val="0016207C"/>
    <w:rsid w:val="00162520"/>
    <w:rsid w:val="0016275B"/>
    <w:rsid w:val="00162A5E"/>
    <w:rsid w:val="00162DE2"/>
    <w:rsid w:val="00162F9B"/>
    <w:rsid w:val="00163F4A"/>
    <w:rsid w:val="001640F1"/>
    <w:rsid w:val="0016593C"/>
    <w:rsid w:val="00165B00"/>
    <w:rsid w:val="00165CBF"/>
    <w:rsid w:val="00165DBB"/>
    <w:rsid w:val="00165F6B"/>
    <w:rsid w:val="0016689C"/>
    <w:rsid w:val="001669F0"/>
    <w:rsid w:val="00166D5F"/>
    <w:rsid w:val="001674F4"/>
    <w:rsid w:val="001675F1"/>
    <w:rsid w:val="00167872"/>
    <w:rsid w:val="00167BDE"/>
    <w:rsid w:val="00167FA7"/>
    <w:rsid w:val="00170125"/>
    <w:rsid w:val="00170636"/>
    <w:rsid w:val="001709EB"/>
    <w:rsid w:val="00170C2F"/>
    <w:rsid w:val="001713EC"/>
    <w:rsid w:val="001715A4"/>
    <w:rsid w:val="00171A87"/>
    <w:rsid w:val="00171DFA"/>
    <w:rsid w:val="001720C4"/>
    <w:rsid w:val="00172500"/>
    <w:rsid w:val="00172877"/>
    <w:rsid w:val="001728DB"/>
    <w:rsid w:val="001730B3"/>
    <w:rsid w:val="001734C7"/>
    <w:rsid w:val="00173561"/>
    <w:rsid w:val="00173721"/>
    <w:rsid w:val="001739D8"/>
    <w:rsid w:val="00173A94"/>
    <w:rsid w:val="00173C88"/>
    <w:rsid w:val="00173F8C"/>
    <w:rsid w:val="00174304"/>
    <w:rsid w:val="00174F34"/>
    <w:rsid w:val="00175421"/>
    <w:rsid w:val="00175D3C"/>
    <w:rsid w:val="00176235"/>
    <w:rsid w:val="0017654A"/>
    <w:rsid w:val="00176649"/>
    <w:rsid w:val="00176BE4"/>
    <w:rsid w:val="00177724"/>
    <w:rsid w:val="0017783D"/>
    <w:rsid w:val="001779EB"/>
    <w:rsid w:val="001779FF"/>
    <w:rsid w:val="00177CFF"/>
    <w:rsid w:val="00180920"/>
    <w:rsid w:val="0018113E"/>
    <w:rsid w:val="00182235"/>
    <w:rsid w:val="00182353"/>
    <w:rsid w:val="001823E8"/>
    <w:rsid w:val="001827C0"/>
    <w:rsid w:val="00182926"/>
    <w:rsid w:val="00183125"/>
    <w:rsid w:val="00183A02"/>
    <w:rsid w:val="00183ADF"/>
    <w:rsid w:val="00183C33"/>
    <w:rsid w:val="00183CA7"/>
    <w:rsid w:val="00183D92"/>
    <w:rsid w:val="00183DD9"/>
    <w:rsid w:val="0018418E"/>
    <w:rsid w:val="00184382"/>
    <w:rsid w:val="0018463C"/>
    <w:rsid w:val="00185427"/>
    <w:rsid w:val="00185B08"/>
    <w:rsid w:val="00185B65"/>
    <w:rsid w:val="00185DA0"/>
    <w:rsid w:val="001863FC"/>
    <w:rsid w:val="001864E5"/>
    <w:rsid w:val="00186B44"/>
    <w:rsid w:val="00187066"/>
    <w:rsid w:val="00187F40"/>
    <w:rsid w:val="00187FFC"/>
    <w:rsid w:val="00190278"/>
    <w:rsid w:val="0019041A"/>
    <w:rsid w:val="00190576"/>
    <w:rsid w:val="00190804"/>
    <w:rsid w:val="00190FE0"/>
    <w:rsid w:val="0019138E"/>
    <w:rsid w:val="001913F4"/>
    <w:rsid w:val="00191C83"/>
    <w:rsid w:val="001920EC"/>
    <w:rsid w:val="0019348F"/>
    <w:rsid w:val="001937BB"/>
    <w:rsid w:val="00193895"/>
    <w:rsid w:val="00193968"/>
    <w:rsid w:val="00194990"/>
    <w:rsid w:val="00194C2A"/>
    <w:rsid w:val="00194D45"/>
    <w:rsid w:val="00195757"/>
    <w:rsid w:val="00195989"/>
    <w:rsid w:val="0019599B"/>
    <w:rsid w:val="001960FC"/>
    <w:rsid w:val="00196700"/>
    <w:rsid w:val="00196BA6"/>
    <w:rsid w:val="00196D24"/>
    <w:rsid w:val="00196D3A"/>
    <w:rsid w:val="00196DE3"/>
    <w:rsid w:val="00196E98"/>
    <w:rsid w:val="00197367"/>
    <w:rsid w:val="0019778C"/>
    <w:rsid w:val="00197A20"/>
    <w:rsid w:val="00197AD2"/>
    <w:rsid w:val="00197C8D"/>
    <w:rsid w:val="001A00E2"/>
    <w:rsid w:val="001A0360"/>
    <w:rsid w:val="001A050B"/>
    <w:rsid w:val="001A0770"/>
    <w:rsid w:val="001A0D90"/>
    <w:rsid w:val="001A1036"/>
    <w:rsid w:val="001A234E"/>
    <w:rsid w:val="001A25F8"/>
    <w:rsid w:val="001A2A46"/>
    <w:rsid w:val="001A311E"/>
    <w:rsid w:val="001A3338"/>
    <w:rsid w:val="001A34C8"/>
    <w:rsid w:val="001A365B"/>
    <w:rsid w:val="001A3BAA"/>
    <w:rsid w:val="001A3FA0"/>
    <w:rsid w:val="001A4040"/>
    <w:rsid w:val="001A450C"/>
    <w:rsid w:val="001A4BFF"/>
    <w:rsid w:val="001A5198"/>
    <w:rsid w:val="001A53A5"/>
    <w:rsid w:val="001A650B"/>
    <w:rsid w:val="001A66F9"/>
    <w:rsid w:val="001A6A5F"/>
    <w:rsid w:val="001A72C0"/>
    <w:rsid w:val="001A78D8"/>
    <w:rsid w:val="001B0046"/>
    <w:rsid w:val="001B02DE"/>
    <w:rsid w:val="001B040C"/>
    <w:rsid w:val="001B0494"/>
    <w:rsid w:val="001B053F"/>
    <w:rsid w:val="001B0860"/>
    <w:rsid w:val="001B0968"/>
    <w:rsid w:val="001B0B90"/>
    <w:rsid w:val="001B0F6B"/>
    <w:rsid w:val="001B1800"/>
    <w:rsid w:val="001B18CF"/>
    <w:rsid w:val="001B2013"/>
    <w:rsid w:val="001B20BA"/>
    <w:rsid w:val="001B2791"/>
    <w:rsid w:val="001B2994"/>
    <w:rsid w:val="001B2C70"/>
    <w:rsid w:val="001B3144"/>
    <w:rsid w:val="001B3218"/>
    <w:rsid w:val="001B3D34"/>
    <w:rsid w:val="001B406F"/>
    <w:rsid w:val="001B4949"/>
    <w:rsid w:val="001B497F"/>
    <w:rsid w:val="001B49DA"/>
    <w:rsid w:val="001B4AED"/>
    <w:rsid w:val="001B4E14"/>
    <w:rsid w:val="001B5528"/>
    <w:rsid w:val="001B5D59"/>
    <w:rsid w:val="001B6009"/>
    <w:rsid w:val="001B6732"/>
    <w:rsid w:val="001B67A1"/>
    <w:rsid w:val="001B6BCC"/>
    <w:rsid w:val="001B7594"/>
    <w:rsid w:val="001B75FA"/>
    <w:rsid w:val="001B7674"/>
    <w:rsid w:val="001B7B4B"/>
    <w:rsid w:val="001B7F6D"/>
    <w:rsid w:val="001C030D"/>
    <w:rsid w:val="001C0440"/>
    <w:rsid w:val="001C07E0"/>
    <w:rsid w:val="001C0CF4"/>
    <w:rsid w:val="001C1D96"/>
    <w:rsid w:val="001C2C53"/>
    <w:rsid w:val="001C3331"/>
    <w:rsid w:val="001C395C"/>
    <w:rsid w:val="001C3EC2"/>
    <w:rsid w:val="001C4415"/>
    <w:rsid w:val="001C44AC"/>
    <w:rsid w:val="001C48F6"/>
    <w:rsid w:val="001C5931"/>
    <w:rsid w:val="001C696E"/>
    <w:rsid w:val="001C6A77"/>
    <w:rsid w:val="001C6C70"/>
    <w:rsid w:val="001C6C9B"/>
    <w:rsid w:val="001C6CDE"/>
    <w:rsid w:val="001C72BC"/>
    <w:rsid w:val="001C7371"/>
    <w:rsid w:val="001C73BA"/>
    <w:rsid w:val="001C7852"/>
    <w:rsid w:val="001C79D6"/>
    <w:rsid w:val="001C7B66"/>
    <w:rsid w:val="001D076A"/>
    <w:rsid w:val="001D0E40"/>
    <w:rsid w:val="001D0E4D"/>
    <w:rsid w:val="001D1234"/>
    <w:rsid w:val="001D1A2B"/>
    <w:rsid w:val="001D1A9A"/>
    <w:rsid w:val="001D1E4D"/>
    <w:rsid w:val="001D1ECB"/>
    <w:rsid w:val="001D2273"/>
    <w:rsid w:val="001D26CA"/>
    <w:rsid w:val="001D2838"/>
    <w:rsid w:val="001D2CAB"/>
    <w:rsid w:val="001D2D96"/>
    <w:rsid w:val="001D31FC"/>
    <w:rsid w:val="001D33C9"/>
    <w:rsid w:val="001D33D8"/>
    <w:rsid w:val="001D3421"/>
    <w:rsid w:val="001D34D5"/>
    <w:rsid w:val="001D350B"/>
    <w:rsid w:val="001D3D8E"/>
    <w:rsid w:val="001D437B"/>
    <w:rsid w:val="001D4EBB"/>
    <w:rsid w:val="001D5C07"/>
    <w:rsid w:val="001D5DFB"/>
    <w:rsid w:val="001D653E"/>
    <w:rsid w:val="001D6739"/>
    <w:rsid w:val="001D6743"/>
    <w:rsid w:val="001D6C30"/>
    <w:rsid w:val="001D6D0C"/>
    <w:rsid w:val="001D6F30"/>
    <w:rsid w:val="001D7BFB"/>
    <w:rsid w:val="001D7D12"/>
    <w:rsid w:val="001D7E48"/>
    <w:rsid w:val="001E019E"/>
    <w:rsid w:val="001E0591"/>
    <w:rsid w:val="001E0720"/>
    <w:rsid w:val="001E0764"/>
    <w:rsid w:val="001E099A"/>
    <w:rsid w:val="001E0B3E"/>
    <w:rsid w:val="001E1862"/>
    <w:rsid w:val="001E1EEC"/>
    <w:rsid w:val="001E258C"/>
    <w:rsid w:val="001E2F52"/>
    <w:rsid w:val="001E2FC9"/>
    <w:rsid w:val="001E363F"/>
    <w:rsid w:val="001E3787"/>
    <w:rsid w:val="001E3841"/>
    <w:rsid w:val="001E3C64"/>
    <w:rsid w:val="001E3ED5"/>
    <w:rsid w:val="001E41CC"/>
    <w:rsid w:val="001E41DD"/>
    <w:rsid w:val="001E4475"/>
    <w:rsid w:val="001E51EB"/>
    <w:rsid w:val="001E5443"/>
    <w:rsid w:val="001E56E8"/>
    <w:rsid w:val="001E5C58"/>
    <w:rsid w:val="001E677F"/>
    <w:rsid w:val="001E6A82"/>
    <w:rsid w:val="001E6F3E"/>
    <w:rsid w:val="001E71C8"/>
    <w:rsid w:val="001E74D3"/>
    <w:rsid w:val="001E753A"/>
    <w:rsid w:val="001E7AA9"/>
    <w:rsid w:val="001F033B"/>
    <w:rsid w:val="001F07AB"/>
    <w:rsid w:val="001F08C1"/>
    <w:rsid w:val="001F0E07"/>
    <w:rsid w:val="001F17CE"/>
    <w:rsid w:val="001F1B05"/>
    <w:rsid w:val="001F1F0B"/>
    <w:rsid w:val="001F1F96"/>
    <w:rsid w:val="001F1FF0"/>
    <w:rsid w:val="001F21B5"/>
    <w:rsid w:val="001F2416"/>
    <w:rsid w:val="001F24F1"/>
    <w:rsid w:val="001F2DCE"/>
    <w:rsid w:val="001F350E"/>
    <w:rsid w:val="001F375A"/>
    <w:rsid w:val="001F386F"/>
    <w:rsid w:val="001F38C8"/>
    <w:rsid w:val="001F423E"/>
    <w:rsid w:val="001F437C"/>
    <w:rsid w:val="001F4A41"/>
    <w:rsid w:val="001F4A47"/>
    <w:rsid w:val="001F4D5B"/>
    <w:rsid w:val="001F4DD3"/>
    <w:rsid w:val="001F5055"/>
    <w:rsid w:val="001F50F1"/>
    <w:rsid w:val="001F5BA5"/>
    <w:rsid w:val="001F61F7"/>
    <w:rsid w:val="001F7BD2"/>
    <w:rsid w:val="001F7E24"/>
    <w:rsid w:val="002002B6"/>
    <w:rsid w:val="0020034A"/>
    <w:rsid w:val="00200694"/>
    <w:rsid w:val="00200763"/>
    <w:rsid w:val="00200E62"/>
    <w:rsid w:val="002015E6"/>
    <w:rsid w:val="00201803"/>
    <w:rsid w:val="00202A80"/>
    <w:rsid w:val="002033DA"/>
    <w:rsid w:val="0020395B"/>
    <w:rsid w:val="00203A8B"/>
    <w:rsid w:val="00204376"/>
    <w:rsid w:val="0020474B"/>
    <w:rsid w:val="00204A44"/>
    <w:rsid w:val="00204C00"/>
    <w:rsid w:val="00204C8C"/>
    <w:rsid w:val="00204F90"/>
    <w:rsid w:val="00205BF7"/>
    <w:rsid w:val="00205CF4"/>
    <w:rsid w:val="002078BD"/>
    <w:rsid w:val="00207C13"/>
    <w:rsid w:val="00210227"/>
    <w:rsid w:val="00210C90"/>
    <w:rsid w:val="00211167"/>
    <w:rsid w:val="0021141D"/>
    <w:rsid w:val="00211466"/>
    <w:rsid w:val="002114FB"/>
    <w:rsid w:val="00211848"/>
    <w:rsid w:val="00211F72"/>
    <w:rsid w:val="002127A5"/>
    <w:rsid w:val="00212861"/>
    <w:rsid w:val="00212977"/>
    <w:rsid w:val="00213474"/>
    <w:rsid w:val="00213DE8"/>
    <w:rsid w:val="00213ED2"/>
    <w:rsid w:val="00213EFD"/>
    <w:rsid w:val="00214049"/>
    <w:rsid w:val="00214404"/>
    <w:rsid w:val="002147E9"/>
    <w:rsid w:val="0021484B"/>
    <w:rsid w:val="00214885"/>
    <w:rsid w:val="00214FF1"/>
    <w:rsid w:val="00215425"/>
    <w:rsid w:val="0021557A"/>
    <w:rsid w:val="00215597"/>
    <w:rsid w:val="0021571A"/>
    <w:rsid w:val="00215AFF"/>
    <w:rsid w:val="00215B4C"/>
    <w:rsid w:val="002163C4"/>
    <w:rsid w:val="0021642C"/>
    <w:rsid w:val="0021670C"/>
    <w:rsid w:val="00216DF4"/>
    <w:rsid w:val="00216F21"/>
    <w:rsid w:val="0021703D"/>
    <w:rsid w:val="00217183"/>
    <w:rsid w:val="00217215"/>
    <w:rsid w:val="00220653"/>
    <w:rsid w:val="00220A34"/>
    <w:rsid w:val="00220A8F"/>
    <w:rsid w:val="00220B1E"/>
    <w:rsid w:val="00220C83"/>
    <w:rsid w:val="00220C98"/>
    <w:rsid w:val="00221639"/>
    <w:rsid w:val="00221C5D"/>
    <w:rsid w:val="00221CBE"/>
    <w:rsid w:val="00221DB0"/>
    <w:rsid w:val="00221F40"/>
    <w:rsid w:val="00221F6B"/>
    <w:rsid w:val="0022207A"/>
    <w:rsid w:val="0022220F"/>
    <w:rsid w:val="00222C53"/>
    <w:rsid w:val="00222FE9"/>
    <w:rsid w:val="002234AD"/>
    <w:rsid w:val="002237D8"/>
    <w:rsid w:val="00223CAA"/>
    <w:rsid w:val="00223D1C"/>
    <w:rsid w:val="00223D98"/>
    <w:rsid w:val="002249FA"/>
    <w:rsid w:val="00224E70"/>
    <w:rsid w:val="00224F64"/>
    <w:rsid w:val="00225039"/>
    <w:rsid w:val="002253FA"/>
    <w:rsid w:val="002256BA"/>
    <w:rsid w:val="0022599F"/>
    <w:rsid w:val="00225E41"/>
    <w:rsid w:val="002260BD"/>
    <w:rsid w:val="002263B9"/>
    <w:rsid w:val="0022658C"/>
    <w:rsid w:val="00226A1E"/>
    <w:rsid w:val="00226C9B"/>
    <w:rsid w:val="00226CEC"/>
    <w:rsid w:val="00226F64"/>
    <w:rsid w:val="00226FDC"/>
    <w:rsid w:val="00227027"/>
    <w:rsid w:val="002273F8"/>
    <w:rsid w:val="0022794E"/>
    <w:rsid w:val="00227B95"/>
    <w:rsid w:val="00230418"/>
    <w:rsid w:val="00230714"/>
    <w:rsid w:val="00230D05"/>
    <w:rsid w:val="0023120C"/>
    <w:rsid w:val="002325A7"/>
    <w:rsid w:val="002325DD"/>
    <w:rsid w:val="00232B04"/>
    <w:rsid w:val="00232F45"/>
    <w:rsid w:val="0023305F"/>
    <w:rsid w:val="0023309B"/>
    <w:rsid w:val="0023345A"/>
    <w:rsid w:val="0023367C"/>
    <w:rsid w:val="0023433E"/>
    <w:rsid w:val="002347B8"/>
    <w:rsid w:val="00234A45"/>
    <w:rsid w:val="00235C06"/>
    <w:rsid w:val="00235FA1"/>
    <w:rsid w:val="00236013"/>
    <w:rsid w:val="00236151"/>
    <w:rsid w:val="002361B1"/>
    <w:rsid w:val="002361B8"/>
    <w:rsid w:val="00236455"/>
    <w:rsid w:val="0023683C"/>
    <w:rsid w:val="00237C47"/>
    <w:rsid w:val="002402CE"/>
    <w:rsid w:val="0024061A"/>
    <w:rsid w:val="0024077F"/>
    <w:rsid w:val="00240CD1"/>
    <w:rsid w:val="00240DC3"/>
    <w:rsid w:val="002410D8"/>
    <w:rsid w:val="002411FB"/>
    <w:rsid w:val="0024132A"/>
    <w:rsid w:val="002415A9"/>
    <w:rsid w:val="00241AE5"/>
    <w:rsid w:val="00241AF5"/>
    <w:rsid w:val="00241EC0"/>
    <w:rsid w:val="00242392"/>
    <w:rsid w:val="00242699"/>
    <w:rsid w:val="00242B8D"/>
    <w:rsid w:val="002430C2"/>
    <w:rsid w:val="00244015"/>
    <w:rsid w:val="0024469A"/>
    <w:rsid w:val="0024475D"/>
    <w:rsid w:val="0024524D"/>
    <w:rsid w:val="00245283"/>
    <w:rsid w:val="0024539F"/>
    <w:rsid w:val="00245488"/>
    <w:rsid w:val="0024662F"/>
    <w:rsid w:val="002468CD"/>
    <w:rsid w:val="00246F2A"/>
    <w:rsid w:val="002478EB"/>
    <w:rsid w:val="00247B78"/>
    <w:rsid w:val="00250B1E"/>
    <w:rsid w:val="00250D5C"/>
    <w:rsid w:val="00250F60"/>
    <w:rsid w:val="00250F99"/>
    <w:rsid w:val="00251C58"/>
    <w:rsid w:val="00251CAE"/>
    <w:rsid w:val="00251F13"/>
    <w:rsid w:val="0025201C"/>
    <w:rsid w:val="002528FA"/>
    <w:rsid w:val="00252B77"/>
    <w:rsid w:val="00252C07"/>
    <w:rsid w:val="00252FEC"/>
    <w:rsid w:val="00253581"/>
    <w:rsid w:val="0025382A"/>
    <w:rsid w:val="00253DE5"/>
    <w:rsid w:val="00253EF8"/>
    <w:rsid w:val="0025436C"/>
    <w:rsid w:val="00254381"/>
    <w:rsid w:val="002543B0"/>
    <w:rsid w:val="002547C4"/>
    <w:rsid w:val="002548BD"/>
    <w:rsid w:val="00254D5E"/>
    <w:rsid w:val="00254EF2"/>
    <w:rsid w:val="002558C5"/>
    <w:rsid w:val="00255939"/>
    <w:rsid w:val="00255A3F"/>
    <w:rsid w:val="002562CF"/>
    <w:rsid w:val="00256907"/>
    <w:rsid w:val="00256EE0"/>
    <w:rsid w:val="0025720C"/>
    <w:rsid w:val="00257268"/>
    <w:rsid w:val="002574BC"/>
    <w:rsid w:val="00257AA1"/>
    <w:rsid w:val="00257E57"/>
    <w:rsid w:val="00260A35"/>
    <w:rsid w:val="00261870"/>
    <w:rsid w:val="00261C14"/>
    <w:rsid w:val="002623CF"/>
    <w:rsid w:val="002629FF"/>
    <w:rsid w:val="002631F1"/>
    <w:rsid w:val="002633A1"/>
    <w:rsid w:val="00263985"/>
    <w:rsid w:val="00264115"/>
    <w:rsid w:val="002648E3"/>
    <w:rsid w:val="00264A42"/>
    <w:rsid w:val="00264D19"/>
    <w:rsid w:val="00265042"/>
    <w:rsid w:val="002655E2"/>
    <w:rsid w:val="0026563B"/>
    <w:rsid w:val="0026580B"/>
    <w:rsid w:val="00265D10"/>
    <w:rsid w:val="00265E1C"/>
    <w:rsid w:val="00266384"/>
    <w:rsid w:val="00266426"/>
    <w:rsid w:val="0026663C"/>
    <w:rsid w:val="00266786"/>
    <w:rsid w:val="002669D3"/>
    <w:rsid w:val="00266E0B"/>
    <w:rsid w:val="00267711"/>
    <w:rsid w:val="0026786D"/>
    <w:rsid w:val="00267BBC"/>
    <w:rsid w:val="002701DC"/>
    <w:rsid w:val="00270834"/>
    <w:rsid w:val="00271498"/>
    <w:rsid w:val="00271F75"/>
    <w:rsid w:val="0027344C"/>
    <w:rsid w:val="002735D0"/>
    <w:rsid w:val="002735E2"/>
    <w:rsid w:val="00273974"/>
    <w:rsid w:val="00273B90"/>
    <w:rsid w:val="00273F7F"/>
    <w:rsid w:val="002743A6"/>
    <w:rsid w:val="0027455C"/>
    <w:rsid w:val="0027473C"/>
    <w:rsid w:val="00274BBD"/>
    <w:rsid w:val="00274D90"/>
    <w:rsid w:val="0027563D"/>
    <w:rsid w:val="002756EE"/>
    <w:rsid w:val="00275FFD"/>
    <w:rsid w:val="002760B6"/>
    <w:rsid w:val="00276129"/>
    <w:rsid w:val="00276169"/>
    <w:rsid w:val="00276328"/>
    <w:rsid w:val="00276661"/>
    <w:rsid w:val="002767DF"/>
    <w:rsid w:val="00276839"/>
    <w:rsid w:val="00276C66"/>
    <w:rsid w:val="00277A6A"/>
    <w:rsid w:val="00277D17"/>
    <w:rsid w:val="00277EDD"/>
    <w:rsid w:val="0028011C"/>
    <w:rsid w:val="00280696"/>
    <w:rsid w:val="00280E35"/>
    <w:rsid w:val="00281153"/>
    <w:rsid w:val="00281200"/>
    <w:rsid w:val="00281872"/>
    <w:rsid w:val="002824AD"/>
    <w:rsid w:val="0028297C"/>
    <w:rsid w:val="00282BD4"/>
    <w:rsid w:val="00282BD9"/>
    <w:rsid w:val="00283338"/>
    <w:rsid w:val="00283743"/>
    <w:rsid w:val="002837D4"/>
    <w:rsid w:val="00283C9E"/>
    <w:rsid w:val="00283D15"/>
    <w:rsid w:val="002844D9"/>
    <w:rsid w:val="002844E6"/>
    <w:rsid w:val="00284869"/>
    <w:rsid w:val="00284AC1"/>
    <w:rsid w:val="0028503F"/>
    <w:rsid w:val="00285306"/>
    <w:rsid w:val="002853EB"/>
    <w:rsid w:val="00285526"/>
    <w:rsid w:val="002856F4"/>
    <w:rsid w:val="00285B65"/>
    <w:rsid w:val="00285B75"/>
    <w:rsid w:val="00285D63"/>
    <w:rsid w:val="0028612A"/>
    <w:rsid w:val="002861C3"/>
    <w:rsid w:val="00286345"/>
    <w:rsid w:val="002869A2"/>
    <w:rsid w:val="00286A88"/>
    <w:rsid w:val="00286CC6"/>
    <w:rsid w:val="00286D0F"/>
    <w:rsid w:val="00286DB0"/>
    <w:rsid w:val="00287346"/>
    <w:rsid w:val="00287A7F"/>
    <w:rsid w:val="00287E93"/>
    <w:rsid w:val="00287F06"/>
    <w:rsid w:val="0029028E"/>
    <w:rsid w:val="00290429"/>
    <w:rsid w:val="00290776"/>
    <w:rsid w:val="002913B9"/>
    <w:rsid w:val="00291515"/>
    <w:rsid w:val="00292E9C"/>
    <w:rsid w:val="00293598"/>
    <w:rsid w:val="002935DA"/>
    <w:rsid w:val="00293AB4"/>
    <w:rsid w:val="00293C03"/>
    <w:rsid w:val="00293C21"/>
    <w:rsid w:val="00293EC2"/>
    <w:rsid w:val="00293EDB"/>
    <w:rsid w:val="00293FB8"/>
    <w:rsid w:val="00294166"/>
    <w:rsid w:val="002942F4"/>
    <w:rsid w:val="0029457D"/>
    <w:rsid w:val="002945F2"/>
    <w:rsid w:val="002946F5"/>
    <w:rsid w:val="00294823"/>
    <w:rsid w:val="002948B6"/>
    <w:rsid w:val="00294A3A"/>
    <w:rsid w:val="00294BB2"/>
    <w:rsid w:val="00294EC7"/>
    <w:rsid w:val="00294FAB"/>
    <w:rsid w:val="002954A6"/>
    <w:rsid w:val="00295504"/>
    <w:rsid w:val="00295705"/>
    <w:rsid w:val="00295B06"/>
    <w:rsid w:val="002961FE"/>
    <w:rsid w:val="002965BC"/>
    <w:rsid w:val="00296667"/>
    <w:rsid w:val="0029690A"/>
    <w:rsid w:val="00297D70"/>
    <w:rsid w:val="002A08AF"/>
    <w:rsid w:val="002A08ED"/>
    <w:rsid w:val="002A0918"/>
    <w:rsid w:val="002A0948"/>
    <w:rsid w:val="002A11C7"/>
    <w:rsid w:val="002A13AC"/>
    <w:rsid w:val="002A145B"/>
    <w:rsid w:val="002A159C"/>
    <w:rsid w:val="002A1ADF"/>
    <w:rsid w:val="002A1B25"/>
    <w:rsid w:val="002A203C"/>
    <w:rsid w:val="002A27F6"/>
    <w:rsid w:val="002A2AA8"/>
    <w:rsid w:val="002A3B63"/>
    <w:rsid w:val="002A3BA3"/>
    <w:rsid w:val="002A3F09"/>
    <w:rsid w:val="002A447D"/>
    <w:rsid w:val="002A4AFE"/>
    <w:rsid w:val="002A4BBA"/>
    <w:rsid w:val="002A4EE7"/>
    <w:rsid w:val="002A5162"/>
    <w:rsid w:val="002A57AA"/>
    <w:rsid w:val="002A5963"/>
    <w:rsid w:val="002A61E8"/>
    <w:rsid w:val="002A6C4B"/>
    <w:rsid w:val="002A6EE5"/>
    <w:rsid w:val="002A6FC3"/>
    <w:rsid w:val="002A7B64"/>
    <w:rsid w:val="002A7C82"/>
    <w:rsid w:val="002A7D85"/>
    <w:rsid w:val="002A7E5A"/>
    <w:rsid w:val="002B049F"/>
    <w:rsid w:val="002B061C"/>
    <w:rsid w:val="002B080E"/>
    <w:rsid w:val="002B092B"/>
    <w:rsid w:val="002B0BFC"/>
    <w:rsid w:val="002B1424"/>
    <w:rsid w:val="002B1521"/>
    <w:rsid w:val="002B1BA4"/>
    <w:rsid w:val="002B1E2F"/>
    <w:rsid w:val="002B2007"/>
    <w:rsid w:val="002B229B"/>
    <w:rsid w:val="002B23EC"/>
    <w:rsid w:val="002B2647"/>
    <w:rsid w:val="002B27E2"/>
    <w:rsid w:val="002B2BDF"/>
    <w:rsid w:val="002B2F27"/>
    <w:rsid w:val="002B3054"/>
    <w:rsid w:val="002B3099"/>
    <w:rsid w:val="002B30F7"/>
    <w:rsid w:val="002B346E"/>
    <w:rsid w:val="002B3AD8"/>
    <w:rsid w:val="002B3BD5"/>
    <w:rsid w:val="002B3DF0"/>
    <w:rsid w:val="002B410F"/>
    <w:rsid w:val="002B4D7F"/>
    <w:rsid w:val="002B4E7C"/>
    <w:rsid w:val="002B5789"/>
    <w:rsid w:val="002B5CA8"/>
    <w:rsid w:val="002B5DBE"/>
    <w:rsid w:val="002B5FC2"/>
    <w:rsid w:val="002B5FE7"/>
    <w:rsid w:val="002B647B"/>
    <w:rsid w:val="002B6CB4"/>
    <w:rsid w:val="002B71E9"/>
    <w:rsid w:val="002B73D1"/>
    <w:rsid w:val="002B7479"/>
    <w:rsid w:val="002B7484"/>
    <w:rsid w:val="002B7AAD"/>
    <w:rsid w:val="002B7B8B"/>
    <w:rsid w:val="002B7E55"/>
    <w:rsid w:val="002C021D"/>
    <w:rsid w:val="002C074E"/>
    <w:rsid w:val="002C07EB"/>
    <w:rsid w:val="002C2537"/>
    <w:rsid w:val="002C27A2"/>
    <w:rsid w:val="002C2923"/>
    <w:rsid w:val="002C37A3"/>
    <w:rsid w:val="002C3829"/>
    <w:rsid w:val="002C3D2E"/>
    <w:rsid w:val="002C4068"/>
    <w:rsid w:val="002C447C"/>
    <w:rsid w:val="002C46CA"/>
    <w:rsid w:val="002C484A"/>
    <w:rsid w:val="002C4AE5"/>
    <w:rsid w:val="002C4BE8"/>
    <w:rsid w:val="002C57EA"/>
    <w:rsid w:val="002C604B"/>
    <w:rsid w:val="002C6251"/>
    <w:rsid w:val="002C6D41"/>
    <w:rsid w:val="002C707B"/>
    <w:rsid w:val="002C7BAC"/>
    <w:rsid w:val="002C7C77"/>
    <w:rsid w:val="002D005B"/>
    <w:rsid w:val="002D00FE"/>
    <w:rsid w:val="002D0289"/>
    <w:rsid w:val="002D03D2"/>
    <w:rsid w:val="002D082E"/>
    <w:rsid w:val="002D0935"/>
    <w:rsid w:val="002D09C0"/>
    <w:rsid w:val="002D0CD3"/>
    <w:rsid w:val="002D139A"/>
    <w:rsid w:val="002D15A8"/>
    <w:rsid w:val="002D1CDB"/>
    <w:rsid w:val="002D1CDC"/>
    <w:rsid w:val="002D1D3B"/>
    <w:rsid w:val="002D20F1"/>
    <w:rsid w:val="002D262B"/>
    <w:rsid w:val="002D294E"/>
    <w:rsid w:val="002D2AFD"/>
    <w:rsid w:val="002D2C0F"/>
    <w:rsid w:val="002D2FA2"/>
    <w:rsid w:val="002D2FB1"/>
    <w:rsid w:val="002D3330"/>
    <w:rsid w:val="002D337C"/>
    <w:rsid w:val="002D3798"/>
    <w:rsid w:val="002D3A06"/>
    <w:rsid w:val="002D3C41"/>
    <w:rsid w:val="002D4070"/>
    <w:rsid w:val="002D4B4B"/>
    <w:rsid w:val="002D4BBB"/>
    <w:rsid w:val="002D58A1"/>
    <w:rsid w:val="002D591A"/>
    <w:rsid w:val="002D5BF8"/>
    <w:rsid w:val="002D5DDB"/>
    <w:rsid w:val="002D617B"/>
    <w:rsid w:val="002D6ADD"/>
    <w:rsid w:val="002D75BD"/>
    <w:rsid w:val="002D7A12"/>
    <w:rsid w:val="002D7C71"/>
    <w:rsid w:val="002E04DC"/>
    <w:rsid w:val="002E0C8E"/>
    <w:rsid w:val="002E0EFD"/>
    <w:rsid w:val="002E1810"/>
    <w:rsid w:val="002E2033"/>
    <w:rsid w:val="002E21F7"/>
    <w:rsid w:val="002E27FC"/>
    <w:rsid w:val="002E298A"/>
    <w:rsid w:val="002E3103"/>
    <w:rsid w:val="002E3A13"/>
    <w:rsid w:val="002E3A9B"/>
    <w:rsid w:val="002E3AE9"/>
    <w:rsid w:val="002E3C18"/>
    <w:rsid w:val="002E40B5"/>
    <w:rsid w:val="002E4F98"/>
    <w:rsid w:val="002E5128"/>
    <w:rsid w:val="002E53D1"/>
    <w:rsid w:val="002E5677"/>
    <w:rsid w:val="002E58A1"/>
    <w:rsid w:val="002E58F4"/>
    <w:rsid w:val="002E59B2"/>
    <w:rsid w:val="002E5B89"/>
    <w:rsid w:val="002E5C26"/>
    <w:rsid w:val="002E5FD5"/>
    <w:rsid w:val="002E61FF"/>
    <w:rsid w:val="002E66FC"/>
    <w:rsid w:val="002E6B23"/>
    <w:rsid w:val="002E7089"/>
    <w:rsid w:val="002E77F2"/>
    <w:rsid w:val="002E7B0D"/>
    <w:rsid w:val="002E7B28"/>
    <w:rsid w:val="002F088A"/>
    <w:rsid w:val="002F0B7A"/>
    <w:rsid w:val="002F12B7"/>
    <w:rsid w:val="002F1A16"/>
    <w:rsid w:val="002F20AA"/>
    <w:rsid w:val="002F2176"/>
    <w:rsid w:val="002F2906"/>
    <w:rsid w:val="002F2950"/>
    <w:rsid w:val="002F29B7"/>
    <w:rsid w:val="002F31CE"/>
    <w:rsid w:val="002F37BF"/>
    <w:rsid w:val="002F4244"/>
    <w:rsid w:val="002F4399"/>
    <w:rsid w:val="002F444E"/>
    <w:rsid w:val="002F474C"/>
    <w:rsid w:val="002F4C06"/>
    <w:rsid w:val="002F4C73"/>
    <w:rsid w:val="002F50E3"/>
    <w:rsid w:val="002F5178"/>
    <w:rsid w:val="002F5961"/>
    <w:rsid w:val="002F597C"/>
    <w:rsid w:val="002F5D74"/>
    <w:rsid w:val="002F5ED3"/>
    <w:rsid w:val="002F5FF9"/>
    <w:rsid w:val="002F6D2F"/>
    <w:rsid w:val="002F73B7"/>
    <w:rsid w:val="002F7432"/>
    <w:rsid w:val="002F7D18"/>
    <w:rsid w:val="00300741"/>
    <w:rsid w:val="00300A42"/>
    <w:rsid w:val="00300BCA"/>
    <w:rsid w:val="00300CC3"/>
    <w:rsid w:val="00301147"/>
    <w:rsid w:val="003012C4"/>
    <w:rsid w:val="003014CB"/>
    <w:rsid w:val="00301873"/>
    <w:rsid w:val="00301D1D"/>
    <w:rsid w:val="003024FF"/>
    <w:rsid w:val="0030284F"/>
    <w:rsid w:val="003028E4"/>
    <w:rsid w:val="00302A87"/>
    <w:rsid w:val="00302AED"/>
    <w:rsid w:val="00302BE4"/>
    <w:rsid w:val="00303356"/>
    <w:rsid w:val="00303D93"/>
    <w:rsid w:val="00304B5F"/>
    <w:rsid w:val="00304FBF"/>
    <w:rsid w:val="00305891"/>
    <w:rsid w:val="0030697A"/>
    <w:rsid w:val="00306B1A"/>
    <w:rsid w:val="0030732D"/>
    <w:rsid w:val="003107F9"/>
    <w:rsid w:val="00310BC6"/>
    <w:rsid w:val="00310D9A"/>
    <w:rsid w:val="00311258"/>
    <w:rsid w:val="003114ED"/>
    <w:rsid w:val="0031194E"/>
    <w:rsid w:val="00311DA6"/>
    <w:rsid w:val="003123CC"/>
    <w:rsid w:val="0031262D"/>
    <w:rsid w:val="003130C5"/>
    <w:rsid w:val="003131FA"/>
    <w:rsid w:val="003132E7"/>
    <w:rsid w:val="003137BE"/>
    <w:rsid w:val="003138FF"/>
    <w:rsid w:val="00313D78"/>
    <w:rsid w:val="00313DAB"/>
    <w:rsid w:val="00313F46"/>
    <w:rsid w:val="003146A9"/>
    <w:rsid w:val="00314A13"/>
    <w:rsid w:val="00314B08"/>
    <w:rsid w:val="00314BCE"/>
    <w:rsid w:val="00314DF1"/>
    <w:rsid w:val="0031561F"/>
    <w:rsid w:val="00315756"/>
    <w:rsid w:val="00315A2C"/>
    <w:rsid w:val="00315E06"/>
    <w:rsid w:val="00315FD5"/>
    <w:rsid w:val="00316C34"/>
    <w:rsid w:val="00317082"/>
    <w:rsid w:val="00317C13"/>
    <w:rsid w:val="003203B0"/>
    <w:rsid w:val="00320A50"/>
    <w:rsid w:val="00320F88"/>
    <w:rsid w:val="003217FA"/>
    <w:rsid w:val="00321AE1"/>
    <w:rsid w:val="00322392"/>
    <w:rsid w:val="00322A5D"/>
    <w:rsid w:val="00322C42"/>
    <w:rsid w:val="00322D7C"/>
    <w:rsid w:val="00322F2E"/>
    <w:rsid w:val="00323051"/>
    <w:rsid w:val="003230F7"/>
    <w:rsid w:val="00323696"/>
    <w:rsid w:val="0032372B"/>
    <w:rsid w:val="00323A3F"/>
    <w:rsid w:val="00323BE5"/>
    <w:rsid w:val="00323C7F"/>
    <w:rsid w:val="003244DD"/>
    <w:rsid w:val="0032469D"/>
    <w:rsid w:val="003246BE"/>
    <w:rsid w:val="00324DBD"/>
    <w:rsid w:val="00324F3D"/>
    <w:rsid w:val="0032512D"/>
    <w:rsid w:val="003252A7"/>
    <w:rsid w:val="0032564B"/>
    <w:rsid w:val="00325A6D"/>
    <w:rsid w:val="00325D5A"/>
    <w:rsid w:val="003268D9"/>
    <w:rsid w:val="00326C55"/>
    <w:rsid w:val="003270B2"/>
    <w:rsid w:val="0032736E"/>
    <w:rsid w:val="0032739D"/>
    <w:rsid w:val="00327499"/>
    <w:rsid w:val="0032788D"/>
    <w:rsid w:val="003279D1"/>
    <w:rsid w:val="00327D2E"/>
    <w:rsid w:val="00327E55"/>
    <w:rsid w:val="0033090B"/>
    <w:rsid w:val="00330935"/>
    <w:rsid w:val="003314E7"/>
    <w:rsid w:val="0033155C"/>
    <w:rsid w:val="00331638"/>
    <w:rsid w:val="00331D87"/>
    <w:rsid w:val="00331E9B"/>
    <w:rsid w:val="00331EAB"/>
    <w:rsid w:val="00332575"/>
    <w:rsid w:val="003328F1"/>
    <w:rsid w:val="003329BC"/>
    <w:rsid w:val="00332BC0"/>
    <w:rsid w:val="00333874"/>
    <w:rsid w:val="00334A22"/>
    <w:rsid w:val="00334D2A"/>
    <w:rsid w:val="003354DE"/>
    <w:rsid w:val="0033573C"/>
    <w:rsid w:val="00335A63"/>
    <w:rsid w:val="00335E55"/>
    <w:rsid w:val="00336188"/>
    <w:rsid w:val="003363CC"/>
    <w:rsid w:val="00336E8F"/>
    <w:rsid w:val="003379F2"/>
    <w:rsid w:val="00337C7B"/>
    <w:rsid w:val="00337E07"/>
    <w:rsid w:val="00340035"/>
    <w:rsid w:val="00341325"/>
    <w:rsid w:val="0034196B"/>
    <w:rsid w:val="00342136"/>
    <w:rsid w:val="0034270E"/>
    <w:rsid w:val="0034302C"/>
    <w:rsid w:val="003435EC"/>
    <w:rsid w:val="003437B2"/>
    <w:rsid w:val="00343E2A"/>
    <w:rsid w:val="0034416B"/>
    <w:rsid w:val="00344313"/>
    <w:rsid w:val="0034437D"/>
    <w:rsid w:val="003443A2"/>
    <w:rsid w:val="003445FF"/>
    <w:rsid w:val="003446DD"/>
    <w:rsid w:val="00344750"/>
    <w:rsid w:val="00344813"/>
    <w:rsid w:val="00344970"/>
    <w:rsid w:val="00344AB4"/>
    <w:rsid w:val="00344E24"/>
    <w:rsid w:val="00344E91"/>
    <w:rsid w:val="00344EA4"/>
    <w:rsid w:val="00345138"/>
    <w:rsid w:val="00345437"/>
    <w:rsid w:val="00345735"/>
    <w:rsid w:val="003458F7"/>
    <w:rsid w:val="00345C24"/>
    <w:rsid w:val="00345E34"/>
    <w:rsid w:val="0034609A"/>
    <w:rsid w:val="00346E34"/>
    <w:rsid w:val="00346FFE"/>
    <w:rsid w:val="003477A1"/>
    <w:rsid w:val="003477FB"/>
    <w:rsid w:val="0034794C"/>
    <w:rsid w:val="00347969"/>
    <w:rsid w:val="00347FCC"/>
    <w:rsid w:val="003504D4"/>
    <w:rsid w:val="003506E3"/>
    <w:rsid w:val="00350A38"/>
    <w:rsid w:val="00351175"/>
    <w:rsid w:val="003521F5"/>
    <w:rsid w:val="003523AC"/>
    <w:rsid w:val="0035352E"/>
    <w:rsid w:val="003539F9"/>
    <w:rsid w:val="00353C5E"/>
    <w:rsid w:val="00353E75"/>
    <w:rsid w:val="00353F86"/>
    <w:rsid w:val="00353FB2"/>
    <w:rsid w:val="003543BD"/>
    <w:rsid w:val="00354778"/>
    <w:rsid w:val="00354BE4"/>
    <w:rsid w:val="00354C0D"/>
    <w:rsid w:val="00354D9A"/>
    <w:rsid w:val="00355945"/>
    <w:rsid w:val="00355C8F"/>
    <w:rsid w:val="00355F10"/>
    <w:rsid w:val="00356302"/>
    <w:rsid w:val="00357040"/>
    <w:rsid w:val="003572B9"/>
    <w:rsid w:val="0035733A"/>
    <w:rsid w:val="00357387"/>
    <w:rsid w:val="003575C9"/>
    <w:rsid w:val="00357875"/>
    <w:rsid w:val="00357EC9"/>
    <w:rsid w:val="00360527"/>
    <w:rsid w:val="00360729"/>
    <w:rsid w:val="0036080C"/>
    <w:rsid w:val="00360989"/>
    <w:rsid w:val="00360EA5"/>
    <w:rsid w:val="00361D4C"/>
    <w:rsid w:val="00361DE5"/>
    <w:rsid w:val="00361DF5"/>
    <w:rsid w:val="003621F9"/>
    <w:rsid w:val="003622A0"/>
    <w:rsid w:val="00362AFB"/>
    <w:rsid w:val="003633DB"/>
    <w:rsid w:val="0036367A"/>
    <w:rsid w:val="00363A19"/>
    <w:rsid w:val="00364201"/>
    <w:rsid w:val="003645D4"/>
    <w:rsid w:val="00364BBF"/>
    <w:rsid w:val="00364E42"/>
    <w:rsid w:val="00364F21"/>
    <w:rsid w:val="00365DDD"/>
    <w:rsid w:val="003667AD"/>
    <w:rsid w:val="003668E1"/>
    <w:rsid w:val="00366D4F"/>
    <w:rsid w:val="00367801"/>
    <w:rsid w:val="00367997"/>
    <w:rsid w:val="00367D7D"/>
    <w:rsid w:val="00367EBC"/>
    <w:rsid w:val="003700F3"/>
    <w:rsid w:val="00370124"/>
    <w:rsid w:val="00370464"/>
    <w:rsid w:val="003704FF"/>
    <w:rsid w:val="003717FF"/>
    <w:rsid w:val="0037201E"/>
    <w:rsid w:val="0037234F"/>
    <w:rsid w:val="003728EA"/>
    <w:rsid w:val="00372E72"/>
    <w:rsid w:val="00373025"/>
    <w:rsid w:val="00373B2E"/>
    <w:rsid w:val="00373CBE"/>
    <w:rsid w:val="00374478"/>
    <w:rsid w:val="00374575"/>
    <w:rsid w:val="00374B67"/>
    <w:rsid w:val="00374E4D"/>
    <w:rsid w:val="00375968"/>
    <w:rsid w:val="00376435"/>
    <w:rsid w:val="00376673"/>
    <w:rsid w:val="00376765"/>
    <w:rsid w:val="00376F57"/>
    <w:rsid w:val="00377A9D"/>
    <w:rsid w:val="00377B3B"/>
    <w:rsid w:val="00377C3F"/>
    <w:rsid w:val="003804AD"/>
    <w:rsid w:val="0038090F"/>
    <w:rsid w:val="00380C99"/>
    <w:rsid w:val="003825E6"/>
    <w:rsid w:val="003825FB"/>
    <w:rsid w:val="003826FF"/>
    <w:rsid w:val="00382A11"/>
    <w:rsid w:val="00382CC3"/>
    <w:rsid w:val="003832DD"/>
    <w:rsid w:val="00383342"/>
    <w:rsid w:val="003840DE"/>
    <w:rsid w:val="0038413B"/>
    <w:rsid w:val="0038416E"/>
    <w:rsid w:val="0038426C"/>
    <w:rsid w:val="00384340"/>
    <w:rsid w:val="0038458C"/>
    <w:rsid w:val="0038468D"/>
    <w:rsid w:val="003848F1"/>
    <w:rsid w:val="003849FF"/>
    <w:rsid w:val="00384AA8"/>
    <w:rsid w:val="00384DBE"/>
    <w:rsid w:val="003850CA"/>
    <w:rsid w:val="003854BD"/>
    <w:rsid w:val="00385676"/>
    <w:rsid w:val="00385A76"/>
    <w:rsid w:val="00385ADC"/>
    <w:rsid w:val="00385B59"/>
    <w:rsid w:val="0038641D"/>
    <w:rsid w:val="00386BEF"/>
    <w:rsid w:val="00386E66"/>
    <w:rsid w:val="00387268"/>
    <w:rsid w:val="00387316"/>
    <w:rsid w:val="00387A54"/>
    <w:rsid w:val="00387D8C"/>
    <w:rsid w:val="003908CA"/>
    <w:rsid w:val="00390A5B"/>
    <w:rsid w:val="0039154D"/>
    <w:rsid w:val="00391C25"/>
    <w:rsid w:val="00392491"/>
    <w:rsid w:val="00392637"/>
    <w:rsid w:val="003926CA"/>
    <w:rsid w:val="0039274C"/>
    <w:rsid w:val="00392AE3"/>
    <w:rsid w:val="00392EC3"/>
    <w:rsid w:val="0039314C"/>
    <w:rsid w:val="00393238"/>
    <w:rsid w:val="00393342"/>
    <w:rsid w:val="00393B47"/>
    <w:rsid w:val="00393EB1"/>
    <w:rsid w:val="00394022"/>
    <w:rsid w:val="00394561"/>
    <w:rsid w:val="003946E6"/>
    <w:rsid w:val="0039474C"/>
    <w:rsid w:val="003949E3"/>
    <w:rsid w:val="00394D2B"/>
    <w:rsid w:val="00395059"/>
    <w:rsid w:val="003952FF"/>
    <w:rsid w:val="0039540F"/>
    <w:rsid w:val="003954DD"/>
    <w:rsid w:val="00395A06"/>
    <w:rsid w:val="00395ABC"/>
    <w:rsid w:val="00396797"/>
    <w:rsid w:val="00396B9C"/>
    <w:rsid w:val="00396F0F"/>
    <w:rsid w:val="00396F57"/>
    <w:rsid w:val="003972C2"/>
    <w:rsid w:val="0039750D"/>
    <w:rsid w:val="0039769A"/>
    <w:rsid w:val="00397AFD"/>
    <w:rsid w:val="00397E23"/>
    <w:rsid w:val="003A062C"/>
    <w:rsid w:val="003A06EB"/>
    <w:rsid w:val="003A07B9"/>
    <w:rsid w:val="003A12A3"/>
    <w:rsid w:val="003A13AE"/>
    <w:rsid w:val="003A1503"/>
    <w:rsid w:val="003A1819"/>
    <w:rsid w:val="003A1DD2"/>
    <w:rsid w:val="003A2255"/>
    <w:rsid w:val="003A2B6D"/>
    <w:rsid w:val="003A2B96"/>
    <w:rsid w:val="003A3104"/>
    <w:rsid w:val="003A3254"/>
    <w:rsid w:val="003A3D51"/>
    <w:rsid w:val="003A4455"/>
    <w:rsid w:val="003A4783"/>
    <w:rsid w:val="003A5078"/>
    <w:rsid w:val="003A570E"/>
    <w:rsid w:val="003A581D"/>
    <w:rsid w:val="003A596E"/>
    <w:rsid w:val="003A5A92"/>
    <w:rsid w:val="003A5E6D"/>
    <w:rsid w:val="003A6124"/>
    <w:rsid w:val="003A6311"/>
    <w:rsid w:val="003A642D"/>
    <w:rsid w:val="003A6676"/>
    <w:rsid w:val="003A6B5B"/>
    <w:rsid w:val="003A6BAB"/>
    <w:rsid w:val="003A6CC1"/>
    <w:rsid w:val="003A6D32"/>
    <w:rsid w:val="003A734E"/>
    <w:rsid w:val="003A7B86"/>
    <w:rsid w:val="003B0D7B"/>
    <w:rsid w:val="003B1EC4"/>
    <w:rsid w:val="003B2178"/>
    <w:rsid w:val="003B21DD"/>
    <w:rsid w:val="003B24A8"/>
    <w:rsid w:val="003B2602"/>
    <w:rsid w:val="003B2638"/>
    <w:rsid w:val="003B2A8B"/>
    <w:rsid w:val="003B2BFF"/>
    <w:rsid w:val="003B34DE"/>
    <w:rsid w:val="003B3830"/>
    <w:rsid w:val="003B3A09"/>
    <w:rsid w:val="003B3BFA"/>
    <w:rsid w:val="003B3CB3"/>
    <w:rsid w:val="003B3D57"/>
    <w:rsid w:val="003B3EA6"/>
    <w:rsid w:val="003B40DA"/>
    <w:rsid w:val="003B44E0"/>
    <w:rsid w:val="003B47AA"/>
    <w:rsid w:val="003B48C6"/>
    <w:rsid w:val="003B563F"/>
    <w:rsid w:val="003B589E"/>
    <w:rsid w:val="003B5B94"/>
    <w:rsid w:val="003B5C48"/>
    <w:rsid w:val="003B6293"/>
    <w:rsid w:val="003B6A93"/>
    <w:rsid w:val="003B6DDB"/>
    <w:rsid w:val="003B6EA1"/>
    <w:rsid w:val="003B7122"/>
    <w:rsid w:val="003B7CFD"/>
    <w:rsid w:val="003C01AF"/>
    <w:rsid w:val="003C085A"/>
    <w:rsid w:val="003C09FA"/>
    <w:rsid w:val="003C0EE9"/>
    <w:rsid w:val="003C1567"/>
    <w:rsid w:val="003C17F3"/>
    <w:rsid w:val="003C1A77"/>
    <w:rsid w:val="003C1D07"/>
    <w:rsid w:val="003C1D2E"/>
    <w:rsid w:val="003C1F0E"/>
    <w:rsid w:val="003C25FF"/>
    <w:rsid w:val="003C26F8"/>
    <w:rsid w:val="003C2FB9"/>
    <w:rsid w:val="003C30FD"/>
    <w:rsid w:val="003C31F6"/>
    <w:rsid w:val="003C3CA6"/>
    <w:rsid w:val="003C4522"/>
    <w:rsid w:val="003C49EE"/>
    <w:rsid w:val="003C4BC0"/>
    <w:rsid w:val="003C5225"/>
    <w:rsid w:val="003C52DB"/>
    <w:rsid w:val="003C5C69"/>
    <w:rsid w:val="003C61C9"/>
    <w:rsid w:val="003C6422"/>
    <w:rsid w:val="003C650D"/>
    <w:rsid w:val="003C6D63"/>
    <w:rsid w:val="003C705F"/>
    <w:rsid w:val="003C7749"/>
    <w:rsid w:val="003C7B6F"/>
    <w:rsid w:val="003D00E1"/>
    <w:rsid w:val="003D03AE"/>
    <w:rsid w:val="003D04BB"/>
    <w:rsid w:val="003D0CB1"/>
    <w:rsid w:val="003D0E65"/>
    <w:rsid w:val="003D0F95"/>
    <w:rsid w:val="003D10AB"/>
    <w:rsid w:val="003D10EF"/>
    <w:rsid w:val="003D12C0"/>
    <w:rsid w:val="003D212A"/>
    <w:rsid w:val="003D243A"/>
    <w:rsid w:val="003D2736"/>
    <w:rsid w:val="003D2AAD"/>
    <w:rsid w:val="003D42A5"/>
    <w:rsid w:val="003D45F7"/>
    <w:rsid w:val="003D4A51"/>
    <w:rsid w:val="003D525D"/>
    <w:rsid w:val="003D5778"/>
    <w:rsid w:val="003D5859"/>
    <w:rsid w:val="003D59AD"/>
    <w:rsid w:val="003D5A23"/>
    <w:rsid w:val="003D5D13"/>
    <w:rsid w:val="003D6C5B"/>
    <w:rsid w:val="003D6D89"/>
    <w:rsid w:val="003D6E00"/>
    <w:rsid w:val="003D76A3"/>
    <w:rsid w:val="003E01ED"/>
    <w:rsid w:val="003E0216"/>
    <w:rsid w:val="003E03BB"/>
    <w:rsid w:val="003E03FC"/>
    <w:rsid w:val="003E042F"/>
    <w:rsid w:val="003E045E"/>
    <w:rsid w:val="003E11EF"/>
    <w:rsid w:val="003E233D"/>
    <w:rsid w:val="003E238A"/>
    <w:rsid w:val="003E26D5"/>
    <w:rsid w:val="003E2C27"/>
    <w:rsid w:val="003E2EC4"/>
    <w:rsid w:val="003E3945"/>
    <w:rsid w:val="003E3E2E"/>
    <w:rsid w:val="003E410A"/>
    <w:rsid w:val="003E4138"/>
    <w:rsid w:val="003E428F"/>
    <w:rsid w:val="003E44F4"/>
    <w:rsid w:val="003E4563"/>
    <w:rsid w:val="003E4A3D"/>
    <w:rsid w:val="003E4E9F"/>
    <w:rsid w:val="003E51B0"/>
    <w:rsid w:val="003E5BE9"/>
    <w:rsid w:val="003E64F8"/>
    <w:rsid w:val="003E6728"/>
    <w:rsid w:val="003E68B1"/>
    <w:rsid w:val="003E6C55"/>
    <w:rsid w:val="003E6CF7"/>
    <w:rsid w:val="003E7206"/>
    <w:rsid w:val="003E7875"/>
    <w:rsid w:val="003F01A8"/>
    <w:rsid w:val="003F0256"/>
    <w:rsid w:val="003F0EF5"/>
    <w:rsid w:val="003F140F"/>
    <w:rsid w:val="003F1835"/>
    <w:rsid w:val="003F19B8"/>
    <w:rsid w:val="003F19CB"/>
    <w:rsid w:val="003F1E2B"/>
    <w:rsid w:val="003F23C1"/>
    <w:rsid w:val="003F2E02"/>
    <w:rsid w:val="003F2F3D"/>
    <w:rsid w:val="003F3230"/>
    <w:rsid w:val="003F3C21"/>
    <w:rsid w:val="003F411F"/>
    <w:rsid w:val="003F5034"/>
    <w:rsid w:val="003F562E"/>
    <w:rsid w:val="003F5F2F"/>
    <w:rsid w:val="003F5F4C"/>
    <w:rsid w:val="003F6E20"/>
    <w:rsid w:val="003F7015"/>
    <w:rsid w:val="003F71B3"/>
    <w:rsid w:val="003F770E"/>
    <w:rsid w:val="003F788D"/>
    <w:rsid w:val="003F78C1"/>
    <w:rsid w:val="003F7C71"/>
    <w:rsid w:val="003F7F25"/>
    <w:rsid w:val="00400510"/>
    <w:rsid w:val="00400610"/>
    <w:rsid w:val="004007EC"/>
    <w:rsid w:val="00400A1C"/>
    <w:rsid w:val="00400C2E"/>
    <w:rsid w:val="00400E6D"/>
    <w:rsid w:val="00400F4C"/>
    <w:rsid w:val="0040136B"/>
    <w:rsid w:val="00401FC5"/>
    <w:rsid w:val="00402018"/>
    <w:rsid w:val="0040242E"/>
    <w:rsid w:val="0040295D"/>
    <w:rsid w:val="0040320C"/>
    <w:rsid w:val="00403528"/>
    <w:rsid w:val="004036AA"/>
    <w:rsid w:val="0040377E"/>
    <w:rsid w:val="00403B85"/>
    <w:rsid w:val="00403F60"/>
    <w:rsid w:val="0040402C"/>
    <w:rsid w:val="0040415E"/>
    <w:rsid w:val="0040454C"/>
    <w:rsid w:val="0040464B"/>
    <w:rsid w:val="00404E42"/>
    <w:rsid w:val="00404F70"/>
    <w:rsid w:val="004052F4"/>
    <w:rsid w:val="00405362"/>
    <w:rsid w:val="004053DC"/>
    <w:rsid w:val="00405A99"/>
    <w:rsid w:val="00405AF7"/>
    <w:rsid w:val="00405CC4"/>
    <w:rsid w:val="004062BE"/>
    <w:rsid w:val="00406656"/>
    <w:rsid w:val="00406851"/>
    <w:rsid w:val="004072EB"/>
    <w:rsid w:val="00407601"/>
    <w:rsid w:val="00407E43"/>
    <w:rsid w:val="00410728"/>
    <w:rsid w:val="0041085B"/>
    <w:rsid w:val="00410888"/>
    <w:rsid w:val="00410A42"/>
    <w:rsid w:val="00410ED6"/>
    <w:rsid w:val="0041152D"/>
    <w:rsid w:val="00411724"/>
    <w:rsid w:val="00411900"/>
    <w:rsid w:val="00411ACE"/>
    <w:rsid w:val="00411B2F"/>
    <w:rsid w:val="00412279"/>
    <w:rsid w:val="004127F8"/>
    <w:rsid w:val="0041289E"/>
    <w:rsid w:val="00413045"/>
    <w:rsid w:val="004134D3"/>
    <w:rsid w:val="004135C3"/>
    <w:rsid w:val="00413F45"/>
    <w:rsid w:val="004141F8"/>
    <w:rsid w:val="00414504"/>
    <w:rsid w:val="00414A57"/>
    <w:rsid w:val="0041514D"/>
    <w:rsid w:val="004152D9"/>
    <w:rsid w:val="0041545B"/>
    <w:rsid w:val="00415614"/>
    <w:rsid w:val="00416036"/>
    <w:rsid w:val="004160B4"/>
    <w:rsid w:val="00416D56"/>
    <w:rsid w:val="004176A2"/>
    <w:rsid w:val="00417A6F"/>
    <w:rsid w:val="00417F9D"/>
    <w:rsid w:val="00417FD0"/>
    <w:rsid w:val="00420575"/>
    <w:rsid w:val="0042112D"/>
    <w:rsid w:val="00421298"/>
    <w:rsid w:val="0042139F"/>
    <w:rsid w:val="0042157E"/>
    <w:rsid w:val="00421597"/>
    <w:rsid w:val="004215C4"/>
    <w:rsid w:val="00421613"/>
    <w:rsid w:val="0042179E"/>
    <w:rsid w:val="0042197B"/>
    <w:rsid w:val="00421A78"/>
    <w:rsid w:val="00421F57"/>
    <w:rsid w:val="00422514"/>
    <w:rsid w:val="0042286F"/>
    <w:rsid w:val="004229D2"/>
    <w:rsid w:val="00422BB7"/>
    <w:rsid w:val="00422DBA"/>
    <w:rsid w:val="00422E72"/>
    <w:rsid w:val="0042300E"/>
    <w:rsid w:val="00423222"/>
    <w:rsid w:val="004234ED"/>
    <w:rsid w:val="004236DB"/>
    <w:rsid w:val="004242DE"/>
    <w:rsid w:val="0042469E"/>
    <w:rsid w:val="00425335"/>
    <w:rsid w:val="00425A90"/>
    <w:rsid w:val="00425AF7"/>
    <w:rsid w:val="00425F18"/>
    <w:rsid w:val="00425F90"/>
    <w:rsid w:val="004260C0"/>
    <w:rsid w:val="00427088"/>
    <w:rsid w:val="004270A3"/>
    <w:rsid w:val="004278B8"/>
    <w:rsid w:val="00427CF1"/>
    <w:rsid w:val="00427FAB"/>
    <w:rsid w:val="0043062A"/>
    <w:rsid w:val="00431193"/>
    <w:rsid w:val="00431CE3"/>
    <w:rsid w:val="00432A20"/>
    <w:rsid w:val="0043310D"/>
    <w:rsid w:val="00433937"/>
    <w:rsid w:val="00433F6B"/>
    <w:rsid w:val="00434100"/>
    <w:rsid w:val="004346C2"/>
    <w:rsid w:val="00434700"/>
    <w:rsid w:val="00434CC5"/>
    <w:rsid w:val="00434CE7"/>
    <w:rsid w:val="0043578E"/>
    <w:rsid w:val="004363D5"/>
    <w:rsid w:val="004366D0"/>
    <w:rsid w:val="0043691B"/>
    <w:rsid w:val="00436D86"/>
    <w:rsid w:val="004375FC"/>
    <w:rsid w:val="00437F50"/>
    <w:rsid w:val="00440008"/>
    <w:rsid w:val="004400C0"/>
    <w:rsid w:val="00440142"/>
    <w:rsid w:val="0044044E"/>
    <w:rsid w:val="004406E2"/>
    <w:rsid w:val="0044074D"/>
    <w:rsid w:val="00440A8D"/>
    <w:rsid w:val="00441371"/>
    <w:rsid w:val="00441758"/>
    <w:rsid w:val="0044178C"/>
    <w:rsid w:val="0044191C"/>
    <w:rsid w:val="00442663"/>
    <w:rsid w:val="004427AD"/>
    <w:rsid w:val="00442AAD"/>
    <w:rsid w:val="00442B63"/>
    <w:rsid w:val="00442D80"/>
    <w:rsid w:val="00442E70"/>
    <w:rsid w:val="004432C4"/>
    <w:rsid w:val="004436E5"/>
    <w:rsid w:val="00443831"/>
    <w:rsid w:val="00443834"/>
    <w:rsid w:val="004439FF"/>
    <w:rsid w:val="00443A75"/>
    <w:rsid w:val="00443AAC"/>
    <w:rsid w:val="00443E6E"/>
    <w:rsid w:val="00443FA4"/>
    <w:rsid w:val="004442C1"/>
    <w:rsid w:val="00444973"/>
    <w:rsid w:val="00444976"/>
    <w:rsid w:val="00444DA5"/>
    <w:rsid w:val="00445513"/>
    <w:rsid w:val="00445786"/>
    <w:rsid w:val="00445A03"/>
    <w:rsid w:val="00445AB0"/>
    <w:rsid w:val="00446353"/>
    <w:rsid w:val="00446427"/>
    <w:rsid w:val="00447042"/>
    <w:rsid w:val="00447082"/>
    <w:rsid w:val="004470ED"/>
    <w:rsid w:val="004474EE"/>
    <w:rsid w:val="004474F4"/>
    <w:rsid w:val="00447930"/>
    <w:rsid w:val="00447D1D"/>
    <w:rsid w:val="0045042F"/>
    <w:rsid w:val="00450B29"/>
    <w:rsid w:val="00450D3D"/>
    <w:rsid w:val="004512EB"/>
    <w:rsid w:val="004514BF"/>
    <w:rsid w:val="00451514"/>
    <w:rsid w:val="00451C9B"/>
    <w:rsid w:val="00451CD3"/>
    <w:rsid w:val="00452361"/>
    <w:rsid w:val="004523AC"/>
    <w:rsid w:val="004537CB"/>
    <w:rsid w:val="0045391E"/>
    <w:rsid w:val="00453CF3"/>
    <w:rsid w:val="004541CF"/>
    <w:rsid w:val="004542A6"/>
    <w:rsid w:val="0045475B"/>
    <w:rsid w:val="0045523C"/>
    <w:rsid w:val="00456025"/>
    <w:rsid w:val="004564A2"/>
    <w:rsid w:val="00456E41"/>
    <w:rsid w:val="00456ECD"/>
    <w:rsid w:val="00456F39"/>
    <w:rsid w:val="0046022F"/>
    <w:rsid w:val="0046029E"/>
    <w:rsid w:val="004607E0"/>
    <w:rsid w:val="00460B3B"/>
    <w:rsid w:val="00460F1A"/>
    <w:rsid w:val="0046109F"/>
    <w:rsid w:val="004616B1"/>
    <w:rsid w:val="00461904"/>
    <w:rsid w:val="00461CD9"/>
    <w:rsid w:val="00461ECF"/>
    <w:rsid w:val="0046203E"/>
    <w:rsid w:val="0046280C"/>
    <w:rsid w:val="004628B8"/>
    <w:rsid w:val="00462B5B"/>
    <w:rsid w:val="00462F72"/>
    <w:rsid w:val="00464211"/>
    <w:rsid w:val="004647A6"/>
    <w:rsid w:val="0046480A"/>
    <w:rsid w:val="00464AD3"/>
    <w:rsid w:val="00464AFB"/>
    <w:rsid w:val="00464C4C"/>
    <w:rsid w:val="00464CEA"/>
    <w:rsid w:val="00464EA8"/>
    <w:rsid w:val="0046610B"/>
    <w:rsid w:val="00466121"/>
    <w:rsid w:val="00466A03"/>
    <w:rsid w:val="00466F8E"/>
    <w:rsid w:val="00466FBC"/>
    <w:rsid w:val="00467354"/>
    <w:rsid w:val="00467ECD"/>
    <w:rsid w:val="00470169"/>
    <w:rsid w:val="004702BB"/>
    <w:rsid w:val="004703A9"/>
    <w:rsid w:val="00470438"/>
    <w:rsid w:val="00470A3F"/>
    <w:rsid w:val="00471252"/>
    <w:rsid w:val="004719F4"/>
    <w:rsid w:val="004721E6"/>
    <w:rsid w:val="00472422"/>
    <w:rsid w:val="00472870"/>
    <w:rsid w:val="00472A1B"/>
    <w:rsid w:val="00472A5F"/>
    <w:rsid w:val="00472E11"/>
    <w:rsid w:val="0047342F"/>
    <w:rsid w:val="0047346F"/>
    <w:rsid w:val="00473624"/>
    <w:rsid w:val="004737BB"/>
    <w:rsid w:val="0047382F"/>
    <w:rsid w:val="00473B4F"/>
    <w:rsid w:val="00473B50"/>
    <w:rsid w:val="00473BB6"/>
    <w:rsid w:val="00473BF2"/>
    <w:rsid w:val="00473DD5"/>
    <w:rsid w:val="0047411D"/>
    <w:rsid w:val="004742DA"/>
    <w:rsid w:val="00474395"/>
    <w:rsid w:val="00474D2F"/>
    <w:rsid w:val="00474FF8"/>
    <w:rsid w:val="0047557B"/>
    <w:rsid w:val="004757C2"/>
    <w:rsid w:val="00475D57"/>
    <w:rsid w:val="00475EA9"/>
    <w:rsid w:val="00475F26"/>
    <w:rsid w:val="00476078"/>
    <w:rsid w:val="00476912"/>
    <w:rsid w:val="00476948"/>
    <w:rsid w:val="00476D13"/>
    <w:rsid w:val="004771F7"/>
    <w:rsid w:val="00477A28"/>
    <w:rsid w:val="004802F1"/>
    <w:rsid w:val="00480597"/>
    <w:rsid w:val="00480844"/>
    <w:rsid w:val="0048094F"/>
    <w:rsid w:val="00480964"/>
    <w:rsid w:val="00480FD9"/>
    <w:rsid w:val="00481344"/>
    <w:rsid w:val="004814E1"/>
    <w:rsid w:val="00481800"/>
    <w:rsid w:val="0048240F"/>
    <w:rsid w:val="00482C23"/>
    <w:rsid w:val="00483025"/>
    <w:rsid w:val="004831CC"/>
    <w:rsid w:val="004836A6"/>
    <w:rsid w:val="004838BF"/>
    <w:rsid w:val="004840A8"/>
    <w:rsid w:val="004842C6"/>
    <w:rsid w:val="004845E8"/>
    <w:rsid w:val="00484DFA"/>
    <w:rsid w:val="004859A1"/>
    <w:rsid w:val="0048622E"/>
    <w:rsid w:val="00486619"/>
    <w:rsid w:val="00486BB0"/>
    <w:rsid w:val="00486D9C"/>
    <w:rsid w:val="00486E50"/>
    <w:rsid w:val="00487007"/>
    <w:rsid w:val="00487DDA"/>
    <w:rsid w:val="004905ED"/>
    <w:rsid w:val="00490703"/>
    <w:rsid w:val="00490B60"/>
    <w:rsid w:val="00490EE2"/>
    <w:rsid w:val="00491250"/>
    <w:rsid w:val="00491295"/>
    <w:rsid w:val="00491B96"/>
    <w:rsid w:val="00492004"/>
    <w:rsid w:val="00492D70"/>
    <w:rsid w:val="00492DE5"/>
    <w:rsid w:val="00492ED1"/>
    <w:rsid w:val="00492F12"/>
    <w:rsid w:val="004931F5"/>
    <w:rsid w:val="004932A1"/>
    <w:rsid w:val="00493818"/>
    <w:rsid w:val="004938DC"/>
    <w:rsid w:val="00493FCA"/>
    <w:rsid w:val="0049466B"/>
    <w:rsid w:val="00494B58"/>
    <w:rsid w:val="00494D9E"/>
    <w:rsid w:val="00494DF5"/>
    <w:rsid w:val="00494F8A"/>
    <w:rsid w:val="00495243"/>
    <w:rsid w:val="0049536D"/>
    <w:rsid w:val="004955C8"/>
    <w:rsid w:val="00495AF8"/>
    <w:rsid w:val="00496489"/>
    <w:rsid w:val="00496822"/>
    <w:rsid w:val="00496916"/>
    <w:rsid w:val="00496A5C"/>
    <w:rsid w:val="00496FE9"/>
    <w:rsid w:val="00497937"/>
    <w:rsid w:val="00497AB3"/>
    <w:rsid w:val="004A002A"/>
    <w:rsid w:val="004A00F4"/>
    <w:rsid w:val="004A0192"/>
    <w:rsid w:val="004A02C4"/>
    <w:rsid w:val="004A06DF"/>
    <w:rsid w:val="004A0AE4"/>
    <w:rsid w:val="004A1B32"/>
    <w:rsid w:val="004A1C5D"/>
    <w:rsid w:val="004A1D9C"/>
    <w:rsid w:val="004A206D"/>
    <w:rsid w:val="004A20C6"/>
    <w:rsid w:val="004A26EA"/>
    <w:rsid w:val="004A27C1"/>
    <w:rsid w:val="004A2B66"/>
    <w:rsid w:val="004A3360"/>
    <w:rsid w:val="004A3451"/>
    <w:rsid w:val="004A3986"/>
    <w:rsid w:val="004A3C4C"/>
    <w:rsid w:val="004A3C8C"/>
    <w:rsid w:val="004A4140"/>
    <w:rsid w:val="004A46EC"/>
    <w:rsid w:val="004A4AA4"/>
    <w:rsid w:val="004A5651"/>
    <w:rsid w:val="004A5703"/>
    <w:rsid w:val="004A58C2"/>
    <w:rsid w:val="004A5983"/>
    <w:rsid w:val="004A5AFD"/>
    <w:rsid w:val="004A5D3A"/>
    <w:rsid w:val="004A64A2"/>
    <w:rsid w:val="004A66C5"/>
    <w:rsid w:val="004A6836"/>
    <w:rsid w:val="004A69D1"/>
    <w:rsid w:val="004A6B39"/>
    <w:rsid w:val="004A7598"/>
    <w:rsid w:val="004A78AA"/>
    <w:rsid w:val="004A7F80"/>
    <w:rsid w:val="004B0379"/>
    <w:rsid w:val="004B04C2"/>
    <w:rsid w:val="004B0A39"/>
    <w:rsid w:val="004B0B61"/>
    <w:rsid w:val="004B0E47"/>
    <w:rsid w:val="004B0FA0"/>
    <w:rsid w:val="004B131E"/>
    <w:rsid w:val="004B153B"/>
    <w:rsid w:val="004B1EB2"/>
    <w:rsid w:val="004B1FFA"/>
    <w:rsid w:val="004B2288"/>
    <w:rsid w:val="004B2487"/>
    <w:rsid w:val="004B2C1A"/>
    <w:rsid w:val="004B2CA5"/>
    <w:rsid w:val="004B2CC4"/>
    <w:rsid w:val="004B2EB4"/>
    <w:rsid w:val="004B3861"/>
    <w:rsid w:val="004B3917"/>
    <w:rsid w:val="004B3A6F"/>
    <w:rsid w:val="004B3C1D"/>
    <w:rsid w:val="004B4005"/>
    <w:rsid w:val="004B40DC"/>
    <w:rsid w:val="004B4715"/>
    <w:rsid w:val="004B491D"/>
    <w:rsid w:val="004B50CA"/>
    <w:rsid w:val="004B5140"/>
    <w:rsid w:val="004B59DB"/>
    <w:rsid w:val="004B6184"/>
    <w:rsid w:val="004B62B7"/>
    <w:rsid w:val="004B71B8"/>
    <w:rsid w:val="004B748D"/>
    <w:rsid w:val="004B75B3"/>
    <w:rsid w:val="004B75CF"/>
    <w:rsid w:val="004B7A05"/>
    <w:rsid w:val="004C0054"/>
    <w:rsid w:val="004C0817"/>
    <w:rsid w:val="004C0CF8"/>
    <w:rsid w:val="004C0E67"/>
    <w:rsid w:val="004C1688"/>
    <w:rsid w:val="004C18B5"/>
    <w:rsid w:val="004C1BB3"/>
    <w:rsid w:val="004C1CB9"/>
    <w:rsid w:val="004C326E"/>
    <w:rsid w:val="004C37AD"/>
    <w:rsid w:val="004C3F8B"/>
    <w:rsid w:val="004C44BF"/>
    <w:rsid w:val="004C4AA2"/>
    <w:rsid w:val="004C54C6"/>
    <w:rsid w:val="004C5914"/>
    <w:rsid w:val="004C5A52"/>
    <w:rsid w:val="004C60B8"/>
    <w:rsid w:val="004C6169"/>
    <w:rsid w:val="004C66F4"/>
    <w:rsid w:val="004C691D"/>
    <w:rsid w:val="004C6A3E"/>
    <w:rsid w:val="004C6DBE"/>
    <w:rsid w:val="004C6E78"/>
    <w:rsid w:val="004C6F43"/>
    <w:rsid w:val="004C7901"/>
    <w:rsid w:val="004C7981"/>
    <w:rsid w:val="004C7F13"/>
    <w:rsid w:val="004D0762"/>
    <w:rsid w:val="004D0980"/>
    <w:rsid w:val="004D0C86"/>
    <w:rsid w:val="004D0CD5"/>
    <w:rsid w:val="004D0FB0"/>
    <w:rsid w:val="004D1026"/>
    <w:rsid w:val="004D156F"/>
    <w:rsid w:val="004D161A"/>
    <w:rsid w:val="004D1B00"/>
    <w:rsid w:val="004D1E5D"/>
    <w:rsid w:val="004D1FC6"/>
    <w:rsid w:val="004D225F"/>
    <w:rsid w:val="004D2394"/>
    <w:rsid w:val="004D2898"/>
    <w:rsid w:val="004D3F27"/>
    <w:rsid w:val="004D4377"/>
    <w:rsid w:val="004D4525"/>
    <w:rsid w:val="004D4600"/>
    <w:rsid w:val="004D50E6"/>
    <w:rsid w:val="004D5388"/>
    <w:rsid w:val="004D5B8C"/>
    <w:rsid w:val="004D5C05"/>
    <w:rsid w:val="004D6868"/>
    <w:rsid w:val="004D76AC"/>
    <w:rsid w:val="004D7B28"/>
    <w:rsid w:val="004D7BAA"/>
    <w:rsid w:val="004D7CE8"/>
    <w:rsid w:val="004E0067"/>
    <w:rsid w:val="004E122B"/>
    <w:rsid w:val="004E1645"/>
    <w:rsid w:val="004E1CE1"/>
    <w:rsid w:val="004E2BFB"/>
    <w:rsid w:val="004E2CF7"/>
    <w:rsid w:val="004E2D06"/>
    <w:rsid w:val="004E2D8A"/>
    <w:rsid w:val="004E3251"/>
    <w:rsid w:val="004E32D8"/>
    <w:rsid w:val="004E3983"/>
    <w:rsid w:val="004E3DEA"/>
    <w:rsid w:val="004E409B"/>
    <w:rsid w:val="004E41E2"/>
    <w:rsid w:val="004E47FD"/>
    <w:rsid w:val="004E4916"/>
    <w:rsid w:val="004E4E75"/>
    <w:rsid w:val="004E5493"/>
    <w:rsid w:val="004E55E9"/>
    <w:rsid w:val="004E5657"/>
    <w:rsid w:val="004E56B7"/>
    <w:rsid w:val="004E5A82"/>
    <w:rsid w:val="004E5D2A"/>
    <w:rsid w:val="004E6163"/>
    <w:rsid w:val="004E6418"/>
    <w:rsid w:val="004E674B"/>
    <w:rsid w:val="004E68B0"/>
    <w:rsid w:val="004E6924"/>
    <w:rsid w:val="004E6E0E"/>
    <w:rsid w:val="004E7525"/>
    <w:rsid w:val="004E77B7"/>
    <w:rsid w:val="004E7A1B"/>
    <w:rsid w:val="004E7AAC"/>
    <w:rsid w:val="004F1B4A"/>
    <w:rsid w:val="004F21FB"/>
    <w:rsid w:val="004F2204"/>
    <w:rsid w:val="004F29E1"/>
    <w:rsid w:val="004F2C2F"/>
    <w:rsid w:val="004F2E75"/>
    <w:rsid w:val="004F2EEF"/>
    <w:rsid w:val="004F3001"/>
    <w:rsid w:val="004F3035"/>
    <w:rsid w:val="004F3403"/>
    <w:rsid w:val="004F34EE"/>
    <w:rsid w:val="004F3B5A"/>
    <w:rsid w:val="004F4A3A"/>
    <w:rsid w:val="004F4FA0"/>
    <w:rsid w:val="004F5182"/>
    <w:rsid w:val="004F5351"/>
    <w:rsid w:val="004F5B16"/>
    <w:rsid w:val="004F5CD6"/>
    <w:rsid w:val="004F5ED2"/>
    <w:rsid w:val="004F69FC"/>
    <w:rsid w:val="004F6D22"/>
    <w:rsid w:val="004F70B6"/>
    <w:rsid w:val="004F785A"/>
    <w:rsid w:val="004F7D0D"/>
    <w:rsid w:val="004F7D24"/>
    <w:rsid w:val="004F7E83"/>
    <w:rsid w:val="005005D4"/>
    <w:rsid w:val="005006EC"/>
    <w:rsid w:val="005008BC"/>
    <w:rsid w:val="00500D6C"/>
    <w:rsid w:val="00500FBA"/>
    <w:rsid w:val="0050176B"/>
    <w:rsid w:val="0050195A"/>
    <w:rsid w:val="00501B38"/>
    <w:rsid w:val="005021A1"/>
    <w:rsid w:val="005028AE"/>
    <w:rsid w:val="00502AA3"/>
    <w:rsid w:val="005038A7"/>
    <w:rsid w:val="00503D06"/>
    <w:rsid w:val="00503D4D"/>
    <w:rsid w:val="005041E1"/>
    <w:rsid w:val="005045D4"/>
    <w:rsid w:val="00504667"/>
    <w:rsid w:val="00505027"/>
    <w:rsid w:val="00505B1F"/>
    <w:rsid w:val="0050611F"/>
    <w:rsid w:val="0050634D"/>
    <w:rsid w:val="00506F16"/>
    <w:rsid w:val="00506FDE"/>
    <w:rsid w:val="00507150"/>
    <w:rsid w:val="005074CF"/>
    <w:rsid w:val="00507B86"/>
    <w:rsid w:val="00507BF8"/>
    <w:rsid w:val="00507D81"/>
    <w:rsid w:val="00507F20"/>
    <w:rsid w:val="005107EB"/>
    <w:rsid w:val="00510AD7"/>
    <w:rsid w:val="00510CC7"/>
    <w:rsid w:val="0051102E"/>
    <w:rsid w:val="00511FD7"/>
    <w:rsid w:val="00512B2B"/>
    <w:rsid w:val="00512FFE"/>
    <w:rsid w:val="0051337F"/>
    <w:rsid w:val="005133E5"/>
    <w:rsid w:val="00513797"/>
    <w:rsid w:val="00513CBF"/>
    <w:rsid w:val="0051401E"/>
    <w:rsid w:val="00514216"/>
    <w:rsid w:val="00514299"/>
    <w:rsid w:val="00514501"/>
    <w:rsid w:val="00515023"/>
    <w:rsid w:val="0051506D"/>
    <w:rsid w:val="005151F3"/>
    <w:rsid w:val="005153E2"/>
    <w:rsid w:val="005156D4"/>
    <w:rsid w:val="0051574B"/>
    <w:rsid w:val="005157A9"/>
    <w:rsid w:val="00515A0A"/>
    <w:rsid w:val="00515B92"/>
    <w:rsid w:val="0051685D"/>
    <w:rsid w:val="00517DD9"/>
    <w:rsid w:val="00521758"/>
    <w:rsid w:val="005217EF"/>
    <w:rsid w:val="00521A33"/>
    <w:rsid w:val="00522133"/>
    <w:rsid w:val="00522BC6"/>
    <w:rsid w:val="00522C99"/>
    <w:rsid w:val="00524094"/>
    <w:rsid w:val="00524106"/>
    <w:rsid w:val="00524836"/>
    <w:rsid w:val="005248DC"/>
    <w:rsid w:val="00524F2E"/>
    <w:rsid w:val="0052500C"/>
    <w:rsid w:val="00525023"/>
    <w:rsid w:val="00525144"/>
    <w:rsid w:val="00525509"/>
    <w:rsid w:val="005261DE"/>
    <w:rsid w:val="00526650"/>
    <w:rsid w:val="00526893"/>
    <w:rsid w:val="00526C11"/>
    <w:rsid w:val="00526F99"/>
    <w:rsid w:val="005270AF"/>
    <w:rsid w:val="0052728F"/>
    <w:rsid w:val="0052730A"/>
    <w:rsid w:val="00527487"/>
    <w:rsid w:val="00530543"/>
    <w:rsid w:val="00531064"/>
    <w:rsid w:val="0053106C"/>
    <w:rsid w:val="005312B5"/>
    <w:rsid w:val="00531543"/>
    <w:rsid w:val="005315A6"/>
    <w:rsid w:val="005317EA"/>
    <w:rsid w:val="0053220D"/>
    <w:rsid w:val="005327C7"/>
    <w:rsid w:val="00532CD0"/>
    <w:rsid w:val="00532DDE"/>
    <w:rsid w:val="0053346D"/>
    <w:rsid w:val="0053357D"/>
    <w:rsid w:val="00533824"/>
    <w:rsid w:val="00533A92"/>
    <w:rsid w:val="00533D32"/>
    <w:rsid w:val="005349CE"/>
    <w:rsid w:val="00534A40"/>
    <w:rsid w:val="005352B4"/>
    <w:rsid w:val="0053668E"/>
    <w:rsid w:val="005369B9"/>
    <w:rsid w:val="00536A86"/>
    <w:rsid w:val="00536B31"/>
    <w:rsid w:val="005373E1"/>
    <w:rsid w:val="00540A2B"/>
    <w:rsid w:val="00540ABA"/>
    <w:rsid w:val="0054134C"/>
    <w:rsid w:val="00541447"/>
    <w:rsid w:val="00541A4A"/>
    <w:rsid w:val="00541B82"/>
    <w:rsid w:val="00542420"/>
    <w:rsid w:val="005426B1"/>
    <w:rsid w:val="0054390F"/>
    <w:rsid w:val="00543974"/>
    <w:rsid w:val="00543999"/>
    <w:rsid w:val="00543A28"/>
    <w:rsid w:val="00543AF3"/>
    <w:rsid w:val="00543EE3"/>
    <w:rsid w:val="005441CB"/>
    <w:rsid w:val="00544343"/>
    <w:rsid w:val="005445B5"/>
    <w:rsid w:val="00544635"/>
    <w:rsid w:val="0054474F"/>
    <w:rsid w:val="00544A66"/>
    <w:rsid w:val="00544D87"/>
    <w:rsid w:val="00544FD6"/>
    <w:rsid w:val="00545090"/>
    <w:rsid w:val="005451CC"/>
    <w:rsid w:val="00545D25"/>
    <w:rsid w:val="005461DF"/>
    <w:rsid w:val="00546750"/>
    <w:rsid w:val="00546BA5"/>
    <w:rsid w:val="00546C83"/>
    <w:rsid w:val="00547F96"/>
    <w:rsid w:val="00550A72"/>
    <w:rsid w:val="00551899"/>
    <w:rsid w:val="00551A99"/>
    <w:rsid w:val="00551ACE"/>
    <w:rsid w:val="00551D57"/>
    <w:rsid w:val="00551DF4"/>
    <w:rsid w:val="00551F30"/>
    <w:rsid w:val="005523CA"/>
    <w:rsid w:val="00552D91"/>
    <w:rsid w:val="00552D9E"/>
    <w:rsid w:val="00553421"/>
    <w:rsid w:val="00554612"/>
    <w:rsid w:val="00554F50"/>
    <w:rsid w:val="0055685F"/>
    <w:rsid w:val="0055694F"/>
    <w:rsid w:val="00556A3E"/>
    <w:rsid w:val="00556BB8"/>
    <w:rsid w:val="00556C12"/>
    <w:rsid w:val="00556F1D"/>
    <w:rsid w:val="00557091"/>
    <w:rsid w:val="005577A6"/>
    <w:rsid w:val="00557FE6"/>
    <w:rsid w:val="00560A23"/>
    <w:rsid w:val="00560B23"/>
    <w:rsid w:val="00560E29"/>
    <w:rsid w:val="00560FEE"/>
    <w:rsid w:val="00562005"/>
    <w:rsid w:val="0056274A"/>
    <w:rsid w:val="005627DA"/>
    <w:rsid w:val="0056338A"/>
    <w:rsid w:val="00563BE3"/>
    <w:rsid w:val="00563F59"/>
    <w:rsid w:val="0056416F"/>
    <w:rsid w:val="00565305"/>
    <w:rsid w:val="00565B4C"/>
    <w:rsid w:val="00565D3B"/>
    <w:rsid w:val="00565DE4"/>
    <w:rsid w:val="00566482"/>
    <w:rsid w:val="0056692C"/>
    <w:rsid w:val="00566AF8"/>
    <w:rsid w:val="00566B2F"/>
    <w:rsid w:val="00566D5D"/>
    <w:rsid w:val="005679BA"/>
    <w:rsid w:val="005700ED"/>
    <w:rsid w:val="00570286"/>
    <w:rsid w:val="005707E0"/>
    <w:rsid w:val="00570B1B"/>
    <w:rsid w:val="00570C29"/>
    <w:rsid w:val="00570D74"/>
    <w:rsid w:val="005710D7"/>
    <w:rsid w:val="0057146F"/>
    <w:rsid w:val="00571CEC"/>
    <w:rsid w:val="00571CF5"/>
    <w:rsid w:val="0057251A"/>
    <w:rsid w:val="00573194"/>
    <w:rsid w:val="00573636"/>
    <w:rsid w:val="005736C9"/>
    <w:rsid w:val="00573868"/>
    <w:rsid w:val="00573A7C"/>
    <w:rsid w:val="00573CDE"/>
    <w:rsid w:val="00573E96"/>
    <w:rsid w:val="00573FEE"/>
    <w:rsid w:val="00574078"/>
    <w:rsid w:val="00574147"/>
    <w:rsid w:val="00574258"/>
    <w:rsid w:val="00574265"/>
    <w:rsid w:val="00574496"/>
    <w:rsid w:val="00574809"/>
    <w:rsid w:val="00574AD3"/>
    <w:rsid w:val="00574E3F"/>
    <w:rsid w:val="005755DE"/>
    <w:rsid w:val="0057649F"/>
    <w:rsid w:val="00576B3B"/>
    <w:rsid w:val="005777E8"/>
    <w:rsid w:val="0057792C"/>
    <w:rsid w:val="00577C0C"/>
    <w:rsid w:val="005802EA"/>
    <w:rsid w:val="00580555"/>
    <w:rsid w:val="00580718"/>
    <w:rsid w:val="00581B0D"/>
    <w:rsid w:val="00581F57"/>
    <w:rsid w:val="005820D8"/>
    <w:rsid w:val="00582484"/>
    <w:rsid w:val="0058269F"/>
    <w:rsid w:val="00582723"/>
    <w:rsid w:val="00582A3F"/>
    <w:rsid w:val="00582B20"/>
    <w:rsid w:val="00582B4F"/>
    <w:rsid w:val="00582BF3"/>
    <w:rsid w:val="00583229"/>
    <w:rsid w:val="005838E3"/>
    <w:rsid w:val="00583A54"/>
    <w:rsid w:val="0058467F"/>
    <w:rsid w:val="00584E29"/>
    <w:rsid w:val="00584F11"/>
    <w:rsid w:val="005854C1"/>
    <w:rsid w:val="005858F8"/>
    <w:rsid w:val="00585A03"/>
    <w:rsid w:val="00585F07"/>
    <w:rsid w:val="0058624F"/>
    <w:rsid w:val="0058635A"/>
    <w:rsid w:val="0058657A"/>
    <w:rsid w:val="00586584"/>
    <w:rsid w:val="00586E75"/>
    <w:rsid w:val="00586E78"/>
    <w:rsid w:val="00586F45"/>
    <w:rsid w:val="00587122"/>
    <w:rsid w:val="0058723B"/>
    <w:rsid w:val="00587E78"/>
    <w:rsid w:val="00587EA6"/>
    <w:rsid w:val="00590C48"/>
    <w:rsid w:val="00590E14"/>
    <w:rsid w:val="005913C7"/>
    <w:rsid w:val="00591B4F"/>
    <w:rsid w:val="00592753"/>
    <w:rsid w:val="00592AA1"/>
    <w:rsid w:val="00592BE5"/>
    <w:rsid w:val="00592D62"/>
    <w:rsid w:val="00593EC8"/>
    <w:rsid w:val="00594201"/>
    <w:rsid w:val="0059439E"/>
    <w:rsid w:val="0059460C"/>
    <w:rsid w:val="005947BF"/>
    <w:rsid w:val="00594A32"/>
    <w:rsid w:val="005955EF"/>
    <w:rsid w:val="0059580D"/>
    <w:rsid w:val="005958A6"/>
    <w:rsid w:val="0059679F"/>
    <w:rsid w:val="00596F2C"/>
    <w:rsid w:val="00597035"/>
    <w:rsid w:val="005972DD"/>
    <w:rsid w:val="005973BF"/>
    <w:rsid w:val="00597452"/>
    <w:rsid w:val="005974CD"/>
    <w:rsid w:val="00597599"/>
    <w:rsid w:val="005976F8"/>
    <w:rsid w:val="005A0255"/>
    <w:rsid w:val="005A0470"/>
    <w:rsid w:val="005A0797"/>
    <w:rsid w:val="005A0A12"/>
    <w:rsid w:val="005A0F5F"/>
    <w:rsid w:val="005A12F1"/>
    <w:rsid w:val="005A160F"/>
    <w:rsid w:val="005A1BAE"/>
    <w:rsid w:val="005A1CFE"/>
    <w:rsid w:val="005A1DB6"/>
    <w:rsid w:val="005A236D"/>
    <w:rsid w:val="005A242E"/>
    <w:rsid w:val="005A24FB"/>
    <w:rsid w:val="005A2A01"/>
    <w:rsid w:val="005A2C1A"/>
    <w:rsid w:val="005A2E2D"/>
    <w:rsid w:val="005A3691"/>
    <w:rsid w:val="005A3DD4"/>
    <w:rsid w:val="005A4B9F"/>
    <w:rsid w:val="005A4DCF"/>
    <w:rsid w:val="005A59FD"/>
    <w:rsid w:val="005A5E35"/>
    <w:rsid w:val="005A5FA3"/>
    <w:rsid w:val="005A6548"/>
    <w:rsid w:val="005A6613"/>
    <w:rsid w:val="005A66BF"/>
    <w:rsid w:val="005A7524"/>
    <w:rsid w:val="005A756C"/>
    <w:rsid w:val="005A7AB2"/>
    <w:rsid w:val="005A7B68"/>
    <w:rsid w:val="005B02AF"/>
    <w:rsid w:val="005B0387"/>
    <w:rsid w:val="005B0E00"/>
    <w:rsid w:val="005B0E1A"/>
    <w:rsid w:val="005B1550"/>
    <w:rsid w:val="005B21AE"/>
    <w:rsid w:val="005B24E4"/>
    <w:rsid w:val="005B2731"/>
    <w:rsid w:val="005B2E38"/>
    <w:rsid w:val="005B2E50"/>
    <w:rsid w:val="005B3478"/>
    <w:rsid w:val="005B3AC0"/>
    <w:rsid w:val="005B3AF5"/>
    <w:rsid w:val="005B3B38"/>
    <w:rsid w:val="005B4540"/>
    <w:rsid w:val="005B46AF"/>
    <w:rsid w:val="005B46C3"/>
    <w:rsid w:val="005B4864"/>
    <w:rsid w:val="005B49B9"/>
    <w:rsid w:val="005B4E1C"/>
    <w:rsid w:val="005B4E8A"/>
    <w:rsid w:val="005B4FBE"/>
    <w:rsid w:val="005B53CD"/>
    <w:rsid w:val="005B54A2"/>
    <w:rsid w:val="005B54D9"/>
    <w:rsid w:val="005B561A"/>
    <w:rsid w:val="005B56CF"/>
    <w:rsid w:val="005B56E9"/>
    <w:rsid w:val="005B58BC"/>
    <w:rsid w:val="005B5BBF"/>
    <w:rsid w:val="005B6209"/>
    <w:rsid w:val="005B631C"/>
    <w:rsid w:val="005B651D"/>
    <w:rsid w:val="005B6851"/>
    <w:rsid w:val="005B746E"/>
    <w:rsid w:val="005C1153"/>
    <w:rsid w:val="005C132D"/>
    <w:rsid w:val="005C17AB"/>
    <w:rsid w:val="005C1992"/>
    <w:rsid w:val="005C1CF0"/>
    <w:rsid w:val="005C2398"/>
    <w:rsid w:val="005C2462"/>
    <w:rsid w:val="005C2A9B"/>
    <w:rsid w:val="005C3113"/>
    <w:rsid w:val="005C3486"/>
    <w:rsid w:val="005C3541"/>
    <w:rsid w:val="005C3F33"/>
    <w:rsid w:val="005C3F77"/>
    <w:rsid w:val="005C4045"/>
    <w:rsid w:val="005C432B"/>
    <w:rsid w:val="005C4B62"/>
    <w:rsid w:val="005C4F64"/>
    <w:rsid w:val="005C4FBC"/>
    <w:rsid w:val="005C51F9"/>
    <w:rsid w:val="005C5299"/>
    <w:rsid w:val="005C5377"/>
    <w:rsid w:val="005C5A92"/>
    <w:rsid w:val="005C5CF5"/>
    <w:rsid w:val="005C6262"/>
    <w:rsid w:val="005C68D4"/>
    <w:rsid w:val="005C6CF9"/>
    <w:rsid w:val="005C764F"/>
    <w:rsid w:val="005C76A6"/>
    <w:rsid w:val="005D0020"/>
    <w:rsid w:val="005D0427"/>
    <w:rsid w:val="005D0843"/>
    <w:rsid w:val="005D0DB8"/>
    <w:rsid w:val="005D140E"/>
    <w:rsid w:val="005D1781"/>
    <w:rsid w:val="005D1F82"/>
    <w:rsid w:val="005D3189"/>
    <w:rsid w:val="005D331B"/>
    <w:rsid w:val="005D384A"/>
    <w:rsid w:val="005D38C9"/>
    <w:rsid w:val="005D3C0C"/>
    <w:rsid w:val="005D3CED"/>
    <w:rsid w:val="005D400E"/>
    <w:rsid w:val="005D502E"/>
    <w:rsid w:val="005D54DF"/>
    <w:rsid w:val="005D55E6"/>
    <w:rsid w:val="005D5DBD"/>
    <w:rsid w:val="005D5F52"/>
    <w:rsid w:val="005D60D8"/>
    <w:rsid w:val="005D6570"/>
    <w:rsid w:val="005D6617"/>
    <w:rsid w:val="005D685F"/>
    <w:rsid w:val="005D6AC3"/>
    <w:rsid w:val="005D6B2C"/>
    <w:rsid w:val="005D7353"/>
    <w:rsid w:val="005D77D8"/>
    <w:rsid w:val="005D7BF9"/>
    <w:rsid w:val="005E0817"/>
    <w:rsid w:val="005E0954"/>
    <w:rsid w:val="005E0A98"/>
    <w:rsid w:val="005E0FCF"/>
    <w:rsid w:val="005E10FC"/>
    <w:rsid w:val="005E1242"/>
    <w:rsid w:val="005E147D"/>
    <w:rsid w:val="005E163A"/>
    <w:rsid w:val="005E16B3"/>
    <w:rsid w:val="005E1F5A"/>
    <w:rsid w:val="005E227F"/>
    <w:rsid w:val="005E288F"/>
    <w:rsid w:val="005E301C"/>
    <w:rsid w:val="005E32C8"/>
    <w:rsid w:val="005E342A"/>
    <w:rsid w:val="005E35CD"/>
    <w:rsid w:val="005E36ED"/>
    <w:rsid w:val="005E3B2B"/>
    <w:rsid w:val="005E3CD0"/>
    <w:rsid w:val="005E40CE"/>
    <w:rsid w:val="005E474C"/>
    <w:rsid w:val="005E4837"/>
    <w:rsid w:val="005E56CD"/>
    <w:rsid w:val="005E5EAA"/>
    <w:rsid w:val="005E605C"/>
    <w:rsid w:val="005E66E4"/>
    <w:rsid w:val="005E6995"/>
    <w:rsid w:val="005E796E"/>
    <w:rsid w:val="005E79B0"/>
    <w:rsid w:val="005E7CA0"/>
    <w:rsid w:val="005F00BF"/>
    <w:rsid w:val="005F09D6"/>
    <w:rsid w:val="005F15B8"/>
    <w:rsid w:val="005F165A"/>
    <w:rsid w:val="005F1A38"/>
    <w:rsid w:val="005F1A67"/>
    <w:rsid w:val="005F1EDD"/>
    <w:rsid w:val="005F234E"/>
    <w:rsid w:val="005F2ABB"/>
    <w:rsid w:val="005F31AF"/>
    <w:rsid w:val="005F33C4"/>
    <w:rsid w:val="005F3736"/>
    <w:rsid w:val="005F3D28"/>
    <w:rsid w:val="005F3F41"/>
    <w:rsid w:val="005F41A2"/>
    <w:rsid w:val="005F4439"/>
    <w:rsid w:val="005F456F"/>
    <w:rsid w:val="005F4996"/>
    <w:rsid w:val="005F51EB"/>
    <w:rsid w:val="005F57DC"/>
    <w:rsid w:val="005F58B7"/>
    <w:rsid w:val="005F5964"/>
    <w:rsid w:val="005F5D3C"/>
    <w:rsid w:val="005F5FB0"/>
    <w:rsid w:val="005F626C"/>
    <w:rsid w:val="005F70B4"/>
    <w:rsid w:val="005F756F"/>
    <w:rsid w:val="005F7C98"/>
    <w:rsid w:val="005F7CC0"/>
    <w:rsid w:val="005F7D12"/>
    <w:rsid w:val="00600078"/>
    <w:rsid w:val="00600139"/>
    <w:rsid w:val="00600377"/>
    <w:rsid w:val="00600DAF"/>
    <w:rsid w:val="00601868"/>
    <w:rsid w:val="0060216E"/>
    <w:rsid w:val="006022F6"/>
    <w:rsid w:val="00602405"/>
    <w:rsid w:val="006028B9"/>
    <w:rsid w:val="00603109"/>
    <w:rsid w:val="0060365F"/>
    <w:rsid w:val="006040BF"/>
    <w:rsid w:val="0060434B"/>
    <w:rsid w:val="00604D29"/>
    <w:rsid w:val="00604FE2"/>
    <w:rsid w:val="00605536"/>
    <w:rsid w:val="00605B29"/>
    <w:rsid w:val="00606065"/>
    <w:rsid w:val="00606535"/>
    <w:rsid w:val="00606FC9"/>
    <w:rsid w:val="006078ED"/>
    <w:rsid w:val="00610458"/>
    <w:rsid w:val="00610492"/>
    <w:rsid w:val="00610762"/>
    <w:rsid w:val="0061098E"/>
    <w:rsid w:val="00610B8F"/>
    <w:rsid w:val="006116F4"/>
    <w:rsid w:val="006122C4"/>
    <w:rsid w:val="00612862"/>
    <w:rsid w:val="0061337C"/>
    <w:rsid w:val="006137A0"/>
    <w:rsid w:val="0061429B"/>
    <w:rsid w:val="00614779"/>
    <w:rsid w:val="006149E1"/>
    <w:rsid w:val="00614A3A"/>
    <w:rsid w:val="00615227"/>
    <w:rsid w:val="00616091"/>
    <w:rsid w:val="006169A6"/>
    <w:rsid w:val="006169B0"/>
    <w:rsid w:val="006169E4"/>
    <w:rsid w:val="00616B9D"/>
    <w:rsid w:val="00616CA4"/>
    <w:rsid w:val="0061707E"/>
    <w:rsid w:val="006179DC"/>
    <w:rsid w:val="00617A73"/>
    <w:rsid w:val="006207F8"/>
    <w:rsid w:val="00620A93"/>
    <w:rsid w:val="00621306"/>
    <w:rsid w:val="0062131A"/>
    <w:rsid w:val="0062159A"/>
    <w:rsid w:val="00621C1E"/>
    <w:rsid w:val="0062223C"/>
    <w:rsid w:val="006226A8"/>
    <w:rsid w:val="00622A58"/>
    <w:rsid w:val="00622CD1"/>
    <w:rsid w:val="00622DDE"/>
    <w:rsid w:val="00622E59"/>
    <w:rsid w:val="00623088"/>
    <w:rsid w:val="00623A31"/>
    <w:rsid w:val="006240A4"/>
    <w:rsid w:val="006245E3"/>
    <w:rsid w:val="0062487A"/>
    <w:rsid w:val="00624C85"/>
    <w:rsid w:val="00624D79"/>
    <w:rsid w:val="0062504D"/>
    <w:rsid w:val="0062526B"/>
    <w:rsid w:val="00625621"/>
    <w:rsid w:val="00625716"/>
    <w:rsid w:val="0062589E"/>
    <w:rsid w:val="00625B04"/>
    <w:rsid w:val="00625F32"/>
    <w:rsid w:val="00626BD5"/>
    <w:rsid w:val="00626C86"/>
    <w:rsid w:val="00626CFE"/>
    <w:rsid w:val="00627087"/>
    <w:rsid w:val="00627C72"/>
    <w:rsid w:val="00627C88"/>
    <w:rsid w:val="00627E44"/>
    <w:rsid w:val="00627F2D"/>
    <w:rsid w:val="0063037B"/>
    <w:rsid w:val="00630576"/>
    <w:rsid w:val="00630727"/>
    <w:rsid w:val="00630CCC"/>
    <w:rsid w:val="00630CE4"/>
    <w:rsid w:val="00631674"/>
    <w:rsid w:val="00631694"/>
    <w:rsid w:val="00631DE5"/>
    <w:rsid w:val="00632232"/>
    <w:rsid w:val="006324B1"/>
    <w:rsid w:val="00632510"/>
    <w:rsid w:val="00632B89"/>
    <w:rsid w:val="00633122"/>
    <w:rsid w:val="00633365"/>
    <w:rsid w:val="006334E8"/>
    <w:rsid w:val="00633BC7"/>
    <w:rsid w:val="00634114"/>
    <w:rsid w:val="00634B25"/>
    <w:rsid w:val="00634F83"/>
    <w:rsid w:val="00634FED"/>
    <w:rsid w:val="00635995"/>
    <w:rsid w:val="00635BCD"/>
    <w:rsid w:val="00635DA4"/>
    <w:rsid w:val="006360D2"/>
    <w:rsid w:val="006361B9"/>
    <w:rsid w:val="006362CE"/>
    <w:rsid w:val="0063667A"/>
    <w:rsid w:val="00636723"/>
    <w:rsid w:val="00636A3C"/>
    <w:rsid w:val="00636A58"/>
    <w:rsid w:val="00636CDE"/>
    <w:rsid w:val="00636DEE"/>
    <w:rsid w:val="006405F8"/>
    <w:rsid w:val="00641B6C"/>
    <w:rsid w:val="00641EA5"/>
    <w:rsid w:val="006422F0"/>
    <w:rsid w:val="00642395"/>
    <w:rsid w:val="00642741"/>
    <w:rsid w:val="006432EB"/>
    <w:rsid w:val="006436DE"/>
    <w:rsid w:val="00643783"/>
    <w:rsid w:val="00643A3D"/>
    <w:rsid w:val="0064437D"/>
    <w:rsid w:val="00644866"/>
    <w:rsid w:val="00644C71"/>
    <w:rsid w:val="00644C94"/>
    <w:rsid w:val="00644CB9"/>
    <w:rsid w:val="00644F8D"/>
    <w:rsid w:val="00645151"/>
    <w:rsid w:val="006452B4"/>
    <w:rsid w:val="006455C4"/>
    <w:rsid w:val="0064593B"/>
    <w:rsid w:val="00645959"/>
    <w:rsid w:val="00645CFF"/>
    <w:rsid w:val="00645D09"/>
    <w:rsid w:val="00646230"/>
    <w:rsid w:val="00646239"/>
    <w:rsid w:val="00646399"/>
    <w:rsid w:val="006464F1"/>
    <w:rsid w:val="0064684D"/>
    <w:rsid w:val="00647B32"/>
    <w:rsid w:val="00647CC9"/>
    <w:rsid w:val="00647D25"/>
    <w:rsid w:val="00647F6D"/>
    <w:rsid w:val="0065036E"/>
    <w:rsid w:val="00650598"/>
    <w:rsid w:val="0065063C"/>
    <w:rsid w:val="00650692"/>
    <w:rsid w:val="00650FA1"/>
    <w:rsid w:val="006510DE"/>
    <w:rsid w:val="00651210"/>
    <w:rsid w:val="0065154D"/>
    <w:rsid w:val="0065175C"/>
    <w:rsid w:val="00651C96"/>
    <w:rsid w:val="00651F13"/>
    <w:rsid w:val="00651FCE"/>
    <w:rsid w:val="0065200D"/>
    <w:rsid w:val="00652106"/>
    <w:rsid w:val="00652BCB"/>
    <w:rsid w:val="00652FFE"/>
    <w:rsid w:val="00653B93"/>
    <w:rsid w:val="00653CD5"/>
    <w:rsid w:val="00653E8F"/>
    <w:rsid w:val="00654E20"/>
    <w:rsid w:val="00655019"/>
    <w:rsid w:val="006551C1"/>
    <w:rsid w:val="0065545E"/>
    <w:rsid w:val="00655CF3"/>
    <w:rsid w:val="00655E00"/>
    <w:rsid w:val="00655FAD"/>
    <w:rsid w:val="00656936"/>
    <w:rsid w:val="00656CD8"/>
    <w:rsid w:val="00657DBD"/>
    <w:rsid w:val="00657FC7"/>
    <w:rsid w:val="00660A58"/>
    <w:rsid w:val="00660B27"/>
    <w:rsid w:val="00660F0C"/>
    <w:rsid w:val="00660F31"/>
    <w:rsid w:val="006612AA"/>
    <w:rsid w:val="00661522"/>
    <w:rsid w:val="00661BF6"/>
    <w:rsid w:val="0066204E"/>
    <w:rsid w:val="006625DC"/>
    <w:rsid w:val="00662975"/>
    <w:rsid w:val="006635F9"/>
    <w:rsid w:val="00663854"/>
    <w:rsid w:val="0066391D"/>
    <w:rsid w:val="00663A10"/>
    <w:rsid w:val="00663B6D"/>
    <w:rsid w:val="00663DEF"/>
    <w:rsid w:val="00663DFA"/>
    <w:rsid w:val="00664067"/>
    <w:rsid w:val="006645AA"/>
    <w:rsid w:val="00664BB0"/>
    <w:rsid w:val="00664DEF"/>
    <w:rsid w:val="0066522A"/>
    <w:rsid w:val="0066547D"/>
    <w:rsid w:val="0066575F"/>
    <w:rsid w:val="00665797"/>
    <w:rsid w:val="00665C2E"/>
    <w:rsid w:val="00666714"/>
    <w:rsid w:val="006667CA"/>
    <w:rsid w:val="00667000"/>
    <w:rsid w:val="00667059"/>
    <w:rsid w:val="00667CC7"/>
    <w:rsid w:val="0067088D"/>
    <w:rsid w:val="00670936"/>
    <w:rsid w:val="00670949"/>
    <w:rsid w:val="00670FAB"/>
    <w:rsid w:val="0067139E"/>
    <w:rsid w:val="00671410"/>
    <w:rsid w:val="006714BB"/>
    <w:rsid w:val="006714DE"/>
    <w:rsid w:val="00671971"/>
    <w:rsid w:val="00671BD6"/>
    <w:rsid w:val="00671CFF"/>
    <w:rsid w:val="00671FDB"/>
    <w:rsid w:val="00672660"/>
    <w:rsid w:val="0067267B"/>
    <w:rsid w:val="006727B7"/>
    <w:rsid w:val="00672810"/>
    <w:rsid w:val="006729FE"/>
    <w:rsid w:val="00672AD1"/>
    <w:rsid w:val="00672C8A"/>
    <w:rsid w:val="00672F27"/>
    <w:rsid w:val="00673088"/>
    <w:rsid w:val="00673713"/>
    <w:rsid w:val="00673C01"/>
    <w:rsid w:val="00674052"/>
    <w:rsid w:val="006742D6"/>
    <w:rsid w:val="0067441B"/>
    <w:rsid w:val="00674575"/>
    <w:rsid w:val="00674744"/>
    <w:rsid w:val="00674D9A"/>
    <w:rsid w:val="00674DE0"/>
    <w:rsid w:val="00675194"/>
    <w:rsid w:val="00675451"/>
    <w:rsid w:val="00675A98"/>
    <w:rsid w:val="00675C55"/>
    <w:rsid w:val="00675EA0"/>
    <w:rsid w:val="0067688D"/>
    <w:rsid w:val="00676AD2"/>
    <w:rsid w:val="00676D6B"/>
    <w:rsid w:val="006776CB"/>
    <w:rsid w:val="00677C62"/>
    <w:rsid w:val="00677E98"/>
    <w:rsid w:val="0068032C"/>
    <w:rsid w:val="00680BF5"/>
    <w:rsid w:val="00680CC1"/>
    <w:rsid w:val="00680F13"/>
    <w:rsid w:val="0068112A"/>
    <w:rsid w:val="00681BEC"/>
    <w:rsid w:val="00682512"/>
    <w:rsid w:val="00682865"/>
    <w:rsid w:val="00682D50"/>
    <w:rsid w:val="00683051"/>
    <w:rsid w:val="006840DF"/>
    <w:rsid w:val="00684248"/>
    <w:rsid w:val="00684F68"/>
    <w:rsid w:val="0068524A"/>
    <w:rsid w:val="0068546E"/>
    <w:rsid w:val="0068653B"/>
    <w:rsid w:val="00686706"/>
    <w:rsid w:val="00687249"/>
    <w:rsid w:val="0068758D"/>
    <w:rsid w:val="00687933"/>
    <w:rsid w:val="00687D7C"/>
    <w:rsid w:val="006904F4"/>
    <w:rsid w:val="006909B1"/>
    <w:rsid w:val="00690BAD"/>
    <w:rsid w:val="00690F4F"/>
    <w:rsid w:val="00690F9F"/>
    <w:rsid w:val="0069180E"/>
    <w:rsid w:val="00692015"/>
    <w:rsid w:val="00692214"/>
    <w:rsid w:val="00692268"/>
    <w:rsid w:val="0069268B"/>
    <w:rsid w:val="006926F7"/>
    <w:rsid w:val="00692B58"/>
    <w:rsid w:val="006943CF"/>
    <w:rsid w:val="00694E4D"/>
    <w:rsid w:val="0069514B"/>
    <w:rsid w:val="00695250"/>
    <w:rsid w:val="0069551F"/>
    <w:rsid w:val="00695B6E"/>
    <w:rsid w:val="00695BA9"/>
    <w:rsid w:val="00695C1D"/>
    <w:rsid w:val="0069664A"/>
    <w:rsid w:val="00696AAA"/>
    <w:rsid w:val="0069729D"/>
    <w:rsid w:val="006976B0"/>
    <w:rsid w:val="006976F8"/>
    <w:rsid w:val="006A02FD"/>
    <w:rsid w:val="006A04D2"/>
    <w:rsid w:val="006A0F0D"/>
    <w:rsid w:val="006A110B"/>
    <w:rsid w:val="006A1277"/>
    <w:rsid w:val="006A12D5"/>
    <w:rsid w:val="006A1349"/>
    <w:rsid w:val="006A13EA"/>
    <w:rsid w:val="006A14F6"/>
    <w:rsid w:val="006A15E5"/>
    <w:rsid w:val="006A23DA"/>
    <w:rsid w:val="006A2866"/>
    <w:rsid w:val="006A29E3"/>
    <w:rsid w:val="006A2F31"/>
    <w:rsid w:val="006A3C9E"/>
    <w:rsid w:val="006A3D32"/>
    <w:rsid w:val="006A4730"/>
    <w:rsid w:val="006A48E9"/>
    <w:rsid w:val="006A4B20"/>
    <w:rsid w:val="006A4DBC"/>
    <w:rsid w:val="006A4F04"/>
    <w:rsid w:val="006A503F"/>
    <w:rsid w:val="006A5205"/>
    <w:rsid w:val="006A54B4"/>
    <w:rsid w:val="006A5749"/>
    <w:rsid w:val="006A5FCE"/>
    <w:rsid w:val="006A70DF"/>
    <w:rsid w:val="006A7393"/>
    <w:rsid w:val="006A755B"/>
    <w:rsid w:val="006A7661"/>
    <w:rsid w:val="006A77CA"/>
    <w:rsid w:val="006A7947"/>
    <w:rsid w:val="006A7E75"/>
    <w:rsid w:val="006B03B8"/>
    <w:rsid w:val="006B059A"/>
    <w:rsid w:val="006B0ADA"/>
    <w:rsid w:val="006B0C70"/>
    <w:rsid w:val="006B114F"/>
    <w:rsid w:val="006B1E89"/>
    <w:rsid w:val="006B2193"/>
    <w:rsid w:val="006B22CB"/>
    <w:rsid w:val="006B242D"/>
    <w:rsid w:val="006B2734"/>
    <w:rsid w:val="006B29FF"/>
    <w:rsid w:val="006B3065"/>
    <w:rsid w:val="006B31A6"/>
    <w:rsid w:val="006B34F0"/>
    <w:rsid w:val="006B35CD"/>
    <w:rsid w:val="006B40FF"/>
    <w:rsid w:val="006B4409"/>
    <w:rsid w:val="006B44EB"/>
    <w:rsid w:val="006B4A2A"/>
    <w:rsid w:val="006B525D"/>
    <w:rsid w:val="006B5578"/>
    <w:rsid w:val="006B5686"/>
    <w:rsid w:val="006B5C76"/>
    <w:rsid w:val="006B5F21"/>
    <w:rsid w:val="006B5FCC"/>
    <w:rsid w:val="006B61E6"/>
    <w:rsid w:val="006B6445"/>
    <w:rsid w:val="006B6D5E"/>
    <w:rsid w:val="006B725C"/>
    <w:rsid w:val="006B7D24"/>
    <w:rsid w:val="006C0153"/>
    <w:rsid w:val="006C0252"/>
    <w:rsid w:val="006C0568"/>
    <w:rsid w:val="006C083A"/>
    <w:rsid w:val="006C0943"/>
    <w:rsid w:val="006C12B8"/>
    <w:rsid w:val="006C17F8"/>
    <w:rsid w:val="006C1ABF"/>
    <w:rsid w:val="006C2316"/>
    <w:rsid w:val="006C251E"/>
    <w:rsid w:val="006C257E"/>
    <w:rsid w:val="006C279C"/>
    <w:rsid w:val="006C27D0"/>
    <w:rsid w:val="006C3510"/>
    <w:rsid w:val="006C3558"/>
    <w:rsid w:val="006C371F"/>
    <w:rsid w:val="006C3951"/>
    <w:rsid w:val="006C438B"/>
    <w:rsid w:val="006C478D"/>
    <w:rsid w:val="006C4E23"/>
    <w:rsid w:val="006C5288"/>
    <w:rsid w:val="006C5645"/>
    <w:rsid w:val="006C637E"/>
    <w:rsid w:val="006C654D"/>
    <w:rsid w:val="006C6E26"/>
    <w:rsid w:val="006C705E"/>
    <w:rsid w:val="006C73E3"/>
    <w:rsid w:val="006C7681"/>
    <w:rsid w:val="006C7AFC"/>
    <w:rsid w:val="006C7B89"/>
    <w:rsid w:val="006C7BC4"/>
    <w:rsid w:val="006C7E00"/>
    <w:rsid w:val="006C7FA7"/>
    <w:rsid w:val="006D0FD2"/>
    <w:rsid w:val="006D12A9"/>
    <w:rsid w:val="006D165A"/>
    <w:rsid w:val="006D199E"/>
    <w:rsid w:val="006D1E21"/>
    <w:rsid w:val="006D2322"/>
    <w:rsid w:val="006D2476"/>
    <w:rsid w:val="006D2C1C"/>
    <w:rsid w:val="006D2F5F"/>
    <w:rsid w:val="006D3252"/>
    <w:rsid w:val="006D3F7A"/>
    <w:rsid w:val="006D4177"/>
    <w:rsid w:val="006D43C8"/>
    <w:rsid w:val="006D47B5"/>
    <w:rsid w:val="006D4BAC"/>
    <w:rsid w:val="006D4BB8"/>
    <w:rsid w:val="006D5416"/>
    <w:rsid w:val="006D553A"/>
    <w:rsid w:val="006D5840"/>
    <w:rsid w:val="006D6717"/>
    <w:rsid w:val="006D688A"/>
    <w:rsid w:val="006D6EC7"/>
    <w:rsid w:val="006D7B17"/>
    <w:rsid w:val="006E07A7"/>
    <w:rsid w:val="006E0BDB"/>
    <w:rsid w:val="006E0F0B"/>
    <w:rsid w:val="006E0FD3"/>
    <w:rsid w:val="006E139D"/>
    <w:rsid w:val="006E1455"/>
    <w:rsid w:val="006E1AB5"/>
    <w:rsid w:val="006E1AF6"/>
    <w:rsid w:val="006E1B21"/>
    <w:rsid w:val="006E1BEA"/>
    <w:rsid w:val="006E1C28"/>
    <w:rsid w:val="006E1DEF"/>
    <w:rsid w:val="006E2046"/>
    <w:rsid w:val="006E2595"/>
    <w:rsid w:val="006E25FF"/>
    <w:rsid w:val="006E2728"/>
    <w:rsid w:val="006E27A6"/>
    <w:rsid w:val="006E29BD"/>
    <w:rsid w:val="006E2EDF"/>
    <w:rsid w:val="006E2FD2"/>
    <w:rsid w:val="006E2FE7"/>
    <w:rsid w:val="006E3373"/>
    <w:rsid w:val="006E3A8D"/>
    <w:rsid w:val="006E3F64"/>
    <w:rsid w:val="006E401F"/>
    <w:rsid w:val="006E4074"/>
    <w:rsid w:val="006E4164"/>
    <w:rsid w:val="006E45F0"/>
    <w:rsid w:val="006E4A5E"/>
    <w:rsid w:val="006E4FE3"/>
    <w:rsid w:val="006E53E9"/>
    <w:rsid w:val="006E548E"/>
    <w:rsid w:val="006E557A"/>
    <w:rsid w:val="006E5876"/>
    <w:rsid w:val="006E5D73"/>
    <w:rsid w:val="006E5E18"/>
    <w:rsid w:val="006E5E9C"/>
    <w:rsid w:val="006E6868"/>
    <w:rsid w:val="006E690F"/>
    <w:rsid w:val="006E6949"/>
    <w:rsid w:val="006E7179"/>
    <w:rsid w:val="006E731D"/>
    <w:rsid w:val="006F0082"/>
    <w:rsid w:val="006F00AC"/>
    <w:rsid w:val="006F0338"/>
    <w:rsid w:val="006F0492"/>
    <w:rsid w:val="006F0A79"/>
    <w:rsid w:val="006F0F61"/>
    <w:rsid w:val="006F1972"/>
    <w:rsid w:val="006F197E"/>
    <w:rsid w:val="006F20F1"/>
    <w:rsid w:val="006F23B3"/>
    <w:rsid w:val="006F26B9"/>
    <w:rsid w:val="006F319D"/>
    <w:rsid w:val="006F33E2"/>
    <w:rsid w:val="006F39A9"/>
    <w:rsid w:val="006F3B81"/>
    <w:rsid w:val="006F3E2B"/>
    <w:rsid w:val="006F3FFE"/>
    <w:rsid w:val="006F4400"/>
    <w:rsid w:val="006F4737"/>
    <w:rsid w:val="006F49B3"/>
    <w:rsid w:val="006F4F6E"/>
    <w:rsid w:val="006F5239"/>
    <w:rsid w:val="006F55D7"/>
    <w:rsid w:val="006F598E"/>
    <w:rsid w:val="006F5E08"/>
    <w:rsid w:val="006F6AED"/>
    <w:rsid w:val="006F7033"/>
    <w:rsid w:val="006F72A2"/>
    <w:rsid w:val="006F777D"/>
    <w:rsid w:val="006F7871"/>
    <w:rsid w:val="00700155"/>
    <w:rsid w:val="0070069F"/>
    <w:rsid w:val="007008BB"/>
    <w:rsid w:val="00700B54"/>
    <w:rsid w:val="00700CEA"/>
    <w:rsid w:val="00701409"/>
    <w:rsid w:val="007015AA"/>
    <w:rsid w:val="00701861"/>
    <w:rsid w:val="00702015"/>
    <w:rsid w:val="00702126"/>
    <w:rsid w:val="00702B5C"/>
    <w:rsid w:val="007030F7"/>
    <w:rsid w:val="007031FB"/>
    <w:rsid w:val="007032F4"/>
    <w:rsid w:val="00703311"/>
    <w:rsid w:val="00703A29"/>
    <w:rsid w:val="00703E7D"/>
    <w:rsid w:val="0070410A"/>
    <w:rsid w:val="00704556"/>
    <w:rsid w:val="00704D9C"/>
    <w:rsid w:val="00705086"/>
    <w:rsid w:val="007050F8"/>
    <w:rsid w:val="00705139"/>
    <w:rsid w:val="007052A9"/>
    <w:rsid w:val="0070574E"/>
    <w:rsid w:val="0070589F"/>
    <w:rsid w:val="00705DD2"/>
    <w:rsid w:val="00705DD7"/>
    <w:rsid w:val="00705ECE"/>
    <w:rsid w:val="00705F19"/>
    <w:rsid w:val="00706039"/>
    <w:rsid w:val="007061D7"/>
    <w:rsid w:val="00706CAA"/>
    <w:rsid w:val="00706EDD"/>
    <w:rsid w:val="0070716B"/>
    <w:rsid w:val="00707226"/>
    <w:rsid w:val="00707979"/>
    <w:rsid w:val="00707B98"/>
    <w:rsid w:val="00707C6B"/>
    <w:rsid w:val="00707CE6"/>
    <w:rsid w:val="00710064"/>
    <w:rsid w:val="00710717"/>
    <w:rsid w:val="007109F8"/>
    <w:rsid w:val="00710D60"/>
    <w:rsid w:val="00711A5C"/>
    <w:rsid w:val="007120ED"/>
    <w:rsid w:val="007127CD"/>
    <w:rsid w:val="007127ED"/>
    <w:rsid w:val="00712C0F"/>
    <w:rsid w:val="0071374C"/>
    <w:rsid w:val="00713A6A"/>
    <w:rsid w:val="00714253"/>
    <w:rsid w:val="007143C8"/>
    <w:rsid w:val="00714A5F"/>
    <w:rsid w:val="00714AFE"/>
    <w:rsid w:val="00714DCC"/>
    <w:rsid w:val="00714F80"/>
    <w:rsid w:val="007151C7"/>
    <w:rsid w:val="00715587"/>
    <w:rsid w:val="00715AF1"/>
    <w:rsid w:val="00716179"/>
    <w:rsid w:val="0071625F"/>
    <w:rsid w:val="007164A5"/>
    <w:rsid w:val="007164AA"/>
    <w:rsid w:val="00716A5C"/>
    <w:rsid w:val="00717492"/>
    <w:rsid w:val="0071786D"/>
    <w:rsid w:val="00717C1A"/>
    <w:rsid w:val="00717C89"/>
    <w:rsid w:val="00717FB0"/>
    <w:rsid w:val="00717FCE"/>
    <w:rsid w:val="00720150"/>
    <w:rsid w:val="0072017F"/>
    <w:rsid w:val="007204AF"/>
    <w:rsid w:val="007207A8"/>
    <w:rsid w:val="00720869"/>
    <w:rsid w:val="00720A99"/>
    <w:rsid w:val="00720F07"/>
    <w:rsid w:val="00721C2A"/>
    <w:rsid w:val="00721F4A"/>
    <w:rsid w:val="0072200D"/>
    <w:rsid w:val="0072248C"/>
    <w:rsid w:val="00722665"/>
    <w:rsid w:val="00722710"/>
    <w:rsid w:val="00722AD4"/>
    <w:rsid w:val="00722C2B"/>
    <w:rsid w:val="00722F6D"/>
    <w:rsid w:val="0072304B"/>
    <w:rsid w:val="00723365"/>
    <w:rsid w:val="00723767"/>
    <w:rsid w:val="00723C59"/>
    <w:rsid w:val="007243A1"/>
    <w:rsid w:val="00724652"/>
    <w:rsid w:val="007251AB"/>
    <w:rsid w:val="00725222"/>
    <w:rsid w:val="007252D1"/>
    <w:rsid w:val="0072549E"/>
    <w:rsid w:val="00726034"/>
    <w:rsid w:val="00726067"/>
    <w:rsid w:val="0072690B"/>
    <w:rsid w:val="007269CE"/>
    <w:rsid w:val="00726A8C"/>
    <w:rsid w:val="00726D22"/>
    <w:rsid w:val="00726F1B"/>
    <w:rsid w:val="00726F3F"/>
    <w:rsid w:val="00727035"/>
    <w:rsid w:val="007275F5"/>
    <w:rsid w:val="007277D8"/>
    <w:rsid w:val="00727E2B"/>
    <w:rsid w:val="00727F97"/>
    <w:rsid w:val="007302E6"/>
    <w:rsid w:val="00730671"/>
    <w:rsid w:val="007306A0"/>
    <w:rsid w:val="007307D8"/>
    <w:rsid w:val="0073086F"/>
    <w:rsid w:val="00730FBA"/>
    <w:rsid w:val="00731342"/>
    <w:rsid w:val="0073137D"/>
    <w:rsid w:val="00731501"/>
    <w:rsid w:val="00731534"/>
    <w:rsid w:val="00731AC6"/>
    <w:rsid w:val="00731D2C"/>
    <w:rsid w:val="007326F7"/>
    <w:rsid w:val="007326FD"/>
    <w:rsid w:val="007328AA"/>
    <w:rsid w:val="00733171"/>
    <w:rsid w:val="00733541"/>
    <w:rsid w:val="00734D6E"/>
    <w:rsid w:val="00734DAC"/>
    <w:rsid w:val="00735608"/>
    <w:rsid w:val="00735F27"/>
    <w:rsid w:val="00736500"/>
    <w:rsid w:val="0073677D"/>
    <w:rsid w:val="007372EA"/>
    <w:rsid w:val="00737318"/>
    <w:rsid w:val="00737499"/>
    <w:rsid w:val="0073771B"/>
    <w:rsid w:val="00737CCA"/>
    <w:rsid w:val="00740113"/>
    <w:rsid w:val="0074074C"/>
    <w:rsid w:val="007408BA"/>
    <w:rsid w:val="00740F2E"/>
    <w:rsid w:val="00741FE4"/>
    <w:rsid w:val="00742149"/>
    <w:rsid w:val="00742485"/>
    <w:rsid w:val="007427AE"/>
    <w:rsid w:val="00742CC6"/>
    <w:rsid w:val="00742CC8"/>
    <w:rsid w:val="007432D6"/>
    <w:rsid w:val="007433AD"/>
    <w:rsid w:val="00743594"/>
    <w:rsid w:val="00743DB1"/>
    <w:rsid w:val="00743F99"/>
    <w:rsid w:val="007442EF"/>
    <w:rsid w:val="00744841"/>
    <w:rsid w:val="00744A93"/>
    <w:rsid w:val="00744CDD"/>
    <w:rsid w:val="00744F1B"/>
    <w:rsid w:val="00745148"/>
    <w:rsid w:val="007452E5"/>
    <w:rsid w:val="00745390"/>
    <w:rsid w:val="007455A4"/>
    <w:rsid w:val="007457AC"/>
    <w:rsid w:val="00745A70"/>
    <w:rsid w:val="00745E05"/>
    <w:rsid w:val="0074628F"/>
    <w:rsid w:val="007467D7"/>
    <w:rsid w:val="0074700E"/>
    <w:rsid w:val="00747A8A"/>
    <w:rsid w:val="00747C50"/>
    <w:rsid w:val="007503B8"/>
    <w:rsid w:val="007503C1"/>
    <w:rsid w:val="007504AF"/>
    <w:rsid w:val="007504B8"/>
    <w:rsid w:val="0075053B"/>
    <w:rsid w:val="00750893"/>
    <w:rsid w:val="0075091C"/>
    <w:rsid w:val="00750D58"/>
    <w:rsid w:val="007512AB"/>
    <w:rsid w:val="00751548"/>
    <w:rsid w:val="007515CC"/>
    <w:rsid w:val="007519C4"/>
    <w:rsid w:val="00751A61"/>
    <w:rsid w:val="00751F27"/>
    <w:rsid w:val="0075217F"/>
    <w:rsid w:val="00752667"/>
    <w:rsid w:val="00752797"/>
    <w:rsid w:val="00752A0F"/>
    <w:rsid w:val="00753682"/>
    <w:rsid w:val="00753851"/>
    <w:rsid w:val="00753EA3"/>
    <w:rsid w:val="00754C3A"/>
    <w:rsid w:val="00754C66"/>
    <w:rsid w:val="00755345"/>
    <w:rsid w:val="0075574E"/>
    <w:rsid w:val="0075587F"/>
    <w:rsid w:val="007558B2"/>
    <w:rsid w:val="00755AAD"/>
    <w:rsid w:val="00755B42"/>
    <w:rsid w:val="00755B4B"/>
    <w:rsid w:val="00756BDB"/>
    <w:rsid w:val="00756BFC"/>
    <w:rsid w:val="007575CA"/>
    <w:rsid w:val="00757621"/>
    <w:rsid w:val="00757C54"/>
    <w:rsid w:val="00757D2E"/>
    <w:rsid w:val="00760716"/>
    <w:rsid w:val="0076088B"/>
    <w:rsid w:val="00761143"/>
    <w:rsid w:val="007613E7"/>
    <w:rsid w:val="00761739"/>
    <w:rsid w:val="007619A7"/>
    <w:rsid w:val="00761A80"/>
    <w:rsid w:val="0076295C"/>
    <w:rsid w:val="0076303E"/>
    <w:rsid w:val="00763D9B"/>
    <w:rsid w:val="00763EDE"/>
    <w:rsid w:val="00764BD2"/>
    <w:rsid w:val="00764C39"/>
    <w:rsid w:val="00765161"/>
    <w:rsid w:val="007653AD"/>
    <w:rsid w:val="007658C1"/>
    <w:rsid w:val="00765BE0"/>
    <w:rsid w:val="00765D85"/>
    <w:rsid w:val="00765DB4"/>
    <w:rsid w:val="00766358"/>
    <w:rsid w:val="00766604"/>
    <w:rsid w:val="007666D3"/>
    <w:rsid w:val="00767533"/>
    <w:rsid w:val="00767631"/>
    <w:rsid w:val="00767741"/>
    <w:rsid w:val="007678A3"/>
    <w:rsid w:val="00767E00"/>
    <w:rsid w:val="00770685"/>
    <w:rsid w:val="00770BD4"/>
    <w:rsid w:val="00770BEF"/>
    <w:rsid w:val="007713C4"/>
    <w:rsid w:val="00771801"/>
    <w:rsid w:val="0077183C"/>
    <w:rsid w:val="00771AD2"/>
    <w:rsid w:val="00771BD4"/>
    <w:rsid w:val="00771D72"/>
    <w:rsid w:val="00771EA2"/>
    <w:rsid w:val="00772485"/>
    <w:rsid w:val="007725EC"/>
    <w:rsid w:val="00772959"/>
    <w:rsid w:val="00772C84"/>
    <w:rsid w:val="00773391"/>
    <w:rsid w:val="0077373D"/>
    <w:rsid w:val="00773B14"/>
    <w:rsid w:val="00773E19"/>
    <w:rsid w:val="00775107"/>
    <w:rsid w:val="00775670"/>
    <w:rsid w:val="0077684C"/>
    <w:rsid w:val="00776E67"/>
    <w:rsid w:val="00777007"/>
    <w:rsid w:val="007778D3"/>
    <w:rsid w:val="00780B17"/>
    <w:rsid w:val="00780B46"/>
    <w:rsid w:val="00780EED"/>
    <w:rsid w:val="00781325"/>
    <w:rsid w:val="00781CF5"/>
    <w:rsid w:val="00781DF4"/>
    <w:rsid w:val="00782131"/>
    <w:rsid w:val="00782392"/>
    <w:rsid w:val="007827CC"/>
    <w:rsid w:val="00782881"/>
    <w:rsid w:val="0078313F"/>
    <w:rsid w:val="0078322D"/>
    <w:rsid w:val="007833D2"/>
    <w:rsid w:val="007836F5"/>
    <w:rsid w:val="00783D8D"/>
    <w:rsid w:val="007840B8"/>
    <w:rsid w:val="00784DD8"/>
    <w:rsid w:val="00784EB9"/>
    <w:rsid w:val="00784FC0"/>
    <w:rsid w:val="00785371"/>
    <w:rsid w:val="00785415"/>
    <w:rsid w:val="0078547A"/>
    <w:rsid w:val="007854E3"/>
    <w:rsid w:val="00785A14"/>
    <w:rsid w:val="00785E74"/>
    <w:rsid w:val="00786611"/>
    <w:rsid w:val="00786B61"/>
    <w:rsid w:val="0078720C"/>
    <w:rsid w:val="007876AC"/>
    <w:rsid w:val="00787732"/>
    <w:rsid w:val="007879C3"/>
    <w:rsid w:val="00787E94"/>
    <w:rsid w:val="007900E0"/>
    <w:rsid w:val="00790364"/>
    <w:rsid w:val="0079040A"/>
    <w:rsid w:val="00790857"/>
    <w:rsid w:val="00790A58"/>
    <w:rsid w:val="00790C26"/>
    <w:rsid w:val="007910FF"/>
    <w:rsid w:val="00791A8B"/>
    <w:rsid w:val="00791DA2"/>
    <w:rsid w:val="00791ECF"/>
    <w:rsid w:val="007921EF"/>
    <w:rsid w:val="00792AE3"/>
    <w:rsid w:val="00792E69"/>
    <w:rsid w:val="0079317F"/>
    <w:rsid w:val="00793ACC"/>
    <w:rsid w:val="00793B56"/>
    <w:rsid w:val="00793FE8"/>
    <w:rsid w:val="00794171"/>
    <w:rsid w:val="007943AC"/>
    <w:rsid w:val="0079501C"/>
    <w:rsid w:val="0079524E"/>
    <w:rsid w:val="0079549E"/>
    <w:rsid w:val="007954D9"/>
    <w:rsid w:val="007956F3"/>
    <w:rsid w:val="00795BCF"/>
    <w:rsid w:val="00795F5E"/>
    <w:rsid w:val="007971C4"/>
    <w:rsid w:val="0079737C"/>
    <w:rsid w:val="00797C86"/>
    <w:rsid w:val="00797DC1"/>
    <w:rsid w:val="00797F2A"/>
    <w:rsid w:val="007A0358"/>
    <w:rsid w:val="007A066F"/>
    <w:rsid w:val="007A0774"/>
    <w:rsid w:val="007A0A48"/>
    <w:rsid w:val="007A0AE0"/>
    <w:rsid w:val="007A0B50"/>
    <w:rsid w:val="007A0C08"/>
    <w:rsid w:val="007A119B"/>
    <w:rsid w:val="007A11B2"/>
    <w:rsid w:val="007A1267"/>
    <w:rsid w:val="007A16F7"/>
    <w:rsid w:val="007A1786"/>
    <w:rsid w:val="007A1A86"/>
    <w:rsid w:val="007A1B53"/>
    <w:rsid w:val="007A1BB5"/>
    <w:rsid w:val="007A2103"/>
    <w:rsid w:val="007A2912"/>
    <w:rsid w:val="007A2B78"/>
    <w:rsid w:val="007A2C39"/>
    <w:rsid w:val="007A2CA5"/>
    <w:rsid w:val="007A2CE2"/>
    <w:rsid w:val="007A2EB0"/>
    <w:rsid w:val="007A2FD2"/>
    <w:rsid w:val="007A375F"/>
    <w:rsid w:val="007A376B"/>
    <w:rsid w:val="007A3937"/>
    <w:rsid w:val="007A3CF7"/>
    <w:rsid w:val="007A407F"/>
    <w:rsid w:val="007A48CE"/>
    <w:rsid w:val="007A48DE"/>
    <w:rsid w:val="007A4EB1"/>
    <w:rsid w:val="007A4F66"/>
    <w:rsid w:val="007A52B3"/>
    <w:rsid w:val="007A555F"/>
    <w:rsid w:val="007A58E3"/>
    <w:rsid w:val="007A5978"/>
    <w:rsid w:val="007A5CDF"/>
    <w:rsid w:val="007A5DBD"/>
    <w:rsid w:val="007A5F87"/>
    <w:rsid w:val="007A60CB"/>
    <w:rsid w:val="007A6353"/>
    <w:rsid w:val="007A666E"/>
    <w:rsid w:val="007A66B3"/>
    <w:rsid w:val="007A6711"/>
    <w:rsid w:val="007A72A0"/>
    <w:rsid w:val="007A7455"/>
    <w:rsid w:val="007A791E"/>
    <w:rsid w:val="007A7944"/>
    <w:rsid w:val="007A7992"/>
    <w:rsid w:val="007A79D2"/>
    <w:rsid w:val="007B00E1"/>
    <w:rsid w:val="007B01CA"/>
    <w:rsid w:val="007B0256"/>
    <w:rsid w:val="007B1AC0"/>
    <w:rsid w:val="007B23E2"/>
    <w:rsid w:val="007B2807"/>
    <w:rsid w:val="007B28CA"/>
    <w:rsid w:val="007B2903"/>
    <w:rsid w:val="007B36ED"/>
    <w:rsid w:val="007B37EE"/>
    <w:rsid w:val="007B3830"/>
    <w:rsid w:val="007B38E3"/>
    <w:rsid w:val="007B3AF1"/>
    <w:rsid w:val="007B3D0E"/>
    <w:rsid w:val="007B3D8C"/>
    <w:rsid w:val="007B47FF"/>
    <w:rsid w:val="007B49B5"/>
    <w:rsid w:val="007B4A78"/>
    <w:rsid w:val="007B4B81"/>
    <w:rsid w:val="007B5302"/>
    <w:rsid w:val="007B596C"/>
    <w:rsid w:val="007B608A"/>
    <w:rsid w:val="007B60EB"/>
    <w:rsid w:val="007B6168"/>
    <w:rsid w:val="007B62CC"/>
    <w:rsid w:val="007B688C"/>
    <w:rsid w:val="007B6951"/>
    <w:rsid w:val="007B69F9"/>
    <w:rsid w:val="007B73A1"/>
    <w:rsid w:val="007B75B9"/>
    <w:rsid w:val="007B78F8"/>
    <w:rsid w:val="007B7A65"/>
    <w:rsid w:val="007C0C04"/>
    <w:rsid w:val="007C0D59"/>
    <w:rsid w:val="007C1184"/>
    <w:rsid w:val="007C1346"/>
    <w:rsid w:val="007C1F84"/>
    <w:rsid w:val="007C25CF"/>
    <w:rsid w:val="007C2666"/>
    <w:rsid w:val="007C283B"/>
    <w:rsid w:val="007C283F"/>
    <w:rsid w:val="007C2D26"/>
    <w:rsid w:val="007C3496"/>
    <w:rsid w:val="007C3FA7"/>
    <w:rsid w:val="007C42E6"/>
    <w:rsid w:val="007C4AC1"/>
    <w:rsid w:val="007C54FB"/>
    <w:rsid w:val="007C562A"/>
    <w:rsid w:val="007C5954"/>
    <w:rsid w:val="007C5A1E"/>
    <w:rsid w:val="007C5BA4"/>
    <w:rsid w:val="007C5CF9"/>
    <w:rsid w:val="007C69A6"/>
    <w:rsid w:val="007C6B7D"/>
    <w:rsid w:val="007C6BE7"/>
    <w:rsid w:val="007C6DC0"/>
    <w:rsid w:val="007C7197"/>
    <w:rsid w:val="007C7315"/>
    <w:rsid w:val="007C77A2"/>
    <w:rsid w:val="007C7A2A"/>
    <w:rsid w:val="007D0E42"/>
    <w:rsid w:val="007D0E4D"/>
    <w:rsid w:val="007D1034"/>
    <w:rsid w:val="007D1143"/>
    <w:rsid w:val="007D115E"/>
    <w:rsid w:val="007D11DA"/>
    <w:rsid w:val="007D1235"/>
    <w:rsid w:val="007D1374"/>
    <w:rsid w:val="007D13A5"/>
    <w:rsid w:val="007D146C"/>
    <w:rsid w:val="007D200E"/>
    <w:rsid w:val="007D23B1"/>
    <w:rsid w:val="007D243C"/>
    <w:rsid w:val="007D2519"/>
    <w:rsid w:val="007D2795"/>
    <w:rsid w:val="007D322E"/>
    <w:rsid w:val="007D3327"/>
    <w:rsid w:val="007D35DD"/>
    <w:rsid w:val="007D3746"/>
    <w:rsid w:val="007D42F7"/>
    <w:rsid w:val="007D433B"/>
    <w:rsid w:val="007D4B51"/>
    <w:rsid w:val="007D4CF1"/>
    <w:rsid w:val="007D5830"/>
    <w:rsid w:val="007D58EB"/>
    <w:rsid w:val="007D59FA"/>
    <w:rsid w:val="007D5CD3"/>
    <w:rsid w:val="007D5E7B"/>
    <w:rsid w:val="007D61C0"/>
    <w:rsid w:val="007D6347"/>
    <w:rsid w:val="007D6394"/>
    <w:rsid w:val="007D6C91"/>
    <w:rsid w:val="007D7345"/>
    <w:rsid w:val="007D7748"/>
    <w:rsid w:val="007D78FF"/>
    <w:rsid w:val="007D7F2B"/>
    <w:rsid w:val="007D7F33"/>
    <w:rsid w:val="007E0154"/>
    <w:rsid w:val="007E0763"/>
    <w:rsid w:val="007E090A"/>
    <w:rsid w:val="007E1322"/>
    <w:rsid w:val="007E1792"/>
    <w:rsid w:val="007E23A7"/>
    <w:rsid w:val="007E24CF"/>
    <w:rsid w:val="007E2603"/>
    <w:rsid w:val="007E2DA9"/>
    <w:rsid w:val="007E33F9"/>
    <w:rsid w:val="007E3431"/>
    <w:rsid w:val="007E3DC3"/>
    <w:rsid w:val="007E3F89"/>
    <w:rsid w:val="007E4000"/>
    <w:rsid w:val="007E4938"/>
    <w:rsid w:val="007E5334"/>
    <w:rsid w:val="007E5440"/>
    <w:rsid w:val="007E58B7"/>
    <w:rsid w:val="007E5B87"/>
    <w:rsid w:val="007E625A"/>
    <w:rsid w:val="007E6DC2"/>
    <w:rsid w:val="007E70F7"/>
    <w:rsid w:val="007E7143"/>
    <w:rsid w:val="007E71AB"/>
    <w:rsid w:val="007E741A"/>
    <w:rsid w:val="007E76A8"/>
    <w:rsid w:val="007E7AEE"/>
    <w:rsid w:val="007F029F"/>
    <w:rsid w:val="007F0356"/>
    <w:rsid w:val="007F049F"/>
    <w:rsid w:val="007F04C6"/>
    <w:rsid w:val="007F054B"/>
    <w:rsid w:val="007F1314"/>
    <w:rsid w:val="007F1668"/>
    <w:rsid w:val="007F176E"/>
    <w:rsid w:val="007F1C19"/>
    <w:rsid w:val="007F2514"/>
    <w:rsid w:val="007F3239"/>
    <w:rsid w:val="007F3639"/>
    <w:rsid w:val="007F4014"/>
    <w:rsid w:val="007F4356"/>
    <w:rsid w:val="007F466B"/>
    <w:rsid w:val="007F4C40"/>
    <w:rsid w:val="007F4C7B"/>
    <w:rsid w:val="007F4EE6"/>
    <w:rsid w:val="007F5545"/>
    <w:rsid w:val="007F555D"/>
    <w:rsid w:val="007F5779"/>
    <w:rsid w:val="007F624B"/>
    <w:rsid w:val="007F6A63"/>
    <w:rsid w:val="007F6B43"/>
    <w:rsid w:val="007F7144"/>
    <w:rsid w:val="007F7B74"/>
    <w:rsid w:val="007F7C64"/>
    <w:rsid w:val="007F7DEB"/>
    <w:rsid w:val="00800CB2"/>
    <w:rsid w:val="00801082"/>
    <w:rsid w:val="008013A8"/>
    <w:rsid w:val="00801777"/>
    <w:rsid w:val="0080178A"/>
    <w:rsid w:val="00801989"/>
    <w:rsid w:val="00801F89"/>
    <w:rsid w:val="00802CF7"/>
    <w:rsid w:val="00802DFF"/>
    <w:rsid w:val="00802F92"/>
    <w:rsid w:val="00803153"/>
    <w:rsid w:val="00804C3B"/>
    <w:rsid w:val="00804D09"/>
    <w:rsid w:val="00804EBB"/>
    <w:rsid w:val="008050D0"/>
    <w:rsid w:val="00805164"/>
    <w:rsid w:val="00805B4D"/>
    <w:rsid w:val="008063AF"/>
    <w:rsid w:val="008063BB"/>
    <w:rsid w:val="00806525"/>
    <w:rsid w:val="0080665A"/>
    <w:rsid w:val="00806C85"/>
    <w:rsid w:val="00806C92"/>
    <w:rsid w:val="00806D2F"/>
    <w:rsid w:val="0080741D"/>
    <w:rsid w:val="00807538"/>
    <w:rsid w:val="00807865"/>
    <w:rsid w:val="00807988"/>
    <w:rsid w:val="008100C1"/>
    <w:rsid w:val="008102C7"/>
    <w:rsid w:val="0081052F"/>
    <w:rsid w:val="008105FA"/>
    <w:rsid w:val="008109F7"/>
    <w:rsid w:val="00810A21"/>
    <w:rsid w:val="00810B7E"/>
    <w:rsid w:val="0081101A"/>
    <w:rsid w:val="00811313"/>
    <w:rsid w:val="0081152D"/>
    <w:rsid w:val="00811597"/>
    <w:rsid w:val="00811777"/>
    <w:rsid w:val="008120E2"/>
    <w:rsid w:val="008121C7"/>
    <w:rsid w:val="00812249"/>
    <w:rsid w:val="0081318E"/>
    <w:rsid w:val="00813775"/>
    <w:rsid w:val="0081390D"/>
    <w:rsid w:val="00813AAC"/>
    <w:rsid w:val="00813B1F"/>
    <w:rsid w:val="008140E8"/>
    <w:rsid w:val="008142F6"/>
    <w:rsid w:val="008143A7"/>
    <w:rsid w:val="008145EC"/>
    <w:rsid w:val="008147E6"/>
    <w:rsid w:val="008148BF"/>
    <w:rsid w:val="00814934"/>
    <w:rsid w:val="00814B6F"/>
    <w:rsid w:val="00814B8F"/>
    <w:rsid w:val="00814D5A"/>
    <w:rsid w:val="00814E2D"/>
    <w:rsid w:val="00814E32"/>
    <w:rsid w:val="00814EEA"/>
    <w:rsid w:val="00814F41"/>
    <w:rsid w:val="00814F5E"/>
    <w:rsid w:val="008151BA"/>
    <w:rsid w:val="00815675"/>
    <w:rsid w:val="008158E1"/>
    <w:rsid w:val="00815B94"/>
    <w:rsid w:val="008160AB"/>
    <w:rsid w:val="00816581"/>
    <w:rsid w:val="00816A17"/>
    <w:rsid w:val="00816A7F"/>
    <w:rsid w:val="0081705F"/>
    <w:rsid w:val="0081714F"/>
    <w:rsid w:val="0082025B"/>
    <w:rsid w:val="008203A8"/>
    <w:rsid w:val="00820D5B"/>
    <w:rsid w:val="00821202"/>
    <w:rsid w:val="0082132C"/>
    <w:rsid w:val="008219D4"/>
    <w:rsid w:val="008221F2"/>
    <w:rsid w:val="00822659"/>
    <w:rsid w:val="00822719"/>
    <w:rsid w:val="00822E41"/>
    <w:rsid w:val="00823320"/>
    <w:rsid w:val="00823980"/>
    <w:rsid w:val="00823AA8"/>
    <w:rsid w:val="00823DF1"/>
    <w:rsid w:val="00823E9B"/>
    <w:rsid w:val="00823FF7"/>
    <w:rsid w:val="00824512"/>
    <w:rsid w:val="00824798"/>
    <w:rsid w:val="008250C5"/>
    <w:rsid w:val="008253D6"/>
    <w:rsid w:val="0082575A"/>
    <w:rsid w:val="00825888"/>
    <w:rsid w:val="008258A0"/>
    <w:rsid w:val="008258AC"/>
    <w:rsid w:val="00825AF5"/>
    <w:rsid w:val="00826A88"/>
    <w:rsid w:val="00826AAC"/>
    <w:rsid w:val="0082748D"/>
    <w:rsid w:val="0082783B"/>
    <w:rsid w:val="00827A76"/>
    <w:rsid w:val="00827CB8"/>
    <w:rsid w:val="00827F5C"/>
    <w:rsid w:val="00827F91"/>
    <w:rsid w:val="00830121"/>
    <w:rsid w:val="0083055F"/>
    <w:rsid w:val="008305C9"/>
    <w:rsid w:val="00830861"/>
    <w:rsid w:val="00830A63"/>
    <w:rsid w:val="00830AE1"/>
    <w:rsid w:val="00830BEA"/>
    <w:rsid w:val="00830F94"/>
    <w:rsid w:val="008311F6"/>
    <w:rsid w:val="008320AD"/>
    <w:rsid w:val="008320E4"/>
    <w:rsid w:val="00832792"/>
    <w:rsid w:val="008327CC"/>
    <w:rsid w:val="00832969"/>
    <w:rsid w:val="0083360C"/>
    <w:rsid w:val="0083368E"/>
    <w:rsid w:val="00833AF2"/>
    <w:rsid w:val="00833C04"/>
    <w:rsid w:val="0083412D"/>
    <w:rsid w:val="008349F8"/>
    <w:rsid w:val="00834A70"/>
    <w:rsid w:val="00834C97"/>
    <w:rsid w:val="008354BE"/>
    <w:rsid w:val="0083557D"/>
    <w:rsid w:val="008356FA"/>
    <w:rsid w:val="00835A4A"/>
    <w:rsid w:val="00835D15"/>
    <w:rsid w:val="00836863"/>
    <w:rsid w:val="0083707C"/>
    <w:rsid w:val="00837190"/>
    <w:rsid w:val="008377B1"/>
    <w:rsid w:val="008377D7"/>
    <w:rsid w:val="00837905"/>
    <w:rsid w:val="00837EC0"/>
    <w:rsid w:val="00837F09"/>
    <w:rsid w:val="00840023"/>
    <w:rsid w:val="008401C5"/>
    <w:rsid w:val="00840222"/>
    <w:rsid w:val="00840476"/>
    <w:rsid w:val="00841696"/>
    <w:rsid w:val="008416D2"/>
    <w:rsid w:val="00841772"/>
    <w:rsid w:val="00841917"/>
    <w:rsid w:val="00842929"/>
    <w:rsid w:val="00843109"/>
    <w:rsid w:val="008432CB"/>
    <w:rsid w:val="00843803"/>
    <w:rsid w:val="00843EC3"/>
    <w:rsid w:val="00844560"/>
    <w:rsid w:val="008448B4"/>
    <w:rsid w:val="00844C0B"/>
    <w:rsid w:val="0084526C"/>
    <w:rsid w:val="00845367"/>
    <w:rsid w:val="00845EFB"/>
    <w:rsid w:val="008464F9"/>
    <w:rsid w:val="0084683C"/>
    <w:rsid w:val="00846FD6"/>
    <w:rsid w:val="00847521"/>
    <w:rsid w:val="00850A63"/>
    <w:rsid w:val="00850D89"/>
    <w:rsid w:val="00850D93"/>
    <w:rsid w:val="00850DBF"/>
    <w:rsid w:val="00851113"/>
    <w:rsid w:val="00851715"/>
    <w:rsid w:val="00851DDE"/>
    <w:rsid w:val="00852124"/>
    <w:rsid w:val="0085218E"/>
    <w:rsid w:val="008528C3"/>
    <w:rsid w:val="0085303D"/>
    <w:rsid w:val="00853C75"/>
    <w:rsid w:val="00853D5C"/>
    <w:rsid w:val="00853D5D"/>
    <w:rsid w:val="00854022"/>
    <w:rsid w:val="00854145"/>
    <w:rsid w:val="00854542"/>
    <w:rsid w:val="008548A5"/>
    <w:rsid w:val="00855723"/>
    <w:rsid w:val="0085596C"/>
    <w:rsid w:val="00855974"/>
    <w:rsid w:val="00855A83"/>
    <w:rsid w:val="00855ACC"/>
    <w:rsid w:val="00855D19"/>
    <w:rsid w:val="00855E07"/>
    <w:rsid w:val="0085603F"/>
    <w:rsid w:val="00856080"/>
    <w:rsid w:val="00856522"/>
    <w:rsid w:val="0085701C"/>
    <w:rsid w:val="00857173"/>
    <w:rsid w:val="00857430"/>
    <w:rsid w:val="008575D2"/>
    <w:rsid w:val="008576EA"/>
    <w:rsid w:val="00857A92"/>
    <w:rsid w:val="00857D98"/>
    <w:rsid w:val="00860A85"/>
    <w:rsid w:val="00860C1A"/>
    <w:rsid w:val="00860D97"/>
    <w:rsid w:val="008625EC"/>
    <w:rsid w:val="0086260D"/>
    <w:rsid w:val="00862A88"/>
    <w:rsid w:val="00862BC3"/>
    <w:rsid w:val="00862C89"/>
    <w:rsid w:val="00862FB2"/>
    <w:rsid w:val="0086375A"/>
    <w:rsid w:val="008637A1"/>
    <w:rsid w:val="00863F52"/>
    <w:rsid w:val="008640A1"/>
    <w:rsid w:val="008646B7"/>
    <w:rsid w:val="008647E0"/>
    <w:rsid w:val="00864F27"/>
    <w:rsid w:val="0086505D"/>
    <w:rsid w:val="008653F8"/>
    <w:rsid w:val="00865957"/>
    <w:rsid w:val="00865B1A"/>
    <w:rsid w:val="00865CF9"/>
    <w:rsid w:val="0086650F"/>
    <w:rsid w:val="008668C9"/>
    <w:rsid w:val="00867427"/>
    <w:rsid w:val="00867F1E"/>
    <w:rsid w:val="00870350"/>
    <w:rsid w:val="008704B7"/>
    <w:rsid w:val="00870669"/>
    <w:rsid w:val="00870679"/>
    <w:rsid w:val="008706F6"/>
    <w:rsid w:val="008708CF"/>
    <w:rsid w:val="00870921"/>
    <w:rsid w:val="00870CFE"/>
    <w:rsid w:val="008714FF"/>
    <w:rsid w:val="00871A54"/>
    <w:rsid w:val="008722C0"/>
    <w:rsid w:val="00872610"/>
    <w:rsid w:val="00872AFB"/>
    <w:rsid w:val="00872B53"/>
    <w:rsid w:val="00873A9D"/>
    <w:rsid w:val="0087407F"/>
    <w:rsid w:val="008744C9"/>
    <w:rsid w:val="008745EB"/>
    <w:rsid w:val="008748C1"/>
    <w:rsid w:val="00874B12"/>
    <w:rsid w:val="00874C08"/>
    <w:rsid w:val="00874E79"/>
    <w:rsid w:val="008755E0"/>
    <w:rsid w:val="00875940"/>
    <w:rsid w:val="00875F59"/>
    <w:rsid w:val="00875F67"/>
    <w:rsid w:val="008760B5"/>
    <w:rsid w:val="0087659D"/>
    <w:rsid w:val="00880030"/>
    <w:rsid w:val="00880BC2"/>
    <w:rsid w:val="00880D41"/>
    <w:rsid w:val="00880FE6"/>
    <w:rsid w:val="008810EE"/>
    <w:rsid w:val="00881727"/>
    <w:rsid w:val="00881A7F"/>
    <w:rsid w:val="00881C5A"/>
    <w:rsid w:val="00881D54"/>
    <w:rsid w:val="0088236C"/>
    <w:rsid w:val="00882737"/>
    <w:rsid w:val="008828CD"/>
    <w:rsid w:val="008831B7"/>
    <w:rsid w:val="0088381F"/>
    <w:rsid w:val="00883CF7"/>
    <w:rsid w:val="0088425C"/>
    <w:rsid w:val="008845C0"/>
    <w:rsid w:val="00884AEA"/>
    <w:rsid w:val="00884B3C"/>
    <w:rsid w:val="00884C93"/>
    <w:rsid w:val="00884DD6"/>
    <w:rsid w:val="008856A4"/>
    <w:rsid w:val="00885F03"/>
    <w:rsid w:val="008869D6"/>
    <w:rsid w:val="00887041"/>
    <w:rsid w:val="0088797E"/>
    <w:rsid w:val="0089047D"/>
    <w:rsid w:val="00890641"/>
    <w:rsid w:val="008906A4"/>
    <w:rsid w:val="00890BF3"/>
    <w:rsid w:val="00890C5B"/>
    <w:rsid w:val="00891048"/>
    <w:rsid w:val="0089143B"/>
    <w:rsid w:val="00891E9B"/>
    <w:rsid w:val="00892C76"/>
    <w:rsid w:val="00892DCE"/>
    <w:rsid w:val="00892E7F"/>
    <w:rsid w:val="00893284"/>
    <w:rsid w:val="00893B4B"/>
    <w:rsid w:val="008940E5"/>
    <w:rsid w:val="008945CC"/>
    <w:rsid w:val="00894A76"/>
    <w:rsid w:val="00895220"/>
    <w:rsid w:val="0089539B"/>
    <w:rsid w:val="0089568A"/>
    <w:rsid w:val="0089581C"/>
    <w:rsid w:val="0089584F"/>
    <w:rsid w:val="0089590D"/>
    <w:rsid w:val="00895922"/>
    <w:rsid w:val="00895E03"/>
    <w:rsid w:val="00896591"/>
    <w:rsid w:val="00896700"/>
    <w:rsid w:val="008971D7"/>
    <w:rsid w:val="0089735B"/>
    <w:rsid w:val="0089786F"/>
    <w:rsid w:val="008A08B6"/>
    <w:rsid w:val="008A09F1"/>
    <w:rsid w:val="008A1556"/>
    <w:rsid w:val="008A16C8"/>
    <w:rsid w:val="008A1BFA"/>
    <w:rsid w:val="008A1C4F"/>
    <w:rsid w:val="008A213F"/>
    <w:rsid w:val="008A2700"/>
    <w:rsid w:val="008A3016"/>
    <w:rsid w:val="008A3212"/>
    <w:rsid w:val="008A360B"/>
    <w:rsid w:val="008A3821"/>
    <w:rsid w:val="008A3981"/>
    <w:rsid w:val="008A3D84"/>
    <w:rsid w:val="008A3E01"/>
    <w:rsid w:val="008A401A"/>
    <w:rsid w:val="008A4D32"/>
    <w:rsid w:val="008A516E"/>
    <w:rsid w:val="008A58B9"/>
    <w:rsid w:val="008A58CD"/>
    <w:rsid w:val="008A60FA"/>
    <w:rsid w:val="008A6253"/>
    <w:rsid w:val="008A63BC"/>
    <w:rsid w:val="008A694E"/>
    <w:rsid w:val="008A700F"/>
    <w:rsid w:val="008A7640"/>
    <w:rsid w:val="008A79F3"/>
    <w:rsid w:val="008A7C15"/>
    <w:rsid w:val="008A7CD6"/>
    <w:rsid w:val="008A7D18"/>
    <w:rsid w:val="008B0499"/>
    <w:rsid w:val="008B0D64"/>
    <w:rsid w:val="008B0F13"/>
    <w:rsid w:val="008B14FF"/>
    <w:rsid w:val="008B2411"/>
    <w:rsid w:val="008B27AA"/>
    <w:rsid w:val="008B28F0"/>
    <w:rsid w:val="008B2B04"/>
    <w:rsid w:val="008B30D2"/>
    <w:rsid w:val="008B31DC"/>
    <w:rsid w:val="008B5429"/>
    <w:rsid w:val="008B5BE0"/>
    <w:rsid w:val="008B5CF9"/>
    <w:rsid w:val="008B6149"/>
    <w:rsid w:val="008B691B"/>
    <w:rsid w:val="008B6994"/>
    <w:rsid w:val="008B7096"/>
    <w:rsid w:val="008B7E2E"/>
    <w:rsid w:val="008C00AB"/>
    <w:rsid w:val="008C04C9"/>
    <w:rsid w:val="008C063F"/>
    <w:rsid w:val="008C066F"/>
    <w:rsid w:val="008C0DDE"/>
    <w:rsid w:val="008C1030"/>
    <w:rsid w:val="008C166E"/>
    <w:rsid w:val="008C1D34"/>
    <w:rsid w:val="008C2478"/>
    <w:rsid w:val="008C29B1"/>
    <w:rsid w:val="008C2FE5"/>
    <w:rsid w:val="008C315A"/>
    <w:rsid w:val="008C3A85"/>
    <w:rsid w:val="008C4353"/>
    <w:rsid w:val="008C44F3"/>
    <w:rsid w:val="008C4B8F"/>
    <w:rsid w:val="008C4C1B"/>
    <w:rsid w:val="008C5081"/>
    <w:rsid w:val="008C52D6"/>
    <w:rsid w:val="008C55F5"/>
    <w:rsid w:val="008C599B"/>
    <w:rsid w:val="008C5D76"/>
    <w:rsid w:val="008C5DAB"/>
    <w:rsid w:val="008C6218"/>
    <w:rsid w:val="008C6338"/>
    <w:rsid w:val="008C63AD"/>
    <w:rsid w:val="008C6B00"/>
    <w:rsid w:val="008C6D36"/>
    <w:rsid w:val="008C6FF8"/>
    <w:rsid w:val="008C71AA"/>
    <w:rsid w:val="008C74D7"/>
    <w:rsid w:val="008C7578"/>
    <w:rsid w:val="008C78E4"/>
    <w:rsid w:val="008C7CD1"/>
    <w:rsid w:val="008D018B"/>
    <w:rsid w:val="008D0C31"/>
    <w:rsid w:val="008D1208"/>
    <w:rsid w:val="008D19F3"/>
    <w:rsid w:val="008D1A2A"/>
    <w:rsid w:val="008D1C2A"/>
    <w:rsid w:val="008D1F74"/>
    <w:rsid w:val="008D32FC"/>
    <w:rsid w:val="008D3340"/>
    <w:rsid w:val="008D3423"/>
    <w:rsid w:val="008D3B5D"/>
    <w:rsid w:val="008D439E"/>
    <w:rsid w:val="008D43E9"/>
    <w:rsid w:val="008D4518"/>
    <w:rsid w:val="008D4581"/>
    <w:rsid w:val="008D477E"/>
    <w:rsid w:val="008D4931"/>
    <w:rsid w:val="008D4AF0"/>
    <w:rsid w:val="008D4DA6"/>
    <w:rsid w:val="008D527A"/>
    <w:rsid w:val="008D57D8"/>
    <w:rsid w:val="008D5A81"/>
    <w:rsid w:val="008D5B76"/>
    <w:rsid w:val="008D5DE9"/>
    <w:rsid w:val="008D5EA2"/>
    <w:rsid w:val="008D5F2F"/>
    <w:rsid w:val="008D61A0"/>
    <w:rsid w:val="008D6B31"/>
    <w:rsid w:val="008D6C3F"/>
    <w:rsid w:val="008D6E2F"/>
    <w:rsid w:val="008D73C1"/>
    <w:rsid w:val="008D743B"/>
    <w:rsid w:val="008D7796"/>
    <w:rsid w:val="008E0421"/>
    <w:rsid w:val="008E0C8F"/>
    <w:rsid w:val="008E0D41"/>
    <w:rsid w:val="008E0DA0"/>
    <w:rsid w:val="008E0EA7"/>
    <w:rsid w:val="008E10C9"/>
    <w:rsid w:val="008E196D"/>
    <w:rsid w:val="008E2C16"/>
    <w:rsid w:val="008E2DB7"/>
    <w:rsid w:val="008E321A"/>
    <w:rsid w:val="008E3B2B"/>
    <w:rsid w:val="008E3CAD"/>
    <w:rsid w:val="008E3E33"/>
    <w:rsid w:val="008E41B2"/>
    <w:rsid w:val="008E438B"/>
    <w:rsid w:val="008E43F9"/>
    <w:rsid w:val="008E4610"/>
    <w:rsid w:val="008E4D5F"/>
    <w:rsid w:val="008E4DBF"/>
    <w:rsid w:val="008E6200"/>
    <w:rsid w:val="008E6930"/>
    <w:rsid w:val="008E6BA5"/>
    <w:rsid w:val="008E6DFF"/>
    <w:rsid w:val="008E7DF9"/>
    <w:rsid w:val="008F0CA8"/>
    <w:rsid w:val="008F0F4F"/>
    <w:rsid w:val="008F0F99"/>
    <w:rsid w:val="008F1A4D"/>
    <w:rsid w:val="008F23E8"/>
    <w:rsid w:val="008F2D2D"/>
    <w:rsid w:val="008F349A"/>
    <w:rsid w:val="008F34ED"/>
    <w:rsid w:val="008F3E1D"/>
    <w:rsid w:val="008F414C"/>
    <w:rsid w:val="008F45A4"/>
    <w:rsid w:val="008F4838"/>
    <w:rsid w:val="008F4EB9"/>
    <w:rsid w:val="008F51DE"/>
    <w:rsid w:val="008F53B5"/>
    <w:rsid w:val="008F54E5"/>
    <w:rsid w:val="008F5BB3"/>
    <w:rsid w:val="008F6180"/>
    <w:rsid w:val="008F63E7"/>
    <w:rsid w:val="008F6591"/>
    <w:rsid w:val="008F67C8"/>
    <w:rsid w:val="008F751F"/>
    <w:rsid w:val="008F77B6"/>
    <w:rsid w:val="008F7CB5"/>
    <w:rsid w:val="008F7EC6"/>
    <w:rsid w:val="008F7F4C"/>
    <w:rsid w:val="008F7FA7"/>
    <w:rsid w:val="0090037D"/>
    <w:rsid w:val="009003A0"/>
    <w:rsid w:val="0090097C"/>
    <w:rsid w:val="009010E8"/>
    <w:rsid w:val="00901601"/>
    <w:rsid w:val="00901715"/>
    <w:rsid w:val="009018D0"/>
    <w:rsid w:val="00902129"/>
    <w:rsid w:val="00902576"/>
    <w:rsid w:val="0090281A"/>
    <w:rsid w:val="00902AE1"/>
    <w:rsid w:val="00902E81"/>
    <w:rsid w:val="009034BE"/>
    <w:rsid w:val="009034EF"/>
    <w:rsid w:val="00903E14"/>
    <w:rsid w:val="0090463F"/>
    <w:rsid w:val="00904836"/>
    <w:rsid w:val="00904C9E"/>
    <w:rsid w:val="00905299"/>
    <w:rsid w:val="009054AD"/>
    <w:rsid w:val="00905FC0"/>
    <w:rsid w:val="00906017"/>
    <w:rsid w:val="00906167"/>
    <w:rsid w:val="009062D9"/>
    <w:rsid w:val="00906C1F"/>
    <w:rsid w:val="00906D09"/>
    <w:rsid w:val="00906FEC"/>
    <w:rsid w:val="00907983"/>
    <w:rsid w:val="00907A59"/>
    <w:rsid w:val="00907D19"/>
    <w:rsid w:val="00910500"/>
    <w:rsid w:val="00910658"/>
    <w:rsid w:val="009109CB"/>
    <w:rsid w:val="00910DF9"/>
    <w:rsid w:val="00911212"/>
    <w:rsid w:val="0091148C"/>
    <w:rsid w:val="009114BD"/>
    <w:rsid w:val="009115EC"/>
    <w:rsid w:val="009116B0"/>
    <w:rsid w:val="00911A61"/>
    <w:rsid w:val="00911D38"/>
    <w:rsid w:val="009123A0"/>
    <w:rsid w:val="009126C7"/>
    <w:rsid w:val="00913825"/>
    <w:rsid w:val="00913868"/>
    <w:rsid w:val="00913DF6"/>
    <w:rsid w:val="00914214"/>
    <w:rsid w:val="00914292"/>
    <w:rsid w:val="00914439"/>
    <w:rsid w:val="00914826"/>
    <w:rsid w:val="0091518B"/>
    <w:rsid w:val="009153E2"/>
    <w:rsid w:val="00915BE5"/>
    <w:rsid w:val="009163FD"/>
    <w:rsid w:val="009167C1"/>
    <w:rsid w:val="00916976"/>
    <w:rsid w:val="00916B13"/>
    <w:rsid w:val="00917403"/>
    <w:rsid w:val="00917582"/>
    <w:rsid w:val="00917A58"/>
    <w:rsid w:val="00917B29"/>
    <w:rsid w:val="00917B73"/>
    <w:rsid w:val="00917C96"/>
    <w:rsid w:val="00917D23"/>
    <w:rsid w:val="00917F0D"/>
    <w:rsid w:val="0092034E"/>
    <w:rsid w:val="00920640"/>
    <w:rsid w:val="00920B93"/>
    <w:rsid w:val="00921717"/>
    <w:rsid w:val="0092179D"/>
    <w:rsid w:val="00921BB0"/>
    <w:rsid w:val="00921BE2"/>
    <w:rsid w:val="00921D32"/>
    <w:rsid w:val="00922008"/>
    <w:rsid w:val="0092201A"/>
    <w:rsid w:val="00922081"/>
    <w:rsid w:val="00922252"/>
    <w:rsid w:val="00922C73"/>
    <w:rsid w:val="00922CC7"/>
    <w:rsid w:val="00922D9B"/>
    <w:rsid w:val="00922E71"/>
    <w:rsid w:val="009231A1"/>
    <w:rsid w:val="009232B1"/>
    <w:rsid w:val="009233E2"/>
    <w:rsid w:val="00923AE0"/>
    <w:rsid w:val="00924488"/>
    <w:rsid w:val="009248B6"/>
    <w:rsid w:val="00925780"/>
    <w:rsid w:val="009260B8"/>
    <w:rsid w:val="009262DD"/>
    <w:rsid w:val="009267B3"/>
    <w:rsid w:val="00926E33"/>
    <w:rsid w:val="00927ED6"/>
    <w:rsid w:val="009300C2"/>
    <w:rsid w:val="00930C6C"/>
    <w:rsid w:val="009314E2"/>
    <w:rsid w:val="00931643"/>
    <w:rsid w:val="009316CE"/>
    <w:rsid w:val="0093224A"/>
    <w:rsid w:val="009327FD"/>
    <w:rsid w:val="00932D49"/>
    <w:rsid w:val="00932FD1"/>
    <w:rsid w:val="00933A76"/>
    <w:rsid w:val="00933A97"/>
    <w:rsid w:val="009340E0"/>
    <w:rsid w:val="00934CC5"/>
    <w:rsid w:val="00934EAE"/>
    <w:rsid w:val="00934F01"/>
    <w:rsid w:val="00934F8B"/>
    <w:rsid w:val="0093526D"/>
    <w:rsid w:val="009353D6"/>
    <w:rsid w:val="009353EF"/>
    <w:rsid w:val="00936C4F"/>
    <w:rsid w:val="00937171"/>
    <w:rsid w:val="0093719A"/>
    <w:rsid w:val="00937400"/>
    <w:rsid w:val="00937E25"/>
    <w:rsid w:val="0094047A"/>
    <w:rsid w:val="00941708"/>
    <w:rsid w:val="009419F8"/>
    <w:rsid w:val="00941FFD"/>
    <w:rsid w:val="00942168"/>
    <w:rsid w:val="009422CA"/>
    <w:rsid w:val="00942671"/>
    <w:rsid w:val="009427C8"/>
    <w:rsid w:val="00942E4C"/>
    <w:rsid w:val="00942E87"/>
    <w:rsid w:val="009434D0"/>
    <w:rsid w:val="00943A67"/>
    <w:rsid w:val="00943B60"/>
    <w:rsid w:val="00943C77"/>
    <w:rsid w:val="00943DBD"/>
    <w:rsid w:val="00943E56"/>
    <w:rsid w:val="00943E62"/>
    <w:rsid w:val="00943E86"/>
    <w:rsid w:val="00944550"/>
    <w:rsid w:val="00944BEF"/>
    <w:rsid w:val="00946229"/>
    <w:rsid w:val="0094639C"/>
    <w:rsid w:val="0094685D"/>
    <w:rsid w:val="00946860"/>
    <w:rsid w:val="00950B3F"/>
    <w:rsid w:val="00950F8D"/>
    <w:rsid w:val="0095126E"/>
    <w:rsid w:val="009514A4"/>
    <w:rsid w:val="00951BE1"/>
    <w:rsid w:val="00951C63"/>
    <w:rsid w:val="00952297"/>
    <w:rsid w:val="00953D0D"/>
    <w:rsid w:val="00954060"/>
    <w:rsid w:val="00954073"/>
    <w:rsid w:val="00954951"/>
    <w:rsid w:val="00956130"/>
    <w:rsid w:val="00956454"/>
    <w:rsid w:val="009573B1"/>
    <w:rsid w:val="00957554"/>
    <w:rsid w:val="009577E3"/>
    <w:rsid w:val="0095781F"/>
    <w:rsid w:val="0095793D"/>
    <w:rsid w:val="00957A74"/>
    <w:rsid w:val="00957D2B"/>
    <w:rsid w:val="00957FA3"/>
    <w:rsid w:val="0096005D"/>
    <w:rsid w:val="009603B8"/>
    <w:rsid w:val="009608D1"/>
    <w:rsid w:val="00960B76"/>
    <w:rsid w:val="00960BD1"/>
    <w:rsid w:val="00960D40"/>
    <w:rsid w:val="009614BD"/>
    <w:rsid w:val="009615FB"/>
    <w:rsid w:val="00962235"/>
    <w:rsid w:val="00962A61"/>
    <w:rsid w:val="00962B00"/>
    <w:rsid w:val="00962D34"/>
    <w:rsid w:val="00962DBC"/>
    <w:rsid w:val="00962FFE"/>
    <w:rsid w:val="009634CB"/>
    <w:rsid w:val="009636AC"/>
    <w:rsid w:val="009636F8"/>
    <w:rsid w:val="00963A92"/>
    <w:rsid w:val="00963E81"/>
    <w:rsid w:val="00964131"/>
    <w:rsid w:val="00964319"/>
    <w:rsid w:val="00964B58"/>
    <w:rsid w:val="00964BC1"/>
    <w:rsid w:val="00964E62"/>
    <w:rsid w:val="00965036"/>
    <w:rsid w:val="009652AB"/>
    <w:rsid w:val="00965C7A"/>
    <w:rsid w:val="00966B64"/>
    <w:rsid w:val="00966D96"/>
    <w:rsid w:val="00967308"/>
    <w:rsid w:val="009673FD"/>
    <w:rsid w:val="0096760B"/>
    <w:rsid w:val="00967DB8"/>
    <w:rsid w:val="00970339"/>
    <w:rsid w:val="00970546"/>
    <w:rsid w:val="00970EAA"/>
    <w:rsid w:val="00971347"/>
    <w:rsid w:val="009714DD"/>
    <w:rsid w:val="00971561"/>
    <w:rsid w:val="00971818"/>
    <w:rsid w:val="00971B14"/>
    <w:rsid w:val="00971FC7"/>
    <w:rsid w:val="00972756"/>
    <w:rsid w:val="00972BE2"/>
    <w:rsid w:val="00972C9B"/>
    <w:rsid w:val="0097358A"/>
    <w:rsid w:val="00973591"/>
    <w:rsid w:val="00973B0D"/>
    <w:rsid w:val="00973F3F"/>
    <w:rsid w:val="0097416B"/>
    <w:rsid w:val="0097433C"/>
    <w:rsid w:val="00974952"/>
    <w:rsid w:val="009749C7"/>
    <w:rsid w:val="00974BD2"/>
    <w:rsid w:val="00974F36"/>
    <w:rsid w:val="00974FB8"/>
    <w:rsid w:val="00975223"/>
    <w:rsid w:val="009758C3"/>
    <w:rsid w:val="00975910"/>
    <w:rsid w:val="009759D2"/>
    <w:rsid w:val="00975FD8"/>
    <w:rsid w:val="0097623D"/>
    <w:rsid w:val="00976347"/>
    <w:rsid w:val="00976D41"/>
    <w:rsid w:val="00977073"/>
    <w:rsid w:val="00977A00"/>
    <w:rsid w:val="00977BE6"/>
    <w:rsid w:val="0098032B"/>
    <w:rsid w:val="00980370"/>
    <w:rsid w:val="00980441"/>
    <w:rsid w:val="00980880"/>
    <w:rsid w:val="009813CA"/>
    <w:rsid w:val="00981D8F"/>
    <w:rsid w:val="00982BC5"/>
    <w:rsid w:val="00982D62"/>
    <w:rsid w:val="009832B9"/>
    <w:rsid w:val="00983966"/>
    <w:rsid w:val="00983A6C"/>
    <w:rsid w:val="00983DFB"/>
    <w:rsid w:val="00983E17"/>
    <w:rsid w:val="009840F0"/>
    <w:rsid w:val="00984120"/>
    <w:rsid w:val="00984628"/>
    <w:rsid w:val="00984A8B"/>
    <w:rsid w:val="0098550D"/>
    <w:rsid w:val="0098571A"/>
    <w:rsid w:val="00985D6B"/>
    <w:rsid w:val="009861D5"/>
    <w:rsid w:val="009863D0"/>
    <w:rsid w:val="00986AFE"/>
    <w:rsid w:val="00987016"/>
    <w:rsid w:val="00987194"/>
    <w:rsid w:val="00987CEE"/>
    <w:rsid w:val="00987D7E"/>
    <w:rsid w:val="00987F58"/>
    <w:rsid w:val="009905C5"/>
    <w:rsid w:val="00990846"/>
    <w:rsid w:val="009909AE"/>
    <w:rsid w:val="00990F68"/>
    <w:rsid w:val="00990FEB"/>
    <w:rsid w:val="009913BA"/>
    <w:rsid w:val="009915A1"/>
    <w:rsid w:val="00991627"/>
    <w:rsid w:val="00991B91"/>
    <w:rsid w:val="00991E0A"/>
    <w:rsid w:val="00992010"/>
    <w:rsid w:val="00992120"/>
    <w:rsid w:val="00992334"/>
    <w:rsid w:val="009923A4"/>
    <w:rsid w:val="00992760"/>
    <w:rsid w:val="00992FE4"/>
    <w:rsid w:val="009932A1"/>
    <w:rsid w:val="00993817"/>
    <w:rsid w:val="00993E1C"/>
    <w:rsid w:val="00993FF6"/>
    <w:rsid w:val="009941E5"/>
    <w:rsid w:val="00994221"/>
    <w:rsid w:val="00994382"/>
    <w:rsid w:val="009945FA"/>
    <w:rsid w:val="009946DE"/>
    <w:rsid w:val="00994708"/>
    <w:rsid w:val="009949C4"/>
    <w:rsid w:val="00995040"/>
    <w:rsid w:val="00995829"/>
    <w:rsid w:val="00995C48"/>
    <w:rsid w:val="00995F5B"/>
    <w:rsid w:val="009964E0"/>
    <w:rsid w:val="009969E4"/>
    <w:rsid w:val="00996A1F"/>
    <w:rsid w:val="00997286"/>
    <w:rsid w:val="009A03C2"/>
    <w:rsid w:val="009A05C6"/>
    <w:rsid w:val="009A06DD"/>
    <w:rsid w:val="009A08CE"/>
    <w:rsid w:val="009A11BE"/>
    <w:rsid w:val="009A155E"/>
    <w:rsid w:val="009A1888"/>
    <w:rsid w:val="009A1DE6"/>
    <w:rsid w:val="009A29CB"/>
    <w:rsid w:val="009A2EBD"/>
    <w:rsid w:val="009A3104"/>
    <w:rsid w:val="009A3137"/>
    <w:rsid w:val="009A32E9"/>
    <w:rsid w:val="009A331C"/>
    <w:rsid w:val="009A3BB7"/>
    <w:rsid w:val="009A433C"/>
    <w:rsid w:val="009A46D2"/>
    <w:rsid w:val="009A5767"/>
    <w:rsid w:val="009A593C"/>
    <w:rsid w:val="009A5A96"/>
    <w:rsid w:val="009A5DA9"/>
    <w:rsid w:val="009A62A0"/>
    <w:rsid w:val="009A6E76"/>
    <w:rsid w:val="009A708D"/>
    <w:rsid w:val="009A79C4"/>
    <w:rsid w:val="009A7AFA"/>
    <w:rsid w:val="009A7DB9"/>
    <w:rsid w:val="009B0077"/>
    <w:rsid w:val="009B02F7"/>
    <w:rsid w:val="009B0473"/>
    <w:rsid w:val="009B117E"/>
    <w:rsid w:val="009B180B"/>
    <w:rsid w:val="009B1BD5"/>
    <w:rsid w:val="009B2856"/>
    <w:rsid w:val="009B28AF"/>
    <w:rsid w:val="009B28EE"/>
    <w:rsid w:val="009B3584"/>
    <w:rsid w:val="009B3C0E"/>
    <w:rsid w:val="009B4111"/>
    <w:rsid w:val="009B4679"/>
    <w:rsid w:val="009B49DD"/>
    <w:rsid w:val="009B55F7"/>
    <w:rsid w:val="009B59FE"/>
    <w:rsid w:val="009B6103"/>
    <w:rsid w:val="009B669E"/>
    <w:rsid w:val="009B66BB"/>
    <w:rsid w:val="009B6D1D"/>
    <w:rsid w:val="009B762F"/>
    <w:rsid w:val="009B7742"/>
    <w:rsid w:val="009B7B15"/>
    <w:rsid w:val="009C0179"/>
    <w:rsid w:val="009C0208"/>
    <w:rsid w:val="009C07DF"/>
    <w:rsid w:val="009C0AFC"/>
    <w:rsid w:val="009C0CF2"/>
    <w:rsid w:val="009C0E40"/>
    <w:rsid w:val="009C1156"/>
    <w:rsid w:val="009C19EB"/>
    <w:rsid w:val="009C1B18"/>
    <w:rsid w:val="009C2013"/>
    <w:rsid w:val="009C2015"/>
    <w:rsid w:val="009C212F"/>
    <w:rsid w:val="009C2269"/>
    <w:rsid w:val="009C229F"/>
    <w:rsid w:val="009C3768"/>
    <w:rsid w:val="009C384F"/>
    <w:rsid w:val="009C3ABA"/>
    <w:rsid w:val="009C3EC3"/>
    <w:rsid w:val="009C480E"/>
    <w:rsid w:val="009C480F"/>
    <w:rsid w:val="009C482F"/>
    <w:rsid w:val="009C4A6E"/>
    <w:rsid w:val="009C6643"/>
    <w:rsid w:val="009C6A65"/>
    <w:rsid w:val="009C70F3"/>
    <w:rsid w:val="009C75E4"/>
    <w:rsid w:val="009D0392"/>
    <w:rsid w:val="009D0914"/>
    <w:rsid w:val="009D0BAC"/>
    <w:rsid w:val="009D128C"/>
    <w:rsid w:val="009D17B4"/>
    <w:rsid w:val="009D1F65"/>
    <w:rsid w:val="009D2236"/>
    <w:rsid w:val="009D22B2"/>
    <w:rsid w:val="009D27D1"/>
    <w:rsid w:val="009D2961"/>
    <w:rsid w:val="009D2E2F"/>
    <w:rsid w:val="009D31F3"/>
    <w:rsid w:val="009D3287"/>
    <w:rsid w:val="009D3554"/>
    <w:rsid w:val="009D3BD5"/>
    <w:rsid w:val="009D3D62"/>
    <w:rsid w:val="009D3F25"/>
    <w:rsid w:val="009D49AE"/>
    <w:rsid w:val="009D4D88"/>
    <w:rsid w:val="009D52D1"/>
    <w:rsid w:val="009D5897"/>
    <w:rsid w:val="009D5EE1"/>
    <w:rsid w:val="009D645B"/>
    <w:rsid w:val="009D650D"/>
    <w:rsid w:val="009D6C05"/>
    <w:rsid w:val="009D7156"/>
    <w:rsid w:val="009D74BB"/>
    <w:rsid w:val="009D7ABC"/>
    <w:rsid w:val="009D7C62"/>
    <w:rsid w:val="009D7EA3"/>
    <w:rsid w:val="009E0418"/>
    <w:rsid w:val="009E0CCF"/>
    <w:rsid w:val="009E1129"/>
    <w:rsid w:val="009E20A8"/>
    <w:rsid w:val="009E2579"/>
    <w:rsid w:val="009E2E90"/>
    <w:rsid w:val="009E347D"/>
    <w:rsid w:val="009E3691"/>
    <w:rsid w:val="009E3C3F"/>
    <w:rsid w:val="009E3FA3"/>
    <w:rsid w:val="009E4116"/>
    <w:rsid w:val="009E414C"/>
    <w:rsid w:val="009E461C"/>
    <w:rsid w:val="009E5096"/>
    <w:rsid w:val="009E5133"/>
    <w:rsid w:val="009E548A"/>
    <w:rsid w:val="009E58F7"/>
    <w:rsid w:val="009E6356"/>
    <w:rsid w:val="009E6B2D"/>
    <w:rsid w:val="009E7385"/>
    <w:rsid w:val="009E76BF"/>
    <w:rsid w:val="009E774B"/>
    <w:rsid w:val="009E7AC5"/>
    <w:rsid w:val="009E7B0E"/>
    <w:rsid w:val="009E7DF1"/>
    <w:rsid w:val="009E7EB2"/>
    <w:rsid w:val="009E7FC6"/>
    <w:rsid w:val="009F0250"/>
    <w:rsid w:val="009F0447"/>
    <w:rsid w:val="009F0901"/>
    <w:rsid w:val="009F1102"/>
    <w:rsid w:val="009F1727"/>
    <w:rsid w:val="009F1E10"/>
    <w:rsid w:val="009F231B"/>
    <w:rsid w:val="009F29E6"/>
    <w:rsid w:val="009F2B41"/>
    <w:rsid w:val="009F2BE5"/>
    <w:rsid w:val="009F3351"/>
    <w:rsid w:val="009F33AF"/>
    <w:rsid w:val="009F3F12"/>
    <w:rsid w:val="009F44B5"/>
    <w:rsid w:val="009F4554"/>
    <w:rsid w:val="009F46F2"/>
    <w:rsid w:val="009F4880"/>
    <w:rsid w:val="009F48C2"/>
    <w:rsid w:val="009F4C16"/>
    <w:rsid w:val="009F4C6D"/>
    <w:rsid w:val="009F5347"/>
    <w:rsid w:val="009F5D61"/>
    <w:rsid w:val="009F5FD0"/>
    <w:rsid w:val="009F60EC"/>
    <w:rsid w:val="009F6D39"/>
    <w:rsid w:val="009F75E4"/>
    <w:rsid w:val="00A00028"/>
    <w:rsid w:val="00A00956"/>
    <w:rsid w:val="00A01267"/>
    <w:rsid w:val="00A013FB"/>
    <w:rsid w:val="00A01A13"/>
    <w:rsid w:val="00A01B48"/>
    <w:rsid w:val="00A01B4B"/>
    <w:rsid w:val="00A01D63"/>
    <w:rsid w:val="00A01FA2"/>
    <w:rsid w:val="00A025C3"/>
    <w:rsid w:val="00A02726"/>
    <w:rsid w:val="00A02E66"/>
    <w:rsid w:val="00A03080"/>
    <w:rsid w:val="00A03652"/>
    <w:rsid w:val="00A03660"/>
    <w:rsid w:val="00A0387E"/>
    <w:rsid w:val="00A03999"/>
    <w:rsid w:val="00A03B04"/>
    <w:rsid w:val="00A03C21"/>
    <w:rsid w:val="00A0479F"/>
    <w:rsid w:val="00A049AD"/>
    <w:rsid w:val="00A04ABF"/>
    <w:rsid w:val="00A04F3B"/>
    <w:rsid w:val="00A05761"/>
    <w:rsid w:val="00A05971"/>
    <w:rsid w:val="00A05C06"/>
    <w:rsid w:val="00A062D4"/>
    <w:rsid w:val="00A06E2D"/>
    <w:rsid w:val="00A07143"/>
    <w:rsid w:val="00A0790A"/>
    <w:rsid w:val="00A07BCB"/>
    <w:rsid w:val="00A07E2A"/>
    <w:rsid w:val="00A1019A"/>
    <w:rsid w:val="00A11271"/>
    <w:rsid w:val="00A11A9D"/>
    <w:rsid w:val="00A128D8"/>
    <w:rsid w:val="00A12BB7"/>
    <w:rsid w:val="00A12C23"/>
    <w:rsid w:val="00A13435"/>
    <w:rsid w:val="00A137CC"/>
    <w:rsid w:val="00A13CD8"/>
    <w:rsid w:val="00A13EA2"/>
    <w:rsid w:val="00A14287"/>
    <w:rsid w:val="00A147AB"/>
    <w:rsid w:val="00A14933"/>
    <w:rsid w:val="00A1552B"/>
    <w:rsid w:val="00A1554E"/>
    <w:rsid w:val="00A15705"/>
    <w:rsid w:val="00A15B21"/>
    <w:rsid w:val="00A15BC9"/>
    <w:rsid w:val="00A15C1D"/>
    <w:rsid w:val="00A15CE4"/>
    <w:rsid w:val="00A15E54"/>
    <w:rsid w:val="00A15E85"/>
    <w:rsid w:val="00A1649E"/>
    <w:rsid w:val="00A165CB"/>
    <w:rsid w:val="00A16EEA"/>
    <w:rsid w:val="00A1701C"/>
    <w:rsid w:val="00A17278"/>
    <w:rsid w:val="00A17343"/>
    <w:rsid w:val="00A17434"/>
    <w:rsid w:val="00A175E6"/>
    <w:rsid w:val="00A179C6"/>
    <w:rsid w:val="00A179C9"/>
    <w:rsid w:val="00A17AEE"/>
    <w:rsid w:val="00A20098"/>
    <w:rsid w:val="00A201F0"/>
    <w:rsid w:val="00A20635"/>
    <w:rsid w:val="00A20A32"/>
    <w:rsid w:val="00A21534"/>
    <w:rsid w:val="00A2162A"/>
    <w:rsid w:val="00A2163E"/>
    <w:rsid w:val="00A21693"/>
    <w:rsid w:val="00A21B49"/>
    <w:rsid w:val="00A21B4B"/>
    <w:rsid w:val="00A21FD2"/>
    <w:rsid w:val="00A223DB"/>
    <w:rsid w:val="00A22412"/>
    <w:rsid w:val="00A226DC"/>
    <w:rsid w:val="00A22AF1"/>
    <w:rsid w:val="00A23270"/>
    <w:rsid w:val="00A23BC9"/>
    <w:rsid w:val="00A23F39"/>
    <w:rsid w:val="00A2436B"/>
    <w:rsid w:val="00A244C8"/>
    <w:rsid w:val="00A2496A"/>
    <w:rsid w:val="00A24AE8"/>
    <w:rsid w:val="00A24DF7"/>
    <w:rsid w:val="00A2539E"/>
    <w:rsid w:val="00A2548B"/>
    <w:rsid w:val="00A25814"/>
    <w:rsid w:val="00A25CF5"/>
    <w:rsid w:val="00A260A6"/>
    <w:rsid w:val="00A26132"/>
    <w:rsid w:val="00A26425"/>
    <w:rsid w:val="00A264A0"/>
    <w:rsid w:val="00A2664E"/>
    <w:rsid w:val="00A26B5F"/>
    <w:rsid w:val="00A27B61"/>
    <w:rsid w:val="00A30014"/>
    <w:rsid w:val="00A30347"/>
    <w:rsid w:val="00A30E04"/>
    <w:rsid w:val="00A31320"/>
    <w:rsid w:val="00A31825"/>
    <w:rsid w:val="00A31BE7"/>
    <w:rsid w:val="00A31E0F"/>
    <w:rsid w:val="00A323D7"/>
    <w:rsid w:val="00A324A4"/>
    <w:rsid w:val="00A32E0A"/>
    <w:rsid w:val="00A330F0"/>
    <w:rsid w:val="00A33A05"/>
    <w:rsid w:val="00A33B45"/>
    <w:rsid w:val="00A33B50"/>
    <w:rsid w:val="00A348DA"/>
    <w:rsid w:val="00A34CC9"/>
    <w:rsid w:val="00A34D36"/>
    <w:rsid w:val="00A34E9F"/>
    <w:rsid w:val="00A353F2"/>
    <w:rsid w:val="00A3549E"/>
    <w:rsid w:val="00A35E87"/>
    <w:rsid w:val="00A36172"/>
    <w:rsid w:val="00A36308"/>
    <w:rsid w:val="00A365C1"/>
    <w:rsid w:val="00A367CD"/>
    <w:rsid w:val="00A36DAC"/>
    <w:rsid w:val="00A37147"/>
    <w:rsid w:val="00A3773C"/>
    <w:rsid w:val="00A37B26"/>
    <w:rsid w:val="00A4024B"/>
    <w:rsid w:val="00A4050A"/>
    <w:rsid w:val="00A40623"/>
    <w:rsid w:val="00A40B35"/>
    <w:rsid w:val="00A40FF6"/>
    <w:rsid w:val="00A414A2"/>
    <w:rsid w:val="00A41CEF"/>
    <w:rsid w:val="00A41E75"/>
    <w:rsid w:val="00A4256F"/>
    <w:rsid w:val="00A42599"/>
    <w:rsid w:val="00A42A01"/>
    <w:rsid w:val="00A4362E"/>
    <w:rsid w:val="00A440E4"/>
    <w:rsid w:val="00A44372"/>
    <w:rsid w:val="00A4459C"/>
    <w:rsid w:val="00A4476F"/>
    <w:rsid w:val="00A44F3E"/>
    <w:rsid w:val="00A44F61"/>
    <w:rsid w:val="00A4504F"/>
    <w:rsid w:val="00A452ED"/>
    <w:rsid w:val="00A459FD"/>
    <w:rsid w:val="00A45C52"/>
    <w:rsid w:val="00A46BCF"/>
    <w:rsid w:val="00A474F8"/>
    <w:rsid w:val="00A47C0A"/>
    <w:rsid w:val="00A47FB1"/>
    <w:rsid w:val="00A500BE"/>
    <w:rsid w:val="00A50107"/>
    <w:rsid w:val="00A502B6"/>
    <w:rsid w:val="00A50362"/>
    <w:rsid w:val="00A504E1"/>
    <w:rsid w:val="00A504F2"/>
    <w:rsid w:val="00A50B97"/>
    <w:rsid w:val="00A51465"/>
    <w:rsid w:val="00A514BF"/>
    <w:rsid w:val="00A51595"/>
    <w:rsid w:val="00A51598"/>
    <w:rsid w:val="00A51656"/>
    <w:rsid w:val="00A51D47"/>
    <w:rsid w:val="00A5213E"/>
    <w:rsid w:val="00A523C1"/>
    <w:rsid w:val="00A52604"/>
    <w:rsid w:val="00A537FE"/>
    <w:rsid w:val="00A538A4"/>
    <w:rsid w:val="00A53D42"/>
    <w:rsid w:val="00A54C8F"/>
    <w:rsid w:val="00A54D67"/>
    <w:rsid w:val="00A54DC4"/>
    <w:rsid w:val="00A54FD3"/>
    <w:rsid w:val="00A55121"/>
    <w:rsid w:val="00A55609"/>
    <w:rsid w:val="00A557DA"/>
    <w:rsid w:val="00A56022"/>
    <w:rsid w:val="00A561E6"/>
    <w:rsid w:val="00A56C95"/>
    <w:rsid w:val="00A57371"/>
    <w:rsid w:val="00A57571"/>
    <w:rsid w:val="00A57B4D"/>
    <w:rsid w:val="00A57FD1"/>
    <w:rsid w:val="00A6095E"/>
    <w:rsid w:val="00A60C91"/>
    <w:rsid w:val="00A60DE6"/>
    <w:rsid w:val="00A610D5"/>
    <w:rsid w:val="00A61BDA"/>
    <w:rsid w:val="00A61D5C"/>
    <w:rsid w:val="00A62082"/>
    <w:rsid w:val="00A6254C"/>
    <w:rsid w:val="00A62762"/>
    <w:rsid w:val="00A62896"/>
    <w:rsid w:val="00A62C43"/>
    <w:rsid w:val="00A62E6C"/>
    <w:rsid w:val="00A6306A"/>
    <w:rsid w:val="00A630B4"/>
    <w:rsid w:val="00A630EC"/>
    <w:rsid w:val="00A63269"/>
    <w:rsid w:val="00A63932"/>
    <w:rsid w:val="00A63A74"/>
    <w:rsid w:val="00A63CB0"/>
    <w:rsid w:val="00A63F73"/>
    <w:rsid w:val="00A64073"/>
    <w:rsid w:val="00A6470A"/>
    <w:rsid w:val="00A64996"/>
    <w:rsid w:val="00A64AEA"/>
    <w:rsid w:val="00A65674"/>
    <w:rsid w:val="00A6578A"/>
    <w:rsid w:val="00A657FF"/>
    <w:rsid w:val="00A65A11"/>
    <w:rsid w:val="00A65E75"/>
    <w:rsid w:val="00A66283"/>
    <w:rsid w:val="00A6659A"/>
    <w:rsid w:val="00A665F8"/>
    <w:rsid w:val="00A66AF7"/>
    <w:rsid w:val="00A66B6E"/>
    <w:rsid w:val="00A672EA"/>
    <w:rsid w:val="00A67315"/>
    <w:rsid w:val="00A6746F"/>
    <w:rsid w:val="00A67C75"/>
    <w:rsid w:val="00A7008C"/>
    <w:rsid w:val="00A70210"/>
    <w:rsid w:val="00A70A64"/>
    <w:rsid w:val="00A70A9A"/>
    <w:rsid w:val="00A70B7A"/>
    <w:rsid w:val="00A71FA1"/>
    <w:rsid w:val="00A72940"/>
    <w:rsid w:val="00A72FEE"/>
    <w:rsid w:val="00A73616"/>
    <w:rsid w:val="00A73AC2"/>
    <w:rsid w:val="00A74105"/>
    <w:rsid w:val="00A742C0"/>
    <w:rsid w:val="00A74452"/>
    <w:rsid w:val="00A744B5"/>
    <w:rsid w:val="00A748FD"/>
    <w:rsid w:val="00A75045"/>
    <w:rsid w:val="00A75498"/>
    <w:rsid w:val="00A755D2"/>
    <w:rsid w:val="00A76103"/>
    <w:rsid w:val="00A76569"/>
    <w:rsid w:val="00A766AA"/>
    <w:rsid w:val="00A76CF3"/>
    <w:rsid w:val="00A76D5F"/>
    <w:rsid w:val="00A76DD0"/>
    <w:rsid w:val="00A7791F"/>
    <w:rsid w:val="00A77F33"/>
    <w:rsid w:val="00A8062C"/>
    <w:rsid w:val="00A80929"/>
    <w:rsid w:val="00A81188"/>
    <w:rsid w:val="00A81368"/>
    <w:rsid w:val="00A815B2"/>
    <w:rsid w:val="00A81DDF"/>
    <w:rsid w:val="00A81F41"/>
    <w:rsid w:val="00A82424"/>
    <w:rsid w:val="00A826D1"/>
    <w:rsid w:val="00A82CDE"/>
    <w:rsid w:val="00A830BA"/>
    <w:rsid w:val="00A8369D"/>
    <w:rsid w:val="00A838E0"/>
    <w:rsid w:val="00A839F4"/>
    <w:rsid w:val="00A83D10"/>
    <w:rsid w:val="00A83E79"/>
    <w:rsid w:val="00A841D4"/>
    <w:rsid w:val="00A84B54"/>
    <w:rsid w:val="00A8573B"/>
    <w:rsid w:val="00A858CD"/>
    <w:rsid w:val="00A85B91"/>
    <w:rsid w:val="00A8629F"/>
    <w:rsid w:val="00A86438"/>
    <w:rsid w:val="00A86513"/>
    <w:rsid w:val="00A8669F"/>
    <w:rsid w:val="00A8690F"/>
    <w:rsid w:val="00A86C69"/>
    <w:rsid w:val="00A86C6E"/>
    <w:rsid w:val="00A86F08"/>
    <w:rsid w:val="00A87399"/>
    <w:rsid w:val="00A87405"/>
    <w:rsid w:val="00A87A63"/>
    <w:rsid w:val="00A87D57"/>
    <w:rsid w:val="00A87FD0"/>
    <w:rsid w:val="00A904CF"/>
    <w:rsid w:val="00A9077B"/>
    <w:rsid w:val="00A9091A"/>
    <w:rsid w:val="00A90F2B"/>
    <w:rsid w:val="00A910D9"/>
    <w:rsid w:val="00A91624"/>
    <w:rsid w:val="00A91737"/>
    <w:rsid w:val="00A91A12"/>
    <w:rsid w:val="00A9277C"/>
    <w:rsid w:val="00A92825"/>
    <w:rsid w:val="00A928C1"/>
    <w:rsid w:val="00A92A82"/>
    <w:rsid w:val="00A92B55"/>
    <w:rsid w:val="00A930AB"/>
    <w:rsid w:val="00A9388C"/>
    <w:rsid w:val="00A93A67"/>
    <w:rsid w:val="00A93D76"/>
    <w:rsid w:val="00A940E8"/>
    <w:rsid w:val="00A941C0"/>
    <w:rsid w:val="00A943D0"/>
    <w:rsid w:val="00A9454E"/>
    <w:rsid w:val="00A94BAF"/>
    <w:rsid w:val="00A94E30"/>
    <w:rsid w:val="00A95A3F"/>
    <w:rsid w:val="00A95DBD"/>
    <w:rsid w:val="00A96645"/>
    <w:rsid w:val="00A9675D"/>
    <w:rsid w:val="00A9685D"/>
    <w:rsid w:val="00A96CDF"/>
    <w:rsid w:val="00A97119"/>
    <w:rsid w:val="00A979E0"/>
    <w:rsid w:val="00A97C2F"/>
    <w:rsid w:val="00A97D93"/>
    <w:rsid w:val="00AA0160"/>
    <w:rsid w:val="00AA0BD5"/>
    <w:rsid w:val="00AA0DF3"/>
    <w:rsid w:val="00AA1BDE"/>
    <w:rsid w:val="00AA32FB"/>
    <w:rsid w:val="00AA37D6"/>
    <w:rsid w:val="00AA380E"/>
    <w:rsid w:val="00AA3D38"/>
    <w:rsid w:val="00AA41F4"/>
    <w:rsid w:val="00AA470A"/>
    <w:rsid w:val="00AA4777"/>
    <w:rsid w:val="00AA489A"/>
    <w:rsid w:val="00AA4FE7"/>
    <w:rsid w:val="00AA54D8"/>
    <w:rsid w:val="00AA5553"/>
    <w:rsid w:val="00AA5C9B"/>
    <w:rsid w:val="00AA5FC7"/>
    <w:rsid w:val="00AA6926"/>
    <w:rsid w:val="00AB0148"/>
    <w:rsid w:val="00AB08CC"/>
    <w:rsid w:val="00AB1038"/>
    <w:rsid w:val="00AB167A"/>
    <w:rsid w:val="00AB17BF"/>
    <w:rsid w:val="00AB19FB"/>
    <w:rsid w:val="00AB1DC4"/>
    <w:rsid w:val="00AB1E81"/>
    <w:rsid w:val="00AB26B4"/>
    <w:rsid w:val="00AB2814"/>
    <w:rsid w:val="00AB2D75"/>
    <w:rsid w:val="00AB2E8B"/>
    <w:rsid w:val="00AB3741"/>
    <w:rsid w:val="00AB3D48"/>
    <w:rsid w:val="00AB3F3E"/>
    <w:rsid w:val="00AB41E7"/>
    <w:rsid w:val="00AB4489"/>
    <w:rsid w:val="00AB44AD"/>
    <w:rsid w:val="00AB4C2F"/>
    <w:rsid w:val="00AB4ED2"/>
    <w:rsid w:val="00AB5433"/>
    <w:rsid w:val="00AB5A17"/>
    <w:rsid w:val="00AB62C9"/>
    <w:rsid w:val="00AB6493"/>
    <w:rsid w:val="00AB6807"/>
    <w:rsid w:val="00AB691A"/>
    <w:rsid w:val="00AB6B5E"/>
    <w:rsid w:val="00AB785E"/>
    <w:rsid w:val="00AB78AF"/>
    <w:rsid w:val="00AB79AB"/>
    <w:rsid w:val="00AB7B26"/>
    <w:rsid w:val="00AB7ECA"/>
    <w:rsid w:val="00AC089A"/>
    <w:rsid w:val="00AC099B"/>
    <w:rsid w:val="00AC0F37"/>
    <w:rsid w:val="00AC14A2"/>
    <w:rsid w:val="00AC16B0"/>
    <w:rsid w:val="00AC1D1F"/>
    <w:rsid w:val="00AC1EDF"/>
    <w:rsid w:val="00AC1FE4"/>
    <w:rsid w:val="00AC209A"/>
    <w:rsid w:val="00AC2987"/>
    <w:rsid w:val="00AC2993"/>
    <w:rsid w:val="00AC2BAE"/>
    <w:rsid w:val="00AC2BF2"/>
    <w:rsid w:val="00AC2C7C"/>
    <w:rsid w:val="00AC2D90"/>
    <w:rsid w:val="00AC3918"/>
    <w:rsid w:val="00AC4327"/>
    <w:rsid w:val="00AC443B"/>
    <w:rsid w:val="00AC4BE0"/>
    <w:rsid w:val="00AC4C9F"/>
    <w:rsid w:val="00AC4FE0"/>
    <w:rsid w:val="00AC50A7"/>
    <w:rsid w:val="00AC57B8"/>
    <w:rsid w:val="00AC5921"/>
    <w:rsid w:val="00AC5961"/>
    <w:rsid w:val="00AC5ABD"/>
    <w:rsid w:val="00AC5CF3"/>
    <w:rsid w:val="00AC61D2"/>
    <w:rsid w:val="00AC625B"/>
    <w:rsid w:val="00AC6696"/>
    <w:rsid w:val="00AC69C2"/>
    <w:rsid w:val="00AC6C6C"/>
    <w:rsid w:val="00AC6C85"/>
    <w:rsid w:val="00AC7156"/>
    <w:rsid w:val="00AC7167"/>
    <w:rsid w:val="00AC7173"/>
    <w:rsid w:val="00AC74C0"/>
    <w:rsid w:val="00AC7A1B"/>
    <w:rsid w:val="00AC7B0F"/>
    <w:rsid w:val="00AC7C47"/>
    <w:rsid w:val="00AC7FF3"/>
    <w:rsid w:val="00AD0305"/>
    <w:rsid w:val="00AD0404"/>
    <w:rsid w:val="00AD0AE1"/>
    <w:rsid w:val="00AD0BB2"/>
    <w:rsid w:val="00AD1113"/>
    <w:rsid w:val="00AD1184"/>
    <w:rsid w:val="00AD1409"/>
    <w:rsid w:val="00AD1D56"/>
    <w:rsid w:val="00AD1E7C"/>
    <w:rsid w:val="00AD25F2"/>
    <w:rsid w:val="00AD2A97"/>
    <w:rsid w:val="00AD3311"/>
    <w:rsid w:val="00AD3650"/>
    <w:rsid w:val="00AD40E0"/>
    <w:rsid w:val="00AD4417"/>
    <w:rsid w:val="00AD4497"/>
    <w:rsid w:val="00AD470E"/>
    <w:rsid w:val="00AD4A12"/>
    <w:rsid w:val="00AD4AA0"/>
    <w:rsid w:val="00AD4B26"/>
    <w:rsid w:val="00AD4CB9"/>
    <w:rsid w:val="00AD4D82"/>
    <w:rsid w:val="00AD5542"/>
    <w:rsid w:val="00AD5544"/>
    <w:rsid w:val="00AD5A02"/>
    <w:rsid w:val="00AD5E2E"/>
    <w:rsid w:val="00AD650D"/>
    <w:rsid w:val="00AD658C"/>
    <w:rsid w:val="00AD68DD"/>
    <w:rsid w:val="00AD6AE4"/>
    <w:rsid w:val="00AD6BEB"/>
    <w:rsid w:val="00AD6DF1"/>
    <w:rsid w:val="00AD7452"/>
    <w:rsid w:val="00AD77C0"/>
    <w:rsid w:val="00AD7F2F"/>
    <w:rsid w:val="00AE0195"/>
    <w:rsid w:val="00AE028A"/>
    <w:rsid w:val="00AE049A"/>
    <w:rsid w:val="00AE07E3"/>
    <w:rsid w:val="00AE0AF5"/>
    <w:rsid w:val="00AE19F8"/>
    <w:rsid w:val="00AE1C75"/>
    <w:rsid w:val="00AE1D87"/>
    <w:rsid w:val="00AE1FC8"/>
    <w:rsid w:val="00AE2099"/>
    <w:rsid w:val="00AE2266"/>
    <w:rsid w:val="00AE2330"/>
    <w:rsid w:val="00AE237D"/>
    <w:rsid w:val="00AE253D"/>
    <w:rsid w:val="00AE27E1"/>
    <w:rsid w:val="00AE2FC6"/>
    <w:rsid w:val="00AE3051"/>
    <w:rsid w:val="00AE3312"/>
    <w:rsid w:val="00AE3433"/>
    <w:rsid w:val="00AE36EF"/>
    <w:rsid w:val="00AE373E"/>
    <w:rsid w:val="00AE3905"/>
    <w:rsid w:val="00AE3B4F"/>
    <w:rsid w:val="00AE3CA4"/>
    <w:rsid w:val="00AE416E"/>
    <w:rsid w:val="00AE4663"/>
    <w:rsid w:val="00AE49FF"/>
    <w:rsid w:val="00AE5717"/>
    <w:rsid w:val="00AE59CF"/>
    <w:rsid w:val="00AE5F59"/>
    <w:rsid w:val="00AE67F4"/>
    <w:rsid w:val="00AE6A05"/>
    <w:rsid w:val="00AE6C68"/>
    <w:rsid w:val="00AE6D24"/>
    <w:rsid w:val="00AE714F"/>
    <w:rsid w:val="00AE743A"/>
    <w:rsid w:val="00AE7630"/>
    <w:rsid w:val="00AE78AF"/>
    <w:rsid w:val="00AE798F"/>
    <w:rsid w:val="00AE7A4A"/>
    <w:rsid w:val="00AE7D9E"/>
    <w:rsid w:val="00AF0016"/>
    <w:rsid w:val="00AF0109"/>
    <w:rsid w:val="00AF02F5"/>
    <w:rsid w:val="00AF0353"/>
    <w:rsid w:val="00AF0671"/>
    <w:rsid w:val="00AF0867"/>
    <w:rsid w:val="00AF0E5A"/>
    <w:rsid w:val="00AF0F61"/>
    <w:rsid w:val="00AF1556"/>
    <w:rsid w:val="00AF171E"/>
    <w:rsid w:val="00AF1C9C"/>
    <w:rsid w:val="00AF1F91"/>
    <w:rsid w:val="00AF26F0"/>
    <w:rsid w:val="00AF27C4"/>
    <w:rsid w:val="00AF2FFA"/>
    <w:rsid w:val="00AF3189"/>
    <w:rsid w:val="00AF31B8"/>
    <w:rsid w:val="00AF3893"/>
    <w:rsid w:val="00AF40B3"/>
    <w:rsid w:val="00AF4373"/>
    <w:rsid w:val="00AF51EF"/>
    <w:rsid w:val="00AF5359"/>
    <w:rsid w:val="00AF54BC"/>
    <w:rsid w:val="00AF558C"/>
    <w:rsid w:val="00AF59A1"/>
    <w:rsid w:val="00AF6011"/>
    <w:rsid w:val="00AF642B"/>
    <w:rsid w:val="00AF6B70"/>
    <w:rsid w:val="00AF6F3A"/>
    <w:rsid w:val="00AF74A3"/>
    <w:rsid w:val="00AF7CAE"/>
    <w:rsid w:val="00B00475"/>
    <w:rsid w:val="00B0086F"/>
    <w:rsid w:val="00B008C3"/>
    <w:rsid w:val="00B00B67"/>
    <w:rsid w:val="00B00C89"/>
    <w:rsid w:val="00B00CBF"/>
    <w:rsid w:val="00B00CD8"/>
    <w:rsid w:val="00B00DE6"/>
    <w:rsid w:val="00B010B9"/>
    <w:rsid w:val="00B010FD"/>
    <w:rsid w:val="00B01226"/>
    <w:rsid w:val="00B018D7"/>
    <w:rsid w:val="00B019CE"/>
    <w:rsid w:val="00B02846"/>
    <w:rsid w:val="00B02AD2"/>
    <w:rsid w:val="00B02FBB"/>
    <w:rsid w:val="00B0358F"/>
    <w:rsid w:val="00B03FC3"/>
    <w:rsid w:val="00B04665"/>
    <w:rsid w:val="00B047D2"/>
    <w:rsid w:val="00B048D3"/>
    <w:rsid w:val="00B04F18"/>
    <w:rsid w:val="00B04F4E"/>
    <w:rsid w:val="00B0505D"/>
    <w:rsid w:val="00B05305"/>
    <w:rsid w:val="00B054B4"/>
    <w:rsid w:val="00B055B0"/>
    <w:rsid w:val="00B0573B"/>
    <w:rsid w:val="00B059F3"/>
    <w:rsid w:val="00B05C32"/>
    <w:rsid w:val="00B05E20"/>
    <w:rsid w:val="00B05F5D"/>
    <w:rsid w:val="00B061CC"/>
    <w:rsid w:val="00B0639F"/>
    <w:rsid w:val="00B065F3"/>
    <w:rsid w:val="00B06E95"/>
    <w:rsid w:val="00B07355"/>
    <w:rsid w:val="00B10447"/>
    <w:rsid w:val="00B10E9A"/>
    <w:rsid w:val="00B10EC1"/>
    <w:rsid w:val="00B1140B"/>
    <w:rsid w:val="00B114E9"/>
    <w:rsid w:val="00B11562"/>
    <w:rsid w:val="00B11645"/>
    <w:rsid w:val="00B1197A"/>
    <w:rsid w:val="00B11F70"/>
    <w:rsid w:val="00B1357D"/>
    <w:rsid w:val="00B13587"/>
    <w:rsid w:val="00B1358B"/>
    <w:rsid w:val="00B13C36"/>
    <w:rsid w:val="00B13D82"/>
    <w:rsid w:val="00B14BAF"/>
    <w:rsid w:val="00B14D3D"/>
    <w:rsid w:val="00B15015"/>
    <w:rsid w:val="00B150C6"/>
    <w:rsid w:val="00B15528"/>
    <w:rsid w:val="00B1605D"/>
    <w:rsid w:val="00B16081"/>
    <w:rsid w:val="00B161A7"/>
    <w:rsid w:val="00B1643E"/>
    <w:rsid w:val="00B165E8"/>
    <w:rsid w:val="00B16CA3"/>
    <w:rsid w:val="00B16D11"/>
    <w:rsid w:val="00B16DA4"/>
    <w:rsid w:val="00B16E39"/>
    <w:rsid w:val="00B17594"/>
    <w:rsid w:val="00B17B84"/>
    <w:rsid w:val="00B205A3"/>
    <w:rsid w:val="00B20E3F"/>
    <w:rsid w:val="00B21136"/>
    <w:rsid w:val="00B2124E"/>
    <w:rsid w:val="00B21795"/>
    <w:rsid w:val="00B21B4E"/>
    <w:rsid w:val="00B220F0"/>
    <w:rsid w:val="00B2281F"/>
    <w:rsid w:val="00B233D9"/>
    <w:rsid w:val="00B23761"/>
    <w:rsid w:val="00B23893"/>
    <w:rsid w:val="00B24521"/>
    <w:rsid w:val="00B247CA"/>
    <w:rsid w:val="00B247D3"/>
    <w:rsid w:val="00B24853"/>
    <w:rsid w:val="00B24D79"/>
    <w:rsid w:val="00B25968"/>
    <w:rsid w:val="00B25A6D"/>
    <w:rsid w:val="00B26827"/>
    <w:rsid w:val="00B26889"/>
    <w:rsid w:val="00B26AE6"/>
    <w:rsid w:val="00B26EF3"/>
    <w:rsid w:val="00B27643"/>
    <w:rsid w:val="00B303FD"/>
    <w:rsid w:val="00B3075A"/>
    <w:rsid w:val="00B30CD4"/>
    <w:rsid w:val="00B31026"/>
    <w:rsid w:val="00B316E6"/>
    <w:rsid w:val="00B31763"/>
    <w:rsid w:val="00B31B38"/>
    <w:rsid w:val="00B321F0"/>
    <w:rsid w:val="00B32B2D"/>
    <w:rsid w:val="00B32C81"/>
    <w:rsid w:val="00B32E52"/>
    <w:rsid w:val="00B33268"/>
    <w:rsid w:val="00B33E18"/>
    <w:rsid w:val="00B340EB"/>
    <w:rsid w:val="00B34466"/>
    <w:rsid w:val="00B353DD"/>
    <w:rsid w:val="00B35D75"/>
    <w:rsid w:val="00B35DC5"/>
    <w:rsid w:val="00B362F6"/>
    <w:rsid w:val="00B3636A"/>
    <w:rsid w:val="00B36D60"/>
    <w:rsid w:val="00B373E7"/>
    <w:rsid w:val="00B37912"/>
    <w:rsid w:val="00B37FB5"/>
    <w:rsid w:val="00B402B1"/>
    <w:rsid w:val="00B4043D"/>
    <w:rsid w:val="00B404F6"/>
    <w:rsid w:val="00B40644"/>
    <w:rsid w:val="00B407AA"/>
    <w:rsid w:val="00B40C25"/>
    <w:rsid w:val="00B40DFC"/>
    <w:rsid w:val="00B417D2"/>
    <w:rsid w:val="00B41CC5"/>
    <w:rsid w:val="00B41EAE"/>
    <w:rsid w:val="00B421AB"/>
    <w:rsid w:val="00B4224D"/>
    <w:rsid w:val="00B423C1"/>
    <w:rsid w:val="00B4252C"/>
    <w:rsid w:val="00B426C2"/>
    <w:rsid w:val="00B426CD"/>
    <w:rsid w:val="00B42887"/>
    <w:rsid w:val="00B4291F"/>
    <w:rsid w:val="00B4293C"/>
    <w:rsid w:val="00B429CE"/>
    <w:rsid w:val="00B432C2"/>
    <w:rsid w:val="00B439C7"/>
    <w:rsid w:val="00B43D6C"/>
    <w:rsid w:val="00B43D72"/>
    <w:rsid w:val="00B43ECC"/>
    <w:rsid w:val="00B44244"/>
    <w:rsid w:val="00B44485"/>
    <w:rsid w:val="00B44677"/>
    <w:rsid w:val="00B448AB"/>
    <w:rsid w:val="00B44EF3"/>
    <w:rsid w:val="00B45004"/>
    <w:rsid w:val="00B450B6"/>
    <w:rsid w:val="00B450F1"/>
    <w:rsid w:val="00B45102"/>
    <w:rsid w:val="00B4512C"/>
    <w:rsid w:val="00B4533D"/>
    <w:rsid w:val="00B45587"/>
    <w:rsid w:val="00B45840"/>
    <w:rsid w:val="00B45B52"/>
    <w:rsid w:val="00B45D51"/>
    <w:rsid w:val="00B45DB6"/>
    <w:rsid w:val="00B4635C"/>
    <w:rsid w:val="00B4694E"/>
    <w:rsid w:val="00B46B87"/>
    <w:rsid w:val="00B46D1E"/>
    <w:rsid w:val="00B47139"/>
    <w:rsid w:val="00B47183"/>
    <w:rsid w:val="00B471C0"/>
    <w:rsid w:val="00B47213"/>
    <w:rsid w:val="00B47751"/>
    <w:rsid w:val="00B477C0"/>
    <w:rsid w:val="00B5031F"/>
    <w:rsid w:val="00B50876"/>
    <w:rsid w:val="00B5102B"/>
    <w:rsid w:val="00B510A9"/>
    <w:rsid w:val="00B51581"/>
    <w:rsid w:val="00B5178E"/>
    <w:rsid w:val="00B517AE"/>
    <w:rsid w:val="00B52CCB"/>
    <w:rsid w:val="00B52EE4"/>
    <w:rsid w:val="00B532DB"/>
    <w:rsid w:val="00B535FC"/>
    <w:rsid w:val="00B537F1"/>
    <w:rsid w:val="00B53ED9"/>
    <w:rsid w:val="00B546BE"/>
    <w:rsid w:val="00B56086"/>
    <w:rsid w:val="00B56436"/>
    <w:rsid w:val="00B567CD"/>
    <w:rsid w:val="00B56DB6"/>
    <w:rsid w:val="00B56E09"/>
    <w:rsid w:val="00B57125"/>
    <w:rsid w:val="00B57206"/>
    <w:rsid w:val="00B5731F"/>
    <w:rsid w:val="00B576F6"/>
    <w:rsid w:val="00B57CA4"/>
    <w:rsid w:val="00B603B5"/>
    <w:rsid w:val="00B60406"/>
    <w:rsid w:val="00B6058C"/>
    <w:rsid w:val="00B60910"/>
    <w:rsid w:val="00B60AAC"/>
    <w:rsid w:val="00B61650"/>
    <w:rsid w:val="00B617F4"/>
    <w:rsid w:val="00B62308"/>
    <w:rsid w:val="00B6231B"/>
    <w:rsid w:val="00B63173"/>
    <w:rsid w:val="00B63C78"/>
    <w:rsid w:val="00B642CB"/>
    <w:rsid w:val="00B64AA2"/>
    <w:rsid w:val="00B64BED"/>
    <w:rsid w:val="00B6527E"/>
    <w:rsid w:val="00B656A7"/>
    <w:rsid w:val="00B658B2"/>
    <w:rsid w:val="00B66168"/>
    <w:rsid w:val="00B66B4F"/>
    <w:rsid w:val="00B66C4C"/>
    <w:rsid w:val="00B67208"/>
    <w:rsid w:val="00B67415"/>
    <w:rsid w:val="00B674A6"/>
    <w:rsid w:val="00B67908"/>
    <w:rsid w:val="00B67D07"/>
    <w:rsid w:val="00B67DFD"/>
    <w:rsid w:val="00B706ED"/>
    <w:rsid w:val="00B70748"/>
    <w:rsid w:val="00B709AE"/>
    <w:rsid w:val="00B70E9E"/>
    <w:rsid w:val="00B72150"/>
    <w:rsid w:val="00B72481"/>
    <w:rsid w:val="00B72EF3"/>
    <w:rsid w:val="00B73803"/>
    <w:rsid w:val="00B73B33"/>
    <w:rsid w:val="00B73EE4"/>
    <w:rsid w:val="00B73FE6"/>
    <w:rsid w:val="00B743F2"/>
    <w:rsid w:val="00B746BE"/>
    <w:rsid w:val="00B747FA"/>
    <w:rsid w:val="00B74E82"/>
    <w:rsid w:val="00B74F7C"/>
    <w:rsid w:val="00B75CFA"/>
    <w:rsid w:val="00B76875"/>
    <w:rsid w:val="00B769A8"/>
    <w:rsid w:val="00B76B5E"/>
    <w:rsid w:val="00B76D07"/>
    <w:rsid w:val="00B777D9"/>
    <w:rsid w:val="00B77C33"/>
    <w:rsid w:val="00B8012E"/>
    <w:rsid w:val="00B802A1"/>
    <w:rsid w:val="00B803D2"/>
    <w:rsid w:val="00B80683"/>
    <w:rsid w:val="00B81010"/>
    <w:rsid w:val="00B81040"/>
    <w:rsid w:val="00B81119"/>
    <w:rsid w:val="00B825DF"/>
    <w:rsid w:val="00B826FE"/>
    <w:rsid w:val="00B83165"/>
    <w:rsid w:val="00B834B2"/>
    <w:rsid w:val="00B83539"/>
    <w:rsid w:val="00B836A0"/>
    <w:rsid w:val="00B83705"/>
    <w:rsid w:val="00B83738"/>
    <w:rsid w:val="00B8386D"/>
    <w:rsid w:val="00B84662"/>
    <w:rsid w:val="00B84F93"/>
    <w:rsid w:val="00B852B1"/>
    <w:rsid w:val="00B857D0"/>
    <w:rsid w:val="00B862A5"/>
    <w:rsid w:val="00B86306"/>
    <w:rsid w:val="00B86369"/>
    <w:rsid w:val="00B86AA9"/>
    <w:rsid w:val="00B86EC0"/>
    <w:rsid w:val="00B872AE"/>
    <w:rsid w:val="00B87CD7"/>
    <w:rsid w:val="00B901B8"/>
    <w:rsid w:val="00B9023D"/>
    <w:rsid w:val="00B90863"/>
    <w:rsid w:val="00B90D1A"/>
    <w:rsid w:val="00B90D5F"/>
    <w:rsid w:val="00B90DD9"/>
    <w:rsid w:val="00B918A1"/>
    <w:rsid w:val="00B91B49"/>
    <w:rsid w:val="00B91C69"/>
    <w:rsid w:val="00B91E09"/>
    <w:rsid w:val="00B92070"/>
    <w:rsid w:val="00B9218E"/>
    <w:rsid w:val="00B92313"/>
    <w:rsid w:val="00B927E4"/>
    <w:rsid w:val="00B931E7"/>
    <w:rsid w:val="00B93320"/>
    <w:rsid w:val="00B93ECE"/>
    <w:rsid w:val="00B94026"/>
    <w:rsid w:val="00B942C9"/>
    <w:rsid w:val="00B9456E"/>
    <w:rsid w:val="00B9462A"/>
    <w:rsid w:val="00B94E3C"/>
    <w:rsid w:val="00B953D2"/>
    <w:rsid w:val="00B956B7"/>
    <w:rsid w:val="00B967BB"/>
    <w:rsid w:val="00B96B62"/>
    <w:rsid w:val="00B96CCF"/>
    <w:rsid w:val="00B97200"/>
    <w:rsid w:val="00B97BCB"/>
    <w:rsid w:val="00BA0240"/>
    <w:rsid w:val="00BA054F"/>
    <w:rsid w:val="00BA0847"/>
    <w:rsid w:val="00BA11CA"/>
    <w:rsid w:val="00BA11F4"/>
    <w:rsid w:val="00BA12FC"/>
    <w:rsid w:val="00BA1925"/>
    <w:rsid w:val="00BA1B48"/>
    <w:rsid w:val="00BA1CB6"/>
    <w:rsid w:val="00BA1CCB"/>
    <w:rsid w:val="00BA1D54"/>
    <w:rsid w:val="00BA1D8E"/>
    <w:rsid w:val="00BA1E3C"/>
    <w:rsid w:val="00BA1E8F"/>
    <w:rsid w:val="00BA211F"/>
    <w:rsid w:val="00BA238B"/>
    <w:rsid w:val="00BA272F"/>
    <w:rsid w:val="00BA2BC0"/>
    <w:rsid w:val="00BA3517"/>
    <w:rsid w:val="00BA351C"/>
    <w:rsid w:val="00BA38C4"/>
    <w:rsid w:val="00BA3E81"/>
    <w:rsid w:val="00BA41A9"/>
    <w:rsid w:val="00BA44A5"/>
    <w:rsid w:val="00BA4B5F"/>
    <w:rsid w:val="00BA5062"/>
    <w:rsid w:val="00BA5092"/>
    <w:rsid w:val="00BA50CF"/>
    <w:rsid w:val="00BA5A17"/>
    <w:rsid w:val="00BA608F"/>
    <w:rsid w:val="00BA6137"/>
    <w:rsid w:val="00BA69D6"/>
    <w:rsid w:val="00BA6E9D"/>
    <w:rsid w:val="00BA75D9"/>
    <w:rsid w:val="00BA76D2"/>
    <w:rsid w:val="00BA7B48"/>
    <w:rsid w:val="00BA7E3E"/>
    <w:rsid w:val="00BB019B"/>
    <w:rsid w:val="00BB042C"/>
    <w:rsid w:val="00BB0902"/>
    <w:rsid w:val="00BB1C31"/>
    <w:rsid w:val="00BB21CC"/>
    <w:rsid w:val="00BB297F"/>
    <w:rsid w:val="00BB2A8C"/>
    <w:rsid w:val="00BB2A8F"/>
    <w:rsid w:val="00BB2AA8"/>
    <w:rsid w:val="00BB2F1C"/>
    <w:rsid w:val="00BB33EA"/>
    <w:rsid w:val="00BB3F28"/>
    <w:rsid w:val="00BB3FFC"/>
    <w:rsid w:val="00BB4B6D"/>
    <w:rsid w:val="00BB515D"/>
    <w:rsid w:val="00BB572A"/>
    <w:rsid w:val="00BB5D72"/>
    <w:rsid w:val="00BB5E71"/>
    <w:rsid w:val="00BB62F1"/>
    <w:rsid w:val="00BB6410"/>
    <w:rsid w:val="00BB6BCF"/>
    <w:rsid w:val="00BB6DD8"/>
    <w:rsid w:val="00BB6E17"/>
    <w:rsid w:val="00BB7012"/>
    <w:rsid w:val="00BB716F"/>
    <w:rsid w:val="00BB73D7"/>
    <w:rsid w:val="00BB77A7"/>
    <w:rsid w:val="00BC0572"/>
    <w:rsid w:val="00BC1529"/>
    <w:rsid w:val="00BC1756"/>
    <w:rsid w:val="00BC178E"/>
    <w:rsid w:val="00BC1AB5"/>
    <w:rsid w:val="00BC1CD7"/>
    <w:rsid w:val="00BC23A5"/>
    <w:rsid w:val="00BC251B"/>
    <w:rsid w:val="00BC2A49"/>
    <w:rsid w:val="00BC2B7D"/>
    <w:rsid w:val="00BC386D"/>
    <w:rsid w:val="00BC4FF8"/>
    <w:rsid w:val="00BC5381"/>
    <w:rsid w:val="00BC5BE3"/>
    <w:rsid w:val="00BC5EC7"/>
    <w:rsid w:val="00BC60EB"/>
    <w:rsid w:val="00BC61C2"/>
    <w:rsid w:val="00BC6634"/>
    <w:rsid w:val="00BC670E"/>
    <w:rsid w:val="00BC6FD2"/>
    <w:rsid w:val="00BC7407"/>
    <w:rsid w:val="00BC78CD"/>
    <w:rsid w:val="00BC7974"/>
    <w:rsid w:val="00BC7D24"/>
    <w:rsid w:val="00BD0526"/>
    <w:rsid w:val="00BD0C0C"/>
    <w:rsid w:val="00BD0D47"/>
    <w:rsid w:val="00BD0F9D"/>
    <w:rsid w:val="00BD0FA9"/>
    <w:rsid w:val="00BD0FC4"/>
    <w:rsid w:val="00BD0FD9"/>
    <w:rsid w:val="00BD10A9"/>
    <w:rsid w:val="00BD135B"/>
    <w:rsid w:val="00BD143F"/>
    <w:rsid w:val="00BD1832"/>
    <w:rsid w:val="00BD1AA7"/>
    <w:rsid w:val="00BD1B88"/>
    <w:rsid w:val="00BD1DD0"/>
    <w:rsid w:val="00BD2285"/>
    <w:rsid w:val="00BD35A9"/>
    <w:rsid w:val="00BD421E"/>
    <w:rsid w:val="00BD4986"/>
    <w:rsid w:val="00BD4DB3"/>
    <w:rsid w:val="00BD58DD"/>
    <w:rsid w:val="00BD5B7C"/>
    <w:rsid w:val="00BD5F58"/>
    <w:rsid w:val="00BD64E5"/>
    <w:rsid w:val="00BD6864"/>
    <w:rsid w:val="00BD6941"/>
    <w:rsid w:val="00BD6B02"/>
    <w:rsid w:val="00BD718A"/>
    <w:rsid w:val="00BD79FB"/>
    <w:rsid w:val="00BD7B7D"/>
    <w:rsid w:val="00BD7EA2"/>
    <w:rsid w:val="00BE064A"/>
    <w:rsid w:val="00BE104B"/>
    <w:rsid w:val="00BE1116"/>
    <w:rsid w:val="00BE1D4D"/>
    <w:rsid w:val="00BE1F1E"/>
    <w:rsid w:val="00BE2166"/>
    <w:rsid w:val="00BE2661"/>
    <w:rsid w:val="00BE2682"/>
    <w:rsid w:val="00BE30C9"/>
    <w:rsid w:val="00BE3573"/>
    <w:rsid w:val="00BE35A1"/>
    <w:rsid w:val="00BE39B9"/>
    <w:rsid w:val="00BE3B4C"/>
    <w:rsid w:val="00BE421A"/>
    <w:rsid w:val="00BE48E7"/>
    <w:rsid w:val="00BE4E28"/>
    <w:rsid w:val="00BE5546"/>
    <w:rsid w:val="00BE5973"/>
    <w:rsid w:val="00BE5C65"/>
    <w:rsid w:val="00BE5F2B"/>
    <w:rsid w:val="00BE60C5"/>
    <w:rsid w:val="00BE69BF"/>
    <w:rsid w:val="00BE6ABE"/>
    <w:rsid w:val="00BE6B45"/>
    <w:rsid w:val="00BE7268"/>
    <w:rsid w:val="00BE7792"/>
    <w:rsid w:val="00BE7C37"/>
    <w:rsid w:val="00BE7DE8"/>
    <w:rsid w:val="00BF0409"/>
    <w:rsid w:val="00BF0588"/>
    <w:rsid w:val="00BF064C"/>
    <w:rsid w:val="00BF0701"/>
    <w:rsid w:val="00BF0AAF"/>
    <w:rsid w:val="00BF1739"/>
    <w:rsid w:val="00BF2100"/>
    <w:rsid w:val="00BF26DD"/>
    <w:rsid w:val="00BF2711"/>
    <w:rsid w:val="00BF3311"/>
    <w:rsid w:val="00BF412C"/>
    <w:rsid w:val="00BF4547"/>
    <w:rsid w:val="00BF46AA"/>
    <w:rsid w:val="00BF531D"/>
    <w:rsid w:val="00BF5349"/>
    <w:rsid w:val="00BF57D8"/>
    <w:rsid w:val="00BF5A9B"/>
    <w:rsid w:val="00BF5FC0"/>
    <w:rsid w:val="00BF69DD"/>
    <w:rsid w:val="00BF6CC2"/>
    <w:rsid w:val="00BF6D3B"/>
    <w:rsid w:val="00BF731B"/>
    <w:rsid w:val="00BF786B"/>
    <w:rsid w:val="00BF7B12"/>
    <w:rsid w:val="00BF7BAA"/>
    <w:rsid w:val="00BF7F15"/>
    <w:rsid w:val="00C0007D"/>
    <w:rsid w:val="00C00152"/>
    <w:rsid w:val="00C0047F"/>
    <w:rsid w:val="00C00736"/>
    <w:rsid w:val="00C00A8F"/>
    <w:rsid w:val="00C00B03"/>
    <w:rsid w:val="00C00BB2"/>
    <w:rsid w:val="00C00CB5"/>
    <w:rsid w:val="00C00D0E"/>
    <w:rsid w:val="00C00F03"/>
    <w:rsid w:val="00C00F3F"/>
    <w:rsid w:val="00C0128E"/>
    <w:rsid w:val="00C01A71"/>
    <w:rsid w:val="00C01C16"/>
    <w:rsid w:val="00C01D82"/>
    <w:rsid w:val="00C02B76"/>
    <w:rsid w:val="00C02DFC"/>
    <w:rsid w:val="00C02F00"/>
    <w:rsid w:val="00C03279"/>
    <w:rsid w:val="00C03376"/>
    <w:rsid w:val="00C037E6"/>
    <w:rsid w:val="00C03CA7"/>
    <w:rsid w:val="00C03CE0"/>
    <w:rsid w:val="00C04361"/>
    <w:rsid w:val="00C045F8"/>
    <w:rsid w:val="00C046A2"/>
    <w:rsid w:val="00C047AA"/>
    <w:rsid w:val="00C04A42"/>
    <w:rsid w:val="00C04BE6"/>
    <w:rsid w:val="00C04F8A"/>
    <w:rsid w:val="00C051C3"/>
    <w:rsid w:val="00C0530B"/>
    <w:rsid w:val="00C056BA"/>
    <w:rsid w:val="00C0586F"/>
    <w:rsid w:val="00C05A07"/>
    <w:rsid w:val="00C05B41"/>
    <w:rsid w:val="00C05C7D"/>
    <w:rsid w:val="00C05F66"/>
    <w:rsid w:val="00C05F80"/>
    <w:rsid w:val="00C063A2"/>
    <w:rsid w:val="00C0735D"/>
    <w:rsid w:val="00C0783B"/>
    <w:rsid w:val="00C101E2"/>
    <w:rsid w:val="00C10945"/>
    <w:rsid w:val="00C11176"/>
    <w:rsid w:val="00C11B7F"/>
    <w:rsid w:val="00C11DA1"/>
    <w:rsid w:val="00C1220C"/>
    <w:rsid w:val="00C122EA"/>
    <w:rsid w:val="00C1246A"/>
    <w:rsid w:val="00C12A95"/>
    <w:rsid w:val="00C13119"/>
    <w:rsid w:val="00C1341A"/>
    <w:rsid w:val="00C13435"/>
    <w:rsid w:val="00C134F7"/>
    <w:rsid w:val="00C13B87"/>
    <w:rsid w:val="00C13E12"/>
    <w:rsid w:val="00C13ED4"/>
    <w:rsid w:val="00C14CC7"/>
    <w:rsid w:val="00C14E3E"/>
    <w:rsid w:val="00C14EB4"/>
    <w:rsid w:val="00C15027"/>
    <w:rsid w:val="00C15146"/>
    <w:rsid w:val="00C15DD8"/>
    <w:rsid w:val="00C161A5"/>
    <w:rsid w:val="00C16566"/>
    <w:rsid w:val="00C16575"/>
    <w:rsid w:val="00C1685A"/>
    <w:rsid w:val="00C16984"/>
    <w:rsid w:val="00C17038"/>
    <w:rsid w:val="00C1725C"/>
    <w:rsid w:val="00C17274"/>
    <w:rsid w:val="00C172BD"/>
    <w:rsid w:val="00C1778B"/>
    <w:rsid w:val="00C179A9"/>
    <w:rsid w:val="00C17D0A"/>
    <w:rsid w:val="00C17F04"/>
    <w:rsid w:val="00C203DE"/>
    <w:rsid w:val="00C2057B"/>
    <w:rsid w:val="00C206E0"/>
    <w:rsid w:val="00C20E52"/>
    <w:rsid w:val="00C215FC"/>
    <w:rsid w:val="00C2240F"/>
    <w:rsid w:val="00C22782"/>
    <w:rsid w:val="00C229F4"/>
    <w:rsid w:val="00C22D1E"/>
    <w:rsid w:val="00C238BD"/>
    <w:rsid w:val="00C23B71"/>
    <w:rsid w:val="00C23BA1"/>
    <w:rsid w:val="00C24066"/>
    <w:rsid w:val="00C2433F"/>
    <w:rsid w:val="00C245A0"/>
    <w:rsid w:val="00C245B0"/>
    <w:rsid w:val="00C2462A"/>
    <w:rsid w:val="00C24AC5"/>
    <w:rsid w:val="00C24C5E"/>
    <w:rsid w:val="00C24F8E"/>
    <w:rsid w:val="00C25D63"/>
    <w:rsid w:val="00C25E3E"/>
    <w:rsid w:val="00C25F3F"/>
    <w:rsid w:val="00C2603B"/>
    <w:rsid w:val="00C26118"/>
    <w:rsid w:val="00C26408"/>
    <w:rsid w:val="00C26934"/>
    <w:rsid w:val="00C27798"/>
    <w:rsid w:val="00C27BBD"/>
    <w:rsid w:val="00C27F80"/>
    <w:rsid w:val="00C30200"/>
    <w:rsid w:val="00C30908"/>
    <w:rsid w:val="00C30A65"/>
    <w:rsid w:val="00C30A9E"/>
    <w:rsid w:val="00C30EF9"/>
    <w:rsid w:val="00C319EF"/>
    <w:rsid w:val="00C31D6A"/>
    <w:rsid w:val="00C32153"/>
    <w:rsid w:val="00C32C3C"/>
    <w:rsid w:val="00C32F09"/>
    <w:rsid w:val="00C349F1"/>
    <w:rsid w:val="00C34C0F"/>
    <w:rsid w:val="00C35BCF"/>
    <w:rsid w:val="00C35EE8"/>
    <w:rsid w:val="00C36136"/>
    <w:rsid w:val="00C36187"/>
    <w:rsid w:val="00C36650"/>
    <w:rsid w:val="00C36C4F"/>
    <w:rsid w:val="00C36F2A"/>
    <w:rsid w:val="00C376BF"/>
    <w:rsid w:val="00C37C65"/>
    <w:rsid w:val="00C4045A"/>
    <w:rsid w:val="00C404DC"/>
    <w:rsid w:val="00C4063F"/>
    <w:rsid w:val="00C409F7"/>
    <w:rsid w:val="00C40DBB"/>
    <w:rsid w:val="00C40E56"/>
    <w:rsid w:val="00C415D7"/>
    <w:rsid w:val="00C41A06"/>
    <w:rsid w:val="00C41A58"/>
    <w:rsid w:val="00C423C7"/>
    <w:rsid w:val="00C428FE"/>
    <w:rsid w:val="00C4320C"/>
    <w:rsid w:val="00C4326D"/>
    <w:rsid w:val="00C43515"/>
    <w:rsid w:val="00C435D8"/>
    <w:rsid w:val="00C436B7"/>
    <w:rsid w:val="00C43838"/>
    <w:rsid w:val="00C43873"/>
    <w:rsid w:val="00C43D0C"/>
    <w:rsid w:val="00C4423E"/>
    <w:rsid w:val="00C44313"/>
    <w:rsid w:val="00C45356"/>
    <w:rsid w:val="00C455F6"/>
    <w:rsid w:val="00C45CEC"/>
    <w:rsid w:val="00C4671C"/>
    <w:rsid w:val="00C46866"/>
    <w:rsid w:val="00C46ED7"/>
    <w:rsid w:val="00C46FCB"/>
    <w:rsid w:val="00C47A83"/>
    <w:rsid w:val="00C47B63"/>
    <w:rsid w:val="00C47F05"/>
    <w:rsid w:val="00C47FF6"/>
    <w:rsid w:val="00C50693"/>
    <w:rsid w:val="00C50DFD"/>
    <w:rsid w:val="00C51826"/>
    <w:rsid w:val="00C51A4C"/>
    <w:rsid w:val="00C522D7"/>
    <w:rsid w:val="00C52526"/>
    <w:rsid w:val="00C52527"/>
    <w:rsid w:val="00C52C5D"/>
    <w:rsid w:val="00C5315B"/>
    <w:rsid w:val="00C53245"/>
    <w:rsid w:val="00C53957"/>
    <w:rsid w:val="00C53DFE"/>
    <w:rsid w:val="00C54421"/>
    <w:rsid w:val="00C5456E"/>
    <w:rsid w:val="00C548FE"/>
    <w:rsid w:val="00C54952"/>
    <w:rsid w:val="00C54AC6"/>
    <w:rsid w:val="00C5648A"/>
    <w:rsid w:val="00C56BE5"/>
    <w:rsid w:val="00C56FFB"/>
    <w:rsid w:val="00C577E7"/>
    <w:rsid w:val="00C60811"/>
    <w:rsid w:val="00C60C87"/>
    <w:rsid w:val="00C60E9C"/>
    <w:rsid w:val="00C618C6"/>
    <w:rsid w:val="00C6197C"/>
    <w:rsid w:val="00C61B21"/>
    <w:rsid w:val="00C61C3C"/>
    <w:rsid w:val="00C61C47"/>
    <w:rsid w:val="00C61E34"/>
    <w:rsid w:val="00C622D4"/>
    <w:rsid w:val="00C626BB"/>
    <w:rsid w:val="00C62772"/>
    <w:rsid w:val="00C62794"/>
    <w:rsid w:val="00C629D8"/>
    <w:rsid w:val="00C62F80"/>
    <w:rsid w:val="00C62FEF"/>
    <w:rsid w:val="00C63E7D"/>
    <w:rsid w:val="00C63EFB"/>
    <w:rsid w:val="00C64495"/>
    <w:rsid w:val="00C647B6"/>
    <w:rsid w:val="00C64C6B"/>
    <w:rsid w:val="00C653B7"/>
    <w:rsid w:val="00C6540B"/>
    <w:rsid w:val="00C656CF"/>
    <w:rsid w:val="00C65700"/>
    <w:rsid w:val="00C65932"/>
    <w:rsid w:val="00C65AA7"/>
    <w:rsid w:val="00C66102"/>
    <w:rsid w:val="00C66940"/>
    <w:rsid w:val="00C669C7"/>
    <w:rsid w:val="00C66BE1"/>
    <w:rsid w:val="00C66F21"/>
    <w:rsid w:val="00C66FF7"/>
    <w:rsid w:val="00C6716A"/>
    <w:rsid w:val="00C674DB"/>
    <w:rsid w:val="00C67786"/>
    <w:rsid w:val="00C67A1D"/>
    <w:rsid w:val="00C67EF4"/>
    <w:rsid w:val="00C7032C"/>
    <w:rsid w:val="00C70461"/>
    <w:rsid w:val="00C70611"/>
    <w:rsid w:val="00C70C91"/>
    <w:rsid w:val="00C70CE1"/>
    <w:rsid w:val="00C71066"/>
    <w:rsid w:val="00C71D39"/>
    <w:rsid w:val="00C72037"/>
    <w:rsid w:val="00C72F69"/>
    <w:rsid w:val="00C73EDB"/>
    <w:rsid w:val="00C7419E"/>
    <w:rsid w:val="00C749BE"/>
    <w:rsid w:val="00C752FF"/>
    <w:rsid w:val="00C76380"/>
    <w:rsid w:val="00C76F2E"/>
    <w:rsid w:val="00C771EE"/>
    <w:rsid w:val="00C776AA"/>
    <w:rsid w:val="00C776D6"/>
    <w:rsid w:val="00C77747"/>
    <w:rsid w:val="00C7775C"/>
    <w:rsid w:val="00C77A02"/>
    <w:rsid w:val="00C77A61"/>
    <w:rsid w:val="00C77DE6"/>
    <w:rsid w:val="00C80509"/>
    <w:rsid w:val="00C80854"/>
    <w:rsid w:val="00C80DC9"/>
    <w:rsid w:val="00C80E3F"/>
    <w:rsid w:val="00C80F89"/>
    <w:rsid w:val="00C81068"/>
    <w:rsid w:val="00C8119E"/>
    <w:rsid w:val="00C81881"/>
    <w:rsid w:val="00C81E70"/>
    <w:rsid w:val="00C8218B"/>
    <w:rsid w:val="00C82256"/>
    <w:rsid w:val="00C8225C"/>
    <w:rsid w:val="00C82D66"/>
    <w:rsid w:val="00C83753"/>
    <w:rsid w:val="00C83AAA"/>
    <w:rsid w:val="00C84368"/>
    <w:rsid w:val="00C84831"/>
    <w:rsid w:val="00C84B02"/>
    <w:rsid w:val="00C84D1C"/>
    <w:rsid w:val="00C84E12"/>
    <w:rsid w:val="00C850BD"/>
    <w:rsid w:val="00C85396"/>
    <w:rsid w:val="00C85E1E"/>
    <w:rsid w:val="00C860E9"/>
    <w:rsid w:val="00C8660F"/>
    <w:rsid w:val="00C8669C"/>
    <w:rsid w:val="00C86C86"/>
    <w:rsid w:val="00C86FA5"/>
    <w:rsid w:val="00C87080"/>
    <w:rsid w:val="00C8731F"/>
    <w:rsid w:val="00C873E4"/>
    <w:rsid w:val="00C876F7"/>
    <w:rsid w:val="00C87790"/>
    <w:rsid w:val="00C87B1A"/>
    <w:rsid w:val="00C87E14"/>
    <w:rsid w:val="00C87FB3"/>
    <w:rsid w:val="00C900CE"/>
    <w:rsid w:val="00C903E6"/>
    <w:rsid w:val="00C90BCF"/>
    <w:rsid w:val="00C90BD0"/>
    <w:rsid w:val="00C9186A"/>
    <w:rsid w:val="00C91C90"/>
    <w:rsid w:val="00C91CE2"/>
    <w:rsid w:val="00C92127"/>
    <w:rsid w:val="00C921B8"/>
    <w:rsid w:val="00C9282D"/>
    <w:rsid w:val="00C92C20"/>
    <w:rsid w:val="00C92D0A"/>
    <w:rsid w:val="00C92F1E"/>
    <w:rsid w:val="00C92F37"/>
    <w:rsid w:val="00C930FF"/>
    <w:rsid w:val="00C93C49"/>
    <w:rsid w:val="00C93D61"/>
    <w:rsid w:val="00C940DC"/>
    <w:rsid w:val="00C9462C"/>
    <w:rsid w:val="00C946A6"/>
    <w:rsid w:val="00C94DB8"/>
    <w:rsid w:val="00C952A6"/>
    <w:rsid w:val="00C952AC"/>
    <w:rsid w:val="00C957F0"/>
    <w:rsid w:val="00C96821"/>
    <w:rsid w:val="00C9684A"/>
    <w:rsid w:val="00C96A16"/>
    <w:rsid w:val="00C96C7B"/>
    <w:rsid w:val="00C97198"/>
    <w:rsid w:val="00C9760E"/>
    <w:rsid w:val="00C97E24"/>
    <w:rsid w:val="00CA057B"/>
    <w:rsid w:val="00CA090E"/>
    <w:rsid w:val="00CA097C"/>
    <w:rsid w:val="00CA0B45"/>
    <w:rsid w:val="00CA0DF2"/>
    <w:rsid w:val="00CA11FE"/>
    <w:rsid w:val="00CA16A9"/>
    <w:rsid w:val="00CA1733"/>
    <w:rsid w:val="00CA1B5A"/>
    <w:rsid w:val="00CA24A1"/>
    <w:rsid w:val="00CA2764"/>
    <w:rsid w:val="00CA34F8"/>
    <w:rsid w:val="00CA4FA6"/>
    <w:rsid w:val="00CA5397"/>
    <w:rsid w:val="00CA5400"/>
    <w:rsid w:val="00CA5741"/>
    <w:rsid w:val="00CA5A44"/>
    <w:rsid w:val="00CA61E7"/>
    <w:rsid w:val="00CA6607"/>
    <w:rsid w:val="00CA6FCD"/>
    <w:rsid w:val="00CA71AE"/>
    <w:rsid w:val="00CA73B5"/>
    <w:rsid w:val="00CA79A3"/>
    <w:rsid w:val="00CA7D81"/>
    <w:rsid w:val="00CA7F55"/>
    <w:rsid w:val="00CB009E"/>
    <w:rsid w:val="00CB0A5A"/>
    <w:rsid w:val="00CB0F5E"/>
    <w:rsid w:val="00CB1031"/>
    <w:rsid w:val="00CB124E"/>
    <w:rsid w:val="00CB15B7"/>
    <w:rsid w:val="00CB18D1"/>
    <w:rsid w:val="00CB1F66"/>
    <w:rsid w:val="00CB2371"/>
    <w:rsid w:val="00CB241C"/>
    <w:rsid w:val="00CB24BF"/>
    <w:rsid w:val="00CB256D"/>
    <w:rsid w:val="00CB26B3"/>
    <w:rsid w:val="00CB274D"/>
    <w:rsid w:val="00CB3D6D"/>
    <w:rsid w:val="00CB3EE1"/>
    <w:rsid w:val="00CB45A0"/>
    <w:rsid w:val="00CB497E"/>
    <w:rsid w:val="00CB4F09"/>
    <w:rsid w:val="00CB563F"/>
    <w:rsid w:val="00CB567E"/>
    <w:rsid w:val="00CB7153"/>
    <w:rsid w:val="00CB7313"/>
    <w:rsid w:val="00CB7D04"/>
    <w:rsid w:val="00CB7D36"/>
    <w:rsid w:val="00CC01F5"/>
    <w:rsid w:val="00CC02F1"/>
    <w:rsid w:val="00CC0451"/>
    <w:rsid w:val="00CC0497"/>
    <w:rsid w:val="00CC05DE"/>
    <w:rsid w:val="00CC0603"/>
    <w:rsid w:val="00CC0C92"/>
    <w:rsid w:val="00CC1FD8"/>
    <w:rsid w:val="00CC2605"/>
    <w:rsid w:val="00CC2A87"/>
    <w:rsid w:val="00CC31E4"/>
    <w:rsid w:val="00CC3DCA"/>
    <w:rsid w:val="00CC3DFA"/>
    <w:rsid w:val="00CC4186"/>
    <w:rsid w:val="00CC4E76"/>
    <w:rsid w:val="00CC5686"/>
    <w:rsid w:val="00CC56A3"/>
    <w:rsid w:val="00CC58A9"/>
    <w:rsid w:val="00CC6020"/>
    <w:rsid w:val="00CC6174"/>
    <w:rsid w:val="00CC66F4"/>
    <w:rsid w:val="00CC6796"/>
    <w:rsid w:val="00CC6D55"/>
    <w:rsid w:val="00CD013A"/>
    <w:rsid w:val="00CD05D3"/>
    <w:rsid w:val="00CD09B9"/>
    <w:rsid w:val="00CD0B28"/>
    <w:rsid w:val="00CD0FE3"/>
    <w:rsid w:val="00CD10C6"/>
    <w:rsid w:val="00CD13DE"/>
    <w:rsid w:val="00CD1903"/>
    <w:rsid w:val="00CD1A24"/>
    <w:rsid w:val="00CD1D18"/>
    <w:rsid w:val="00CD217A"/>
    <w:rsid w:val="00CD2954"/>
    <w:rsid w:val="00CD2A77"/>
    <w:rsid w:val="00CD2EC2"/>
    <w:rsid w:val="00CD31D8"/>
    <w:rsid w:val="00CD3836"/>
    <w:rsid w:val="00CD3A15"/>
    <w:rsid w:val="00CD3E89"/>
    <w:rsid w:val="00CD5457"/>
    <w:rsid w:val="00CD56E8"/>
    <w:rsid w:val="00CD5B63"/>
    <w:rsid w:val="00CD6576"/>
    <w:rsid w:val="00CD6C74"/>
    <w:rsid w:val="00CD70CE"/>
    <w:rsid w:val="00CE049F"/>
    <w:rsid w:val="00CE0891"/>
    <w:rsid w:val="00CE0E12"/>
    <w:rsid w:val="00CE1B4D"/>
    <w:rsid w:val="00CE1F51"/>
    <w:rsid w:val="00CE2326"/>
    <w:rsid w:val="00CE2469"/>
    <w:rsid w:val="00CE248D"/>
    <w:rsid w:val="00CE25AB"/>
    <w:rsid w:val="00CE25CF"/>
    <w:rsid w:val="00CE2862"/>
    <w:rsid w:val="00CE2D1A"/>
    <w:rsid w:val="00CE2D4B"/>
    <w:rsid w:val="00CE2E14"/>
    <w:rsid w:val="00CE2E7C"/>
    <w:rsid w:val="00CE3363"/>
    <w:rsid w:val="00CE37CB"/>
    <w:rsid w:val="00CE3D71"/>
    <w:rsid w:val="00CE3FF2"/>
    <w:rsid w:val="00CE4001"/>
    <w:rsid w:val="00CE475C"/>
    <w:rsid w:val="00CE500F"/>
    <w:rsid w:val="00CE502D"/>
    <w:rsid w:val="00CE59AA"/>
    <w:rsid w:val="00CE5BA2"/>
    <w:rsid w:val="00CE648A"/>
    <w:rsid w:val="00CE6D37"/>
    <w:rsid w:val="00CE7B61"/>
    <w:rsid w:val="00CF02F1"/>
    <w:rsid w:val="00CF0352"/>
    <w:rsid w:val="00CF0BA9"/>
    <w:rsid w:val="00CF11D8"/>
    <w:rsid w:val="00CF129A"/>
    <w:rsid w:val="00CF157A"/>
    <w:rsid w:val="00CF1C2B"/>
    <w:rsid w:val="00CF1F5D"/>
    <w:rsid w:val="00CF20E3"/>
    <w:rsid w:val="00CF269A"/>
    <w:rsid w:val="00CF2A0E"/>
    <w:rsid w:val="00CF2AE1"/>
    <w:rsid w:val="00CF307D"/>
    <w:rsid w:val="00CF3417"/>
    <w:rsid w:val="00CF36E5"/>
    <w:rsid w:val="00CF44E4"/>
    <w:rsid w:val="00CF4656"/>
    <w:rsid w:val="00CF50C4"/>
    <w:rsid w:val="00CF514B"/>
    <w:rsid w:val="00CF5193"/>
    <w:rsid w:val="00CF5722"/>
    <w:rsid w:val="00CF5C27"/>
    <w:rsid w:val="00CF64F6"/>
    <w:rsid w:val="00CF66B2"/>
    <w:rsid w:val="00CF6884"/>
    <w:rsid w:val="00CF6929"/>
    <w:rsid w:val="00CF77A3"/>
    <w:rsid w:val="00CF795B"/>
    <w:rsid w:val="00D00123"/>
    <w:rsid w:val="00D003BE"/>
    <w:rsid w:val="00D00672"/>
    <w:rsid w:val="00D00881"/>
    <w:rsid w:val="00D0097C"/>
    <w:rsid w:val="00D00B87"/>
    <w:rsid w:val="00D0167F"/>
    <w:rsid w:val="00D01995"/>
    <w:rsid w:val="00D01A29"/>
    <w:rsid w:val="00D01B1A"/>
    <w:rsid w:val="00D02733"/>
    <w:rsid w:val="00D02B98"/>
    <w:rsid w:val="00D02BC0"/>
    <w:rsid w:val="00D02D99"/>
    <w:rsid w:val="00D02DB7"/>
    <w:rsid w:val="00D03017"/>
    <w:rsid w:val="00D030F8"/>
    <w:rsid w:val="00D0350B"/>
    <w:rsid w:val="00D0379A"/>
    <w:rsid w:val="00D03FED"/>
    <w:rsid w:val="00D054A6"/>
    <w:rsid w:val="00D05664"/>
    <w:rsid w:val="00D05B67"/>
    <w:rsid w:val="00D06621"/>
    <w:rsid w:val="00D07291"/>
    <w:rsid w:val="00D072E7"/>
    <w:rsid w:val="00D077B2"/>
    <w:rsid w:val="00D07D1D"/>
    <w:rsid w:val="00D07D7B"/>
    <w:rsid w:val="00D07DA6"/>
    <w:rsid w:val="00D07ED5"/>
    <w:rsid w:val="00D1030C"/>
    <w:rsid w:val="00D103E7"/>
    <w:rsid w:val="00D105F7"/>
    <w:rsid w:val="00D111F4"/>
    <w:rsid w:val="00D11B65"/>
    <w:rsid w:val="00D11C29"/>
    <w:rsid w:val="00D1226D"/>
    <w:rsid w:val="00D12293"/>
    <w:rsid w:val="00D12785"/>
    <w:rsid w:val="00D129C0"/>
    <w:rsid w:val="00D1309E"/>
    <w:rsid w:val="00D13E6A"/>
    <w:rsid w:val="00D14D69"/>
    <w:rsid w:val="00D14EA7"/>
    <w:rsid w:val="00D156A3"/>
    <w:rsid w:val="00D15B08"/>
    <w:rsid w:val="00D15C39"/>
    <w:rsid w:val="00D167D1"/>
    <w:rsid w:val="00D16BD1"/>
    <w:rsid w:val="00D202A4"/>
    <w:rsid w:val="00D207CF"/>
    <w:rsid w:val="00D20C45"/>
    <w:rsid w:val="00D20C87"/>
    <w:rsid w:val="00D20C96"/>
    <w:rsid w:val="00D20EA8"/>
    <w:rsid w:val="00D210CE"/>
    <w:rsid w:val="00D2131B"/>
    <w:rsid w:val="00D2166A"/>
    <w:rsid w:val="00D21D0F"/>
    <w:rsid w:val="00D22B19"/>
    <w:rsid w:val="00D22C33"/>
    <w:rsid w:val="00D2337C"/>
    <w:rsid w:val="00D23CEC"/>
    <w:rsid w:val="00D23E78"/>
    <w:rsid w:val="00D23EF2"/>
    <w:rsid w:val="00D23F84"/>
    <w:rsid w:val="00D24AA4"/>
    <w:rsid w:val="00D2562E"/>
    <w:rsid w:val="00D25715"/>
    <w:rsid w:val="00D25819"/>
    <w:rsid w:val="00D258E8"/>
    <w:rsid w:val="00D25A19"/>
    <w:rsid w:val="00D25B0C"/>
    <w:rsid w:val="00D260F7"/>
    <w:rsid w:val="00D2620B"/>
    <w:rsid w:val="00D265A8"/>
    <w:rsid w:val="00D267C0"/>
    <w:rsid w:val="00D26B22"/>
    <w:rsid w:val="00D26C9D"/>
    <w:rsid w:val="00D26D45"/>
    <w:rsid w:val="00D26F4A"/>
    <w:rsid w:val="00D271B4"/>
    <w:rsid w:val="00D272AC"/>
    <w:rsid w:val="00D27957"/>
    <w:rsid w:val="00D30672"/>
    <w:rsid w:val="00D307FC"/>
    <w:rsid w:val="00D3093A"/>
    <w:rsid w:val="00D30C79"/>
    <w:rsid w:val="00D30CBD"/>
    <w:rsid w:val="00D3272C"/>
    <w:rsid w:val="00D32733"/>
    <w:rsid w:val="00D327A1"/>
    <w:rsid w:val="00D32C54"/>
    <w:rsid w:val="00D3388C"/>
    <w:rsid w:val="00D3388F"/>
    <w:rsid w:val="00D33D4C"/>
    <w:rsid w:val="00D33F28"/>
    <w:rsid w:val="00D34648"/>
    <w:rsid w:val="00D346DD"/>
    <w:rsid w:val="00D34E28"/>
    <w:rsid w:val="00D35097"/>
    <w:rsid w:val="00D35693"/>
    <w:rsid w:val="00D35950"/>
    <w:rsid w:val="00D3672D"/>
    <w:rsid w:val="00D36B6B"/>
    <w:rsid w:val="00D36CAE"/>
    <w:rsid w:val="00D37239"/>
    <w:rsid w:val="00D3788A"/>
    <w:rsid w:val="00D4026A"/>
    <w:rsid w:val="00D402DB"/>
    <w:rsid w:val="00D403CE"/>
    <w:rsid w:val="00D408C8"/>
    <w:rsid w:val="00D40C99"/>
    <w:rsid w:val="00D41583"/>
    <w:rsid w:val="00D4163B"/>
    <w:rsid w:val="00D4171F"/>
    <w:rsid w:val="00D4179C"/>
    <w:rsid w:val="00D41865"/>
    <w:rsid w:val="00D41DA3"/>
    <w:rsid w:val="00D4218C"/>
    <w:rsid w:val="00D42D29"/>
    <w:rsid w:val="00D4315B"/>
    <w:rsid w:val="00D435F6"/>
    <w:rsid w:val="00D44343"/>
    <w:rsid w:val="00D449C7"/>
    <w:rsid w:val="00D4527F"/>
    <w:rsid w:val="00D4595D"/>
    <w:rsid w:val="00D45969"/>
    <w:rsid w:val="00D45B23"/>
    <w:rsid w:val="00D45DA1"/>
    <w:rsid w:val="00D46259"/>
    <w:rsid w:val="00D46E35"/>
    <w:rsid w:val="00D46E69"/>
    <w:rsid w:val="00D4733E"/>
    <w:rsid w:val="00D4743D"/>
    <w:rsid w:val="00D47A85"/>
    <w:rsid w:val="00D47CFF"/>
    <w:rsid w:val="00D50799"/>
    <w:rsid w:val="00D50876"/>
    <w:rsid w:val="00D5119D"/>
    <w:rsid w:val="00D514CF"/>
    <w:rsid w:val="00D51789"/>
    <w:rsid w:val="00D531B9"/>
    <w:rsid w:val="00D53285"/>
    <w:rsid w:val="00D53BAD"/>
    <w:rsid w:val="00D54073"/>
    <w:rsid w:val="00D54087"/>
    <w:rsid w:val="00D5442C"/>
    <w:rsid w:val="00D54561"/>
    <w:rsid w:val="00D546FB"/>
    <w:rsid w:val="00D54BC9"/>
    <w:rsid w:val="00D54CB9"/>
    <w:rsid w:val="00D54E46"/>
    <w:rsid w:val="00D54FB2"/>
    <w:rsid w:val="00D55174"/>
    <w:rsid w:val="00D5546C"/>
    <w:rsid w:val="00D554E0"/>
    <w:rsid w:val="00D55574"/>
    <w:rsid w:val="00D55680"/>
    <w:rsid w:val="00D558A3"/>
    <w:rsid w:val="00D55CE1"/>
    <w:rsid w:val="00D55ED5"/>
    <w:rsid w:val="00D571E6"/>
    <w:rsid w:val="00D572E8"/>
    <w:rsid w:val="00D5769E"/>
    <w:rsid w:val="00D57E10"/>
    <w:rsid w:val="00D57EF5"/>
    <w:rsid w:val="00D57F2A"/>
    <w:rsid w:val="00D6065A"/>
    <w:rsid w:val="00D60670"/>
    <w:rsid w:val="00D609B9"/>
    <w:rsid w:val="00D60C2F"/>
    <w:rsid w:val="00D61296"/>
    <w:rsid w:val="00D6149F"/>
    <w:rsid w:val="00D61CBC"/>
    <w:rsid w:val="00D61D06"/>
    <w:rsid w:val="00D621D2"/>
    <w:rsid w:val="00D622EE"/>
    <w:rsid w:val="00D62936"/>
    <w:rsid w:val="00D629DC"/>
    <w:rsid w:val="00D62D8E"/>
    <w:rsid w:val="00D63362"/>
    <w:rsid w:val="00D633EB"/>
    <w:rsid w:val="00D63512"/>
    <w:rsid w:val="00D63920"/>
    <w:rsid w:val="00D63FF6"/>
    <w:rsid w:val="00D6495E"/>
    <w:rsid w:val="00D64A62"/>
    <w:rsid w:val="00D64A6F"/>
    <w:rsid w:val="00D64B3E"/>
    <w:rsid w:val="00D64FB6"/>
    <w:rsid w:val="00D6516D"/>
    <w:rsid w:val="00D65438"/>
    <w:rsid w:val="00D654CC"/>
    <w:rsid w:val="00D65952"/>
    <w:rsid w:val="00D6598F"/>
    <w:rsid w:val="00D662CD"/>
    <w:rsid w:val="00D66382"/>
    <w:rsid w:val="00D670D0"/>
    <w:rsid w:val="00D67185"/>
    <w:rsid w:val="00D7006B"/>
    <w:rsid w:val="00D70298"/>
    <w:rsid w:val="00D7029D"/>
    <w:rsid w:val="00D70C75"/>
    <w:rsid w:val="00D7135F"/>
    <w:rsid w:val="00D71AB8"/>
    <w:rsid w:val="00D71DEE"/>
    <w:rsid w:val="00D7223D"/>
    <w:rsid w:val="00D72743"/>
    <w:rsid w:val="00D7294A"/>
    <w:rsid w:val="00D737E9"/>
    <w:rsid w:val="00D73E00"/>
    <w:rsid w:val="00D7429C"/>
    <w:rsid w:val="00D74430"/>
    <w:rsid w:val="00D74438"/>
    <w:rsid w:val="00D749F6"/>
    <w:rsid w:val="00D74C55"/>
    <w:rsid w:val="00D7503C"/>
    <w:rsid w:val="00D7518E"/>
    <w:rsid w:val="00D75201"/>
    <w:rsid w:val="00D75556"/>
    <w:rsid w:val="00D7582C"/>
    <w:rsid w:val="00D75CB9"/>
    <w:rsid w:val="00D76098"/>
    <w:rsid w:val="00D770D8"/>
    <w:rsid w:val="00D77347"/>
    <w:rsid w:val="00D778CE"/>
    <w:rsid w:val="00D77927"/>
    <w:rsid w:val="00D77BC6"/>
    <w:rsid w:val="00D77EF4"/>
    <w:rsid w:val="00D80139"/>
    <w:rsid w:val="00D80637"/>
    <w:rsid w:val="00D80D69"/>
    <w:rsid w:val="00D80E2B"/>
    <w:rsid w:val="00D81C3B"/>
    <w:rsid w:val="00D823CA"/>
    <w:rsid w:val="00D8243A"/>
    <w:rsid w:val="00D83718"/>
    <w:rsid w:val="00D83851"/>
    <w:rsid w:val="00D841B5"/>
    <w:rsid w:val="00D844FA"/>
    <w:rsid w:val="00D84877"/>
    <w:rsid w:val="00D84A26"/>
    <w:rsid w:val="00D84B47"/>
    <w:rsid w:val="00D85325"/>
    <w:rsid w:val="00D85371"/>
    <w:rsid w:val="00D853B0"/>
    <w:rsid w:val="00D85434"/>
    <w:rsid w:val="00D85F4A"/>
    <w:rsid w:val="00D861E0"/>
    <w:rsid w:val="00D86224"/>
    <w:rsid w:val="00D86422"/>
    <w:rsid w:val="00D8697D"/>
    <w:rsid w:val="00D86996"/>
    <w:rsid w:val="00D87046"/>
    <w:rsid w:val="00D87058"/>
    <w:rsid w:val="00D87160"/>
    <w:rsid w:val="00D873DD"/>
    <w:rsid w:val="00D90182"/>
    <w:rsid w:val="00D90AE9"/>
    <w:rsid w:val="00D90E6E"/>
    <w:rsid w:val="00D9144C"/>
    <w:rsid w:val="00D9159A"/>
    <w:rsid w:val="00D917CA"/>
    <w:rsid w:val="00D918BC"/>
    <w:rsid w:val="00D920C3"/>
    <w:rsid w:val="00D922D6"/>
    <w:rsid w:val="00D93181"/>
    <w:rsid w:val="00D933E6"/>
    <w:rsid w:val="00D93FE0"/>
    <w:rsid w:val="00D940B7"/>
    <w:rsid w:val="00D9491B"/>
    <w:rsid w:val="00D94988"/>
    <w:rsid w:val="00D95170"/>
    <w:rsid w:val="00D954CC"/>
    <w:rsid w:val="00D955DA"/>
    <w:rsid w:val="00D95788"/>
    <w:rsid w:val="00D9589E"/>
    <w:rsid w:val="00D96CFC"/>
    <w:rsid w:val="00D97298"/>
    <w:rsid w:val="00D9738A"/>
    <w:rsid w:val="00D978D1"/>
    <w:rsid w:val="00D97919"/>
    <w:rsid w:val="00DA0058"/>
    <w:rsid w:val="00DA1623"/>
    <w:rsid w:val="00DA2049"/>
    <w:rsid w:val="00DA2C6B"/>
    <w:rsid w:val="00DA2EC3"/>
    <w:rsid w:val="00DA31B8"/>
    <w:rsid w:val="00DA3A9C"/>
    <w:rsid w:val="00DA3AC5"/>
    <w:rsid w:val="00DA3D35"/>
    <w:rsid w:val="00DA408C"/>
    <w:rsid w:val="00DA5C3D"/>
    <w:rsid w:val="00DA5D49"/>
    <w:rsid w:val="00DA60E5"/>
    <w:rsid w:val="00DA65D5"/>
    <w:rsid w:val="00DA66C4"/>
    <w:rsid w:val="00DA6935"/>
    <w:rsid w:val="00DA6B62"/>
    <w:rsid w:val="00DA6BAD"/>
    <w:rsid w:val="00DA722D"/>
    <w:rsid w:val="00DB02B9"/>
    <w:rsid w:val="00DB08A2"/>
    <w:rsid w:val="00DB0B60"/>
    <w:rsid w:val="00DB1165"/>
    <w:rsid w:val="00DB20D6"/>
    <w:rsid w:val="00DB2195"/>
    <w:rsid w:val="00DB27E1"/>
    <w:rsid w:val="00DB2C99"/>
    <w:rsid w:val="00DB2D01"/>
    <w:rsid w:val="00DB30AA"/>
    <w:rsid w:val="00DB3674"/>
    <w:rsid w:val="00DB3DA7"/>
    <w:rsid w:val="00DB4097"/>
    <w:rsid w:val="00DB40E1"/>
    <w:rsid w:val="00DB41E2"/>
    <w:rsid w:val="00DB4543"/>
    <w:rsid w:val="00DB4621"/>
    <w:rsid w:val="00DB4827"/>
    <w:rsid w:val="00DB4AAA"/>
    <w:rsid w:val="00DB4F48"/>
    <w:rsid w:val="00DB5329"/>
    <w:rsid w:val="00DB5456"/>
    <w:rsid w:val="00DB5461"/>
    <w:rsid w:val="00DB54D1"/>
    <w:rsid w:val="00DB57DD"/>
    <w:rsid w:val="00DB5F03"/>
    <w:rsid w:val="00DB5F0F"/>
    <w:rsid w:val="00DB69CF"/>
    <w:rsid w:val="00DB6C1C"/>
    <w:rsid w:val="00DB724D"/>
    <w:rsid w:val="00DB768E"/>
    <w:rsid w:val="00DB76CA"/>
    <w:rsid w:val="00DB772D"/>
    <w:rsid w:val="00DB7988"/>
    <w:rsid w:val="00DB7CBD"/>
    <w:rsid w:val="00DB7CC4"/>
    <w:rsid w:val="00DC03CA"/>
    <w:rsid w:val="00DC15DB"/>
    <w:rsid w:val="00DC16DF"/>
    <w:rsid w:val="00DC2600"/>
    <w:rsid w:val="00DC2990"/>
    <w:rsid w:val="00DC2A15"/>
    <w:rsid w:val="00DC2C35"/>
    <w:rsid w:val="00DC2F7E"/>
    <w:rsid w:val="00DC3459"/>
    <w:rsid w:val="00DC3E0E"/>
    <w:rsid w:val="00DC4118"/>
    <w:rsid w:val="00DC4309"/>
    <w:rsid w:val="00DC4603"/>
    <w:rsid w:val="00DC54F5"/>
    <w:rsid w:val="00DC556D"/>
    <w:rsid w:val="00DC5962"/>
    <w:rsid w:val="00DC59A1"/>
    <w:rsid w:val="00DC5AA2"/>
    <w:rsid w:val="00DC5B71"/>
    <w:rsid w:val="00DC5BB6"/>
    <w:rsid w:val="00DC5EB3"/>
    <w:rsid w:val="00DC63D4"/>
    <w:rsid w:val="00DC6510"/>
    <w:rsid w:val="00DC65E3"/>
    <w:rsid w:val="00DC69CC"/>
    <w:rsid w:val="00DC6EC8"/>
    <w:rsid w:val="00DC7189"/>
    <w:rsid w:val="00DC752D"/>
    <w:rsid w:val="00DC7618"/>
    <w:rsid w:val="00DC7624"/>
    <w:rsid w:val="00DC782F"/>
    <w:rsid w:val="00DD02F8"/>
    <w:rsid w:val="00DD0356"/>
    <w:rsid w:val="00DD0542"/>
    <w:rsid w:val="00DD09CA"/>
    <w:rsid w:val="00DD0A8C"/>
    <w:rsid w:val="00DD13C2"/>
    <w:rsid w:val="00DD13E8"/>
    <w:rsid w:val="00DD1AF2"/>
    <w:rsid w:val="00DD1FCD"/>
    <w:rsid w:val="00DD268A"/>
    <w:rsid w:val="00DD287B"/>
    <w:rsid w:val="00DD2E87"/>
    <w:rsid w:val="00DD305C"/>
    <w:rsid w:val="00DD34A5"/>
    <w:rsid w:val="00DD3909"/>
    <w:rsid w:val="00DD3F57"/>
    <w:rsid w:val="00DD416A"/>
    <w:rsid w:val="00DD4B4B"/>
    <w:rsid w:val="00DD4C61"/>
    <w:rsid w:val="00DD5155"/>
    <w:rsid w:val="00DD52EA"/>
    <w:rsid w:val="00DD5359"/>
    <w:rsid w:val="00DD5930"/>
    <w:rsid w:val="00DD5AB2"/>
    <w:rsid w:val="00DD5E3D"/>
    <w:rsid w:val="00DD64F9"/>
    <w:rsid w:val="00DD748D"/>
    <w:rsid w:val="00DD75FE"/>
    <w:rsid w:val="00DD7652"/>
    <w:rsid w:val="00DD7B26"/>
    <w:rsid w:val="00DE0BF5"/>
    <w:rsid w:val="00DE0C72"/>
    <w:rsid w:val="00DE1077"/>
    <w:rsid w:val="00DE162B"/>
    <w:rsid w:val="00DE1A88"/>
    <w:rsid w:val="00DE1B01"/>
    <w:rsid w:val="00DE212A"/>
    <w:rsid w:val="00DE21DE"/>
    <w:rsid w:val="00DE2640"/>
    <w:rsid w:val="00DE29F2"/>
    <w:rsid w:val="00DE314D"/>
    <w:rsid w:val="00DE3323"/>
    <w:rsid w:val="00DE3747"/>
    <w:rsid w:val="00DE474E"/>
    <w:rsid w:val="00DE497E"/>
    <w:rsid w:val="00DE4ECB"/>
    <w:rsid w:val="00DE5082"/>
    <w:rsid w:val="00DE5704"/>
    <w:rsid w:val="00DE5778"/>
    <w:rsid w:val="00DE5788"/>
    <w:rsid w:val="00DE57C0"/>
    <w:rsid w:val="00DE585D"/>
    <w:rsid w:val="00DE5939"/>
    <w:rsid w:val="00DE5B22"/>
    <w:rsid w:val="00DE5CAE"/>
    <w:rsid w:val="00DE5D7E"/>
    <w:rsid w:val="00DE62FF"/>
    <w:rsid w:val="00DE654D"/>
    <w:rsid w:val="00DE6552"/>
    <w:rsid w:val="00DE6DA5"/>
    <w:rsid w:val="00DE6E71"/>
    <w:rsid w:val="00DE709E"/>
    <w:rsid w:val="00DE77AA"/>
    <w:rsid w:val="00DF0E40"/>
    <w:rsid w:val="00DF0ED8"/>
    <w:rsid w:val="00DF17BD"/>
    <w:rsid w:val="00DF22E3"/>
    <w:rsid w:val="00DF290E"/>
    <w:rsid w:val="00DF3162"/>
    <w:rsid w:val="00DF3964"/>
    <w:rsid w:val="00DF3AC4"/>
    <w:rsid w:val="00DF3C8E"/>
    <w:rsid w:val="00DF4457"/>
    <w:rsid w:val="00DF4732"/>
    <w:rsid w:val="00DF47D6"/>
    <w:rsid w:val="00DF4889"/>
    <w:rsid w:val="00DF506F"/>
    <w:rsid w:val="00DF5776"/>
    <w:rsid w:val="00DF5CAC"/>
    <w:rsid w:val="00DF5DCA"/>
    <w:rsid w:val="00DF5F1F"/>
    <w:rsid w:val="00DF5FD0"/>
    <w:rsid w:val="00DF6E0D"/>
    <w:rsid w:val="00DF72AE"/>
    <w:rsid w:val="00E00116"/>
    <w:rsid w:val="00E0067F"/>
    <w:rsid w:val="00E00870"/>
    <w:rsid w:val="00E00A0E"/>
    <w:rsid w:val="00E00A3E"/>
    <w:rsid w:val="00E00ADA"/>
    <w:rsid w:val="00E00C8B"/>
    <w:rsid w:val="00E00EC0"/>
    <w:rsid w:val="00E0101D"/>
    <w:rsid w:val="00E01499"/>
    <w:rsid w:val="00E019B7"/>
    <w:rsid w:val="00E01C95"/>
    <w:rsid w:val="00E022E3"/>
    <w:rsid w:val="00E02386"/>
    <w:rsid w:val="00E02C7C"/>
    <w:rsid w:val="00E02D51"/>
    <w:rsid w:val="00E0304D"/>
    <w:rsid w:val="00E03099"/>
    <w:rsid w:val="00E0320E"/>
    <w:rsid w:val="00E03722"/>
    <w:rsid w:val="00E03AEB"/>
    <w:rsid w:val="00E03AFB"/>
    <w:rsid w:val="00E046AF"/>
    <w:rsid w:val="00E04F26"/>
    <w:rsid w:val="00E052B0"/>
    <w:rsid w:val="00E05503"/>
    <w:rsid w:val="00E05C3C"/>
    <w:rsid w:val="00E05D0E"/>
    <w:rsid w:val="00E05F93"/>
    <w:rsid w:val="00E06484"/>
    <w:rsid w:val="00E06542"/>
    <w:rsid w:val="00E06768"/>
    <w:rsid w:val="00E06F41"/>
    <w:rsid w:val="00E072FB"/>
    <w:rsid w:val="00E075C3"/>
    <w:rsid w:val="00E07985"/>
    <w:rsid w:val="00E07D69"/>
    <w:rsid w:val="00E101CD"/>
    <w:rsid w:val="00E1035F"/>
    <w:rsid w:val="00E108D3"/>
    <w:rsid w:val="00E10990"/>
    <w:rsid w:val="00E11C72"/>
    <w:rsid w:val="00E12136"/>
    <w:rsid w:val="00E127CC"/>
    <w:rsid w:val="00E12C15"/>
    <w:rsid w:val="00E12E30"/>
    <w:rsid w:val="00E13DCD"/>
    <w:rsid w:val="00E14493"/>
    <w:rsid w:val="00E14B6C"/>
    <w:rsid w:val="00E15011"/>
    <w:rsid w:val="00E151BD"/>
    <w:rsid w:val="00E1529B"/>
    <w:rsid w:val="00E15E09"/>
    <w:rsid w:val="00E169E9"/>
    <w:rsid w:val="00E16AFD"/>
    <w:rsid w:val="00E16FED"/>
    <w:rsid w:val="00E20392"/>
    <w:rsid w:val="00E20567"/>
    <w:rsid w:val="00E20AFC"/>
    <w:rsid w:val="00E20D35"/>
    <w:rsid w:val="00E2161B"/>
    <w:rsid w:val="00E216CA"/>
    <w:rsid w:val="00E220AC"/>
    <w:rsid w:val="00E229DF"/>
    <w:rsid w:val="00E22AC1"/>
    <w:rsid w:val="00E22C7C"/>
    <w:rsid w:val="00E22DC4"/>
    <w:rsid w:val="00E2377E"/>
    <w:rsid w:val="00E23B8F"/>
    <w:rsid w:val="00E23DA3"/>
    <w:rsid w:val="00E24117"/>
    <w:rsid w:val="00E247AE"/>
    <w:rsid w:val="00E25C73"/>
    <w:rsid w:val="00E262DD"/>
    <w:rsid w:val="00E26AB9"/>
    <w:rsid w:val="00E26FC1"/>
    <w:rsid w:val="00E2775B"/>
    <w:rsid w:val="00E27AD6"/>
    <w:rsid w:val="00E27B5A"/>
    <w:rsid w:val="00E27EE3"/>
    <w:rsid w:val="00E302FC"/>
    <w:rsid w:val="00E303E5"/>
    <w:rsid w:val="00E3062C"/>
    <w:rsid w:val="00E30793"/>
    <w:rsid w:val="00E31110"/>
    <w:rsid w:val="00E31256"/>
    <w:rsid w:val="00E314E0"/>
    <w:rsid w:val="00E316D9"/>
    <w:rsid w:val="00E31B32"/>
    <w:rsid w:val="00E31E02"/>
    <w:rsid w:val="00E32122"/>
    <w:rsid w:val="00E32129"/>
    <w:rsid w:val="00E324F2"/>
    <w:rsid w:val="00E326B3"/>
    <w:rsid w:val="00E3283A"/>
    <w:rsid w:val="00E33A58"/>
    <w:rsid w:val="00E3419C"/>
    <w:rsid w:val="00E34308"/>
    <w:rsid w:val="00E3434B"/>
    <w:rsid w:val="00E349A7"/>
    <w:rsid w:val="00E34C96"/>
    <w:rsid w:val="00E35644"/>
    <w:rsid w:val="00E368F5"/>
    <w:rsid w:val="00E36C4A"/>
    <w:rsid w:val="00E36DC5"/>
    <w:rsid w:val="00E378A4"/>
    <w:rsid w:val="00E37915"/>
    <w:rsid w:val="00E37D18"/>
    <w:rsid w:val="00E4055A"/>
    <w:rsid w:val="00E40653"/>
    <w:rsid w:val="00E40833"/>
    <w:rsid w:val="00E4108E"/>
    <w:rsid w:val="00E410F2"/>
    <w:rsid w:val="00E4120D"/>
    <w:rsid w:val="00E412C4"/>
    <w:rsid w:val="00E41C1B"/>
    <w:rsid w:val="00E42157"/>
    <w:rsid w:val="00E422A9"/>
    <w:rsid w:val="00E424D5"/>
    <w:rsid w:val="00E427B3"/>
    <w:rsid w:val="00E42DE0"/>
    <w:rsid w:val="00E430AD"/>
    <w:rsid w:val="00E43BB1"/>
    <w:rsid w:val="00E43D9A"/>
    <w:rsid w:val="00E43F67"/>
    <w:rsid w:val="00E43FD5"/>
    <w:rsid w:val="00E44032"/>
    <w:rsid w:val="00E4429E"/>
    <w:rsid w:val="00E4452F"/>
    <w:rsid w:val="00E4491F"/>
    <w:rsid w:val="00E44979"/>
    <w:rsid w:val="00E45254"/>
    <w:rsid w:val="00E459A5"/>
    <w:rsid w:val="00E4672E"/>
    <w:rsid w:val="00E46936"/>
    <w:rsid w:val="00E46B0C"/>
    <w:rsid w:val="00E47902"/>
    <w:rsid w:val="00E47ABC"/>
    <w:rsid w:val="00E47DB3"/>
    <w:rsid w:val="00E47E62"/>
    <w:rsid w:val="00E50229"/>
    <w:rsid w:val="00E5037F"/>
    <w:rsid w:val="00E505A8"/>
    <w:rsid w:val="00E50993"/>
    <w:rsid w:val="00E516F6"/>
    <w:rsid w:val="00E51B7C"/>
    <w:rsid w:val="00E51FC0"/>
    <w:rsid w:val="00E52CC2"/>
    <w:rsid w:val="00E52DDD"/>
    <w:rsid w:val="00E53A3A"/>
    <w:rsid w:val="00E53A4D"/>
    <w:rsid w:val="00E53FB8"/>
    <w:rsid w:val="00E5484C"/>
    <w:rsid w:val="00E54886"/>
    <w:rsid w:val="00E54D06"/>
    <w:rsid w:val="00E54EE2"/>
    <w:rsid w:val="00E550E1"/>
    <w:rsid w:val="00E55632"/>
    <w:rsid w:val="00E564B9"/>
    <w:rsid w:val="00E565B3"/>
    <w:rsid w:val="00E56688"/>
    <w:rsid w:val="00E569EB"/>
    <w:rsid w:val="00E570BF"/>
    <w:rsid w:val="00E57506"/>
    <w:rsid w:val="00E57849"/>
    <w:rsid w:val="00E57E8E"/>
    <w:rsid w:val="00E60F40"/>
    <w:rsid w:val="00E6163C"/>
    <w:rsid w:val="00E617FA"/>
    <w:rsid w:val="00E61986"/>
    <w:rsid w:val="00E619D8"/>
    <w:rsid w:val="00E61CAD"/>
    <w:rsid w:val="00E621DF"/>
    <w:rsid w:val="00E628FE"/>
    <w:rsid w:val="00E62D16"/>
    <w:rsid w:val="00E63C82"/>
    <w:rsid w:val="00E63FFB"/>
    <w:rsid w:val="00E643A6"/>
    <w:rsid w:val="00E64549"/>
    <w:rsid w:val="00E6457E"/>
    <w:rsid w:val="00E64872"/>
    <w:rsid w:val="00E648C8"/>
    <w:rsid w:val="00E649C0"/>
    <w:rsid w:val="00E649CA"/>
    <w:rsid w:val="00E64E2E"/>
    <w:rsid w:val="00E64F56"/>
    <w:rsid w:val="00E652C4"/>
    <w:rsid w:val="00E655AD"/>
    <w:rsid w:val="00E65F40"/>
    <w:rsid w:val="00E66C1C"/>
    <w:rsid w:val="00E6718D"/>
    <w:rsid w:val="00E6747B"/>
    <w:rsid w:val="00E67AF3"/>
    <w:rsid w:val="00E70100"/>
    <w:rsid w:val="00E701C7"/>
    <w:rsid w:val="00E70349"/>
    <w:rsid w:val="00E7166B"/>
    <w:rsid w:val="00E71B3A"/>
    <w:rsid w:val="00E721B0"/>
    <w:rsid w:val="00E725A2"/>
    <w:rsid w:val="00E726C6"/>
    <w:rsid w:val="00E7281E"/>
    <w:rsid w:val="00E7328E"/>
    <w:rsid w:val="00E733F2"/>
    <w:rsid w:val="00E73689"/>
    <w:rsid w:val="00E736C4"/>
    <w:rsid w:val="00E738AD"/>
    <w:rsid w:val="00E73C24"/>
    <w:rsid w:val="00E74933"/>
    <w:rsid w:val="00E75246"/>
    <w:rsid w:val="00E753E8"/>
    <w:rsid w:val="00E75463"/>
    <w:rsid w:val="00E75963"/>
    <w:rsid w:val="00E75A94"/>
    <w:rsid w:val="00E75B06"/>
    <w:rsid w:val="00E75C1F"/>
    <w:rsid w:val="00E7659E"/>
    <w:rsid w:val="00E767AA"/>
    <w:rsid w:val="00E76871"/>
    <w:rsid w:val="00E76CBE"/>
    <w:rsid w:val="00E76CD2"/>
    <w:rsid w:val="00E7758A"/>
    <w:rsid w:val="00E777F4"/>
    <w:rsid w:val="00E77D94"/>
    <w:rsid w:val="00E803F2"/>
    <w:rsid w:val="00E81104"/>
    <w:rsid w:val="00E81168"/>
    <w:rsid w:val="00E819AB"/>
    <w:rsid w:val="00E81C44"/>
    <w:rsid w:val="00E822F1"/>
    <w:rsid w:val="00E82381"/>
    <w:rsid w:val="00E82A24"/>
    <w:rsid w:val="00E8307D"/>
    <w:rsid w:val="00E83261"/>
    <w:rsid w:val="00E8348F"/>
    <w:rsid w:val="00E8351A"/>
    <w:rsid w:val="00E83618"/>
    <w:rsid w:val="00E83DB9"/>
    <w:rsid w:val="00E84080"/>
    <w:rsid w:val="00E84180"/>
    <w:rsid w:val="00E84997"/>
    <w:rsid w:val="00E84B79"/>
    <w:rsid w:val="00E84FCD"/>
    <w:rsid w:val="00E851EE"/>
    <w:rsid w:val="00E854F7"/>
    <w:rsid w:val="00E85BA9"/>
    <w:rsid w:val="00E85E68"/>
    <w:rsid w:val="00E8621F"/>
    <w:rsid w:val="00E86846"/>
    <w:rsid w:val="00E86A69"/>
    <w:rsid w:val="00E86B2F"/>
    <w:rsid w:val="00E86FB6"/>
    <w:rsid w:val="00E87192"/>
    <w:rsid w:val="00E87459"/>
    <w:rsid w:val="00E876D4"/>
    <w:rsid w:val="00E903F4"/>
    <w:rsid w:val="00E90FB9"/>
    <w:rsid w:val="00E91129"/>
    <w:rsid w:val="00E92D49"/>
    <w:rsid w:val="00E9322D"/>
    <w:rsid w:val="00E93593"/>
    <w:rsid w:val="00E939B4"/>
    <w:rsid w:val="00E943CF"/>
    <w:rsid w:val="00E94667"/>
    <w:rsid w:val="00E94FDD"/>
    <w:rsid w:val="00E951DF"/>
    <w:rsid w:val="00E954F1"/>
    <w:rsid w:val="00E959AC"/>
    <w:rsid w:val="00E95BC3"/>
    <w:rsid w:val="00E95FA6"/>
    <w:rsid w:val="00E96645"/>
    <w:rsid w:val="00E96A22"/>
    <w:rsid w:val="00E96F49"/>
    <w:rsid w:val="00E97C48"/>
    <w:rsid w:val="00E97E3B"/>
    <w:rsid w:val="00EA0273"/>
    <w:rsid w:val="00EA08E4"/>
    <w:rsid w:val="00EA0C02"/>
    <w:rsid w:val="00EA0C32"/>
    <w:rsid w:val="00EA0F5F"/>
    <w:rsid w:val="00EA10C1"/>
    <w:rsid w:val="00EA13D0"/>
    <w:rsid w:val="00EA18BC"/>
    <w:rsid w:val="00EA1A60"/>
    <w:rsid w:val="00EA25D2"/>
    <w:rsid w:val="00EA2885"/>
    <w:rsid w:val="00EA2A77"/>
    <w:rsid w:val="00EA355A"/>
    <w:rsid w:val="00EA3B9B"/>
    <w:rsid w:val="00EA3CD0"/>
    <w:rsid w:val="00EA4056"/>
    <w:rsid w:val="00EA5087"/>
    <w:rsid w:val="00EA569A"/>
    <w:rsid w:val="00EA5C8A"/>
    <w:rsid w:val="00EA5E43"/>
    <w:rsid w:val="00EA68F0"/>
    <w:rsid w:val="00EA6910"/>
    <w:rsid w:val="00EA779A"/>
    <w:rsid w:val="00EA7834"/>
    <w:rsid w:val="00EA7994"/>
    <w:rsid w:val="00EA79D4"/>
    <w:rsid w:val="00EA7FAC"/>
    <w:rsid w:val="00EA7FF8"/>
    <w:rsid w:val="00EB0CCE"/>
    <w:rsid w:val="00EB0ED6"/>
    <w:rsid w:val="00EB158E"/>
    <w:rsid w:val="00EB1805"/>
    <w:rsid w:val="00EB2214"/>
    <w:rsid w:val="00EB27EB"/>
    <w:rsid w:val="00EB29C5"/>
    <w:rsid w:val="00EB3BD5"/>
    <w:rsid w:val="00EB3C42"/>
    <w:rsid w:val="00EB3C5B"/>
    <w:rsid w:val="00EB408C"/>
    <w:rsid w:val="00EB445E"/>
    <w:rsid w:val="00EB4889"/>
    <w:rsid w:val="00EB4AD8"/>
    <w:rsid w:val="00EB4BCB"/>
    <w:rsid w:val="00EB5010"/>
    <w:rsid w:val="00EB5128"/>
    <w:rsid w:val="00EB51AD"/>
    <w:rsid w:val="00EB5D89"/>
    <w:rsid w:val="00EB647A"/>
    <w:rsid w:val="00EB6807"/>
    <w:rsid w:val="00EB6AD4"/>
    <w:rsid w:val="00EB6F2F"/>
    <w:rsid w:val="00EB7460"/>
    <w:rsid w:val="00EB7468"/>
    <w:rsid w:val="00EB766E"/>
    <w:rsid w:val="00EB77E0"/>
    <w:rsid w:val="00EB7927"/>
    <w:rsid w:val="00EB7A02"/>
    <w:rsid w:val="00EB7C3C"/>
    <w:rsid w:val="00EB7CE7"/>
    <w:rsid w:val="00EB7FB6"/>
    <w:rsid w:val="00EC04F0"/>
    <w:rsid w:val="00EC0A1C"/>
    <w:rsid w:val="00EC12A9"/>
    <w:rsid w:val="00EC162C"/>
    <w:rsid w:val="00EC1699"/>
    <w:rsid w:val="00EC23D6"/>
    <w:rsid w:val="00EC2661"/>
    <w:rsid w:val="00EC26F9"/>
    <w:rsid w:val="00EC2BA0"/>
    <w:rsid w:val="00EC3017"/>
    <w:rsid w:val="00EC318B"/>
    <w:rsid w:val="00EC349B"/>
    <w:rsid w:val="00EC439B"/>
    <w:rsid w:val="00EC4F15"/>
    <w:rsid w:val="00EC5751"/>
    <w:rsid w:val="00EC5C1C"/>
    <w:rsid w:val="00EC5E9A"/>
    <w:rsid w:val="00EC5EB9"/>
    <w:rsid w:val="00EC60D7"/>
    <w:rsid w:val="00EC6274"/>
    <w:rsid w:val="00EC6574"/>
    <w:rsid w:val="00EC6655"/>
    <w:rsid w:val="00EC6D82"/>
    <w:rsid w:val="00EC7783"/>
    <w:rsid w:val="00EC77D1"/>
    <w:rsid w:val="00EC78C1"/>
    <w:rsid w:val="00EC78C4"/>
    <w:rsid w:val="00EC79A3"/>
    <w:rsid w:val="00EC7CD8"/>
    <w:rsid w:val="00EC7D1F"/>
    <w:rsid w:val="00ED0BBA"/>
    <w:rsid w:val="00ED1156"/>
    <w:rsid w:val="00ED13F5"/>
    <w:rsid w:val="00ED15A4"/>
    <w:rsid w:val="00ED17CD"/>
    <w:rsid w:val="00ED1C68"/>
    <w:rsid w:val="00ED1DFA"/>
    <w:rsid w:val="00ED24AE"/>
    <w:rsid w:val="00ED2A3B"/>
    <w:rsid w:val="00ED2E28"/>
    <w:rsid w:val="00ED3076"/>
    <w:rsid w:val="00ED35C0"/>
    <w:rsid w:val="00ED35F7"/>
    <w:rsid w:val="00ED39D2"/>
    <w:rsid w:val="00ED3EBA"/>
    <w:rsid w:val="00ED40E6"/>
    <w:rsid w:val="00ED4627"/>
    <w:rsid w:val="00ED464B"/>
    <w:rsid w:val="00ED5701"/>
    <w:rsid w:val="00ED5EBF"/>
    <w:rsid w:val="00ED5FEA"/>
    <w:rsid w:val="00ED6018"/>
    <w:rsid w:val="00ED61BF"/>
    <w:rsid w:val="00ED640A"/>
    <w:rsid w:val="00ED6721"/>
    <w:rsid w:val="00ED67EF"/>
    <w:rsid w:val="00ED6DF5"/>
    <w:rsid w:val="00ED6F7F"/>
    <w:rsid w:val="00ED6FFB"/>
    <w:rsid w:val="00ED76C8"/>
    <w:rsid w:val="00ED7A38"/>
    <w:rsid w:val="00ED7DCB"/>
    <w:rsid w:val="00ED7DDA"/>
    <w:rsid w:val="00EE025D"/>
    <w:rsid w:val="00EE0B99"/>
    <w:rsid w:val="00EE0D59"/>
    <w:rsid w:val="00EE0FE0"/>
    <w:rsid w:val="00EE19D2"/>
    <w:rsid w:val="00EE1CE7"/>
    <w:rsid w:val="00EE22AD"/>
    <w:rsid w:val="00EE23FD"/>
    <w:rsid w:val="00EE3394"/>
    <w:rsid w:val="00EE35E1"/>
    <w:rsid w:val="00EE3826"/>
    <w:rsid w:val="00EE385A"/>
    <w:rsid w:val="00EE3A46"/>
    <w:rsid w:val="00EE4216"/>
    <w:rsid w:val="00EE45E6"/>
    <w:rsid w:val="00EE48C6"/>
    <w:rsid w:val="00EE4A41"/>
    <w:rsid w:val="00EE4A89"/>
    <w:rsid w:val="00EE5EF0"/>
    <w:rsid w:val="00EE5FB2"/>
    <w:rsid w:val="00EE60F8"/>
    <w:rsid w:val="00EE6119"/>
    <w:rsid w:val="00EE6A3E"/>
    <w:rsid w:val="00EE6C08"/>
    <w:rsid w:val="00EE6CFD"/>
    <w:rsid w:val="00EE739C"/>
    <w:rsid w:val="00EE73AE"/>
    <w:rsid w:val="00EE73B1"/>
    <w:rsid w:val="00EE73B6"/>
    <w:rsid w:val="00EE7844"/>
    <w:rsid w:val="00EF0231"/>
    <w:rsid w:val="00EF09B2"/>
    <w:rsid w:val="00EF0A79"/>
    <w:rsid w:val="00EF0ADF"/>
    <w:rsid w:val="00EF0C8C"/>
    <w:rsid w:val="00EF0D3D"/>
    <w:rsid w:val="00EF166C"/>
    <w:rsid w:val="00EF1956"/>
    <w:rsid w:val="00EF1C80"/>
    <w:rsid w:val="00EF213C"/>
    <w:rsid w:val="00EF21CA"/>
    <w:rsid w:val="00EF230C"/>
    <w:rsid w:val="00EF26CA"/>
    <w:rsid w:val="00EF30E6"/>
    <w:rsid w:val="00EF312C"/>
    <w:rsid w:val="00EF34EE"/>
    <w:rsid w:val="00EF410A"/>
    <w:rsid w:val="00EF42FC"/>
    <w:rsid w:val="00EF4D14"/>
    <w:rsid w:val="00EF598D"/>
    <w:rsid w:val="00EF5CAB"/>
    <w:rsid w:val="00EF5D6B"/>
    <w:rsid w:val="00EF608B"/>
    <w:rsid w:val="00EF6724"/>
    <w:rsid w:val="00EF6E16"/>
    <w:rsid w:val="00EF7179"/>
    <w:rsid w:val="00EF72EE"/>
    <w:rsid w:val="00EF7357"/>
    <w:rsid w:val="00EF740C"/>
    <w:rsid w:val="00EF771F"/>
    <w:rsid w:val="00EF780A"/>
    <w:rsid w:val="00EF79EB"/>
    <w:rsid w:val="00EF7F15"/>
    <w:rsid w:val="00EF7F27"/>
    <w:rsid w:val="00F001D1"/>
    <w:rsid w:val="00F002D0"/>
    <w:rsid w:val="00F00488"/>
    <w:rsid w:val="00F00B2E"/>
    <w:rsid w:val="00F00CA4"/>
    <w:rsid w:val="00F0112A"/>
    <w:rsid w:val="00F015CC"/>
    <w:rsid w:val="00F01BFE"/>
    <w:rsid w:val="00F02180"/>
    <w:rsid w:val="00F02342"/>
    <w:rsid w:val="00F0237A"/>
    <w:rsid w:val="00F023CF"/>
    <w:rsid w:val="00F0242E"/>
    <w:rsid w:val="00F027C1"/>
    <w:rsid w:val="00F02BA9"/>
    <w:rsid w:val="00F02F33"/>
    <w:rsid w:val="00F03388"/>
    <w:rsid w:val="00F03D7F"/>
    <w:rsid w:val="00F048A7"/>
    <w:rsid w:val="00F050F1"/>
    <w:rsid w:val="00F05146"/>
    <w:rsid w:val="00F05938"/>
    <w:rsid w:val="00F05AFA"/>
    <w:rsid w:val="00F05D19"/>
    <w:rsid w:val="00F064BA"/>
    <w:rsid w:val="00F06732"/>
    <w:rsid w:val="00F06EE6"/>
    <w:rsid w:val="00F07124"/>
    <w:rsid w:val="00F072E1"/>
    <w:rsid w:val="00F075B9"/>
    <w:rsid w:val="00F07788"/>
    <w:rsid w:val="00F07EBA"/>
    <w:rsid w:val="00F10794"/>
    <w:rsid w:val="00F10A65"/>
    <w:rsid w:val="00F10B24"/>
    <w:rsid w:val="00F112FB"/>
    <w:rsid w:val="00F116A9"/>
    <w:rsid w:val="00F11981"/>
    <w:rsid w:val="00F11E0B"/>
    <w:rsid w:val="00F11E78"/>
    <w:rsid w:val="00F120D3"/>
    <w:rsid w:val="00F121C6"/>
    <w:rsid w:val="00F12CA2"/>
    <w:rsid w:val="00F12EDE"/>
    <w:rsid w:val="00F130B1"/>
    <w:rsid w:val="00F130E1"/>
    <w:rsid w:val="00F13102"/>
    <w:rsid w:val="00F13431"/>
    <w:rsid w:val="00F13687"/>
    <w:rsid w:val="00F136E6"/>
    <w:rsid w:val="00F13E25"/>
    <w:rsid w:val="00F142AF"/>
    <w:rsid w:val="00F14401"/>
    <w:rsid w:val="00F14A7A"/>
    <w:rsid w:val="00F14C77"/>
    <w:rsid w:val="00F1554E"/>
    <w:rsid w:val="00F15680"/>
    <w:rsid w:val="00F15874"/>
    <w:rsid w:val="00F15B45"/>
    <w:rsid w:val="00F15DC6"/>
    <w:rsid w:val="00F15E61"/>
    <w:rsid w:val="00F1606B"/>
    <w:rsid w:val="00F16073"/>
    <w:rsid w:val="00F1653B"/>
    <w:rsid w:val="00F1690A"/>
    <w:rsid w:val="00F1690C"/>
    <w:rsid w:val="00F16B5A"/>
    <w:rsid w:val="00F1700B"/>
    <w:rsid w:val="00F173A7"/>
    <w:rsid w:val="00F17A4C"/>
    <w:rsid w:val="00F17E76"/>
    <w:rsid w:val="00F20189"/>
    <w:rsid w:val="00F20516"/>
    <w:rsid w:val="00F20FB7"/>
    <w:rsid w:val="00F210EF"/>
    <w:rsid w:val="00F217CE"/>
    <w:rsid w:val="00F21897"/>
    <w:rsid w:val="00F21EB7"/>
    <w:rsid w:val="00F224FA"/>
    <w:rsid w:val="00F22800"/>
    <w:rsid w:val="00F2292A"/>
    <w:rsid w:val="00F22C46"/>
    <w:rsid w:val="00F23450"/>
    <w:rsid w:val="00F23A20"/>
    <w:rsid w:val="00F23E5E"/>
    <w:rsid w:val="00F24DBA"/>
    <w:rsid w:val="00F254D4"/>
    <w:rsid w:val="00F26251"/>
    <w:rsid w:val="00F2654C"/>
    <w:rsid w:val="00F274A4"/>
    <w:rsid w:val="00F27672"/>
    <w:rsid w:val="00F27BD3"/>
    <w:rsid w:val="00F27EB1"/>
    <w:rsid w:val="00F30DA4"/>
    <w:rsid w:val="00F312DA"/>
    <w:rsid w:val="00F319B9"/>
    <w:rsid w:val="00F31DFC"/>
    <w:rsid w:val="00F325BB"/>
    <w:rsid w:val="00F328B3"/>
    <w:rsid w:val="00F3309A"/>
    <w:rsid w:val="00F33107"/>
    <w:rsid w:val="00F334F1"/>
    <w:rsid w:val="00F343E5"/>
    <w:rsid w:val="00F34840"/>
    <w:rsid w:val="00F34921"/>
    <w:rsid w:val="00F35EFA"/>
    <w:rsid w:val="00F35F02"/>
    <w:rsid w:val="00F36030"/>
    <w:rsid w:val="00F36519"/>
    <w:rsid w:val="00F36628"/>
    <w:rsid w:val="00F367A6"/>
    <w:rsid w:val="00F36B68"/>
    <w:rsid w:val="00F36D23"/>
    <w:rsid w:val="00F36F95"/>
    <w:rsid w:val="00F371C1"/>
    <w:rsid w:val="00F37334"/>
    <w:rsid w:val="00F37820"/>
    <w:rsid w:val="00F37F4B"/>
    <w:rsid w:val="00F41A4E"/>
    <w:rsid w:val="00F428ED"/>
    <w:rsid w:val="00F42AB9"/>
    <w:rsid w:val="00F42EEE"/>
    <w:rsid w:val="00F4326D"/>
    <w:rsid w:val="00F43355"/>
    <w:rsid w:val="00F43391"/>
    <w:rsid w:val="00F438D1"/>
    <w:rsid w:val="00F4476F"/>
    <w:rsid w:val="00F44895"/>
    <w:rsid w:val="00F449FF"/>
    <w:rsid w:val="00F44B1A"/>
    <w:rsid w:val="00F44B54"/>
    <w:rsid w:val="00F44E92"/>
    <w:rsid w:val="00F450CE"/>
    <w:rsid w:val="00F4591C"/>
    <w:rsid w:val="00F460A5"/>
    <w:rsid w:val="00F466A9"/>
    <w:rsid w:val="00F46813"/>
    <w:rsid w:val="00F47535"/>
    <w:rsid w:val="00F479E7"/>
    <w:rsid w:val="00F47BF0"/>
    <w:rsid w:val="00F47D1C"/>
    <w:rsid w:val="00F507F2"/>
    <w:rsid w:val="00F50914"/>
    <w:rsid w:val="00F50A82"/>
    <w:rsid w:val="00F50AA3"/>
    <w:rsid w:val="00F50BA7"/>
    <w:rsid w:val="00F51412"/>
    <w:rsid w:val="00F51796"/>
    <w:rsid w:val="00F51805"/>
    <w:rsid w:val="00F51A37"/>
    <w:rsid w:val="00F51D9C"/>
    <w:rsid w:val="00F51DA4"/>
    <w:rsid w:val="00F5230A"/>
    <w:rsid w:val="00F528D0"/>
    <w:rsid w:val="00F52EFA"/>
    <w:rsid w:val="00F532FB"/>
    <w:rsid w:val="00F53562"/>
    <w:rsid w:val="00F539A3"/>
    <w:rsid w:val="00F53C5D"/>
    <w:rsid w:val="00F546F7"/>
    <w:rsid w:val="00F55320"/>
    <w:rsid w:val="00F553CE"/>
    <w:rsid w:val="00F554A4"/>
    <w:rsid w:val="00F554A5"/>
    <w:rsid w:val="00F555D6"/>
    <w:rsid w:val="00F5617F"/>
    <w:rsid w:val="00F561A0"/>
    <w:rsid w:val="00F563AC"/>
    <w:rsid w:val="00F563FB"/>
    <w:rsid w:val="00F569D4"/>
    <w:rsid w:val="00F56A73"/>
    <w:rsid w:val="00F56E0E"/>
    <w:rsid w:val="00F57698"/>
    <w:rsid w:val="00F601B4"/>
    <w:rsid w:val="00F60467"/>
    <w:rsid w:val="00F608D6"/>
    <w:rsid w:val="00F60B16"/>
    <w:rsid w:val="00F60B9B"/>
    <w:rsid w:val="00F6120E"/>
    <w:rsid w:val="00F61263"/>
    <w:rsid w:val="00F612A3"/>
    <w:rsid w:val="00F612D9"/>
    <w:rsid w:val="00F613BC"/>
    <w:rsid w:val="00F61644"/>
    <w:rsid w:val="00F61808"/>
    <w:rsid w:val="00F6251C"/>
    <w:rsid w:val="00F6260E"/>
    <w:rsid w:val="00F626E2"/>
    <w:rsid w:val="00F62A80"/>
    <w:rsid w:val="00F62FD3"/>
    <w:rsid w:val="00F630DD"/>
    <w:rsid w:val="00F6338B"/>
    <w:rsid w:val="00F63470"/>
    <w:rsid w:val="00F63936"/>
    <w:rsid w:val="00F63D1C"/>
    <w:rsid w:val="00F63E21"/>
    <w:rsid w:val="00F63FAA"/>
    <w:rsid w:val="00F64B28"/>
    <w:rsid w:val="00F64F27"/>
    <w:rsid w:val="00F64F32"/>
    <w:rsid w:val="00F64FF9"/>
    <w:rsid w:val="00F65528"/>
    <w:rsid w:val="00F6559F"/>
    <w:rsid w:val="00F6572B"/>
    <w:rsid w:val="00F661E3"/>
    <w:rsid w:val="00F6687B"/>
    <w:rsid w:val="00F66E85"/>
    <w:rsid w:val="00F670CB"/>
    <w:rsid w:val="00F67325"/>
    <w:rsid w:val="00F67D0F"/>
    <w:rsid w:val="00F7125F"/>
    <w:rsid w:val="00F713EE"/>
    <w:rsid w:val="00F716ED"/>
    <w:rsid w:val="00F71C18"/>
    <w:rsid w:val="00F71E57"/>
    <w:rsid w:val="00F72199"/>
    <w:rsid w:val="00F72231"/>
    <w:rsid w:val="00F72390"/>
    <w:rsid w:val="00F72B0C"/>
    <w:rsid w:val="00F72DBD"/>
    <w:rsid w:val="00F72FB9"/>
    <w:rsid w:val="00F7371A"/>
    <w:rsid w:val="00F75310"/>
    <w:rsid w:val="00F75462"/>
    <w:rsid w:val="00F757F4"/>
    <w:rsid w:val="00F758CA"/>
    <w:rsid w:val="00F7598A"/>
    <w:rsid w:val="00F75B41"/>
    <w:rsid w:val="00F75D66"/>
    <w:rsid w:val="00F760DC"/>
    <w:rsid w:val="00F762A9"/>
    <w:rsid w:val="00F76517"/>
    <w:rsid w:val="00F76771"/>
    <w:rsid w:val="00F77740"/>
    <w:rsid w:val="00F77AE8"/>
    <w:rsid w:val="00F77E92"/>
    <w:rsid w:val="00F8037B"/>
    <w:rsid w:val="00F80FD1"/>
    <w:rsid w:val="00F811FA"/>
    <w:rsid w:val="00F8249E"/>
    <w:rsid w:val="00F829E8"/>
    <w:rsid w:val="00F83E61"/>
    <w:rsid w:val="00F83FFF"/>
    <w:rsid w:val="00F8416C"/>
    <w:rsid w:val="00F84490"/>
    <w:rsid w:val="00F845A2"/>
    <w:rsid w:val="00F8508F"/>
    <w:rsid w:val="00F859C1"/>
    <w:rsid w:val="00F85C6C"/>
    <w:rsid w:val="00F86103"/>
    <w:rsid w:val="00F861AD"/>
    <w:rsid w:val="00F8623C"/>
    <w:rsid w:val="00F8645E"/>
    <w:rsid w:val="00F865F6"/>
    <w:rsid w:val="00F86672"/>
    <w:rsid w:val="00F86722"/>
    <w:rsid w:val="00F87AB9"/>
    <w:rsid w:val="00F87B06"/>
    <w:rsid w:val="00F87E6A"/>
    <w:rsid w:val="00F87E80"/>
    <w:rsid w:val="00F90506"/>
    <w:rsid w:val="00F90809"/>
    <w:rsid w:val="00F90E6E"/>
    <w:rsid w:val="00F91F41"/>
    <w:rsid w:val="00F93481"/>
    <w:rsid w:val="00F9366E"/>
    <w:rsid w:val="00F93837"/>
    <w:rsid w:val="00F938CD"/>
    <w:rsid w:val="00F9423A"/>
    <w:rsid w:val="00F944AF"/>
    <w:rsid w:val="00F946D6"/>
    <w:rsid w:val="00F955CB"/>
    <w:rsid w:val="00F95B83"/>
    <w:rsid w:val="00F9737F"/>
    <w:rsid w:val="00F973D5"/>
    <w:rsid w:val="00F9764A"/>
    <w:rsid w:val="00F97A98"/>
    <w:rsid w:val="00F97CF9"/>
    <w:rsid w:val="00F97EA0"/>
    <w:rsid w:val="00FA00F8"/>
    <w:rsid w:val="00FA01E7"/>
    <w:rsid w:val="00FA0526"/>
    <w:rsid w:val="00FA069F"/>
    <w:rsid w:val="00FA1093"/>
    <w:rsid w:val="00FA13B9"/>
    <w:rsid w:val="00FA14A8"/>
    <w:rsid w:val="00FA15AD"/>
    <w:rsid w:val="00FA1741"/>
    <w:rsid w:val="00FA19F9"/>
    <w:rsid w:val="00FA20B6"/>
    <w:rsid w:val="00FA234B"/>
    <w:rsid w:val="00FA253F"/>
    <w:rsid w:val="00FA2822"/>
    <w:rsid w:val="00FA2ABA"/>
    <w:rsid w:val="00FA2C18"/>
    <w:rsid w:val="00FA2E6B"/>
    <w:rsid w:val="00FA39AB"/>
    <w:rsid w:val="00FA3AFD"/>
    <w:rsid w:val="00FA3DDF"/>
    <w:rsid w:val="00FA3FA8"/>
    <w:rsid w:val="00FA4FF1"/>
    <w:rsid w:val="00FA52EE"/>
    <w:rsid w:val="00FA560A"/>
    <w:rsid w:val="00FA5CC6"/>
    <w:rsid w:val="00FA656C"/>
    <w:rsid w:val="00FA78B3"/>
    <w:rsid w:val="00FA79AA"/>
    <w:rsid w:val="00FA79D6"/>
    <w:rsid w:val="00FA7FD1"/>
    <w:rsid w:val="00FB0226"/>
    <w:rsid w:val="00FB03D1"/>
    <w:rsid w:val="00FB03F3"/>
    <w:rsid w:val="00FB08EE"/>
    <w:rsid w:val="00FB091F"/>
    <w:rsid w:val="00FB10D6"/>
    <w:rsid w:val="00FB1157"/>
    <w:rsid w:val="00FB15D4"/>
    <w:rsid w:val="00FB1A80"/>
    <w:rsid w:val="00FB203E"/>
    <w:rsid w:val="00FB241D"/>
    <w:rsid w:val="00FB24F7"/>
    <w:rsid w:val="00FB27B8"/>
    <w:rsid w:val="00FB2D72"/>
    <w:rsid w:val="00FB2E2B"/>
    <w:rsid w:val="00FB36E3"/>
    <w:rsid w:val="00FB4305"/>
    <w:rsid w:val="00FB437B"/>
    <w:rsid w:val="00FB453A"/>
    <w:rsid w:val="00FB45A1"/>
    <w:rsid w:val="00FB4988"/>
    <w:rsid w:val="00FB4FEF"/>
    <w:rsid w:val="00FB55A6"/>
    <w:rsid w:val="00FB5FF2"/>
    <w:rsid w:val="00FB6063"/>
    <w:rsid w:val="00FB6518"/>
    <w:rsid w:val="00FB6A3A"/>
    <w:rsid w:val="00FB746D"/>
    <w:rsid w:val="00FB7581"/>
    <w:rsid w:val="00FB75BF"/>
    <w:rsid w:val="00FC00BF"/>
    <w:rsid w:val="00FC0297"/>
    <w:rsid w:val="00FC03CF"/>
    <w:rsid w:val="00FC06E5"/>
    <w:rsid w:val="00FC095C"/>
    <w:rsid w:val="00FC13D8"/>
    <w:rsid w:val="00FC1A24"/>
    <w:rsid w:val="00FC203D"/>
    <w:rsid w:val="00FC293D"/>
    <w:rsid w:val="00FC2DF1"/>
    <w:rsid w:val="00FC2F43"/>
    <w:rsid w:val="00FC3169"/>
    <w:rsid w:val="00FC3905"/>
    <w:rsid w:val="00FC4522"/>
    <w:rsid w:val="00FC51DF"/>
    <w:rsid w:val="00FC5229"/>
    <w:rsid w:val="00FC5805"/>
    <w:rsid w:val="00FC5B09"/>
    <w:rsid w:val="00FC5BBD"/>
    <w:rsid w:val="00FC5D07"/>
    <w:rsid w:val="00FC5D49"/>
    <w:rsid w:val="00FC5F63"/>
    <w:rsid w:val="00FC69EA"/>
    <w:rsid w:val="00FC734A"/>
    <w:rsid w:val="00FC738F"/>
    <w:rsid w:val="00FC79F1"/>
    <w:rsid w:val="00FC7E1F"/>
    <w:rsid w:val="00FD0081"/>
    <w:rsid w:val="00FD056A"/>
    <w:rsid w:val="00FD0D4D"/>
    <w:rsid w:val="00FD10C1"/>
    <w:rsid w:val="00FD11C2"/>
    <w:rsid w:val="00FD1669"/>
    <w:rsid w:val="00FD18EA"/>
    <w:rsid w:val="00FD21EF"/>
    <w:rsid w:val="00FD2568"/>
    <w:rsid w:val="00FD2712"/>
    <w:rsid w:val="00FD36E9"/>
    <w:rsid w:val="00FD3790"/>
    <w:rsid w:val="00FD3970"/>
    <w:rsid w:val="00FD3C56"/>
    <w:rsid w:val="00FD3DF5"/>
    <w:rsid w:val="00FD3FDD"/>
    <w:rsid w:val="00FD40F2"/>
    <w:rsid w:val="00FD423B"/>
    <w:rsid w:val="00FD4282"/>
    <w:rsid w:val="00FD4932"/>
    <w:rsid w:val="00FD50E9"/>
    <w:rsid w:val="00FD5295"/>
    <w:rsid w:val="00FD546B"/>
    <w:rsid w:val="00FD56E4"/>
    <w:rsid w:val="00FD5A3F"/>
    <w:rsid w:val="00FD5BB1"/>
    <w:rsid w:val="00FD5CF8"/>
    <w:rsid w:val="00FD60E1"/>
    <w:rsid w:val="00FD6437"/>
    <w:rsid w:val="00FD6A48"/>
    <w:rsid w:val="00FD6AED"/>
    <w:rsid w:val="00FD6E57"/>
    <w:rsid w:val="00FD734A"/>
    <w:rsid w:val="00FD7638"/>
    <w:rsid w:val="00FD7947"/>
    <w:rsid w:val="00FD7965"/>
    <w:rsid w:val="00FD7D82"/>
    <w:rsid w:val="00FE09B5"/>
    <w:rsid w:val="00FE1666"/>
    <w:rsid w:val="00FE1703"/>
    <w:rsid w:val="00FE18A4"/>
    <w:rsid w:val="00FE1AC7"/>
    <w:rsid w:val="00FE1B17"/>
    <w:rsid w:val="00FE1CE5"/>
    <w:rsid w:val="00FE1D4C"/>
    <w:rsid w:val="00FE219F"/>
    <w:rsid w:val="00FE21A5"/>
    <w:rsid w:val="00FE261C"/>
    <w:rsid w:val="00FE2E88"/>
    <w:rsid w:val="00FE3074"/>
    <w:rsid w:val="00FE3279"/>
    <w:rsid w:val="00FE356A"/>
    <w:rsid w:val="00FE3794"/>
    <w:rsid w:val="00FE3897"/>
    <w:rsid w:val="00FE396B"/>
    <w:rsid w:val="00FE39A3"/>
    <w:rsid w:val="00FE39B0"/>
    <w:rsid w:val="00FE3C38"/>
    <w:rsid w:val="00FE3E98"/>
    <w:rsid w:val="00FE409E"/>
    <w:rsid w:val="00FE43FF"/>
    <w:rsid w:val="00FE4436"/>
    <w:rsid w:val="00FE451B"/>
    <w:rsid w:val="00FE4EFE"/>
    <w:rsid w:val="00FE5D94"/>
    <w:rsid w:val="00FE5E0E"/>
    <w:rsid w:val="00FE60FF"/>
    <w:rsid w:val="00FE6124"/>
    <w:rsid w:val="00FE6532"/>
    <w:rsid w:val="00FE653F"/>
    <w:rsid w:val="00FE6595"/>
    <w:rsid w:val="00FE7491"/>
    <w:rsid w:val="00FE7574"/>
    <w:rsid w:val="00FE790C"/>
    <w:rsid w:val="00FE7F70"/>
    <w:rsid w:val="00FF07BA"/>
    <w:rsid w:val="00FF0B7D"/>
    <w:rsid w:val="00FF0C0C"/>
    <w:rsid w:val="00FF1287"/>
    <w:rsid w:val="00FF1318"/>
    <w:rsid w:val="00FF1450"/>
    <w:rsid w:val="00FF1556"/>
    <w:rsid w:val="00FF18DD"/>
    <w:rsid w:val="00FF18FD"/>
    <w:rsid w:val="00FF1EFB"/>
    <w:rsid w:val="00FF204A"/>
    <w:rsid w:val="00FF21C3"/>
    <w:rsid w:val="00FF252E"/>
    <w:rsid w:val="00FF2A30"/>
    <w:rsid w:val="00FF2C32"/>
    <w:rsid w:val="00FF2D9C"/>
    <w:rsid w:val="00FF31BB"/>
    <w:rsid w:val="00FF368E"/>
    <w:rsid w:val="00FF3735"/>
    <w:rsid w:val="00FF3786"/>
    <w:rsid w:val="00FF3944"/>
    <w:rsid w:val="00FF3E89"/>
    <w:rsid w:val="00FF3FDB"/>
    <w:rsid w:val="00FF4B40"/>
    <w:rsid w:val="00FF4B93"/>
    <w:rsid w:val="00FF52EC"/>
    <w:rsid w:val="00FF536D"/>
    <w:rsid w:val="00FF5424"/>
    <w:rsid w:val="00FF544C"/>
    <w:rsid w:val="00FF5625"/>
    <w:rsid w:val="00FF57B6"/>
    <w:rsid w:val="00FF583C"/>
    <w:rsid w:val="00FF5A0C"/>
    <w:rsid w:val="00FF5B30"/>
    <w:rsid w:val="00FF61B8"/>
    <w:rsid w:val="00FF673F"/>
    <w:rsid w:val="00FF6961"/>
    <w:rsid w:val="00FF7186"/>
    <w:rsid w:val="00FF7A90"/>
    <w:rsid w:val="00FF7B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rules v:ext="edit">
        <o:r id="V:Rule1" type="connector" idref="#Přímá spojnice se šipkou 94"/>
        <o:r id="V:Rule2" type="connector" idref="#Přímá spojnice se šipkou 90"/>
        <o:r id="V:Rule3" type="connector" idref="#Přímá spojnice se šipkou 92"/>
        <o:r id="V:Rule4" type="connector" idref="#Přímá spojnice se šipkou 81"/>
        <o:r id="V:Rule5" type="connector" idref="#Přímá spojnice se šipkou 86"/>
        <o:r id="V:Rule6" type="connector" idref="#Přímá spojnice se šipkou 89"/>
        <o:r id="V:Rule7" type="connector" idref="#Přímá spojnice se šipkou 87"/>
        <o:r id="V:Rule8" type="connector" idref="#Přímá spojnice se šipkou 71"/>
      </o:rules>
    </o:shapelayout>
  </w:shapeDefaults>
  <w:decimalSymbol w:val=","/>
  <w:listSeparator w:val=";"/>
  <w14:docId w14:val="22A50E4B"/>
  <w15:docId w15:val="{5B40F568-6350-4E72-86C7-A7BE0A78A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A4EE7"/>
    <w:pPr>
      <w:spacing w:after="0" w:line="240" w:lineRule="auto"/>
    </w:pPr>
  </w:style>
  <w:style w:type="paragraph" w:styleId="Nadpis1">
    <w:name w:val="heading 1"/>
    <w:basedOn w:val="Normln"/>
    <w:next w:val="Normln"/>
    <w:link w:val="Nadpis1Char"/>
    <w:uiPriority w:val="9"/>
    <w:qFormat/>
    <w:rsid w:val="00814D5A"/>
    <w:pPr>
      <w:keepNext/>
      <w:keepLines/>
      <w:spacing w:line="360" w:lineRule="auto"/>
      <w:jc w:val="both"/>
      <w:outlineLvl w:val="0"/>
    </w:pPr>
    <w:rPr>
      <w:rFonts w:eastAsiaTheme="majorEastAsia" w:cstheme="majorBidi"/>
      <w:b/>
      <w:bCs/>
      <w:sz w:val="36"/>
      <w:szCs w:val="28"/>
    </w:rPr>
  </w:style>
  <w:style w:type="paragraph" w:styleId="Nadpis2">
    <w:name w:val="heading 2"/>
    <w:basedOn w:val="Kapitola-rove2"/>
    <w:next w:val="Normln"/>
    <w:link w:val="Nadpis2Char"/>
    <w:uiPriority w:val="9"/>
    <w:unhideWhenUsed/>
    <w:qFormat/>
    <w:rsid w:val="00814D5A"/>
    <w:pPr>
      <w:spacing w:after="160" w:line="259" w:lineRule="auto"/>
      <w:outlineLvl w:val="1"/>
    </w:pPr>
  </w:style>
  <w:style w:type="paragraph" w:styleId="Nadpis3">
    <w:name w:val="heading 3"/>
    <w:basedOn w:val="Kapitola-rove3"/>
    <w:next w:val="Normln"/>
    <w:link w:val="Nadpis3Char"/>
    <w:uiPriority w:val="9"/>
    <w:unhideWhenUsed/>
    <w:qFormat/>
    <w:rsid w:val="00814D5A"/>
    <w:pPr>
      <w:spacing w:after="160" w:line="259" w:lineRule="auto"/>
      <w:outlineLvl w:val="2"/>
    </w:pPr>
  </w:style>
  <w:style w:type="paragraph" w:styleId="Nadpis4">
    <w:name w:val="heading 4"/>
    <w:basedOn w:val="Kapitola-rove4"/>
    <w:next w:val="Normln"/>
    <w:link w:val="Nadpis4Char"/>
    <w:uiPriority w:val="9"/>
    <w:unhideWhenUsed/>
    <w:qFormat/>
    <w:rsid w:val="00814D5A"/>
    <w:pPr>
      <w:spacing w:after="160" w:line="259" w:lineRule="auto"/>
      <w:outlineLvl w:val="3"/>
    </w:pPr>
  </w:style>
  <w:style w:type="paragraph" w:styleId="Nadpis5">
    <w:name w:val="heading 5"/>
    <w:basedOn w:val="Normln"/>
    <w:next w:val="Normln"/>
    <w:link w:val="Nadpis5Char"/>
    <w:uiPriority w:val="9"/>
    <w:semiHidden/>
    <w:unhideWhenUsed/>
    <w:qFormat/>
    <w:rsid w:val="00F47535"/>
    <w:pPr>
      <w:keepNext/>
      <w:keepLines/>
      <w:spacing w:before="40" w:line="276" w:lineRule="auto"/>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994708"/>
    <w:rPr>
      <w:color w:val="0000FF" w:themeColor="hyperlink"/>
      <w:u w:val="single"/>
    </w:rPr>
  </w:style>
  <w:style w:type="paragraph" w:styleId="Textpoznpodarou">
    <w:name w:val="footnote text"/>
    <w:basedOn w:val="Normln"/>
    <w:link w:val="TextpoznpodarouChar"/>
    <w:uiPriority w:val="99"/>
    <w:unhideWhenUsed/>
    <w:rsid w:val="00F449FF"/>
    <w:rPr>
      <w:sz w:val="20"/>
      <w:szCs w:val="20"/>
    </w:rPr>
  </w:style>
  <w:style w:type="character" w:customStyle="1" w:styleId="TextpoznpodarouChar">
    <w:name w:val="Text pozn. pod čarou Char"/>
    <w:basedOn w:val="Standardnpsmoodstavce"/>
    <w:link w:val="Textpoznpodarou"/>
    <w:uiPriority w:val="99"/>
    <w:rsid w:val="00F449FF"/>
    <w:rPr>
      <w:sz w:val="20"/>
      <w:szCs w:val="20"/>
    </w:rPr>
  </w:style>
  <w:style w:type="character" w:styleId="Znakapoznpodarou">
    <w:name w:val="footnote reference"/>
    <w:basedOn w:val="Standardnpsmoodstavce"/>
    <w:uiPriority w:val="99"/>
    <w:unhideWhenUsed/>
    <w:rsid w:val="00F449FF"/>
    <w:rPr>
      <w:vertAlign w:val="superscript"/>
    </w:rPr>
  </w:style>
  <w:style w:type="paragraph" w:styleId="Textbubliny">
    <w:name w:val="Balloon Text"/>
    <w:basedOn w:val="Normln"/>
    <w:link w:val="TextbublinyChar"/>
    <w:uiPriority w:val="99"/>
    <w:semiHidden/>
    <w:unhideWhenUsed/>
    <w:rsid w:val="006A15E5"/>
    <w:rPr>
      <w:rFonts w:ascii="Tahoma" w:hAnsi="Tahoma" w:cs="Tahoma"/>
      <w:sz w:val="16"/>
      <w:szCs w:val="16"/>
    </w:rPr>
  </w:style>
  <w:style w:type="character" w:customStyle="1" w:styleId="TextbublinyChar">
    <w:name w:val="Text bubliny Char"/>
    <w:basedOn w:val="Standardnpsmoodstavce"/>
    <w:link w:val="Textbubliny"/>
    <w:uiPriority w:val="99"/>
    <w:semiHidden/>
    <w:rsid w:val="006A15E5"/>
    <w:rPr>
      <w:rFonts w:ascii="Tahoma" w:hAnsi="Tahoma" w:cs="Tahoma"/>
      <w:sz w:val="16"/>
      <w:szCs w:val="16"/>
    </w:rPr>
  </w:style>
  <w:style w:type="character" w:customStyle="1" w:styleId="Nadpis2Char">
    <w:name w:val="Nadpis 2 Char"/>
    <w:basedOn w:val="Standardnpsmoodstavce"/>
    <w:link w:val="Nadpis2"/>
    <w:uiPriority w:val="9"/>
    <w:rsid w:val="00814D5A"/>
    <w:rPr>
      <w:b/>
      <w:sz w:val="32"/>
      <w:szCs w:val="32"/>
    </w:rPr>
  </w:style>
  <w:style w:type="paragraph" w:customStyle="1" w:styleId="tabulka">
    <w:name w:val="tabulka"/>
    <w:basedOn w:val="Odstavecseseznamem"/>
    <w:qFormat/>
    <w:rsid w:val="001B406F"/>
    <w:pPr>
      <w:spacing w:after="100"/>
      <w:ind w:left="0"/>
      <w:jc w:val="both"/>
    </w:pPr>
  </w:style>
  <w:style w:type="paragraph" w:styleId="Odstavecseseznamem">
    <w:name w:val="List Paragraph"/>
    <w:basedOn w:val="Normln"/>
    <w:uiPriority w:val="34"/>
    <w:qFormat/>
    <w:rsid w:val="001B406F"/>
    <w:pPr>
      <w:ind w:left="720"/>
      <w:contextualSpacing/>
    </w:pPr>
  </w:style>
  <w:style w:type="paragraph" w:customStyle="1" w:styleId="Kapitola-rove2">
    <w:name w:val="Kapitola - úroveň 2"/>
    <w:basedOn w:val="Normln"/>
    <w:link w:val="Kapitola-rove2Char"/>
    <w:qFormat/>
    <w:rsid w:val="00D23F84"/>
    <w:pPr>
      <w:spacing w:line="360" w:lineRule="auto"/>
    </w:pPr>
    <w:rPr>
      <w:b/>
      <w:sz w:val="32"/>
      <w:szCs w:val="32"/>
    </w:rPr>
  </w:style>
  <w:style w:type="paragraph" w:customStyle="1" w:styleId="Kapitola-rove1">
    <w:name w:val="Kapitola - úroveň 1"/>
    <w:basedOn w:val="Normln"/>
    <w:link w:val="Kapitola-rove1Char"/>
    <w:qFormat/>
    <w:rsid w:val="00D23F84"/>
    <w:pPr>
      <w:spacing w:line="360" w:lineRule="auto"/>
      <w:jc w:val="both"/>
    </w:pPr>
    <w:rPr>
      <w:b/>
      <w:sz w:val="36"/>
      <w:szCs w:val="36"/>
    </w:rPr>
  </w:style>
  <w:style w:type="character" w:customStyle="1" w:styleId="Kapitola-rove2Char">
    <w:name w:val="Kapitola - úroveň 2 Char"/>
    <w:basedOn w:val="Standardnpsmoodstavce"/>
    <w:link w:val="Kapitola-rove2"/>
    <w:rsid w:val="00D23F84"/>
    <w:rPr>
      <w:b/>
      <w:sz w:val="32"/>
      <w:szCs w:val="32"/>
    </w:rPr>
  </w:style>
  <w:style w:type="character" w:customStyle="1" w:styleId="Kapitola-rove1Char">
    <w:name w:val="Kapitola - úroveň 1 Char"/>
    <w:basedOn w:val="Standardnpsmoodstavce"/>
    <w:link w:val="Kapitola-rove1"/>
    <w:rsid w:val="00D23F84"/>
    <w:rPr>
      <w:b/>
      <w:sz w:val="36"/>
      <w:szCs w:val="36"/>
    </w:rPr>
  </w:style>
  <w:style w:type="paragraph" w:customStyle="1" w:styleId="Kapitola-rove3">
    <w:name w:val="Kapitola - úroveň 3"/>
    <w:basedOn w:val="Normln"/>
    <w:link w:val="Kapitola-rove3Char"/>
    <w:qFormat/>
    <w:rsid w:val="00E43BB1"/>
    <w:pPr>
      <w:spacing w:line="360" w:lineRule="auto"/>
    </w:pPr>
    <w:rPr>
      <w:b/>
      <w:sz w:val="28"/>
      <w:szCs w:val="28"/>
    </w:rPr>
  </w:style>
  <w:style w:type="paragraph" w:customStyle="1" w:styleId="Kapitola-rove4">
    <w:name w:val="Kapitola - úroveň 4"/>
    <w:basedOn w:val="Normln"/>
    <w:link w:val="Kapitola-rove4Char"/>
    <w:qFormat/>
    <w:rsid w:val="00E43BB1"/>
    <w:pPr>
      <w:spacing w:line="360" w:lineRule="auto"/>
    </w:pPr>
    <w:rPr>
      <w:b/>
      <w:sz w:val="24"/>
      <w:szCs w:val="24"/>
    </w:rPr>
  </w:style>
  <w:style w:type="character" w:customStyle="1" w:styleId="Kapitola-rove3Char">
    <w:name w:val="Kapitola - úroveň 3 Char"/>
    <w:basedOn w:val="Standardnpsmoodstavce"/>
    <w:link w:val="Kapitola-rove3"/>
    <w:rsid w:val="00E43BB1"/>
    <w:rPr>
      <w:b/>
      <w:sz w:val="28"/>
      <w:szCs w:val="28"/>
    </w:rPr>
  </w:style>
  <w:style w:type="table" w:styleId="Mkatabulky">
    <w:name w:val="Table Grid"/>
    <w:basedOn w:val="Normlntabulka"/>
    <w:uiPriority w:val="39"/>
    <w:rsid w:val="00A15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pitola-rove4Char">
    <w:name w:val="Kapitola - úroveň 4 Char"/>
    <w:basedOn w:val="Standardnpsmoodstavce"/>
    <w:link w:val="Kapitola-rove4"/>
    <w:rsid w:val="00E43BB1"/>
    <w:rPr>
      <w:b/>
      <w:sz w:val="24"/>
      <w:szCs w:val="24"/>
    </w:rPr>
  </w:style>
  <w:style w:type="character" w:styleId="Sledovanodkaz">
    <w:name w:val="FollowedHyperlink"/>
    <w:basedOn w:val="Standardnpsmoodstavce"/>
    <w:uiPriority w:val="99"/>
    <w:semiHidden/>
    <w:unhideWhenUsed/>
    <w:rsid w:val="00EB2214"/>
    <w:rPr>
      <w:color w:val="800080" w:themeColor="followedHyperlink"/>
      <w:u w:val="single"/>
    </w:rPr>
  </w:style>
  <w:style w:type="paragraph" w:customStyle="1" w:styleId="graf">
    <w:name w:val="graf"/>
    <w:basedOn w:val="Normln"/>
    <w:qFormat/>
    <w:rsid w:val="004B75B3"/>
    <w:pPr>
      <w:spacing w:after="100"/>
      <w:jc w:val="both"/>
    </w:pPr>
  </w:style>
  <w:style w:type="character" w:styleId="Siln">
    <w:name w:val="Strong"/>
    <w:basedOn w:val="Standardnpsmoodstavce"/>
    <w:uiPriority w:val="22"/>
    <w:qFormat/>
    <w:rsid w:val="00F13687"/>
    <w:rPr>
      <w:b/>
      <w:bCs/>
    </w:rPr>
  </w:style>
  <w:style w:type="paragraph" w:customStyle="1" w:styleId="Obrzek">
    <w:name w:val="Obrázek"/>
    <w:basedOn w:val="Normln"/>
    <w:qFormat/>
    <w:rsid w:val="00952297"/>
    <w:pPr>
      <w:autoSpaceDE w:val="0"/>
      <w:autoSpaceDN w:val="0"/>
      <w:adjustRightInd w:val="0"/>
      <w:spacing w:after="100"/>
      <w:jc w:val="both"/>
    </w:pPr>
    <w:rPr>
      <w:rFonts w:cs="Times New Roman"/>
    </w:rPr>
  </w:style>
  <w:style w:type="character" w:customStyle="1" w:styleId="Nadpis4Char">
    <w:name w:val="Nadpis 4 Char"/>
    <w:basedOn w:val="Standardnpsmoodstavce"/>
    <w:link w:val="Nadpis4"/>
    <w:uiPriority w:val="9"/>
    <w:rsid w:val="00814D5A"/>
    <w:rPr>
      <w:b/>
      <w:sz w:val="24"/>
      <w:szCs w:val="24"/>
    </w:rPr>
  </w:style>
  <w:style w:type="paragraph" w:styleId="Zhlav">
    <w:name w:val="header"/>
    <w:basedOn w:val="Normln"/>
    <w:link w:val="ZhlavChar"/>
    <w:uiPriority w:val="99"/>
    <w:unhideWhenUsed/>
    <w:rsid w:val="00466FBC"/>
    <w:pPr>
      <w:tabs>
        <w:tab w:val="center" w:pos="4536"/>
        <w:tab w:val="right" w:pos="9072"/>
      </w:tabs>
    </w:pPr>
  </w:style>
  <w:style w:type="character" w:customStyle="1" w:styleId="ZhlavChar">
    <w:name w:val="Záhlaví Char"/>
    <w:basedOn w:val="Standardnpsmoodstavce"/>
    <w:link w:val="Zhlav"/>
    <w:uiPriority w:val="99"/>
    <w:rsid w:val="00466FBC"/>
  </w:style>
  <w:style w:type="paragraph" w:styleId="Zpat">
    <w:name w:val="footer"/>
    <w:basedOn w:val="Normln"/>
    <w:link w:val="ZpatChar"/>
    <w:uiPriority w:val="99"/>
    <w:unhideWhenUsed/>
    <w:rsid w:val="00466FBC"/>
    <w:pPr>
      <w:tabs>
        <w:tab w:val="center" w:pos="4536"/>
        <w:tab w:val="right" w:pos="9072"/>
      </w:tabs>
    </w:pPr>
  </w:style>
  <w:style w:type="character" w:customStyle="1" w:styleId="ZpatChar">
    <w:name w:val="Zápatí Char"/>
    <w:basedOn w:val="Standardnpsmoodstavce"/>
    <w:link w:val="Zpat"/>
    <w:uiPriority w:val="99"/>
    <w:rsid w:val="00466FBC"/>
  </w:style>
  <w:style w:type="character" w:customStyle="1" w:styleId="Nadpis1Char">
    <w:name w:val="Nadpis 1 Char"/>
    <w:basedOn w:val="Standardnpsmoodstavce"/>
    <w:link w:val="Nadpis1"/>
    <w:uiPriority w:val="9"/>
    <w:rsid w:val="00814D5A"/>
    <w:rPr>
      <w:rFonts w:eastAsiaTheme="majorEastAsia" w:cstheme="majorBidi"/>
      <w:b/>
      <w:bCs/>
      <w:sz w:val="36"/>
      <w:szCs w:val="28"/>
    </w:rPr>
  </w:style>
  <w:style w:type="paragraph" w:styleId="Obsah1">
    <w:name w:val="toc 1"/>
    <w:basedOn w:val="Normln"/>
    <w:next w:val="Normln"/>
    <w:autoRedefine/>
    <w:uiPriority w:val="39"/>
    <w:unhideWhenUsed/>
    <w:rsid w:val="00AE1D87"/>
    <w:pPr>
      <w:tabs>
        <w:tab w:val="right" w:leader="dot" w:pos="9062"/>
      </w:tabs>
      <w:spacing w:before="120" w:after="120"/>
    </w:pPr>
    <w:rPr>
      <w:b/>
      <w:noProof/>
      <w:sz w:val="24"/>
      <w:szCs w:val="24"/>
    </w:rPr>
  </w:style>
  <w:style w:type="character" w:customStyle="1" w:styleId="Nadpis3Char">
    <w:name w:val="Nadpis 3 Char"/>
    <w:basedOn w:val="Standardnpsmoodstavce"/>
    <w:link w:val="Nadpis3"/>
    <w:uiPriority w:val="9"/>
    <w:rsid w:val="00814D5A"/>
    <w:rPr>
      <w:b/>
      <w:sz w:val="28"/>
      <w:szCs w:val="28"/>
    </w:rPr>
  </w:style>
  <w:style w:type="paragraph" w:styleId="Obsah2">
    <w:name w:val="toc 2"/>
    <w:basedOn w:val="Normln"/>
    <w:next w:val="Normln"/>
    <w:autoRedefine/>
    <w:uiPriority w:val="39"/>
    <w:unhideWhenUsed/>
    <w:rsid w:val="00473BB6"/>
    <w:pPr>
      <w:tabs>
        <w:tab w:val="right" w:leader="dot" w:pos="9062"/>
      </w:tabs>
      <w:spacing w:before="120" w:after="120"/>
      <w:ind w:left="221"/>
    </w:pPr>
    <w:rPr>
      <w:b/>
      <w:noProof/>
    </w:rPr>
  </w:style>
  <w:style w:type="paragraph" w:styleId="Obsah3">
    <w:name w:val="toc 3"/>
    <w:basedOn w:val="Normln"/>
    <w:next w:val="Normln"/>
    <w:autoRedefine/>
    <w:uiPriority w:val="39"/>
    <w:unhideWhenUsed/>
    <w:rsid w:val="00F17A4C"/>
    <w:pPr>
      <w:tabs>
        <w:tab w:val="right" w:leader="dot" w:pos="9061"/>
      </w:tabs>
      <w:spacing w:before="100" w:after="60"/>
      <w:ind w:left="442"/>
    </w:pPr>
  </w:style>
  <w:style w:type="paragraph" w:styleId="Obsah4">
    <w:name w:val="toc 4"/>
    <w:basedOn w:val="Normln"/>
    <w:next w:val="Normln"/>
    <w:autoRedefine/>
    <w:uiPriority w:val="39"/>
    <w:unhideWhenUsed/>
    <w:rsid w:val="0090463F"/>
    <w:pPr>
      <w:tabs>
        <w:tab w:val="right" w:leader="dot" w:pos="9061"/>
      </w:tabs>
      <w:spacing w:after="60"/>
      <w:ind w:left="658"/>
    </w:pPr>
  </w:style>
  <w:style w:type="paragraph" w:customStyle="1" w:styleId="Podkapitola">
    <w:name w:val="Podkapitola"/>
    <w:basedOn w:val="Normln"/>
    <w:qFormat/>
    <w:rsid w:val="0008350A"/>
    <w:pPr>
      <w:spacing w:after="120"/>
      <w:jc w:val="both"/>
    </w:pPr>
    <w:rPr>
      <w:sz w:val="28"/>
      <w:szCs w:val="28"/>
    </w:rPr>
  </w:style>
  <w:style w:type="paragraph" w:customStyle="1" w:styleId="SCHMA">
    <w:name w:val="SCHÉMA"/>
    <w:basedOn w:val="Normln"/>
    <w:link w:val="SCHMAChar"/>
    <w:qFormat/>
    <w:rsid w:val="006A02FD"/>
    <w:pPr>
      <w:spacing w:after="60"/>
    </w:pPr>
    <w:rPr>
      <w:rFonts w:eastAsia="RWXLTG+TimesNewRoman" w:cs="RWXLTG+TimesNewRoman"/>
      <w:b/>
    </w:rPr>
  </w:style>
  <w:style w:type="character" w:customStyle="1" w:styleId="SCHMAChar">
    <w:name w:val="SCHÉMA Char"/>
    <w:basedOn w:val="Standardnpsmoodstavce"/>
    <w:link w:val="SCHMA"/>
    <w:rsid w:val="006A02FD"/>
    <w:rPr>
      <w:rFonts w:eastAsia="RWXLTG+TimesNewRoman" w:cs="RWXLTG+TimesNewRoman"/>
      <w:b/>
    </w:rPr>
  </w:style>
  <w:style w:type="paragraph" w:styleId="Bezmezer">
    <w:name w:val="No Spacing"/>
    <w:link w:val="BezmezerChar"/>
    <w:autoRedefine/>
    <w:uiPriority w:val="1"/>
    <w:qFormat/>
    <w:rsid w:val="007164A5"/>
    <w:pPr>
      <w:autoSpaceDE w:val="0"/>
      <w:autoSpaceDN w:val="0"/>
      <w:adjustRightInd w:val="0"/>
      <w:spacing w:after="160" w:line="259" w:lineRule="auto"/>
      <w:jc w:val="both"/>
    </w:pPr>
    <w:rPr>
      <w:rFonts w:ascii="Calibri" w:eastAsia="Times New Roman" w:hAnsi="Calibri" w:cs="Times New Roman"/>
      <w:bCs/>
      <w:lang w:eastAsia="cs-CZ"/>
    </w:rPr>
  </w:style>
  <w:style w:type="character" w:customStyle="1" w:styleId="BezmezerChar">
    <w:name w:val="Bez mezer Char"/>
    <w:link w:val="Bezmezer"/>
    <w:uiPriority w:val="1"/>
    <w:rsid w:val="007164A5"/>
    <w:rPr>
      <w:rFonts w:ascii="Calibri" w:eastAsia="Times New Roman" w:hAnsi="Calibri" w:cs="Times New Roman"/>
      <w:bCs/>
      <w:lang w:eastAsia="cs-CZ"/>
    </w:rPr>
  </w:style>
  <w:style w:type="paragraph" w:customStyle="1" w:styleId="Default">
    <w:name w:val="Default"/>
    <w:basedOn w:val="Normln"/>
    <w:rsid w:val="007164A5"/>
    <w:pPr>
      <w:autoSpaceDE w:val="0"/>
      <w:autoSpaceDN w:val="0"/>
      <w:spacing w:after="240"/>
    </w:pPr>
    <w:rPr>
      <w:rFonts w:ascii="Times New Roman" w:eastAsia="Calibri" w:hAnsi="Times New Roman" w:cs="Times New Roman"/>
      <w:color w:val="000000"/>
      <w:szCs w:val="24"/>
    </w:rPr>
  </w:style>
  <w:style w:type="paragraph" w:customStyle="1" w:styleId="Textpoznpodarou1">
    <w:name w:val="Text pozn. pod čarou1"/>
    <w:basedOn w:val="Normln"/>
    <w:next w:val="Textpoznpodarou"/>
    <w:uiPriority w:val="99"/>
    <w:unhideWhenUsed/>
    <w:rsid w:val="007164A5"/>
    <w:rPr>
      <w:sz w:val="20"/>
      <w:szCs w:val="20"/>
    </w:rPr>
  </w:style>
  <w:style w:type="table" w:customStyle="1" w:styleId="Mkatabulky1">
    <w:name w:val="Mřížka tabulky1"/>
    <w:basedOn w:val="Normlntabulka"/>
    <w:next w:val="Mkatabulky"/>
    <w:uiPriority w:val="59"/>
    <w:rsid w:val="00716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1">
    <w:name w:val="Záhlaví1"/>
    <w:basedOn w:val="Normln"/>
    <w:next w:val="Zhlav"/>
    <w:uiPriority w:val="99"/>
    <w:unhideWhenUsed/>
    <w:rsid w:val="007164A5"/>
    <w:pPr>
      <w:tabs>
        <w:tab w:val="center" w:pos="4536"/>
        <w:tab w:val="right" w:pos="9072"/>
      </w:tabs>
    </w:pPr>
  </w:style>
  <w:style w:type="paragraph" w:customStyle="1" w:styleId="Zpat1">
    <w:name w:val="Zápatí1"/>
    <w:basedOn w:val="Normln"/>
    <w:next w:val="Zpat"/>
    <w:uiPriority w:val="99"/>
    <w:unhideWhenUsed/>
    <w:rsid w:val="007164A5"/>
    <w:pPr>
      <w:tabs>
        <w:tab w:val="center" w:pos="4536"/>
        <w:tab w:val="right" w:pos="9072"/>
      </w:tabs>
    </w:pPr>
  </w:style>
  <w:style w:type="character" w:customStyle="1" w:styleId="TextpoznpodarouChar1">
    <w:name w:val="Text pozn. pod čarou Char1"/>
    <w:basedOn w:val="Standardnpsmoodstavce"/>
    <w:uiPriority w:val="99"/>
    <w:rsid w:val="007164A5"/>
    <w:rPr>
      <w:sz w:val="20"/>
      <w:szCs w:val="20"/>
    </w:rPr>
  </w:style>
  <w:style w:type="character" w:customStyle="1" w:styleId="ZhlavChar1">
    <w:name w:val="Záhlaví Char1"/>
    <w:basedOn w:val="Standardnpsmoodstavce"/>
    <w:uiPriority w:val="99"/>
    <w:rsid w:val="007164A5"/>
  </w:style>
  <w:style w:type="character" w:customStyle="1" w:styleId="ZpatChar1">
    <w:name w:val="Zápatí Char1"/>
    <w:basedOn w:val="Standardnpsmoodstavce"/>
    <w:uiPriority w:val="99"/>
    <w:rsid w:val="007164A5"/>
  </w:style>
  <w:style w:type="character" w:styleId="Odkaznakoment">
    <w:name w:val="annotation reference"/>
    <w:basedOn w:val="Standardnpsmoodstavce"/>
    <w:uiPriority w:val="99"/>
    <w:semiHidden/>
    <w:unhideWhenUsed/>
    <w:rsid w:val="007164A5"/>
    <w:rPr>
      <w:sz w:val="16"/>
      <w:szCs w:val="16"/>
    </w:rPr>
  </w:style>
  <w:style w:type="paragraph" w:styleId="Textkomente">
    <w:name w:val="annotation text"/>
    <w:basedOn w:val="Normln"/>
    <w:link w:val="TextkomenteChar"/>
    <w:uiPriority w:val="99"/>
    <w:semiHidden/>
    <w:unhideWhenUsed/>
    <w:rsid w:val="007164A5"/>
    <w:pPr>
      <w:spacing w:after="160"/>
    </w:pPr>
    <w:rPr>
      <w:sz w:val="20"/>
      <w:szCs w:val="20"/>
    </w:rPr>
  </w:style>
  <w:style w:type="character" w:customStyle="1" w:styleId="TextkomenteChar">
    <w:name w:val="Text komentáře Char"/>
    <w:basedOn w:val="Standardnpsmoodstavce"/>
    <w:link w:val="Textkomente"/>
    <w:uiPriority w:val="99"/>
    <w:semiHidden/>
    <w:rsid w:val="007164A5"/>
    <w:rPr>
      <w:sz w:val="20"/>
      <w:szCs w:val="20"/>
    </w:rPr>
  </w:style>
  <w:style w:type="paragraph" w:styleId="Pedmtkomente">
    <w:name w:val="annotation subject"/>
    <w:basedOn w:val="Textkomente"/>
    <w:next w:val="Textkomente"/>
    <w:link w:val="PedmtkomenteChar"/>
    <w:uiPriority w:val="99"/>
    <w:semiHidden/>
    <w:unhideWhenUsed/>
    <w:rsid w:val="007164A5"/>
    <w:rPr>
      <w:b/>
      <w:bCs/>
    </w:rPr>
  </w:style>
  <w:style w:type="character" w:customStyle="1" w:styleId="PedmtkomenteChar">
    <w:name w:val="Předmět komentáře Char"/>
    <w:basedOn w:val="TextkomenteChar"/>
    <w:link w:val="Pedmtkomente"/>
    <w:uiPriority w:val="99"/>
    <w:semiHidden/>
    <w:rsid w:val="007164A5"/>
    <w:rPr>
      <w:b/>
      <w:bCs/>
      <w:sz w:val="20"/>
      <w:szCs w:val="20"/>
    </w:rPr>
  </w:style>
  <w:style w:type="paragraph" w:styleId="Revize">
    <w:name w:val="Revision"/>
    <w:hidden/>
    <w:uiPriority w:val="99"/>
    <w:semiHidden/>
    <w:rsid w:val="007164A5"/>
    <w:pPr>
      <w:spacing w:after="0" w:line="240" w:lineRule="auto"/>
    </w:pPr>
  </w:style>
  <w:style w:type="paragraph" w:customStyle="1" w:styleId="TABULKA0">
    <w:name w:val="TABULKA"/>
    <w:basedOn w:val="Normln"/>
    <w:link w:val="TABULKAChar"/>
    <w:qFormat/>
    <w:rsid w:val="007164A5"/>
    <w:pPr>
      <w:spacing w:after="60"/>
      <w:jc w:val="both"/>
    </w:pPr>
    <w:rPr>
      <w:rFonts w:ascii="Calibri" w:eastAsia="TimesNewRoman" w:hAnsi="Calibri" w:cs="TimesNewRoman"/>
      <w:b/>
    </w:rPr>
  </w:style>
  <w:style w:type="paragraph" w:customStyle="1" w:styleId="OBRZEK0">
    <w:name w:val="OBRÁZEK"/>
    <w:basedOn w:val="Normln"/>
    <w:link w:val="OBRZEKChar"/>
    <w:qFormat/>
    <w:rsid w:val="007164A5"/>
    <w:pPr>
      <w:spacing w:after="60"/>
      <w:jc w:val="both"/>
    </w:pPr>
    <w:rPr>
      <w:b/>
    </w:rPr>
  </w:style>
  <w:style w:type="paragraph" w:styleId="Nadpisobsahu">
    <w:name w:val="TOC Heading"/>
    <w:basedOn w:val="Nadpis1"/>
    <w:next w:val="Normln"/>
    <w:uiPriority w:val="39"/>
    <w:unhideWhenUsed/>
    <w:qFormat/>
    <w:rsid w:val="007164A5"/>
    <w:pPr>
      <w:spacing w:before="240" w:line="259" w:lineRule="auto"/>
      <w:jc w:val="center"/>
      <w:outlineLvl w:val="9"/>
    </w:pPr>
    <w:rPr>
      <w:rFonts w:ascii="Calibri" w:hAnsi="Calibri"/>
      <w:bCs w:val="0"/>
      <w:sz w:val="64"/>
      <w:szCs w:val="32"/>
      <w:lang w:eastAsia="cs-CZ"/>
    </w:rPr>
  </w:style>
  <w:style w:type="character" w:customStyle="1" w:styleId="TABULKAChar">
    <w:name w:val="TABULKA Char"/>
    <w:basedOn w:val="Standardnpsmoodstavce"/>
    <w:link w:val="TABULKA0"/>
    <w:rsid w:val="00031452"/>
    <w:rPr>
      <w:rFonts w:ascii="Calibri" w:eastAsia="TimesNewRoman" w:hAnsi="Calibri" w:cs="TimesNewRoman"/>
      <w:b/>
    </w:rPr>
  </w:style>
  <w:style w:type="character" w:customStyle="1" w:styleId="OBRZEKChar">
    <w:name w:val="OBRÁZEK Char"/>
    <w:basedOn w:val="Standardnpsmoodstavce"/>
    <w:link w:val="OBRZEK0"/>
    <w:rsid w:val="00031452"/>
    <w:rPr>
      <w:b/>
    </w:rPr>
  </w:style>
  <w:style w:type="character" w:customStyle="1" w:styleId="FormtovanvHTMLChar">
    <w:name w:val="Formátovaný v HTML Char"/>
    <w:basedOn w:val="Standardnpsmoodstavce"/>
    <w:link w:val="FormtovanvHTML"/>
    <w:uiPriority w:val="99"/>
    <w:semiHidden/>
    <w:rsid w:val="00031452"/>
    <w:rPr>
      <w:rFonts w:ascii="Consolas" w:hAnsi="Consolas" w:cs="Consolas"/>
      <w:sz w:val="20"/>
      <w:szCs w:val="20"/>
    </w:rPr>
  </w:style>
  <w:style w:type="paragraph" w:styleId="FormtovanvHTML">
    <w:name w:val="HTML Preformatted"/>
    <w:basedOn w:val="Normln"/>
    <w:link w:val="FormtovanvHTMLChar"/>
    <w:uiPriority w:val="99"/>
    <w:semiHidden/>
    <w:unhideWhenUsed/>
    <w:rsid w:val="00031452"/>
    <w:rPr>
      <w:rFonts w:ascii="Consolas" w:hAnsi="Consolas" w:cs="Consolas"/>
      <w:sz w:val="20"/>
      <w:szCs w:val="20"/>
    </w:rPr>
  </w:style>
  <w:style w:type="character" w:customStyle="1" w:styleId="FormtovanvHTMLChar1">
    <w:name w:val="Formátovaný v HTML Char1"/>
    <w:basedOn w:val="Standardnpsmoodstavce"/>
    <w:uiPriority w:val="99"/>
    <w:semiHidden/>
    <w:rsid w:val="00031452"/>
    <w:rPr>
      <w:rFonts w:ascii="Consolas" w:hAnsi="Consolas" w:cs="Consolas"/>
      <w:sz w:val="20"/>
      <w:szCs w:val="20"/>
    </w:rPr>
  </w:style>
  <w:style w:type="paragraph" w:customStyle="1" w:styleId="Hlavnkapitola">
    <w:name w:val="Hlavní kapitola"/>
    <w:basedOn w:val="Normln"/>
    <w:link w:val="HlavnkapitolaChar"/>
    <w:rsid w:val="00031452"/>
    <w:pPr>
      <w:spacing w:line="360" w:lineRule="auto"/>
      <w:jc w:val="both"/>
    </w:pPr>
    <w:rPr>
      <w:b/>
      <w:sz w:val="36"/>
      <w:szCs w:val="36"/>
    </w:rPr>
  </w:style>
  <w:style w:type="character" w:customStyle="1" w:styleId="HlavnkapitolaChar">
    <w:name w:val="Hlavní kapitola Char"/>
    <w:basedOn w:val="Standardnpsmoodstavce"/>
    <w:link w:val="Hlavnkapitola"/>
    <w:rsid w:val="00031452"/>
    <w:rPr>
      <w:b/>
      <w:sz w:val="36"/>
      <w:szCs w:val="36"/>
    </w:rPr>
  </w:style>
  <w:style w:type="paragraph" w:customStyle="1" w:styleId="GRAF0">
    <w:name w:val="GRAF"/>
    <w:basedOn w:val="Normln"/>
    <w:link w:val="GRAFChar"/>
    <w:qFormat/>
    <w:rsid w:val="00C921B8"/>
    <w:pPr>
      <w:spacing w:after="60"/>
      <w:jc w:val="both"/>
    </w:pPr>
    <w:rPr>
      <w:rFonts w:eastAsia="TimesNewRoman" w:cs="TimesNewRoman"/>
      <w:b/>
    </w:rPr>
  </w:style>
  <w:style w:type="character" w:customStyle="1" w:styleId="GRAFChar">
    <w:name w:val="GRAF Char"/>
    <w:basedOn w:val="Standardnpsmoodstavce"/>
    <w:link w:val="GRAF0"/>
    <w:rsid w:val="00C921B8"/>
    <w:rPr>
      <w:rFonts w:eastAsia="TimesNewRoman" w:cs="TimesNewRoman"/>
      <w:b/>
    </w:rPr>
  </w:style>
  <w:style w:type="paragraph" w:customStyle="1" w:styleId="PLOHA">
    <w:name w:val="PŘÍLOHA"/>
    <w:basedOn w:val="Normln"/>
    <w:link w:val="PLOHAChar"/>
    <w:qFormat/>
    <w:rsid w:val="00031452"/>
    <w:pPr>
      <w:spacing w:after="120"/>
      <w:jc w:val="both"/>
    </w:pPr>
    <w:rPr>
      <w:b/>
    </w:rPr>
  </w:style>
  <w:style w:type="character" w:customStyle="1" w:styleId="PLOHAChar">
    <w:name w:val="PŘÍLOHA Char"/>
    <w:basedOn w:val="Standardnpsmoodstavce"/>
    <w:link w:val="PLOHA"/>
    <w:rsid w:val="00031452"/>
    <w:rPr>
      <w:b/>
    </w:rPr>
  </w:style>
  <w:style w:type="paragraph" w:customStyle="1" w:styleId="SEZNAMY">
    <w:name w:val="SEZNAMY"/>
    <w:basedOn w:val="Normln"/>
    <w:link w:val="SEZNAMYChar"/>
    <w:qFormat/>
    <w:rsid w:val="00031452"/>
    <w:rPr>
      <w:b/>
      <w:sz w:val="28"/>
      <w:szCs w:val="28"/>
    </w:rPr>
  </w:style>
  <w:style w:type="character" w:customStyle="1" w:styleId="SEZNAMYChar">
    <w:name w:val="SEZNAMY Char"/>
    <w:basedOn w:val="Standardnpsmoodstavce"/>
    <w:link w:val="SEZNAMY"/>
    <w:rsid w:val="00031452"/>
    <w:rPr>
      <w:b/>
      <w:sz w:val="28"/>
      <w:szCs w:val="28"/>
    </w:rPr>
  </w:style>
  <w:style w:type="paragraph" w:styleId="Seznamobrzk">
    <w:name w:val="table of figures"/>
    <w:basedOn w:val="Normln"/>
    <w:next w:val="Normln"/>
    <w:uiPriority w:val="99"/>
    <w:unhideWhenUsed/>
    <w:rsid w:val="00031452"/>
  </w:style>
  <w:style w:type="paragraph" w:styleId="Rejstk1">
    <w:name w:val="index 1"/>
    <w:basedOn w:val="Normln"/>
    <w:next w:val="Normln"/>
    <w:autoRedefine/>
    <w:uiPriority w:val="99"/>
    <w:semiHidden/>
    <w:unhideWhenUsed/>
    <w:rsid w:val="00031452"/>
    <w:pPr>
      <w:ind w:left="220" w:hanging="220"/>
    </w:pPr>
  </w:style>
  <w:style w:type="character" w:styleId="Nevyeenzmnka">
    <w:name w:val="Unresolved Mention"/>
    <w:basedOn w:val="Standardnpsmoodstavce"/>
    <w:uiPriority w:val="99"/>
    <w:semiHidden/>
    <w:unhideWhenUsed/>
    <w:rsid w:val="00660B27"/>
    <w:rPr>
      <w:color w:val="808080"/>
      <w:shd w:val="clear" w:color="auto" w:fill="E6E6E6"/>
    </w:rPr>
  </w:style>
  <w:style w:type="character" w:customStyle="1" w:styleId="cizojazycne">
    <w:name w:val="cizojazycne"/>
    <w:basedOn w:val="Standardnpsmoodstavce"/>
    <w:rsid w:val="00C4045A"/>
  </w:style>
  <w:style w:type="paragraph" w:customStyle="1" w:styleId="Vkldntextu">
    <w:name w:val="Vkládání textu"/>
    <w:basedOn w:val="Normln"/>
    <w:qFormat/>
    <w:rsid w:val="002A4EE7"/>
    <w:pPr>
      <w:jc w:val="right"/>
    </w:pPr>
    <w:rPr>
      <w:rFonts w:ascii="Calibri" w:eastAsia="Times New Roman" w:hAnsi="Calibri" w:cs="Calibri"/>
      <w:color w:val="000000"/>
      <w:lang w:eastAsia="cs-CZ"/>
    </w:rPr>
  </w:style>
  <w:style w:type="character" w:customStyle="1" w:styleId="Nadpis5Char">
    <w:name w:val="Nadpis 5 Char"/>
    <w:basedOn w:val="Standardnpsmoodstavce"/>
    <w:link w:val="Nadpis5"/>
    <w:uiPriority w:val="9"/>
    <w:semiHidden/>
    <w:rsid w:val="00F47535"/>
    <w:rPr>
      <w:rFonts w:asciiTheme="majorHAnsi" w:eastAsiaTheme="majorEastAsia" w:hAnsiTheme="majorHAnsi" w:cstheme="majorBidi"/>
      <w:color w:val="365F91" w:themeColor="accent1" w:themeShade="BF"/>
    </w:rPr>
  </w:style>
  <w:style w:type="paragraph" w:styleId="Normlnweb">
    <w:name w:val="Normal (Web)"/>
    <w:basedOn w:val="Normln"/>
    <w:uiPriority w:val="99"/>
    <w:semiHidden/>
    <w:unhideWhenUsed/>
    <w:rsid w:val="00F47535"/>
    <w:pPr>
      <w:spacing w:before="100" w:beforeAutospacing="1" w:after="100" w:afterAutospacing="1"/>
    </w:pPr>
    <w:rPr>
      <w:rFonts w:ascii="Times New Roman" w:eastAsia="Times New Roman" w:hAnsi="Times New Roman" w:cs="Times New Roman"/>
      <w:sz w:val="24"/>
      <w:szCs w:val="24"/>
      <w:lang w:eastAsia="cs-CZ"/>
    </w:rPr>
  </w:style>
  <w:style w:type="paragraph" w:styleId="Textvysvtlivek">
    <w:name w:val="endnote text"/>
    <w:basedOn w:val="Normln"/>
    <w:link w:val="TextvysvtlivekChar"/>
    <w:uiPriority w:val="99"/>
    <w:semiHidden/>
    <w:unhideWhenUsed/>
    <w:rsid w:val="00F47535"/>
    <w:rPr>
      <w:sz w:val="20"/>
      <w:szCs w:val="20"/>
    </w:rPr>
  </w:style>
  <w:style w:type="character" w:customStyle="1" w:styleId="TextvysvtlivekChar">
    <w:name w:val="Text vysvětlivek Char"/>
    <w:basedOn w:val="Standardnpsmoodstavce"/>
    <w:link w:val="Textvysvtlivek"/>
    <w:uiPriority w:val="99"/>
    <w:semiHidden/>
    <w:rsid w:val="00F47535"/>
    <w:rPr>
      <w:sz w:val="20"/>
      <w:szCs w:val="20"/>
    </w:rPr>
  </w:style>
  <w:style w:type="character" w:styleId="Odkaznavysvtlivky">
    <w:name w:val="endnote reference"/>
    <w:basedOn w:val="Standardnpsmoodstavce"/>
    <w:uiPriority w:val="99"/>
    <w:semiHidden/>
    <w:unhideWhenUsed/>
    <w:rsid w:val="00F47535"/>
    <w:rPr>
      <w:vertAlign w:val="superscript"/>
    </w:rPr>
  </w:style>
  <w:style w:type="character" w:customStyle="1" w:styleId="keyvaluebox-row-value">
    <w:name w:val="keyvaluebox-row-value"/>
    <w:basedOn w:val="Standardnpsmoodstavce"/>
    <w:rsid w:val="00F75310"/>
  </w:style>
  <w:style w:type="table" w:customStyle="1" w:styleId="Mkatabulky2">
    <w:name w:val="Mřížka tabulky2"/>
    <w:basedOn w:val="Normlntabulka"/>
    <w:next w:val="Mkatabulky"/>
    <w:uiPriority w:val="39"/>
    <w:rsid w:val="00DB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39"/>
    <w:rsid w:val="00DB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DB41E2"/>
    <w:rPr>
      <w:color w:val="808080"/>
    </w:rPr>
  </w:style>
  <w:style w:type="table" w:customStyle="1" w:styleId="Mkatabulky21">
    <w:name w:val="Mřížka tabulky21"/>
    <w:basedOn w:val="Normlntabulka"/>
    <w:next w:val="Mkatabulky"/>
    <w:uiPriority w:val="39"/>
    <w:rsid w:val="00DB41E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B86EC0"/>
  </w:style>
  <w:style w:type="character" w:customStyle="1" w:styleId="address">
    <w:name w:val="address"/>
    <w:rsid w:val="00B86EC0"/>
  </w:style>
  <w:style w:type="table" w:customStyle="1" w:styleId="Mkatabulky4">
    <w:name w:val="Mřížka tabulky4"/>
    <w:basedOn w:val="Normlntabulka"/>
    <w:next w:val="Mkatabulky"/>
    <w:uiPriority w:val="39"/>
    <w:rsid w:val="00B86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
    <w:name w:val="Bez seznamu2"/>
    <w:next w:val="Bezseznamu"/>
    <w:uiPriority w:val="99"/>
    <w:semiHidden/>
    <w:unhideWhenUsed/>
    <w:rsid w:val="00E25C73"/>
  </w:style>
  <w:style w:type="paragraph" w:styleId="Nzev">
    <w:name w:val="Title"/>
    <w:basedOn w:val="Normln"/>
    <w:next w:val="Normln"/>
    <w:link w:val="NzevChar"/>
    <w:uiPriority w:val="10"/>
    <w:qFormat/>
    <w:rsid w:val="00C60C87"/>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60C8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246">
      <w:bodyDiv w:val="1"/>
      <w:marLeft w:val="0"/>
      <w:marRight w:val="0"/>
      <w:marTop w:val="0"/>
      <w:marBottom w:val="0"/>
      <w:divBdr>
        <w:top w:val="none" w:sz="0" w:space="0" w:color="auto"/>
        <w:left w:val="none" w:sz="0" w:space="0" w:color="auto"/>
        <w:bottom w:val="none" w:sz="0" w:space="0" w:color="auto"/>
        <w:right w:val="none" w:sz="0" w:space="0" w:color="auto"/>
      </w:divBdr>
    </w:div>
    <w:div w:id="1443072">
      <w:bodyDiv w:val="1"/>
      <w:marLeft w:val="0"/>
      <w:marRight w:val="0"/>
      <w:marTop w:val="0"/>
      <w:marBottom w:val="0"/>
      <w:divBdr>
        <w:top w:val="none" w:sz="0" w:space="0" w:color="auto"/>
        <w:left w:val="none" w:sz="0" w:space="0" w:color="auto"/>
        <w:bottom w:val="none" w:sz="0" w:space="0" w:color="auto"/>
        <w:right w:val="none" w:sz="0" w:space="0" w:color="auto"/>
      </w:divBdr>
    </w:div>
    <w:div w:id="15667588">
      <w:bodyDiv w:val="1"/>
      <w:marLeft w:val="0"/>
      <w:marRight w:val="0"/>
      <w:marTop w:val="0"/>
      <w:marBottom w:val="0"/>
      <w:divBdr>
        <w:top w:val="none" w:sz="0" w:space="0" w:color="auto"/>
        <w:left w:val="none" w:sz="0" w:space="0" w:color="auto"/>
        <w:bottom w:val="none" w:sz="0" w:space="0" w:color="auto"/>
        <w:right w:val="none" w:sz="0" w:space="0" w:color="auto"/>
      </w:divBdr>
    </w:div>
    <w:div w:id="18361975">
      <w:bodyDiv w:val="1"/>
      <w:marLeft w:val="0"/>
      <w:marRight w:val="0"/>
      <w:marTop w:val="0"/>
      <w:marBottom w:val="0"/>
      <w:divBdr>
        <w:top w:val="none" w:sz="0" w:space="0" w:color="auto"/>
        <w:left w:val="none" w:sz="0" w:space="0" w:color="auto"/>
        <w:bottom w:val="none" w:sz="0" w:space="0" w:color="auto"/>
        <w:right w:val="none" w:sz="0" w:space="0" w:color="auto"/>
      </w:divBdr>
    </w:div>
    <w:div w:id="28729148">
      <w:bodyDiv w:val="1"/>
      <w:marLeft w:val="0"/>
      <w:marRight w:val="0"/>
      <w:marTop w:val="0"/>
      <w:marBottom w:val="0"/>
      <w:divBdr>
        <w:top w:val="none" w:sz="0" w:space="0" w:color="auto"/>
        <w:left w:val="none" w:sz="0" w:space="0" w:color="auto"/>
        <w:bottom w:val="none" w:sz="0" w:space="0" w:color="auto"/>
        <w:right w:val="none" w:sz="0" w:space="0" w:color="auto"/>
      </w:divBdr>
    </w:div>
    <w:div w:id="48456741">
      <w:bodyDiv w:val="1"/>
      <w:marLeft w:val="0"/>
      <w:marRight w:val="0"/>
      <w:marTop w:val="0"/>
      <w:marBottom w:val="0"/>
      <w:divBdr>
        <w:top w:val="none" w:sz="0" w:space="0" w:color="auto"/>
        <w:left w:val="none" w:sz="0" w:space="0" w:color="auto"/>
        <w:bottom w:val="none" w:sz="0" w:space="0" w:color="auto"/>
        <w:right w:val="none" w:sz="0" w:space="0" w:color="auto"/>
      </w:divBdr>
      <w:divsChild>
        <w:div w:id="441921106">
          <w:marLeft w:val="0"/>
          <w:marRight w:val="0"/>
          <w:marTop w:val="0"/>
          <w:marBottom w:val="0"/>
          <w:divBdr>
            <w:top w:val="none" w:sz="0" w:space="0" w:color="auto"/>
            <w:left w:val="none" w:sz="0" w:space="0" w:color="auto"/>
            <w:bottom w:val="none" w:sz="0" w:space="0" w:color="auto"/>
            <w:right w:val="none" w:sz="0" w:space="0" w:color="auto"/>
          </w:divBdr>
        </w:div>
        <w:div w:id="494077889">
          <w:marLeft w:val="0"/>
          <w:marRight w:val="0"/>
          <w:marTop w:val="0"/>
          <w:marBottom w:val="0"/>
          <w:divBdr>
            <w:top w:val="none" w:sz="0" w:space="0" w:color="auto"/>
            <w:left w:val="none" w:sz="0" w:space="0" w:color="auto"/>
            <w:bottom w:val="none" w:sz="0" w:space="0" w:color="auto"/>
            <w:right w:val="none" w:sz="0" w:space="0" w:color="auto"/>
          </w:divBdr>
        </w:div>
      </w:divsChild>
    </w:div>
    <w:div w:id="51931506">
      <w:bodyDiv w:val="1"/>
      <w:marLeft w:val="0"/>
      <w:marRight w:val="0"/>
      <w:marTop w:val="0"/>
      <w:marBottom w:val="0"/>
      <w:divBdr>
        <w:top w:val="none" w:sz="0" w:space="0" w:color="auto"/>
        <w:left w:val="none" w:sz="0" w:space="0" w:color="auto"/>
        <w:bottom w:val="none" w:sz="0" w:space="0" w:color="auto"/>
        <w:right w:val="none" w:sz="0" w:space="0" w:color="auto"/>
      </w:divBdr>
    </w:div>
    <w:div w:id="58408749">
      <w:bodyDiv w:val="1"/>
      <w:marLeft w:val="0"/>
      <w:marRight w:val="0"/>
      <w:marTop w:val="0"/>
      <w:marBottom w:val="0"/>
      <w:divBdr>
        <w:top w:val="none" w:sz="0" w:space="0" w:color="auto"/>
        <w:left w:val="none" w:sz="0" w:space="0" w:color="auto"/>
        <w:bottom w:val="none" w:sz="0" w:space="0" w:color="auto"/>
        <w:right w:val="none" w:sz="0" w:space="0" w:color="auto"/>
      </w:divBdr>
    </w:div>
    <w:div w:id="104468812">
      <w:bodyDiv w:val="1"/>
      <w:marLeft w:val="0"/>
      <w:marRight w:val="0"/>
      <w:marTop w:val="0"/>
      <w:marBottom w:val="0"/>
      <w:divBdr>
        <w:top w:val="none" w:sz="0" w:space="0" w:color="auto"/>
        <w:left w:val="none" w:sz="0" w:space="0" w:color="auto"/>
        <w:bottom w:val="none" w:sz="0" w:space="0" w:color="auto"/>
        <w:right w:val="none" w:sz="0" w:space="0" w:color="auto"/>
      </w:divBdr>
    </w:div>
    <w:div w:id="114759984">
      <w:bodyDiv w:val="1"/>
      <w:marLeft w:val="0"/>
      <w:marRight w:val="0"/>
      <w:marTop w:val="0"/>
      <w:marBottom w:val="0"/>
      <w:divBdr>
        <w:top w:val="none" w:sz="0" w:space="0" w:color="auto"/>
        <w:left w:val="none" w:sz="0" w:space="0" w:color="auto"/>
        <w:bottom w:val="none" w:sz="0" w:space="0" w:color="auto"/>
        <w:right w:val="none" w:sz="0" w:space="0" w:color="auto"/>
      </w:divBdr>
      <w:divsChild>
        <w:div w:id="1071386598">
          <w:marLeft w:val="0"/>
          <w:marRight w:val="0"/>
          <w:marTop w:val="0"/>
          <w:marBottom w:val="0"/>
          <w:divBdr>
            <w:top w:val="none" w:sz="0" w:space="0" w:color="auto"/>
            <w:left w:val="none" w:sz="0" w:space="0" w:color="auto"/>
            <w:bottom w:val="none" w:sz="0" w:space="0" w:color="auto"/>
            <w:right w:val="none" w:sz="0" w:space="0" w:color="auto"/>
          </w:divBdr>
        </w:div>
      </w:divsChild>
    </w:div>
    <w:div w:id="118912775">
      <w:bodyDiv w:val="1"/>
      <w:marLeft w:val="0"/>
      <w:marRight w:val="0"/>
      <w:marTop w:val="0"/>
      <w:marBottom w:val="0"/>
      <w:divBdr>
        <w:top w:val="none" w:sz="0" w:space="0" w:color="auto"/>
        <w:left w:val="none" w:sz="0" w:space="0" w:color="auto"/>
        <w:bottom w:val="none" w:sz="0" w:space="0" w:color="auto"/>
        <w:right w:val="none" w:sz="0" w:space="0" w:color="auto"/>
      </w:divBdr>
    </w:div>
    <w:div w:id="140509983">
      <w:bodyDiv w:val="1"/>
      <w:marLeft w:val="0"/>
      <w:marRight w:val="0"/>
      <w:marTop w:val="0"/>
      <w:marBottom w:val="0"/>
      <w:divBdr>
        <w:top w:val="none" w:sz="0" w:space="0" w:color="auto"/>
        <w:left w:val="none" w:sz="0" w:space="0" w:color="auto"/>
        <w:bottom w:val="none" w:sz="0" w:space="0" w:color="auto"/>
        <w:right w:val="none" w:sz="0" w:space="0" w:color="auto"/>
      </w:divBdr>
    </w:div>
    <w:div w:id="167717383">
      <w:bodyDiv w:val="1"/>
      <w:marLeft w:val="0"/>
      <w:marRight w:val="0"/>
      <w:marTop w:val="0"/>
      <w:marBottom w:val="0"/>
      <w:divBdr>
        <w:top w:val="none" w:sz="0" w:space="0" w:color="auto"/>
        <w:left w:val="none" w:sz="0" w:space="0" w:color="auto"/>
        <w:bottom w:val="none" w:sz="0" w:space="0" w:color="auto"/>
        <w:right w:val="none" w:sz="0" w:space="0" w:color="auto"/>
      </w:divBdr>
    </w:div>
    <w:div w:id="168525760">
      <w:bodyDiv w:val="1"/>
      <w:marLeft w:val="0"/>
      <w:marRight w:val="0"/>
      <w:marTop w:val="0"/>
      <w:marBottom w:val="0"/>
      <w:divBdr>
        <w:top w:val="none" w:sz="0" w:space="0" w:color="auto"/>
        <w:left w:val="none" w:sz="0" w:space="0" w:color="auto"/>
        <w:bottom w:val="none" w:sz="0" w:space="0" w:color="auto"/>
        <w:right w:val="none" w:sz="0" w:space="0" w:color="auto"/>
      </w:divBdr>
    </w:div>
    <w:div w:id="182012155">
      <w:bodyDiv w:val="1"/>
      <w:marLeft w:val="0"/>
      <w:marRight w:val="0"/>
      <w:marTop w:val="0"/>
      <w:marBottom w:val="0"/>
      <w:divBdr>
        <w:top w:val="none" w:sz="0" w:space="0" w:color="auto"/>
        <w:left w:val="none" w:sz="0" w:space="0" w:color="auto"/>
        <w:bottom w:val="none" w:sz="0" w:space="0" w:color="auto"/>
        <w:right w:val="none" w:sz="0" w:space="0" w:color="auto"/>
      </w:divBdr>
    </w:div>
    <w:div w:id="227110436">
      <w:bodyDiv w:val="1"/>
      <w:marLeft w:val="0"/>
      <w:marRight w:val="0"/>
      <w:marTop w:val="0"/>
      <w:marBottom w:val="0"/>
      <w:divBdr>
        <w:top w:val="none" w:sz="0" w:space="0" w:color="auto"/>
        <w:left w:val="none" w:sz="0" w:space="0" w:color="auto"/>
        <w:bottom w:val="none" w:sz="0" w:space="0" w:color="auto"/>
        <w:right w:val="none" w:sz="0" w:space="0" w:color="auto"/>
      </w:divBdr>
      <w:divsChild>
        <w:div w:id="1939217096">
          <w:marLeft w:val="547"/>
          <w:marRight w:val="0"/>
          <w:marTop w:val="0"/>
          <w:marBottom w:val="0"/>
          <w:divBdr>
            <w:top w:val="none" w:sz="0" w:space="0" w:color="auto"/>
            <w:left w:val="none" w:sz="0" w:space="0" w:color="auto"/>
            <w:bottom w:val="none" w:sz="0" w:space="0" w:color="auto"/>
            <w:right w:val="none" w:sz="0" w:space="0" w:color="auto"/>
          </w:divBdr>
        </w:div>
      </w:divsChild>
    </w:div>
    <w:div w:id="241525545">
      <w:bodyDiv w:val="1"/>
      <w:marLeft w:val="0"/>
      <w:marRight w:val="0"/>
      <w:marTop w:val="0"/>
      <w:marBottom w:val="0"/>
      <w:divBdr>
        <w:top w:val="none" w:sz="0" w:space="0" w:color="auto"/>
        <w:left w:val="none" w:sz="0" w:space="0" w:color="auto"/>
        <w:bottom w:val="none" w:sz="0" w:space="0" w:color="auto"/>
        <w:right w:val="none" w:sz="0" w:space="0" w:color="auto"/>
      </w:divBdr>
      <w:divsChild>
        <w:div w:id="1622107677">
          <w:marLeft w:val="547"/>
          <w:marRight w:val="0"/>
          <w:marTop w:val="0"/>
          <w:marBottom w:val="0"/>
          <w:divBdr>
            <w:top w:val="none" w:sz="0" w:space="0" w:color="auto"/>
            <w:left w:val="none" w:sz="0" w:space="0" w:color="auto"/>
            <w:bottom w:val="none" w:sz="0" w:space="0" w:color="auto"/>
            <w:right w:val="none" w:sz="0" w:space="0" w:color="auto"/>
          </w:divBdr>
        </w:div>
      </w:divsChild>
    </w:div>
    <w:div w:id="246112706">
      <w:bodyDiv w:val="1"/>
      <w:marLeft w:val="0"/>
      <w:marRight w:val="0"/>
      <w:marTop w:val="0"/>
      <w:marBottom w:val="0"/>
      <w:divBdr>
        <w:top w:val="none" w:sz="0" w:space="0" w:color="auto"/>
        <w:left w:val="none" w:sz="0" w:space="0" w:color="auto"/>
        <w:bottom w:val="none" w:sz="0" w:space="0" w:color="auto"/>
        <w:right w:val="none" w:sz="0" w:space="0" w:color="auto"/>
      </w:divBdr>
    </w:div>
    <w:div w:id="276987894">
      <w:bodyDiv w:val="1"/>
      <w:marLeft w:val="0"/>
      <w:marRight w:val="0"/>
      <w:marTop w:val="0"/>
      <w:marBottom w:val="0"/>
      <w:divBdr>
        <w:top w:val="none" w:sz="0" w:space="0" w:color="auto"/>
        <w:left w:val="none" w:sz="0" w:space="0" w:color="auto"/>
        <w:bottom w:val="none" w:sz="0" w:space="0" w:color="auto"/>
        <w:right w:val="none" w:sz="0" w:space="0" w:color="auto"/>
      </w:divBdr>
      <w:divsChild>
        <w:div w:id="2070838451">
          <w:marLeft w:val="547"/>
          <w:marRight w:val="0"/>
          <w:marTop w:val="0"/>
          <w:marBottom w:val="0"/>
          <w:divBdr>
            <w:top w:val="none" w:sz="0" w:space="0" w:color="auto"/>
            <w:left w:val="none" w:sz="0" w:space="0" w:color="auto"/>
            <w:bottom w:val="none" w:sz="0" w:space="0" w:color="auto"/>
            <w:right w:val="none" w:sz="0" w:space="0" w:color="auto"/>
          </w:divBdr>
        </w:div>
      </w:divsChild>
    </w:div>
    <w:div w:id="279804540">
      <w:bodyDiv w:val="1"/>
      <w:marLeft w:val="0"/>
      <w:marRight w:val="0"/>
      <w:marTop w:val="0"/>
      <w:marBottom w:val="0"/>
      <w:divBdr>
        <w:top w:val="none" w:sz="0" w:space="0" w:color="auto"/>
        <w:left w:val="none" w:sz="0" w:space="0" w:color="auto"/>
        <w:bottom w:val="none" w:sz="0" w:space="0" w:color="auto"/>
        <w:right w:val="none" w:sz="0" w:space="0" w:color="auto"/>
      </w:divBdr>
    </w:div>
    <w:div w:id="280723312">
      <w:bodyDiv w:val="1"/>
      <w:marLeft w:val="0"/>
      <w:marRight w:val="0"/>
      <w:marTop w:val="0"/>
      <w:marBottom w:val="0"/>
      <w:divBdr>
        <w:top w:val="none" w:sz="0" w:space="0" w:color="auto"/>
        <w:left w:val="none" w:sz="0" w:space="0" w:color="auto"/>
        <w:bottom w:val="none" w:sz="0" w:space="0" w:color="auto"/>
        <w:right w:val="none" w:sz="0" w:space="0" w:color="auto"/>
      </w:divBdr>
    </w:div>
    <w:div w:id="298145800">
      <w:bodyDiv w:val="1"/>
      <w:marLeft w:val="0"/>
      <w:marRight w:val="0"/>
      <w:marTop w:val="0"/>
      <w:marBottom w:val="0"/>
      <w:divBdr>
        <w:top w:val="none" w:sz="0" w:space="0" w:color="auto"/>
        <w:left w:val="none" w:sz="0" w:space="0" w:color="auto"/>
        <w:bottom w:val="none" w:sz="0" w:space="0" w:color="auto"/>
        <w:right w:val="none" w:sz="0" w:space="0" w:color="auto"/>
      </w:divBdr>
    </w:div>
    <w:div w:id="299918752">
      <w:bodyDiv w:val="1"/>
      <w:marLeft w:val="0"/>
      <w:marRight w:val="0"/>
      <w:marTop w:val="0"/>
      <w:marBottom w:val="0"/>
      <w:divBdr>
        <w:top w:val="none" w:sz="0" w:space="0" w:color="auto"/>
        <w:left w:val="none" w:sz="0" w:space="0" w:color="auto"/>
        <w:bottom w:val="none" w:sz="0" w:space="0" w:color="auto"/>
        <w:right w:val="none" w:sz="0" w:space="0" w:color="auto"/>
      </w:divBdr>
    </w:div>
    <w:div w:id="305160453">
      <w:bodyDiv w:val="1"/>
      <w:marLeft w:val="0"/>
      <w:marRight w:val="0"/>
      <w:marTop w:val="0"/>
      <w:marBottom w:val="0"/>
      <w:divBdr>
        <w:top w:val="none" w:sz="0" w:space="0" w:color="auto"/>
        <w:left w:val="none" w:sz="0" w:space="0" w:color="auto"/>
        <w:bottom w:val="none" w:sz="0" w:space="0" w:color="auto"/>
        <w:right w:val="none" w:sz="0" w:space="0" w:color="auto"/>
      </w:divBdr>
    </w:div>
    <w:div w:id="310406714">
      <w:bodyDiv w:val="1"/>
      <w:marLeft w:val="0"/>
      <w:marRight w:val="0"/>
      <w:marTop w:val="0"/>
      <w:marBottom w:val="0"/>
      <w:divBdr>
        <w:top w:val="none" w:sz="0" w:space="0" w:color="auto"/>
        <w:left w:val="none" w:sz="0" w:space="0" w:color="auto"/>
        <w:bottom w:val="none" w:sz="0" w:space="0" w:color="auto"/>
        <w:right w:val="none" w:sz="0" w:space="0" w:color="auto"/>
      </w:divBdr>
    </w:div>
    <w:div w:id="323241993">
      <w:bodyDiv w:val="1"/>
      <w:marLeft w:val="0"/>
      <w:marRight w:val="0"/>
      <w:marTop w:val="0"/>
      <w:marBottom w:val="0"/>
      <w:divBdr>
        <w:top w:val="none" w:sz="0" w:space="0" w:color="auto"/>
        <w:left w:val="none" w:sz="0" w:space="0" w:color="auto"/>
        <w:bottom w:val="none" w:sz="0" w:space="0" w:color="auto"/>
        <w:right w:val="none" w:sz="0" w:space="0" w:color="auto"/>
      </w:divBdr>
    </w:div>
    <w:div w:id="334454751">
      <w:bodyDiv w:val="1"/>
      <w:marLeft w:val="0"/>
      <w:marRight w:val="0"/>
      <w:marTop w:val="0"/>
      <w:marBottom w:val="0"/>
      <w:divBdr>
        <w:top w:val="none" w:sz="0" w:space="0" w:color="auto"/>
        <w:left w:val="none" w:sz="0" w:space="0" w:color="auto"/>
        <w:bottom w:val="none" w:sz="0" w:space="0" w:color="auto"/>
        <w:right w:val="none" w:sz="0" w:space="0" w:color="auto"/>
      </w:divBdr>
    </w:div>
    <w:div w:id="335379050">
      <w:bodyDiv w:val="1"/>
      <w:marLeft w:val="0"/>
      <w:marRight w:val="0"/>
      <w:marTop w:val="0"/>
      <w:marBottom w:val="0"/>
      <w:divBdr>
        <w:top w:val="none" w:sz="0" w:space="0" w:color="auto"/>
        <w:left w:val="none" w:sz="0" w:space="0" w:color="auto"/>
        <w:bottom w:val="none" w:sz="0" w:space="0" w:color="auto"/>
        <w:right w:val="none" w:sz="0" w:space="0" w:color="auto"/>
      </w:divBdr>
    </w:div>
    <w:div w:id="340664106">
      <w:bodyDiv w:val="1"/>
      <w:marLeft w:val="0"/>
      <w:marRight w:val="0"/>
      <w:marTop w:val="0"/>
      <w:marBottom w:val="0"/>
      <w:divBdr>
        <w:top w:val="none" w:sz="0" w:space="0" w:color="auto"/>
        <w:left w:val="none" w:sz="0" w:space="0" w:color="auto"/>
        <w:bottom w:val="none" w:sz="0" w:space="0" w:color="auto"/>
        <w:right w:val="none" w:sz="0" w:space="0" w:color="auto"/>
      </w:divBdr>
    </w:div>
    <w:div w:id="346031368">
      <w:bodyDiv w:val="1"/>
      <w:marLeft w:val="0"/>
      <w:marRight w:val="0"/>
      <w:marTop w:val="0"/>
      <w:marBottom w:val="0"/>
      <w:divBdr>
        <w:top w:val="none" w:sz="0" w:space="0" w:color="auto"/>
        <w:left w:val="none" w:sz="0" w:space="0" w:color="auto"/>
        <w:bottom w:val="none" w:sz="0" w:space="0" w:color="auto"/>
        <w:right w:val="none" w:sz="0" w:space="0" w:color="auto"/>
      </w:divBdr>
    </w:div>
    <w:div w:id="356279747">
      <w:bodyDiv w:val="1"/>
      <w:marLeft w:val="0"/>
      <w:marRight w:val="0"/>
      <w:marTop w:val="0"/>
      <w:marBottom w:val="0"/>
      <w:divBdr>
        <w:top w:val="none" w:sz="0" w:space="0" w:color="auto"/>
        <w:left w:val="none" w:sz="0" w:space="0" w:color="auto"/>
        <w:bottom w:val="none" w:sz="0" w:space="0" w:color="auto"/>
        <w:right w:val="none" w:sz="0" w:space="0" w:color="auto"/>
      </w:divBdr>
    </w:div>
    <w:div w:id="375274030">
      <w:bodyDiv w:val="1"/>
      <w:marLeft w:val="0"/>
      <w:marRight w:val="0"/>
      <w:marTop w:val="0"/>
      <w:marBottom w:val="0"/>
      <w:divBdr>
        <w:top w:val="none" w:sz="0" w:space="0" w:color="auto"/>
        <w:left w:val="none" w:sz="0" w:space="0" w:color="auto"/>
        <w:bottom w:val="none" w:sz="0" w:space="0" w:color="auto"/>
        <w:right w:val="none" w:sz="0" w:space="0" w:color="auto"/>
      </w:divBdr>
    </w:div>
    <w:div w:id="402992381">
      <w:bodyDiv w:val="1"/>
      <w:marLeft w:val="0"/>
      <w:marRight w:val="0"/>
      <w:marTop w:val="0"/>
      <w:marBottom w:val="0"/>
      <w:divBdr>
        <w:top w:val="none" w:sz="0" w:space="0" w:color="auto"/>
        <w:left w:val="none" w:sz="0" w:space="0" w:color="auto"/>
        <w:bottom w:val="none" w:sz="0" w:space="0" w:color="auto"/>
        <w:right w:val="none" w:sz="0" w:space="0" w:color="auto"/>
      </w:divBdr>
      <w:divsChild>
        <w:div w:id="933131464">
          <w:marLeft w:val="0"/>
          <w:marRight w:val="0"/>
          <w:marTop w:val="150"/>
          <w:marBottom w:val="0"/>
          <w:divBdr>
            <w:top w:val="none" w:sz="0" w:space="0" w:color="auto"/>
            <w:left w:val="none" w:sz="0" w:space="0" w:color="auto"/>
            <w:bottom w:val="none" w:sz="0" w:space="0" w:color="auto"/>
            <w:right w:val="none" w:sz="0" w:space="0" w:color="auto"/>
          </w:divBdr>
          <w:divsChild>
            <w:div w:id="1506481614">
              <w:marLeft w:val="0"/>
              <w:marRight w:val="210"/>
              <w:marTop w:val="0"/>
              <w:marBottom w:val="0"/>
              <w:divBdr>
                <w:top w:val="none" w:sz="0" w:space="0" w:color="auto"/>
                <w:left w:val="none" w:sz="0" w:space="0" w:color="auto"/>
                <w:bottom w:val="none" w:sz="0" w:space="0" w:color="auto"/>
                <w:right w:val="none" w:sz="0" w:space="0" w:color="auto"/>
              </w:divBdr>
            </w:div>
            <w:div w:id="300236570">
              <w:marLeft w:val="0"/>
              <w:marRight w:val="210"/>
              <w:marTop w:val="0"/>
              <w:marBottom w:val="0"/>
              <w:divBdr>
                <w:top w:val="none" w:sz="0" w:space="0" w:color="auto"/>
                <w:left w:val="none" w:sz="0" w:space="0" w:color="auto"/>
                <w:bottom w:val="none" w:sz="0" w:space="0" w:color="auto"/>
                <w:right w:val="none" w:sz="0" w:space="0" w:color="auto"/>
              </w:divBdr>
            </w:div>
            <w:div w:id="1524903350">
              <w:marLeft w:val="0"/>
              <w:marRight w:val="210"/>
              <w:marTop w:val="0"/>
              <w:marBottom w:val="0"/>
              <w:divBdr>
                <w:top w:val="none" w:sz="0" w:space="0" w:color="auto"/>
                <w:left w:val="none" w:sz="0" w:space="0" w:color="auto"/>
                <w:bottom w:val="none" w:sz="0" w:space="0" w:color="auto"/>
                <w:right w:val="none" w:sz="0" w:space="0" w:color="auto"/>
              </w:divBdr>
            </w:div>
          </w:divsChild>
        </w:div>
        <w:div w:id="1316376485">
          <w:marLeft w:val="0"/>
          <w:marRight w:val="0"/>
          <w:marTop w:val="0"/>
          <w:marBottom w:val="450"/>
          <w:divBdr>
            <w:top w:val="none" w:sz="0" w:space="0" w:color="auto"/>
            <w:left w:val="none" w:sz="0" w:space="0" w:color="auto"/>
            <w:bottom w:val="none" w:sz="0" w:space="0" w:color="auto"/>
            <w:right w:val="none" w:sz="0" w:space="0" w:color="auto"/>
          </w:divBdr>
        </w:div>
      </w:divsChild>
    </w:div>
    <w:div w:id="405614783">
      <w:bodyDiv w:val="1"/>
      <w:marLeft w:val="0"/>
      <w:marRight w:val="0"/>
      <w:marTop w:val="0"/>
      <w:marBottom w:val="0"/>
      <w:divBdr>
        <w:top w:val="none" w:sz="0" w:space="0" w:color="auto"/>
        <w:left w:val="none" w:sz="0" w:space="0" w:color="auto"/>
        <w:bottom w:val="none" w:sz="0" w:space="0" w:color="auto"/>
        <w:right w:val="none" w:sz="0" w:space="0" w:color="auto"/>
      </w:divBdr>
    </w:div>
    <w:div w:id="409888639">
      <w:bodyDiv w:val="1"/>
      <w:marLeft w:val="0"/>
      <w:marRight w:val="0"/>
      <w:marTop w:val="0"/>
      <w:marBottom w:val="0"/>
      <w:divBdr>
        <w:top w:val="none" w:sz="0" w:space="0" w:color="auto"/>
        <w:left w:val="none" w:sz="0" w:space="0" w:color="auto"/>
        <w:bottom w:val="none" w:sz="0" w:space="0" w:color="auto"/>
        <w:right w:val="none" w:sz="0" w:space="0" w:color="auto"/>
      </w:divBdr>
    </w:div>
    <w:div w:id="425659058">
      <w:bodyDiv w:val="1"/>
      <w:marLeft w:val="0"/>
      <w:marRight w:val="0"/>
      <w:marTop w:val="0"/>
      <w:marBottom w:val="0"/>
      <w:divBdr>
        <w:top w:val="none" w:sz="0" w:space="0" w:color="auto"/>
        <w:left w:val="none" w:sz="0" w:space="0" w:color="auto"/>
        <w:bottom w:val="none" w:sz="0" w:space="0" w:color="auto"/>
        <w:right w:val="none" w:sz="0" w:space="0" w:color="auto"/>
      </w:divBdr>
    </w:div>
    <w:div w:id="436558270">
      <w:bodyDiv w:val="1"/>
      <w:marLeft w:val="0"/>
      <w:marRight w:val="0"/>
      <w:marTop w:val="0"/>
      <w:marBottom w:val="0"/>
      <w:divBdr>
        <w:top w:val="none" w:sz="0" w:space="0" w:color="auto"/>
        <w:left w:val="none" w:sz="0" w:space="0" w:color="auto"/>
        <w:bottom w:val="none" w:sz="0" w:space="0" w:color="auto"/>
        <w:right w:val="none" w:sz="0" w:space="0" w:color="auto"/>
      </w:divBdr>
    </w:div>
    <w:div w:id="448671125">
      <w:bodyDiv w:val="1"/>
      <w:marLeft w:val="0"/>
      <w:marRight w:val="0"/>
      <w:marTop w:val="0"/>
      <w:marBottom w:val="0"/>
      <w:divBdr>
        <w:top w:val="none" w:sz="0" w:space="0" w:color="auto"/>
        <w:left w:val="none" w:sz="0" w:space="0" w:color="auto"/>
        <w:bottom w:val="none" w:sz="0" w:space="0" w:color="auto"/>
        <w:right w:val="none" w:sz="0" w:space="0" w:color="auto"/>
      </w:divBdr>
    </w:div>
    <w:div w:id="448861616">
      <w:bodyDiv w:val="1"/>
      <w:marLeft w:val="0"/>
      <w:marRight w:val="0"/>
      <w:marTop w:val="0"/>
      <w:marBottom w:val="0"/>
      <w:divBdr>
        <w:top w:val="none" w:sz="0" w:space="0" w:color="auto"/>
        <w:left w:val="none" w:sz="0" w:space="0" w:color="auto"/>
        <w:bottom w:val="none" w:sz="0" w:space="0" w:color="auto"/>
        <w:right w:val="none" w:sz="0" w:space="0" w:color="auto"/>
      </w:divBdr>
      <w:divsChild>
        <w:div w:id="1193232003">
          <w:marLeft w:val="547"/>
          <w:marRight w:val="0"/>
          <w:marTop w:val="0"/>
          <w:marBottom w:val="0"/>
          <w:divBdr>
            <w:top w:val="none" w:sz="0" w:space="0" w:color="auto"/>
            <w:left w:val="none" w:sz="0" w:space="0" w:color="auto"/>
            <w:bottom w:val="none" w:sz="0" w:space="0" w:color="auto"/>
            <w:right w:val="none" w:sz="0" w:space="0" w:color="auto"/>
          </w:divBdr>
        </w:div>
      </w:divsChild>
    </w:div>
    <w:div w:id="459347038">
      <w:bodyDiv w:val="1"/>
      <w:marLeft w:val="0"/>
      <w:marRight w:val="0"/>
      <w:marTop w:val="0"/>
      <w:marBottom w:val="0"/>
      <w:divBdr>
        <w:top w:val="none" w:sz="0" w:space="0" w:color="auto"/>
        <w:left w:val="none" w:sz="0" w:space="0" w:color="auto"/>
        <w:bottom w:val="none" w:sz="0" w:space="0" w:color="auto"/>
        <w:right w:val="none" w:sz="0" w:space="0" w:color="auto"/>
      </w:divBdr>
    </w:div>
    <w:div w:id="471291715">
      <w:bodyDiv w:val="1"/>
      <w:marLeft w:val="0"/>
      <w:marRight w:val="0"/>
      <w:marTop w:val="0"/>
      <w:marBottom w:val="0"/>
      <w:divBdr>
        <w:top w:val="none" w:sz="0" w:space="0" w:color="auto"/>
        <w:left w:val="none" w:sz="0" w:space="0" w:color="auto"/>
        <w:bottom w:val="none" w:sz="0" w:space="0" w:color="auto"/>
        <w:right w:val="none" w:sz="0" w:space="0" w:color="auto"/>
      </w:divBdr>
    </w:div>
    <w:div w:id="473760608">
      <w:bodyDiv w:val="1"/>
      <w:marLeft w:val="0"/>
      <w:marRight w:val="0"/>
      <w:marTop w:val="0"/>
      <w:marBottom w:val="0"/>
      <w:divBdr>
        <w:top w:val="none" w:sz="0" w:space="0" w:color="auto"/>
        <w:left w:val="none" w:sz="0" w:space="0" w:color="auto"/>
        <w:bottom w:val="none" w:sz="0" w:space="0" w:color="auto"/>
        <w:right w:val="none" w:sz="0" w:space="0" w:color="auto"/>
      </w:divBdr>
    </w:div>
    <w:div w:id="481701322">
      <w:bodyDiv w:val="1"/>
      <w:marLeft w:val="0"/>
      <w:marRight w:val="0"/>
      <w:marTop w:val="0"/>
      <w:marBottom w:val="0"/>
      <w:divBdr>
        <w:top w:val="none" w:sz="0" w:space="0" w:color="auto"/>
        <w:left w:val="none" w:sz="0" w:space="0" w:color="auto"/>
        <w:bottom w:val="none" w:sz="0" w:space="0" w:color="auto"/>
        <w:right w:val="none" w:sz="0" w:space="0" w:color="auto"/>
      </w:divBdr>
      <w:divsChild>
        <w:div w:id="1343968092">
          <w:marLeft w:val="547"/>
          <w:marRight w:val="0"/>
          <w:marTop w:val="0"/>
          <w:marBottom w:val="0"/>
          <w:divBdr>
            <w:top w:val="none" w:sz="0" w:space="0" w:color="auto"/>
            <w:left w:val="none" w:sz="0" w:space="0" w:color="auto"/>
            <w:bottom w:val="none" w:sz="0" w:space="0" w:color="auto"/>
            <w:right w:val="none" w:sz="0" w:space="0" w:color="auto"/>
          </w:divBdr>
        </w:div>
      </w:divsChild>
    </w:div>
    <w:div w:id="487866193">
      <w:bodyDiv w:val="1"/>
      <w:marLeft w:val="0"/>
      <w:marRight w:val="0"/>
      <w:marTop w:val="0"/>
      <w:marBottom w:val="0"/>
      <w:divBdr>
        <w:top w:val="none" w:sz="0" w:space="0" w:color="auto"/>
        <w:left w:val="none" w:sz="0" w:space="0" w:color="auto"/>
        <w:bottom w:val="none" w:sz="0" w:space="0" w:color="auto"/>
        <w:right w:val="none" w:sz="0" w:space="0" w:color="auto"/>
      </w:divBdr>
    </w:div>
    <w:div w:id="487945041">
      <w:bodyDiv w:val="1"/>
      <w:marLeft w:val="0"/>
      <w:marRight w:val="0"/>
      <w:marTop w:val="0"/>
      <w:marBottom w:val="0"/>
      <w:divBdr>
        <w:top w:val="none" w:sz="0" w:space="0" w:color="auto"/>
        <w:left w:val="none" w:sz="0" w:space="0" w:color="auto"/>
        <w:bottom w:val="none" w:sz="0" w:space="0" w:color="auto"/>
        <w:right w:val="none" w:sz="0" w:space="0" w:color="auto"/>
      </w:divBdr>
    </w:div>
    <w:div w:id="513954500">
      <w:bodyDiv w:val="1"/>
      <w:marLeft w:val="0"/>
      <w:marRight w:val="0"/>
      <w:marTop w:val="0"/>
      <w:marBottom w:val="0"/>
      <w:divBdr>
        <w:top w:val="none" w:sz="0" w:space="0" w:color="auto"/>
        <w:left w:val="none" w:sz="0" w:space="0" w:color="auto"/>
        <w:bottom w:val="none" w:sz="0" w:space="0" w:color="auto"/>
        <w:right w:val="none" w:sz="0" w:space="0" w:color="auto"/>
      </w:divBdr>
    </w:div>
    <w:div w:id="519584851">
      <w:bodyDiv w:val="1"/>
      <w:marLeft w:val="0"/>
      <w:marRight w:val="0"/>
      <w:marTop w:val="0"/>
      <w:marBottom w:val="0"/>
      <w:divBdr>
        <w:top w:val="none" w:sz="0" w:space="0" w:color="auto"/>
        <w:left w:val="none" w:sz="0" w:space="0" w:color="auto"/>
        <w:bottom w:val="none" w:sz="0" w:space="0" w:color="auto"/>
        <w:right w:val="none" w:sz="0" w:space="0" w:color="auto"/>
      </w:divBdr>
    </w:div>
    <w:div w:id="527377778">
      <w:bodyDiv w:val="1"/>
      <w:marLeft w:val="0"/>
      <w:marRight w:val="0"/>
      <w:marTop w:val="0"/>
      <w:marBottom w:val="0"/>
      <w:divBdr>
        <w:top w:val="none" w:sz="0" w:space="0" w:color="auto"/>
        <w:left w:val="none" w:sz="0" w:space="0" w:color="auto"/>
        <w:bottom w:val="none" w:sz="0" w:space="0" w:color="auto"/>
        <w:right w:val="none" w:sz="0" w:space="0" w:color="auto"/>
      </w:divBdr>
    </w:div>
    <w:div w:id="542599549">
      <w:bodyDiv w:val="1"/>
      <w:marLeft w:val="0"/>
      <w:marRight w:val="0"/>
      <w:marTop w:val="0"/>
      <w:marBottom w:val="0"/>
      <w:divBdr>
        <w:top w:val="none" w:sz="0" w:space="0" w:color="auto"/>
        <w:left w:val="none" w:sz="0" w:space="0" w:color="auto"/>
        <w:bottom w:val="none" w:sz="0" w:space="0" w:color="auto"/>
        <w:right w:val="none" w:sz="0" w:space="0" w:color="auto"/>
      </w:divBdr>
    </w:div>
    <w:div w:id="551188170">
      <w:bodyDiv w:val="1"/>
      <w:marLeft w:val="0"/>
      <w:marRight w:val="0"/>
      <w:marTop w:val="0"/>
      <w:marBottom w:val="0"/>
      <w:divBdr>
        <w:top w:val="none" w:sz="0" w:space="0" w:color="auto"/>
        <w:left w:val="none" w:sz="0" w:space="0" w:color="auto"/>
        <w:bottom w:val="none" w:sz="0" w:space="0" w:color="auto"/>
        <w:right w:val="none" w:sz="0" w:space="0" w:color="auto"/>
      </w:divBdr>
    </w:div>
    <w:div w:id="561060398">
      <w:bodyDiv w:val="1"/>
      <w:marLeft w:val="0"/>
      <w:marRight w:val="0"/>
      <w:marTop w:val="0"/>
      <w:marBottom w:val="0"/>
      <w:divBdr>
        <w:top w:val="none" w:sz="0" w:space="0" w:color="auto"/>
        <w:left w:val="none" w:sz="0" w:space="0" w:color="auto"/>
        <w:bottom w:val="none" w:sz="0" w:space="0" w:color="auto"/>
        <w:right w:val="none" w:sz="0" w:space="0" w:color="auto"/>
      </w:divBdr>
    </w:div>
    <w:div w:id="588198240">
      <w:bodyDiv w:val="1"/>
      <w:marLeft w:val="0"/>
      <w:marRight w:val="0"/>
      <w:marTop w:val="0"/>
      <w:marBottom w:val="0"/>
      <w:divBdr>
        <w:top w:val="none" w:sz="0" w:space="0" w:color="auto"/>
        <w:left w:val="none" w:sz="0" w:space="0" w:color="auto"/>
        <w:bottom w:val="none" w:sz="0" w:space="0" w:color="auto"/>
        <w:right w:val="none" w:sz="0" w:space="0" w:color="auto"/>
      </w:divBdr>
    </w:div>
    <w:div w:id="593782604">
      <w:bodyDiv w:val="1"/>
      <w:marLeft w:val="0"/>
      <w:marRight w:val="0"/>
      <w:marTop w:val="0"/>
      <w:marBottom w:val="0"/>
      <w:divBdr>
        <w:top w:val="none" w:sz="0" w:space="0" w:color="auto"/>
        <w:left w:val="none" w:sz="0" w:space="0" w:color="auto"/>
        <w:bottom w:val="none" w:sz="0" w:space="0" w:color="auto"/>
        <w:right w:val="none" w:sz="0" w:space="0" w:color="auto"/>
      </w:divBdr>
    </w:div>
    <w:div w:id="623776448">
      <w:bodyDiv w:val="1"/>
      <w:marLeft w:val="0"/>
      <w:marRight w:val="0"/>
      <w:marTop w:val="0"/>
      <w:marBottom w:val="0"/>
      <w:divBdr>
        <w:top w:val="none" w:sz="0" w:space="0" w:color="auto"/>
        <w:left w:val="none" w:sz="0" w:space="0" w:color="auto"/>
        <w:bottom w:val="none" w:sz="0" w:space="0" w:color="auto"/>
        <w:right w:val="none" w:sz="0" w:space="0" w:color="auto"/>
      </w:divBdr>
    </w:div>
    <w:div w:id="624700308">
      <w:bodyDiv w:val="1"/>
      <w:marLeft w:val="0"/>
      <w:marRight w:val="0"/>
      <w:marTop w:val="0"/>
      <w:marBottom w:val="0"/>
      <w:divBdr>
        <w:top w:val="none" w:sz="0" w:space="0" w:color="auto"/>
        <w:left w:val="none" w:sz="0" w:space="0" w:color="auto"/>
        <w:bottom w:val="none" w:sz="0" w:space="0" w:color="auto"/>
        <w:right w:val="none" w:sz="0" w:space="0" w:color="auto"/>
      </w:divBdr>
    </w:div>
    <w:div w:id="631450067">
      <w:bodyDiv w:val="1"/>
      <w:marLeft w:val="0"/>
      <w:marRight w:val="0"/>
      <w:marTop w:val="0"/>
      <w:marBottom w:val="0"/>
      <w:divBdr>
        <w:top w:val="none" w:sz="0" w:space="0" w:color="auto"/>
        <w:left w:val="none" w:sz="0" w:space="0" w:color="auto"/>
        <w:bottom w:val="none" w:sz="0" w:space="0" w:color="auto"/>
        <w:right w:val="none" w:sz="0" w:space="0" w:color="auto"/>
      </w:divBdr>
    </w:div>
    <w:div w:id="632321889">
      <w:bodyDiv w:val="1"/>
      <w:marLeft w:val="0"/>
      <w:marRight w:val="0"/>
      <w:marTop w:val="0"/>
      <w:marBottom w:val="0"/>
      <w:divBdr>
        <w:top w:val="none" w:sz="0" w:space="0" w:color="auto"/>
        <w:left w:val="none" w:sz="0" w:space="0" w:color="auto"/>
        <w:bottom w:val="none" w:sz="0" w:space="0" w:color="auto"/>
        <w:right w:val="none" w:sz="0" w:space="0" w:color="auto"/>
      </w:divBdr>
    </w:div>
    <w:div w:id="660742110">
      <w:bodyDiv w:val="1"/>
      <w:marLeft w:val="0"/>
      <w:marRight w:val="0"/>
      <w:marTop w:val="0"/>
      <w:marBottom w:val="0"/>
      <w:divBdr>
        <w:top w:val="none" w:sz="0" w:space="0" w:color="auto"/>
        <w:left w:val="none" w:sz="0" w:space="0" w:color="auto"/>
        <w:bottom w:val="none" w:sz="0" w:space="0" w:color="auto"/>
        <w:right w:val="none" w:sz="0" w:space="0" w:color="auto"/>
      </w:divBdr>
    </w:div>
    <w:div w:id="689916585">
      <w:bodyDiv w:val="1"/>
      <w:marLeft w:val="0"/>
      <w:marRight w:val="0"/>
      <w:marTop w:val="0"/>
      <w:marBottom w:val="0"/>
      <w:divBdr>
        <w:top w:val="none" w:sz="0" w:space="0" w:color="auto"/>
        <w:left w:val="none" w:sz="0" w:space="0" w:color="auto"/>
        <w:bottom w:val="none" w:sz="0" w:space="0" w:color="auto"/>
        <w:right w:val="none" w:sz="0" w:space="0" w:color="auto"/>
      </w:divBdr>
    </w:div>
    <w:div w:id="713427329">
      <w:bodyDiv w:val="1"/>
      <w:marLeft w:val="0"/>
      <w:marRight w:val="0"/>
      <w:marTop w:val="0"/>
      <w:marBottom w:val="0"/>
      <w:divBdr>
        <w:top w:val="none" w:sz="0" w:space="0" w:color="auto"/>
        <w:left w:val="none" w:sz="0" w:space="0" w:color="auto"/>
        <w:bottom w:val="none" w:sz="0" w:space="0" w:color="auto"/>
        <w:right w:val="none" w:sz="0" w:space="0" w:color="auto"/>
      </w:divBdr>
    </w:div>
    <w:div w:id="726417086">
      <w:bodyDiv w:val="1"/>
      <w:marLeft w:val="0"/>
      <w:marRight w:val="0"/>
      <w:marTop w:val="0"/>
      <w:marBottom w:val="0"/>
      <w:divBdr>
        <w:top w:val="none" w:sz="0" w:space="0" w:color="auto"/>
        <w:left w:val="none" w:sz="0" w:space="0" w:color="auto"/>
        <w:bottom w:val="none" w:sz="0" w:space="0" w:color="auto"/>
        <w:right w:val="none" w:sz="0" w:space="0" w:color="auto"/>
      </w:divBdr>
    </w:div>
    <w:div w:id="731198483">
      <w:bodyDiv w:val="1"/>
      <w:marLeft w:val="0"/>
      <w:marRight w:val="0"/>
      <w:marTop w:val="0"/>
      <w:marBottom w:val="0"/>
      <w:divBdr>
        <w:top w:val="none" w:sz="0" w:space="0" w:color="auto"/>
        <w:left w:val="none" w:sz="0" w:space="0" w:color="auto"/>
        <w:bottom w:val="none" w:sz="0" w:space="0" w:color="auto"/>
        <w:right w:val="none" w:sz="0" w:space="0" w:color="auto"/>
      </w:divBdr>
    </w:div>
    <w:div w:id="750740668">
      <w:bodyDiv w:val="1"/>
      <w:marLeft w:val="0"/>
      <w:marRight w:val="0"/>
      <w:marTop w:val="0"/>
      <w:marBottom w:val="0"/>
      <w:divBdr>
        <w:top w:val="none" w:sz="0" w:space="0" w:color="auto"/>
        <w:left w:val="none" w:sz="0" w:space="0" w:color="auto"/>
        <w:bottom w:val="none" w:sz="0" w:space="0" w:color="auto"/>
        <w:right w:val="none" w:sz="0" w:space="0" w:color="auto"/>
      </w:divBdr>
    </w:div>
    <w:div w:id="751002710">
      <w:bodyDiv w:val="1"/>
      <w:marLeft w:val="0"/>
      <w:marRight w:val="0"/>
      <w:marTop w:val="0"/>
      <w:marBottom w:val="0"/>
      <w:divBdr>
        <w:top w:val="none" w:sz="0" w:space="0" w:color="auto"/>
        <w:left w:val="none" w:sz="0" w:space="0" w:color="auto"/>
        <w:bottom w:val="none" w:sz="0" w:space="0" w:color="auto"/>
        <w:right w:val="none" w:sz="0" w:space="0" w:color="auto"/>
      </w:divBdr>
    </w:div>
    <w:div w:id="763234096">
      <w:bodyDiv w:val="1"/>
      <w:marLeft w:val="0"/>
      <w:marRight w:val="0"/>
      <w:marTop w:val="0"/>
      <w:marBottom w:val="0"/>
      <w:divBdr>
        <w:top w:val="none" w:sz="0" w:space="0" w:color="auto"/>
        <w:left w:val="none" w:sz="0" w:space="0" w:color="auto"/>
        <w:bottom w:val="none" w:sz="0" w:space="0" w:color="auto"/>
        <w:right w:val="none" w:sz="0" w:space="0" w:color="auto"/>
      </w:divBdr>
    </w:div>
    <w:div w:id="798188038">
      <w:bodyDiv w:val="1"/>
      <w:marLeft w:val="0"/>
      <w:marRight w:val="0"/>
      <w:marTop w:val="0"/>
      <w:marBottom w:val="0"/>
      <w:divBdr>
        <w:top w:val="none" w:sz="0" w:space="0" w:color="auto"/>
        <w:left w:val="none" w:sz="0" w:space="0" w:color="auto"/>
        <w:bottom w:val="none" w:sz="0" w:space="0" w:color="auto"/>
        <w:right w:val="none" w:sz="0" w:space="0" w:color="auto"/>
      </w:divBdr>
    </w:div>
    <w:div w:id="830950738">
      <w:bodyDiv w:val="1"/>
      <w:marLeft w:val="0"/>
      <w:marRight w:val="0"/>
      <w:marTop w:val="0"/>
      <w:marBottom w:val="0"/>
      <w:divBdr>
        <w:top w:val="none" w:sz="0" w:space="0" w:color="auto"/>
        <w:left w:val="none" w:sz="0" w:space="0" w:color="auto"/>
        <w:bottom w:val="none" w:sz="0" w:space="0" w:color="auto"/>
        <w:right w:val="none" w:sz="0" w:space="0" w:color="auto"/>
      </w:divBdr>
    </w:div>
    <w:div w:id="834996826">
      <w:bodyDiv w:val="1"/>
      <w:marLeft w:val="0"/>
      <w:marRight w:val="0"/>
      <w:marTop w:val="0"/>
      <w:marBottom w:val="0"/>
      <w:divBdr>
        <w:top w:val="none" w:sz="0" w:space="0" w:color="auto"/>
        <w:left w:val="none" w:sz="0" w:space="0" w:color="auto"/>
        <w:bottom w:val="none" w:sz="0" w:space="0" w:color="auto"/>
        <w:right w:val="none" w:sz="0" w:space="0" w:color="auto"/>
      </w:divBdr>
    </w:div>
    <w:div w:id="846209624">
      <w:bodyDiv w:val="1"/>
      <w:marLeft w:val="0"/>
      <w:marRight w:val="0"/>
      <w:marTop w:val="0"/>
      <w:marBottom w:val="0"/>
      <w:divBdr>
        <w:top w:val="none" w:sz="0" w:space="0" w:color="auto"/>
        <w:left w:val="none" w:sz="0" w:space="0" w:color="auto"/>
        <w:bottom w:val="none" w:sz="0" w:space="0" w:color="auto"/>
        <w:right w:val="none" w:sz="0" w:space="0" w:color="auto"/>
      </w:divBdr>
      <w:divsChild>
        <w:div w:id="40909079">
          <w:marLeft w:val="547"/>
          <w:marRight w:val="0"/>
          <w:marTop w:val="0"/>
          <w:marBottom w:val="0"/>
          <w:divBdr>
            <w:top w:val="none" w:sz="0" w:space="0" w:color="auto"/>
            <w:left w:val="none" w:sz="0" w:space="0" w:color="auto"/>
            <w:bottom w:val="none" w:sz="0" w:space="0" w:color="auto"/>
            <w:right w:val="none" w:sz="0" w:space="0" w:color="auto"/>
          </w:divBdr>
        </w:div>
      </w:divsChild>
    </w:div>
    <w:div w:id="855575647">
      <w:bodyDiv w:val="1"/>
      <w:marLeft w:val="0"/>
      <w:marRight w:val="0"/>
      <w:marTop w:val="0"/>
      <w:marBottom w:val="0"/>
      <w:divBdr>
        <w:top w:val="none" w:sz="0" w:space="0" w:color="auto"/>
        <w:left w:val="none" w:sz="0" w:space="0" w:color="auto"/>
        <w:bottom w:val="none" w:sz="0" w:space="0" w:color="auto"/>
        <w:right w:val="none" w:sz="0" w:space="0" w:color="auto"/>
      </w:divBdr>
    </w:div>
    <w:div w:id="859666752">
      <w:bodyDiv w:val="1"/>
      <w:marLeft w:val="0"/>
      <w:marRight w:val="0"/>
      <w:marTop w:val="0"/>
      <w:marBottom w:val="0"/>
      <w:divBdr>
        <w:top w:val="none" w:sz="0" w:space="0" w:color="auto"/>
        <w:left w:val="none" w:sz="0" w:space="0" w:color="auto"/>
        <w:bottom w:val="none" w:sz="0" w:space="0" w:color="auto"/>
        <w:right w:val="none" w:sz="0" w:space="0" w:color="auto"/>
      </w:divBdr>
    </w:div>
    <w:div w:id="868761701">
      <w:bodyDiv w:val="1"/>
      <w:marLeft w:val="0"/>
      <w:marRight w:val="0"/>
      <w:marTop w:val="0"/>
      <w:marBottom w:val="0"/>
      <w:divBdr>
        <w:top w:val="none" w:sz="0" w:space="0" w:color="auto"/>
        <w:left w:val="none" w:sz="0" w:space="0" w:color="auto"/>
        <w:bottom w:val="none" w:sz="0" w:space="0" w:color="auto"/>
        <w:right w:val="none" w:sz="0" w:space="0" w:color="auto"/>
      </w:divBdr>
    </w:div>
    <w:div w:id="879904019">
      <w:bodyDiv w:val="1"/>
      <w:marLeft w:val="0"/>
      <w:marRight w:val="0"/>
      <w:marTop w:val="0"/>
      <w:marBottom w:val="0"/>
      <w:divBdr>
        <w:top w:val="none" w:sz="0" w:space="0" w:color="auto"/>
        <w:left w:val="none" w:sz="0" w:space="0" w:color="auto"/>
        <w:bottom w:val="none" w:sz="0" w:space="0" w:color="auto"/>
        <w:right w:val="none" w:sz="0" w:space="0" w:color="auto"/>
      </w:divBdr>
    </w:div>
    <w:div w:id="905608089">
      <w:bodyDiv w:val="1"/>
      <w:marLeft w:val="0"/>
      <w:marRight w:val="0"/>
      <w:marTop w:val="0"/>
      <w:marBottom w:val="0"/>
      <w:divBdr>
        <w:top w:val="none" w:sz="0" w:space="0" w:color="auto"/>
        <w:left w:val="none" w:sz="0" w:space="0" w:color="auto"/>
        <w:bottom w:val="none" w:sz="0" w:space="0" w:color="auto"/>
        <w:right w:val="none" w:sz="0" w:space="0" w:color="auto"/>
      </w:divBdr>
    </w:div>
    <w:div w:id="929316512">
      <w:bodyDiv w:val="1"/>
      <w:marLeft w:val="0"/>
      <w:marRight w:val="0"/>
      <w:marTop w:val="0"/>
      <w:marBottom w:val="0"/>
      <w:divBdr>
        <w:top w:val="none" w:sz="0" w:space="0" w:color="auto"/>
        <w:left w:val="none" w:sz="0" w:space="0" w:color="auto"/>
        <w:bottom w:val="none" w:sz="0" w:space="0" w:color="auto"/>
        <w:right w:val="none" w:sz="0" w:space="0" w:color="auto"/>
      </w:divBdr>
    </w:div>
    <w:div w:id="938441844">
      <w:bodyDiv w:val="1"/>
      <w:marLeft w:val="0"/>
      <w:marRight w:val="0"/>
      <w:marTop w:val="0"/>
      <w:marBottom w:val="0"/>
      <w:divBdr>
        <w:top w:val="none" w:sz="0" w:space="0" w:color="auto"/>
        <w:left w:val="none" w:sz="0" w:space="0" w:color="auto"/>
        <w:bottom w:val="none" w:sz="0" w:space="0" w:color="auto"/>
        <w:right w:val="none" w:sz="0" w:space="0" w:color="auto"/>
      </w:divBdr>
    </w:div>
    <w:div w:id="955406269">
      <w:bodyDiv w:val="1"/>
      <w:marLeft w:val="0"/>
      <w:marRight w:val="0"/>
      <w:marTop w:val="0"/>
      <w:marBottom w:val="0"/>
      <w:divBdr>
        <w:top w:val="none" w:sz="0" w:space="0" w:color="auto"/>
        <w:left w:val="none" w:sz="0" w:space="0" w:color="auto"/>
        <w:bottom w:val="none" w:sz="0" w:space="0" w:color="auto"/>
        <w:right w:val="none" w:sz="0" w:space="0" w:color="auto"/>
      </w:divBdr>
    </w:div>
    <w:div w:id="970597341">
      <w:bodyDiv w:val="1"/>
      <w:marLeft w:val="0"/>
      <w:marRight w:val="0"/>
      <w:marTop w:val="0"/>
      <w:marBottom w:val="0"/>
      <w:divBdr>
        <w:top w:val="none" w:sz="0" w:space="0" w:color="auto"/>
        <w:left w:val="none" w:sz="0" w:space="0" w:color="auto"/>
        <w:bottom w:val="none" w:sz="0" w:space="0" w:color="auto"/>
        <w:right w:val="none" w:sz="0" w:space="0" w:color="auto"/>
      </w:divBdr>
    </w:div>
    <w:div w:id="974793654">
      <w:bodyDiv w:val="1"/>
      <w:marLeft w:val="0"/>
      <w:marRight w:val="0"/>
      <w:marTop w:val="0"/>
      <w:marBottom w:val="0"/>
      <w:divBdr>
        <w:top w:val="none" w:sz="0" w:space="0" w:color="auto"/>
        <w:left w:val="none" w:sz="0" w:space="0" w:color="auto"/>
        <w:bottom w:val="none" w:sz="0" w:space="0" w:color="auto"/>
        <w:right w:val="none" w:sz="0" w:space="0" w:color="auto"/>
      </w:divBdr>
    </w:div>
    <w:div w:id="980234083">
      <w:bodyDiv w:val="1"/>
      <w:marLeft w:val="0"/>
      <w:marRight w:val="0"/>
      <w:marTop w:val="0"/>
      <w:marBottom w:val="0"/>
      <w:divBdr>
        <w:top w:val="none" w:sz="0" w:space="0" w:color="auto"/>
        <w:left w:val="none" w:sz="0" w:space="0" w:color="auto"/>
        <w:bottom w:val="none" w:sz="0" w:space="0" w:color="auto"/>
        <w:right w:val="none" w:sz="0" w:space="0" w:color="auto"/>
      </w:divBdr>
      <w:divsChild>
        <w:div w:id="1063018524">
          <w:marLeft w:val="547"/>
          <w:marRight w:val="0"/>
          <w:marTop w:val="0"/>
          <w:marBottom w:val="0"/>
          <w:divBdr>
            <w:top w:val="none" w:sz="0" w:space="0" w:color="auto"/>
            <w:left w:val="none" w:sz="0" w:space="0" w:color="auto"/>
            <w:bottom w:val="none" w:sz="0" w:space="0" w:color="auto"/>
            <w:right w:val="none" w:sz="0" w:space="0" w:color="auto"/>
          </w:divBdr>
        </w:div>
      </w:divsChild>
    </w:div>
    <w:div w:id="982462412">
      <w:bodyDiv w:val="1"/>
      <w:marLeft w:val="0"/>
      <w:marRight w:val="0"/>
      <w:marTop w:val="0"/>
      <w:marBottom w:val="0"/>
      <w:divBdr>
        <w:top w:val="none" w:sz="0" w:space="0" w:color="auto"/>
        <w:left w:val="none" w:sz="0" w:space="0" w:color="auto"/>
        <w:bottom w:val="none" w:sz="0" w:space="0" w:color="auto"/>
        <w:right w:val="none" w:sz="0" w:space="0" w:color="auto"/>
      </w:divBdr>
    </w:div>
    <w:div w:id="987124681">
      <w:bodyDiv w:val="1"/>
      <w:marLeft w:val="0"/>
      <w:marRight w:val="0"/>
      <w:marTop w:val="0"/>
      <w:marBottom w:val="0"/>
      <w:divBdr>
        <w:top w:val="none" w:sz="0" w:space="0" w:color="auto"/>
        <w:left w:val="none" w:sz="0" w:space="0" w:color="auto"/>
        <w:bottom w:val="none" w:sz="0" w:space="0" w:color="auto"/>
        <w:right w:val="none" w:sz="0" w:space="0" w:color="auto"/>
      </w:divBdr>
      <w:divsChild>
        <w:div w:id="1596284469">
          <w:marLeft w:val="547"/>
          <w:marRight w:val="0"/>
          <w:marTop w:val="0"/>
          <w:marBottom w:val="0"/>
          <w:divBdr>
            <w:top w:val="none" w:sz="0" w:space="0" w:color="auto"/>
            <w:left w:val="none" w:sz="0" w:space="0" w:color="auto"/>
            <w:bottom w:val="none" w:sz="0" w:space="0" w:color="auto"/>
            <w:right w:val="none" w:sz="0" w:space="0" w:color="auto"/>
          </w:divBdr>
        </w:div>
      </w:divsChild>
    </w:div>
    <w:div w:id="1003820421">
      <w:bodyDiv w:val="1"/>
      <w:marLeft w:val="0"/>
      <w:marRight w:val="0"/>
      <w:marTop w:val="0"/>
      <w:marBottom w:val="0"/>
      <w:divBdr>
        <w:top w:val="none" w:sz="0" w:space="0" w:color="auto"/>
        <w:left w:val="none" w:sz="0" w:space="0" w:color="auto"/>
        <w:bottom w:val="none" w:sz="0" w:space="0" w:color="auto"/>
        <w:right w:val="none" w:sz="0" w:space="0" w:color="auto"/>
      </w:divBdr>
    </w:div>
    <w:div w:id="1018308596">
      <w:bodyDiv w:val="1"/>
      <w:marLeft w:val="0"/>
      <w:marRight w:val="0"/>
      <w:marTop w:val="0"/>
      <w:marBottom w:val="0"/>
      <w:divBdr>
        <w:top w:val="none" w:sz="0" w:space="0" w:color="auto"/>
        <w:left w:val="none" w:sz="0" w:space="0" w:color="auto"/>
        <w:bottom w:val="none" w:sz="0" w:space="0" w:color="auto"/>
        <w:right w:val="none" w:sz="0" w:space="0" w:color="auto"/>
      </w:divBdr>
    </w:div>
    <w:div w:id="1030912529">
      <w:bodyDiv w:val="1"/>
      <w:marLeft w:val="0"/>
      <w:marRight w:val="0"/>
      <w:marTop w:val="0"/>
      <w:marBottom w:val="0"/>
      <w:divBdr>
        <w:top w:val="none" w:sz="0" w:space="0" w:color="auto"/>
        <w:left w:val="none" w:sz="0" w:space="0" w:color="auto"/>
        <w:bottom w:val="none" w:sz="0" w:space="0" w:color="auto"/>
        <w:right w:val="none" w:sz="0" w:space="0" w:color="auto"/>
      </w:divBdr>
    </w:div>
    <w:div w:id="1068959249">
      <w:bodyDiv w:val="1"/>
      <w:marLeft w:val="0"/>
      <w:marRight w:val="0"/>
      <w:marTop w:val="0"/>
      <w:marBottom w:val="0"/>
      <w:divBdr>
        <w:top w:val="none" w:sz="0" w:space="0" w:color="auto"/>
        <w:left w:val="none" w:sz="0" w:space="0" w:color="auto"/>
        <w:bottom w:val="none" w:sz="0" w:space="0" w:color="auto"/>
        <w:right w:val="none" w:sz="0" w:space="0" w:color="auto"/>
      </w:divBdr>
    </w:div>
    <w:div w:id="1069617912">
      <w:bodyDiv w:val="1"/>
      <w:marLeft w:val="0"/>
      <w:marRight w:val="0"/>
      <w:marTop w:val="0"/>
      <w:marBottom w:val="0"/>
      <w:divBdr>
        <w:top w:val="none" w:sz="0" w:space="0" w:color="auto"/>
        <w:left w:val="none" w:sz="0" w:space="0" w:color="auto"/>
        <w:bottom w:val="none" w:sz="0" w:space="0" w:color="auto"/>
        <w:right w:val="none" w:sz="0" w:space="0" w:color="auto"/>
      </w:divBdr>
    </w:div>
    <w:div w:id="1110857948">
      <w:bodyDiv w:val="1"/>
      <w:marLeft w:val="0"/>
      <w:marRight w:val="0"/>
      <w:marTop w:val="0"/>
      <w:marBottom w:val="0"/>
      <w:divBdr>
        <w:top w:val="none" w:sz="0" w:space="0" w:color="auto"/>
        <w:left w:val="none" w:sz="0" w:space="0" w:color="auto"/>
        <w:bottom w:val="none" w:sz="0" w:space="0" w:color="auto"/>
        <w:right w:val="none" w:sz="0" w:space="0" w:color="auto"/>
      </w:divBdr>
      <w:divsChild>
        <w:div w:id="876939893">
          <w:marLeft w:val="547"/>
          <w:marRight w:val="0"/>
          <w:marTop w:val="0"/>
          <w:marBottom w:val="0"/>
          <w:divBdr>
            <w:top w:val="none" w:sz="0" w:space="0" w:color="auto"/>
            <w:left w:val="none" w:sz="0" w:space="0" w:color="auto"/>
            <w:bottom w:val="none" w:sz="0" w:space="0" w:color="auto"/>
            <w:right w:val="none" w:sz="0" w:space="0" w:color="auto"/>
          </w:divBdr>
        </w:div>
      </w:divsChild>
    </w:div>
    <w:div w:id="1115517737">
      <w:bodyDiv w:val="1"/>
      <w:marLeft w:val="0"/>
      <w:marRight w:val="0"/>
      <w:marTop w:val="0"/>
      <w:marBottom w:val="0"/>
      <w:divBdr>
        <w:top w:val="none" w:sz="0" w:space="0" w:color="auto"/>
        <w:left w:val="none" w:sz="0" w:space="0" w:color="auto"/>
        <w:bottom w:val="none" w:sz="0" w:space="0" w:color="auto"/>
        <w:right w:val="none" w:sz="0" w:space="0" w:color="auto"/>
      </w:divBdr>
    </w:div>
    <w:div w:id="1120688897">
      <w:bodyDiv w:val="1"/>
      <w:marLeft w:val="0"/>
      <w:marRight w:val="0"/>
      <w:marTop w:val="0"/>
      <w:marBottom w:val="0"/>
      <w:divBdr>
        <w:top w:val="none" w:sz="0" w:space="0" w:color="auto"/>
        <w:left w:val="none" w:sz="0" w:space="0" w:color="auto"/>
        <w:bottom w:val="none" w:sz="0" w:space="0" w:color="auto"/>
        <w:right w:val="none" w:sz="0" w:space="0" w:color="auto"/>
      </w:divBdr>
    </w:div>
    <w:div w:id="1126854925">
      <w:bodyDiv w:val="1"/>
      <w:marLeft w:val="0"/>
      <w:marRight w:val="0"/>
      <w:marTop w:val="0"/>
      <w:marBottom w:val="0"/>
      <w:divBdr>
        <w:top w:val="none" w:sz="0" w:space="0" w:color="auto"/>
        <w:left w:val="none" w:sz="0" w:space="0" w:color="auto"/>
        <w:bottom w:val="none" w:sz="0" w:space="0" w:color="auto"/>
        <w:right w:val="none" w:sz="0" w:space="0" w:color="auto"/>
      </w:divBdr>
      <w:divsChild>
        <w:div w:id="1653481506">
          <w:marLeft w:val="547"/>
          <w:marRight w:val="0"/>
          <w:marTop w:val="0"/>
          <w:marBottom w:val="0"/>
          <w:divBdr>
            <w:top w:val="none" w:sz="0" w:space="0" w:color="auto"/>
            <w:left w:val="none" w:sz="0" w:space="0" w:color="auto"/>
            <w:bottom w:val="none" w:sz="0" w:space="0" w:color="auto"/>
            <w:right w:val="none" w:sz="0" w:space="0" w:color="auto"/>
          </w:divBdr>
        </w:div>
      </w:divsChild>
    </w:div>
    <w:div w:id="1132481688">
      <w:bodyDiv w:val="1"/>
      <w:marLeft w:val="0"/>
      <w:marRight w:val="0"/>
      <w:marTop w:val="0"/>
      <w:marBottom w:val="0"/>
      <w:divBdr>
        <w:top w:val="none" w:sz="0" w:space="0" w:color="auto"/>
        <w:left w:val="none" w:sz="0" w:space="0" w:color="auto"/>
        <w:bottom w:val="none" w:sz="0" w:space="0" w:color="auto"/>
        <w:right w:val="none" w:sz="0" w:space="0" w:color="auto"/>
      </w:divBdr>
    </w:div>
    <w:div w:id="1139498680">
      <w:bodyDiv w:val="1"/>
      <w:marLeft w:val="0"/>
      <w:marRight w:val="0"/>
      <w:marTop w:val="0"/>
      <w:marBottom w:val="0"/>
      <w:divBdr>
        <w:top w:val="none" w:sz="0" w:space="0" w:color="auto"/>
        <w:left w:val="none" w:sz="0" w:space="0" w:color="auto"/>
        <w:bottom w:val="none" w:sz="0" w:space="0" w:color="auto"/>
        <w:right w:val="none" w:sz="0" w:space="0" w:color="auto"/>
      </w:divBdr>
    </w:div>
    <w:div w:id="1141970115">
      <w:bodyDiv w:val="1"/>
      <w:marLeft w:val="0"/>
      <w:marRight w:val="0"/>
      <w:marTop w:val="0"/>
      <w:marBottom w:val="0"/>
      <w:divBdr>
        <w:top w:val="none" w:sz="0" w:space="0" w:color="auto"/>
        <w:left w:val="none" w:sz="0" w:space="0" w:color="auto"/>
        <w:bottom w:val="none" w:sz="0" w:space="0" w:color="auto"/>
        <w:right w:val="none" w:sz="0" w:space="0" w:color="auto"/>
      </w:divBdr>
    </w:div>
    <w:div w:id="1213348144">
      <w:bodyDiv w:val="1"/>
      <w:marLeft w:val="0"/>
      <w:marRight w:val="0"/>
      <w:marTop w:val="0"/>
      <w:marBottom w:val="0"/>
      <w:divBdr>
        <w:top w:val="none" w:sz="0" w:space="0" w:color="auto"/>
        <w:left w:val="none" w:sz="0" w:space="0" w:color="auto"/>
        <w:bottom w:val="none" w:sz="0" w:space="0" w:color="auto"/>
        <w:right w:val="none" w:sz="0" w:space="0" w:color="auto"/>
      </w:divBdr>
    </w:div>
    <w:div w:id="1232501383">
      <w:bodyDiv w:val="1"/>
      <w:marLeft w:val="0"/>
      <w:marRight w:val="0"/>
      <w:marTop w:val="0"/>
      <w:marBottom w:val="0"/>
      <w:divBdr>
        <w:top w:val="none" w:sz="0" w:space="0" w:color="auto"/>
        <w:left w:val="none" w:sz="0" w:space="0" w:color="auto"/>
        <w:bottom w:val="none" w:sz="0" w:space="0" w:color="auto"/>
        <w:right w:val="none" w:sz="0" w:space="0" w:color="auto"/>
      </w:divBdr>
    </w:div>
    <w:div w:id="1244023551">
      <w:bodyDiv w:val="1"/>
      <w:marLeft w:val="0"/>
      <w:marRight w:val="0"/>
      <w:marTop w:val="0"/>
      <w:marBottom w:val="0"/>
      <w:divBdr>
        <w:top w:val="none" w:sz="0" w:space="0" w:color="auto"/>
        <w:left w:val="none" w:sz="0" w:space="0" w:color="auto"/>
        <w:bottom w:val="none" w:sz="0" w:space="0" w:color="auto"/>
        <w:right w:val="none" w:sz="0" w:space="0" w:color="auto"/>
      </w:divBdr>
    </w:div>
    <w:div w:id="1256936734">
      <w:bodyDiv w:val="1"/>
      <w:marLeft w:val="0"/>
      <w:marRight w:val="0"/>
      <w:marTop w:val="0"/>
      <w:marBottom w:val="0"/>
      <w:divBdr>
        <w:top w:val="none" w:sz="0" w:space="0" w:color="auto"/>
        <w:left w:val="none" w:sz="0" w:space="0" w:color="auto"/>
        <w:bottom w:val="none" w:sz="0" w:space="0" w:color="auto"/>
        <w:right w:val="none" w:sz="0" w:space="0" w:color="auto"/>
      </w:divBdr>
    </w:div>
    <w:div w:id="1258323229">
      <w:bodyDiv w:val="1"/>
      <w:marLeft w:val="0"/>
      <w:marRight w:val="0"/>
      <w:marTop w:val="0"/>
      <w:marBottom w:val="0"/>
      <w:divBdr>
        <w:top w:val="none" w:sz="0" w:space="0" w:color="auto"/>
        <w:left w:val="none" w:sz="0" w:space="0" w:color="auto"/>
        <w:bottom w:val="none" w:sz="0" w:space="0" w:color="auto"/>
        <w:right w:val="none" w:sz="0" w:space="0" w:color="auto"/>
      </w:divBdr>
      <w:divsChild>
        <w:div w:id="186723903">
          <w:marLeft w:val="547"/>
          <w:marRight w:val="0"/>
          <w:marTop w:val="0"/>
          <w:marBottom w:val="0"/>
          <w:divBdr>
            <w:top w:val="none" w:sz="0" w:space="0" w:color="auto"/>
            <w:left w:val="none" w:sz="0" w:space="0" w:color="auto"/>
            <w:bottom w:val="none" w:sz="0" w:space="0" w:color="auto"/>
            <w:right w:val="none" w:sz="0" w:space="0" w:color="auto"/>
          </w:divBdr>
        </w:div>
      </w:divsChild>
    </w:div>
    <w:div w:id="1262957707">
      <w:bodyDiv w:val="1"/>
      <w:marLeft w:val="0"/>
      <w:marRight w:val="0"/>
      <w:marTop w:val="0"/>
      <w:marBottom w:val="0"/>
      <w:divBdr>
        <w:top w:val="none" w:sz="0" w:space="0" w:color="auto"/>
        <w:left w:val="none" w:sz="0" w:space="0" w:color="auto"/>
        <w:bottom w:val="none" w:sz="0" w:space="0" w:color="auto"/>
        <w:right w:val="none" w:sz="0" w:space="0" w:color="auto"/>
      </w:divBdr>
      <w:divsChild>
        <w:div w:id="1843736031">
          <w:marLeft w:val="547"/>
          <w:marRight w:val="0"/>
          <w:marTop w:val="0"/>
          <w:marBottom w:val="0"/>
          <w:divBdr>
            <w:top w:val="none" w:sz="0" w:space="0" w:color="auto"/>
            <w:left w:val="none" w:sz="0" w:space="0" w:color="auto"/>
            <w:bottom w:val="none" w:sz="0" w:space="0" w:color="auto"/>
            <w:right w:val="none" w:sz="0" w:space="0" w:color="auto"/>
          </w:divBdr>
        </w:div>
      </w:divsChild>
    </w:div>
    <w:div w:id="1267494564">
      <w:bodyDiv w:val="1"/>
      <w:marLeft w:val="0"/>
      <w:marRight w:val="0"/>
      <w:marTop w:val="0"/>
      <w:marBottom w:val="0"/>
      <w:divBdr>
        <w:top w:val="none" w:sz="0" w:space="0" w:color="auto"/>
        <w:left w:val="none" w:sz="0" w:space="0" w:color="auto"/>
        <w:bottom w:val="none" w:sz="0" w:space="0" w:color="auto"/>
        <w:right w:val="none" w:sz="0" w:space="0" w:color="auto"/>
      </w:divBdr>
    </w:div>
    <w:div w:id="1285192170">
      <w:bodyDiv w:val="1"/>
      <w:marLeft w:val="0"/>
      <w:marRight w:val="0"/>
      <w:marTop w:val="0"/>
      <w:marBottom w:val="0"/>
      <w:divBdr>
        <w:top w:val="none" w:sz="0" w:space="0" w:color="auto"/>
        <w:left w:val="none" w:sz="0" w:space="0" w:color="auto"/>
        <w:bottom w:val="none" w:sz="0" w:space="0" w:color="auto"/>
        <w:right w:val="none" w:sz="0" w:space="0" w:color="auto"/>
      </w:divBdr>
    </w:div>
    <w:div w:id="1298727570">
      <w:bodyDiv w:val="1"/>
      <w:marLeft w:val="0"/>
      <w:marRight w:val="0"/>
      <w:marTop w:val="0"/>
      <w:marBottom w:val="0"/>
      <w:divBdr>
        <w:top w:val="none" w:sz="0" w:space="0" w:color="auto"/>
        <w:left w:val="none" w:sz="0" w:space="0" w:color="auto"/>
        <w:bottom w:val="none" w:sz="0" w:space="0" w:color="auto"/>
        <w:right w:val="none" w:sz="0" w:space="0" w:color="auto"/>
      </w:divBdr>
    </w:div>
    <w:div w:id="1302225536">
      <w:bodyDiv w:val="1"/>
      <w:marLeft w:val="0"/>
      <w:marRight w:val="0"/>
      <w:marTop w:val="0"/>
      <w:marBottom w:val="0"/>
      <w:divBdr>
        <w:top w:val="none" w:sz="0" w:space="0" w:color="auto"/>
        <w:left w:val="none" w:sz="0" w:space="0" w:color="auto"/>
        <w:bottom w:val="none" w:sz="0" w:space="0" w:color="auto"/>
        <w:right w:val="none" w:sz="0" w:space="0" w:color="auto"/>
      </w:divBdr>
    </w:div>
    <w:div w:id="1305545512">
      <w:bodyDiv w:val="1"/>
      <w:marLeft w:val="0"/>
      <w:marRight w:val="0"/>
      <w:marTop w:val="0"/>
      <w:marBottom w:val="0"/>
      <w:divBdr>
        <w:top w:val="none" w:sz="0" w:space="0" w:color="auto"/>
        <w:left w:val="none" w:sz="0" w:space="0" w:color="auto"/>
        <w:bottom w:val="none" w:sz="0" w:space="0" w:color="auto"/>
        <w:right w:val="none" w:sz="0" w:space="0" w:color="auto"/>
      </w:divBdr>
    </w:div>
    <w:div w:id="1321807513">
      <w:bodyDiv w:val="1"/>
      <w:marLeft w:val="0"/>
      <w:marRight w:val="0"/>
      <w:marTop w:val="0"/>
      <w:marBottom w:val="0"/>
      <w:divBdr>
        <w:top w:val="none" w:sz="0" w:space="0" w:color="auto"/>
        <w:left w:val="none" w:sz="0" w:space="0" w:color="auto"/>
        <w:bottom w:val="none" w:sz="0" w:space="0" w:color="auto"/>
        <w:right w:val="none" w:sz="0" w:space="0" w:color="auto"/>
      </w:divBdr>
    </w:div>
    <w:div w:id="1356150997">
      <w:bodyDiv w:val="1"/>
      <w:marLeft w:val="0"/>
      <w:marRight w:val="0"/>
      <w:marTop w:val="0"/>
      <w:marBottom w:val="0"/>
      <w:divBdr>
        <w:top w:val="none" w:sz="0" w:space="0" w:color="auto"/>
        <w:left w:val="none" w:sz="0" w:space="0" w:color="auto"/>
        <w:bottom w:val="none" w:sz="0" w:space="0" w:color="auto"/>
        <w:right w:val="none" w:sz="0" w:space="0" w:color="auto"/>
      </w:divBdr>
    </w:div>
    <w:div w:id="1357660736">
      <w:bodyDiv w:val="1"/>
      <w:marLeft w:val="0"/>
      <w:marRight w:val="0"/>
      <w:marTop w:val="0"/>
      <w:marBottom w:val="0"/>
      <w:divBdr>
        <w:top w:val="none" w:sz="0" w:space="0" w:color="auto"/>
        <w:left w:val="none" w:sz="0" w:space="0" w:color="auto"/>
        <w:bottom w:val="none" w:sz="0" w:space="0" w:color="auto"/>
        <w:right w:val="none" w:sz="0" w:space="0" w:color="auto"/>
      </w:divBdr>
      <w:divsChild>
        <w:div w:id="55515358">
          <w:marLeft w:val="0"/>
          <w:marRight w:val="0"/>
          <w:marTop w:val="0"/>
          <w:marBottom w:val="0"/>
          <w:divBdr>
            <w:top w:val="none" w:sz="0" w:space="0" w:color="auto"/>
            <w:left w:val="none" w:sz="0" w:space="0" w:color="auto"/>
            <w:bottom w:val="none" w:sz="0" w:space="0" w:color="auto"/>
            <w:right w:val="none" w:sz="0" w:space="0" w:color="auto"/>
          </w:divBdr>
        </w:div>
        <w:div w:id="214779987">
          <w:marLeft w:val="0"/>
          <w:marRight w:val="0"/>
          <w:marTop w:val="0"/>
          <w:marBottom w:val="0"/>
          <w:divBdr>
            <w:top w:val="none" w:sz="0" w:space="0" w:color="auto"/>
            <w:left w:val="none" w:sz="0" w:space="0" w:color="auto"/>
            <w:bottom w:val="none" w:sz="0" w:space="0" w:color="auto"/>
            <w:right w:val="none" w:sz="0" w:space="0" w:color="auto"/>
          </w:divBdr>
        </w:div>
        <w:div w:id="690959642">
          <w:marLeft w:val="0"/>
          <w:marRight w:val="0"/>
          <w:marTop w:val="0"/>
          <w:marBottom w:val="0"/>
          <w:divBdr>
            <w:top w:val="none" w:sz="0" w:space="0" w:color="auto"/>
            <w:left w:val="none" w:sz="0" w:space="0" w:color="auto"/>
            <w:bottom w:val="none" w:sz="0" w:space="0" w:color="auto"/>
            <w:right w:val="none" w:sz="0" w:space="0" w:color="auto"/>
          </w:divBdr>
        </w:div>
      </w:divsChild>
    </w:div>
    <w:div w:id="1365597766">
      <w:bodyDiv w:val="1"/>
      <w:marLeft w:val="0"/>
      <w:marRight w:val="0"/>
      <w:marTop w:val="0"/>
      <w:marBottom w:val="0"/>
      <w:divBdr>
        <w:top w:val="none" w:sz="0" w:space="0" w:color="auto"/>
        <w:left w:val="none" w:sz="0" w:space="0" w:color="auto"/>
        <w:bottom w:val="none" w:sz="0" w:space="0" w:color="auto"/>
        <w:right w:val="none" w:sz="0" w:space="0" w:color="auto"/>
      </w:divBdr>
    </w:div>
    <w:div w:id="1370227157">
      <w:bodyDiv w:val="1"/>
      <w:marLeft w:val="0"/>
      <w:marRight w:val="0"/>
      <w:marTop w:val="0"/>
      <w:marBottom w:val="0"/>
      <w:divBdr>
        <w:top w:val="none" w:sz="0" w:space="0" w:color="auto"/>
        <w:left w:val="none" w:sz="0" w:space="0" w:color="auto"/>
        <w:bottom w:val="none" w:sz="0" w:space="0" w:color="auto"/>
        <w:right w:val="none" w:sz="0" w:space="0" w:color="auto"/>
      </w:divBdr>
    </w:div>
    <w:div w:id="1372875659">
      <w:bodyDiv w:val="1"/>
      <w:marLeft w:val="0"/>
      <w:marRight w:val="0"/>
      <w:marTop w:val="0"/>
      <w:marBottom w:val="0"/>
      <w:divBdr>
        <w:top w:val="none" w:sz="0" w:space="0" w:color="auto"/>
        <w:left w:val="none" w:sz="0" w:space="0" w:color="auto"/>
        <w:bottom w:val="none" w:sz="0" w:space="0" w:color="auto"/>
        <w:right w:val="none" w:sz="0" w:space="0" w:color="auto"/>
      </w:divBdr>
    </w:div>
    <w:div w:id="1389839666">
      <w:bodyDiv w:val="1"/>
      <w:marLeft w:val="0"/>
      <w:marRight w:val="0"/>
      <w:marTop w:val="0"/>
      <w:marBottom w:val="0"/>
      <w:divBdr>
        <w:top w:val="none" w:sz="0" w:space="0" w:color="auto"/>
        <w:left w:val="none" w:sz="0" w:space="0" w:color="auto"/>
        <w:bottom w:val="none" w:sz="0" w:space="0" w:color="auto"/>
        <w:right w:val="none" w:sz="0" w:space="0" w:color="auto"/>
      </w:divBdr>
    </w:div>
    <w:div w:id="1391537516">
      <w:bodyDiv w:val="1"/>
      <w:marLeft w:val="0"/>
      <w:marRight w:val="0"/>
      <w:marTop w:val="0"/>
      <w:marBottom w:val="0"/>
      <w:divBdr>
        <w:top w:val="none" w:sz="0" w:space="0" w:color="auto"/>
        <w:left w:val="none" w:sz="0" w:space="0" w:color="auto"/>
        <w:bottom w:val="none" w:sz="0" w:space="0" w:color="auto"/>
        <w:right w:val="none" w:sz="0" w:space="0" w:color="auto"/>
      </w:divBdr>
    </w:div>
    <w:div w:id="1415278312">
      <w:bodyDiv w:val="1"/>
      <w:marLeft w:val="0"/>
      <w:marRight w:val="0"/>
      <w:marTop w:val="0"/>
      <w:marBottom w:val="0"/>
      <w:divBdr>
        <w:top w:val="none" w:sz="0" w:space="0" w:color="auto"/>
        <w:left w:val="none" w:sz="0" w:space="0" w:color="auto"/>
        <w:bottom w:val="none" w:sz="0" w:space="0" w:color="auto"/>
        <w:right w:val="none" w:sz="0" w:space="0" w:color="auto"/>
      </w:divBdr>
    </w:div>
    <w:div w:id="1438987769">
      <w:bodyDiv w:val="1"/>
      <w:marLeft w:val="0"/>
      <w:marRight w:val="0"/>
      <w:marTop w:val="0"/>
      <w:marBottom w:val="0"/>
      <w:divBdr>
        <w:top w:val="none" w:sz="0" w:space="0" w:color="auto"/>
        <w:left w:val="none" w:sz="0" w:space="0" w:color="auto"/>
        <w:bottom w:val="none" w:sz="0" w:space="0" w:color="auto"/>
        <w:right w:val="none" w:sz="0" w:space="0" w:color="auto"/>
      </w:divBdr>
    </w:div>
    <w:div w:id="1439644827">
      <w:bodyDiv w:val="1"/>
      <w:marLeft w:val="0"/>
      <w:marRight w:val="0"/>
      <w:marTop w:val="0"/>
      <w:marBottom w:val="0"/>
      <w:divBdr>
        <w:top w:val="none" w:sz="0" w:space="0" w:color="auto"/>
        <w:left w:val="none" w:sz="0" w:space="0" w:color="auto"/>
        <w:bottom w:val="none" w:sz="0" w:space="0" w:color="auto"/>
        <w:right w:val="none" w:sz="0" w:space="0" w:color="auto"/>
      </w:divBdr>
    </w:div>
    <w:div w:id="1456945138">
      <w:bodyDiv w:val="1"/>
      <w:marLeft w:val="0"/>
      <w:marRight w:val="0"/>
      <w:marTop w:val="0"/>
      <w:marBottom w:val="0"/>
      <w:divBdr>
        <w:top w:val="none" w:sz="0" w:space="0" w:color="auto"/>
        <w:left w:val="none" w:sz="0" w:space="0" w:color="auto"/>
        <w:bottom w:val="none" w:sz="0" w:space="0" w:color="auto"/>
        <w:right w:val="none" w:sz="0" w:space="0" w:color="auto"/>
      </w:divBdr>
    </w:div>
    <w:div w:id="1489444352">
      <w:bodyDiv w:val="1"/>
      <w:marLeft w:val="0"/>
      <w:marRight w:val="0"/>
      <w:marTop w:val="0"/>
      <w:marBottom w:val="0"/>
      <w:divBdr>
        <w:top w:val="none" w:sz="0" w:space="0" w:color="auto"/>
        <w:left w:val="none" w:sz="0" w:space="0" w:color="auto"/>
        <w:bottom w:val="none" w:sz="0" w:space="0" w:color="auto"/>
        <w:right w:val="none" w:sz="0" w:space="0" w:color="auto"/>
      </w:divBdr>
    </w:div>
    <w:div w:id="1524899284">
      <w:bodyDiv w:val="1"/>
      <w:marLeft w:val="0"/>
      <w:marRight w:val="0"/>
      <w:marTop w:val="0"/>
      <w:marBottom w:val="0"/>
      <w:divBdr>
        <w:top w:val="none" w:sz="0" w:space="0" w:color="auto"/>
        <w:left w:val="none" w:sz="0" w:space="0" w:color="auto"/>
        <w:bottom w:val="none" w:sz="0" w:space="0" w:color="auto"/>
        <w:right w:val="none" w:sz="0" w:space="0" w:color="auto"/>
      </w:divBdr>
      <w:divsChild>
        <w:div w:id="1529367910">
          <w:marLeft w:val="0"/>
          <w:marRight w:val="0"/>
          <w:marTop w:val="0"/>
          <w:marBottom w:val="0"/>
          <w:divBdr>
            <w:top w:val="none" w:sz="0" w:space="0" w:color="auto"/>
            <w:left w:val="none" w:sz="0" w:space="0" w:color="auto"/>
            <w:bottom w:val="none" w:sz="0" w:space="0" w:color="auto"/>
            <w:right w:val="none" w:sz="0" w:space="0" w:color="auto"/>
          </w:divBdr>
        </w:div>
        <w:div w:id="1375160696">
          <w:marLeft w:val="0"/>
          <w:marRight w:val="0"/>
          <w:marTop w:val="0"/>
          <w:marBottom w:val="0"/>
          <w:divBdr>
            <w:top w:val="none" w:sz="0" w:space="0" w:color="auto"/>
            <w:left w:val="none" w:sz="0" w:space="0" w:color="auto"/>
            <w:bottom w:val="none" w:sz="0" w:space="0" w:color="auto"/>
            <w:right w:val="none" w:sz="0" w:space="0" w:color="auto"/>
          </w:divBdr>
        </w:div>
        <w:div w:id="464542458">
          <w:marLeft w:val="0"/>
          <w:marRight w:val="0"/>
          <w:marTop w:val="0"/>
          <w:marBottom w:val="0"/>
          <w:divBdr>
            <w:top w:val="none" w:sz="0" w:space="0" w:color="auto"/>
            <w:left w:val="none" w:sz="0" w:space="0" w:color="auto"/>
            <w:bottom w:val="none" w:sz="0" w:space="0" w:color="auto"/>
            <w:right w:val="none" w:sz="0" w:space="0" w:color="auto"/>
          </w:divBdr>
        </w:div>
        <w:div w:id="1291519999">
          <w:marLeft w:val="0"/>
          <w:marRight w:val="0"/>
          <w:marTop w:val="0"/>
          <w:marBottom w:val="0"/>
          <w:divBdr>
            <w:top w:val="none" w:sz="0" w:space="0" w:color="auto"/>
            <w:left w:val="none" w:sz="0" w:space="0" w:color="auto"/>
            <w:bottom w:val="none" w:sz="0" w:space="0" w:color="auto"/>
            <w:right w:val="none" w:sz="0" w:space="0" w:color="auto"/>
          </w:divBdr>
        </w:div>
        <w:div w:id="1161191586">
          <w:marLeft w:val="0"/>
          <w:marRight w:val="0"/>
          <w:marTop w:val="0"/>
          <w:marBottom w:val="0"/>
          <w:divBdr>
            <w:top w:val="none" w:sz="0" w:space="0" w:color="auto"/>
            <w:left w:val="none" w:sz="0" w:space="0" w:color="auto"/>
            <w:bottom w:val="none" w:sz="0" w:space="0" w:color="auto"/>
            <w:right w:val="none" w:sz="0" w:space="0" w:color="auto"/>
          </w:divBdr>
        </w:div>
        <w:div w:id="1373657163">
          <w:marLeft w:val="0"/>
          <w:marRight w:val="0"/>
          <w:marTop w:val="0"/>
          <w:marBottom w:val="0"/>
          <w:divBdr>
            <w:top w:val="none" w:sz="0" w:space="0" w:color="auto"/>
            <w:left w:val="none" w:sz="0" w:space="0" w:color="auto"/>
            <w:bottom w:val="none" w:sz="0" w:space="0" w:color="auto"/>
            <w:right w:val="none" w:sz="0" w:space="0" w:color="auto"/>
          </w:divBdr>
        </w:div>
        <w:div w:id="1227767514">
          <w:marLeft w:val="0"/>
          <w:marRight w:val="0"/>
          <w:marTop w:val="0"/>
          <w:marBottom w:val="0"/>
          <w:divBdr>
            <w:top w:val="none" w:sz="0" w:space="0" w:color="auto"/>
            <w:left w:val="none" w:sz="0" w:space="0" w:color="auto"/>
            <w:bottom w:val="none" w:sz="0" w:space="0" w:color="auto"/>
            <w:right w:val="none" w:sz="0" w:space="0" w:color="auto"/>
          </w:divBdr>
        </w:div>
        <w:div w:id="1367801965">
          <w:marLeft w:val="0"/>
          <w:marRight w:val="0"/>
          <w:marTop w:val="0"/>
          <w:marBottom w:val="0"/>
          <w:divBdr>
            <w:top w:val="none" w:sz="0" w:space="0" w:color="auto"/>
            <w:left w:val="none" w:sz="0" w:space="0" w:color="auto"/>
            <w:bottom w:val="none" w:sz="0" w:space="0" w:color="auto"/>
            <w:right w:val="none" w:sz="0" w:space="0" w:color="auto"/>
          </w:divBdr>
        </w:div>
      </w:divsChild>
    </w:div>
    <w:div w:id="1528441609">
      <w:bodyDiv w:val="1"/>
      <w:marLeft w:val="0"/>
      <w:marRight w:val="0"/>
      <w:marTop w:val="0"/>
      <w:marBottom w:val="0"/>
      <w:divBdr>
        <w:top w:val="none" w:sz="0" w:space="0" w:color="auto"/>
        <w:left w:val="none" w:sz="0" w:space="0" w:color="auto"/>
        <w:bottom w:val="none" w:sz="0" w:space="0" w:color="auto"/>
        <w:right w:val="none" w:sz="0" w:space="0" w:color="auto"/>
      </w:divBdr>
    </w:div>
    <w:div w:id="1546867736">
      <w:bodyDiv w:val="1"/>
      <w:marLeft w:val="0"/>
      <w:marRight w:val="0"/>
      <w:marTop w:val="0"/>
      <w:marBottom w:val="0"/>
      <w:divBdr>
        <w:top w:val="none" w:sz="0" w:space="0" w:color="auto"/>
        <w:left w:val="none" w:sz="0" w:space="0" w:color="auto"/>
        <w:bottom w:val="none" w:sz="0" w:space="0" w:color="auto"/>
        <w:right w:val="none" w:sz="0" w:space="0" w:color="auto"/>
      </w:divBdr>
      <w:divsChild>
        <w:div w:id="1424376425">
          <w:marLeft w:val="547"/>
          <w:marRight w:val="0"/>
          <w:marTop w:val="0"/>
          <w:marBottom w:val="0"/>
          <w:divBdr>
            <w:top w:val="none" w:sz="0" w:space="0" w:color="auto"/>
            <w:left w:val="none" w:sz="0" w:space="0" w:color="auto"/>
            <w:bottom w:val="none" w:sz="0" w:space="0" w:color="auto"/>
            <w:right w:val="none" w:sz="0" w:space="0" w:color="auto"/>
          </w:divBdr>
        </w:div>
      </w:divsChild>
    </w:div>
    <w:div w:id="1553928343">
      <w:bodyDiv w:val="1"/>
      <w:marLeft w:val="0"/>
      <w:marRight w:val="0"/>
      <w:marTop w:val="0"/>
      <w:marBottom w:val="0"/>
      <w:divBdr>
        <w:top w:val="none" w:sz="0" w:space="0" w:color="auto"/>
        <w:left w:val="none" w:sz="0" w:space="0" w:color="auto"/>
        <w:bottom w:val="none" w:sz="0" w:space="0" w:color="auto"/>
        <w:right w:val="none" w:sz="0" w:space="0" w:color="auto"/>
      </w:divBdr>
    </w:div>
    <w:div w:id="1579828940">
      <w:bodyDiv w:val="1"/>
      <w:marLeft w:val="0"/>
      <w:marRight w:val="0"/>
      <w:marTop w:val="0"/>
      <w:marBottom w:val="0"/>
      <w:divBdr>
        <w:top w:val="none" w:sz="0" w:space="0" w:color="auto"/>
        <w:left w:val="none" w:sz="0" w:space="0" w:color="auto"/>
        <w:bottom w:val="none" w:sz="0" w:space="0" w:color="auto"/>
        <w:right w:val="none" w:sz="0" w:space="0" w:color="auto"/>
      </w:divBdr>
    </w:div>
    <w:div w:id="1590038688">
      <w:bodyDiv w:val="1"/>
      <w:marLeft w:val="0"/>
      <w:marRight w:val="0"/>
      <w:marTop w:val="0"/>
      <w:marBottom w:val="0"/>
      <w:divBdr>
        <w:top w:val="none" w:sz="0" w:space="0" w:color="auto"/>
        <w:left w:val="none" w:sz="0" w:space="0" w:color="auto"/>
        <w:bottom w:val="none" w:sz="0" w:space="0" w:color="auto"/>
        <w:right w:val="none" w:sz="0" w:space="0" w:color="auto"/>
      </w:divBdr>
    </w:div>
    <w:div w:id="1615600905">
      <w:bodyDiv w:val="1"/>
      <w:marLeft w:val="0"/>
      <w:marRight w:val="0"/>
      <w:marTop w:val="0"/>
      <w:marBottom w:val="0"/>
      <w:divBdr>
        <w:top w:val="none" w:sz="0" w:space="0" w:color="auto"/>
        <w:left w:val="none" w:sz="0" w:space="0" w:color="auto"/>
        <w:bottom w:val="none" w:sz="0" w:space="0" w:color="auto"/>
        <w:right w:val="none" w:sz="0" w:space="0" w:color="auto"/>
      </w:divBdr>
    </w:div>
    <w:div w:id="1629123676">
      <w:bodyDiv w:val="1"/>
      <w:marLeft w:val="0"/>
      <w:marRight w:val="0"/>
      <w:marTop w:val="0"/>
      <w:marBottom w:val="0"/>
      <w:divBdr>
        <w:top w:val="none" w:sz="0" w:space="0" w:color="auto"/>
        <w:left w:val="none" w:sz="0" w:space="0" w:color="auto"/>
        <w:bottom w:val="none" w:sz="0" w:space="0" w:color="auto"/>
        <w:right w:val="none" w:sz="0" w:space="0" w:color="auto"/>
      </w:divBdr>
    </w:div>
    <w:div w:id="1659111108">
      <w:bodyDiv w:val="1"/>
      <w:marLeft w:val="0"/>
      <w:marRight w:val="0"/>
      <w:marTop w:val="0"/>
      <w:marBottom w:val="0"/>
      <w:divBdr>
        <w:top w:val="none" w:sz="0" w:space="0" w:color="auto"/>
        <w:left w:val="none" w:sz="0" w:space="0" w:color="auto"/>
        <w:bottom w:val="none" w:sz="0" w:space="0" w:color="auto"/>
        <w:right w:val="none" w:sz="0" w:space="0" w:color="auto"/>
      </w:divBdr>
      <w:divsChild>
        <w:div w:id="717365176">
          <w:marLeft w:val="547"/>
          <w:marRight w:val="0"/>
          <w:marTop w:val="0"/>
          <w:marBottom w:val="0"/>
          <w:divBdr>
            <w:top w:val="none" w:sz="0" w:space="0" w:color="auto"/>
            <w:left w:val="none" w:sz="0" w:space="0" w:color="auto"/>
            <w:bottom w:val="none" w:sz="0" w:space="0" w:color="auto"/>
            <w:right w:val="none" w:sz="0" w:space="0" w:color="auto"/>
          </w:divBdr>
        </w:div>
      </w:divsChild>
    </w:div>
    <w:div w:id="1678117353">
      <w:bodyDiv w:val="1"/>
      <w:marLeft w:val="0"/>
      <w:marRight w:val="0"/>
      <w:marTop w:val="0"/>
      <w:marBottom w:val="0"/>
      <w:divBdr>
        <w:top w:val="none" w:sz="0" w:space="0" w:color="auto"/>
        <w:left w:val="none" w:sz="0" w:space="0" w:color="auto"/>
        <w:bottom w:val="none" w:sz="0" w:space="0" w:color="auto"/>
        <w:right w:val="none" w:sz="0" w:space="0" w:color="auto"/>
      </w:divBdr>
    </w:div>
    <w:div w:id="1688484174">
      <w:bodyDiv w:val="1"/>
      <w:marLeft w:val="0"/>
      <w:marRight w:val="0"/>
      <w:marTop w:val="0"/>
      <w:marBottom w:val="0"/>
      <w:divBdr>
        <w:top w:val="none" w:sz="0" w:space="0" w:color="auto"/>
        <w:left w:val="none" w:sz="0" w:space="0" w:color="auto"/>
        <w:bottom w:val="none" w:sz="0" w:space="0" w:color="auto"/>
        <w:right w:val="none" w:sz="0" w:space="0" w:color="auto"/>
      </w:divBdr>
    </w:div>
    <w:div w:id="1696887909">
      <w:bodyDiv w:val="1"/>
      <w:marLeft w:val="0"/>
      <w:marRight w:val="0"/>
      <w:marTop w:val="0"/>
      <w:marBottom w:val="0"/>
      <w:divBdr>
        <w:top w:val="none" w:sz="0" w:space="0" w:color="auto"/>
        <w:left w:val="none" w:sz="0" w:space="0" w:color="auto"/>
        <w:bottom w:val="none" w:sz="0" w:space="0" w:color="auto"/>
        <w:right w:val="none" w:sz="0" w:space="0" w:color="auto"/>
      </w:divBdr>
    </w:div>
    <w:div w:id="1704943208">
      <w:bodyDiv w:val="1"/>
      <w:marLeft w:val="0"/>
      <w:marRight w:val="0"/>
      <w:marTop w:val="0"/>
      <w:marBottom w:val="0"/>
      <w:divBdr>
        <w:top w:val="none" w:sz="0" w:space="0" w:color="auto"/>
        <w:left w:val="none" w:sz="0" w:space="0" w:color="auto"/>
        <w:bottom w:val="none" w:sz="0" w:space="0" w:color="auto"/>
        <w:right w:val="none" w:sz="0" w:space="0" w:color="auto"/>
      </w:divBdr>
    </w:div>
    <w:div w:id="1713573391">
      <w:bodyDiv w:val="1"/>
      <w:marLeft w:val="0"/>
      <w:marRight w:val="0"/>
      <w:marTop w:val="0"/>
      <w:marBottom w:val="0"/>
      <w:divBdr>
        <w:top w:val="none" w:sz="0" w:space="0" w:color="auto"/>
        <w:left w:val="none" w:sz="0" w:space="0" w:color="auto"/>
        <w:bottom w:val="none" w:sz="0" w:space="0" w:color="auto"/>
        <w:right w:val="none" w:sz="0" w:space="0" w:color="auto"/>
      </w:divBdr>
    </w:div>
    <w:div w:id="1720321169">
      <w:bodyDiv w:val="1"/>
      <w:marLeft w:val="0"/>
      <w:marRight w:val="0"/>
      <w:marTop w:val="0"/>
      <w:marBottom w:val="0"/>
      <w:divBdr>
        <w:top w:val="none" w:sz="0" w:space="0" w:color="auto"/>
        <w:left w:val="none" w:sz="0" w:space="0" w:color="auto"/>
        <w:bottom w:val="none" w:sz="0" w:space="0" w:color="auto"/>
        <w:right w:val="none" w:sz="0" w:space="0" w:color="auto"/>
      </w:divBdr>
    </w:div>
    <w:div w:id="1741560870">
      <w:bodyDiv w:val="1"/>
      <w:marLeft w:val="0"/>
      <w:marRight w:val="0"/>
      <w:marTop w:val="0"/>
      <w:marBottom w:val="0"/>
      <w:divBdr>
        <w:top w:val="none" w:sz="0" w:space="0" w:color="auto"/>
        <w:left w:val="none" w:sz="0" w:space="0" w:color="auto"/>
        <w:bottom w:val="none" w:sz="0" w:space="0" w:color="auto"/>
        <w:right w:val="none" w:sz="0" w:space="0" w:color="auto"/>
      </w:divBdr>
      <w:divsChild>
        <w:div w:id="1578707256">
          <w:marLeft w:val="547"/>
          <w:marRight w:val="0"/>
          <w:marTop w:val="0"/>
          <w:marBottom w:val="0"/>
          <w:divBdr>
            <w:top w:val="none" w:sz="0" w:space="0" w:color="auto"/>
            <w:left w:val="none" w:sz="0" w:space="0" w:color="auto"/>
            <w:bottom w:val="none" w:sz="0" w:space="0" w:color="auto"/>
            <w:right w:val="none" w:sz="0" w:space="0" w:color="auto"/>
          </w:divBdr>
        </w:div>
      </w:divsChild>
    </w:div>
    <w:div w:id="1748962118">
      <w:bodyDiv w:val="1"/>
      <w:marLeft w:val="0"/>
      <w:marRight w:val="0"/>
      <w:marTop w:val="0"/>
      <w:marBottom w:val="0"/>
      <w:divBdr>
        <w:top w:val="none" w:sz="0" w:space="0" w:color="auto"/>
        <w:left w:val="none" w:sz="0" w:space="0" w:color="auto"/>
        <w:bottom w:val="none" w:sz="0" w:space="0" w:color="auto"/>
        <w:right w:val="none" w:sz="0" w:space="0" w:color="auto"/>
      </w:divBdr>
    </w:div>
    <w:div w:id="1750493101">
      <w:bodyDiv w:val="1"/>
      <w:marLeft w:val="0"/>
      <w:marRight w:val="0"/>
      <w:marTop w:val="0"/>
      <w:marBottom w:val="0"/>
      <w:divBdr>
        <w:top w:val="none" w:sz="0" w:space="0" w:color="auto"/>
        <w:left w:val="none" w:sz="0" w:space="0" w:color="auto"/>
        <w:bottom w:val="none" w:sz="0" w:space="0" w:color="auto"/>
        <w:right w:val="none" w:sz="0" w:space="0" w:color="auto"/>
      </w:divBdr>
    </w:div>
    <w:div w:id="1756895346">
      <w:bodyDiv w:val="1"/>
      <w:marLeft w:val="0"/>
      <w:marRight w:val="0"/>
      <w:marTop w:val="0"/>
      <w:marBottom w:val="0"/>
      <w:divBdr>
        <w:top w:val="none" w:sz="0" w:space="0" w:color="auto"/>
        <w:left w:val="none" w:sz="0" w:space="0" w:color="auto"/>
        <w:bottom w:val="none" w:sz="0" w:space="0" w:color="auto"/>
        <w:right w:val="none" w:sz="0" w:space="0" w:color="auto"/>
      </w:divBdr>
    </w:div>
    <w:div w:id="1763381460">
      <w:bodyDiv w:val="1"/>
      <w:marLeft w:val="0"/>
      <w:marRight w:val="0"/>
      <w:marTop w:val="0"/>
      <w:marBottom w:val="0"/>
      <w:divBdr>
        <w:top w:val="none" w:sz="0" w:space="0" w:color="auto"/>
        <w:left w:val="none" w:sz="0" w:space="0" w:color="auto"/>
        <w:bottom w:val="none" w:sz="0" w:space="0" w:color="auto"/>
        <w:right w:val="none" w:sz="0" w:space="0" w:color="auto"/>
      </w:divBdr>
      <w:divsChild>
        <w:div w:id="1064061693">
          <w:marLeft w:val="547"/>
          <w:marRight w:val="0"/>
          <w:marTop w:val="0"/>
          <w:marBottom w:val="0"/>
          <w:divBdr>
            <w:top w:val="none" w:sz="0" w:space="0" w:color="auto"/>
            <w:left w:val="none" w:sz="0" w:space="0" w:color="auto"/>
            <w:bottom w:val="none" w:sz="0" w:space="0" w:color="auto"/>
            <w:right w:val="none" w:sz="0" w:space="0" w:color="auto"/>
          </w:divBdr>
        </w:div>
      </w:divsChild>
    </w:div>
    <w:div w:id="1764884802">
      <w:bodyDiv w:val="1"/>
      <w:marLeft w:val="0"/>
      <w:marRight w:val="0"/>
      <w:marTop w:val="0"/>
      <w:marBottom w:val="0"/>
      <w:divBdr>
        <w:top w:val="none" w:sz="0" w:space="0" w:color="auto"/>
        <w:left w:val="none" w:sz="0" w:space="0" w:color="auto"/>
        <w:bottom w:val="none" w:sz="0" w:space="0" w:color="auto"/>
        <w:right w:val="none" w:sz="0" w:space="0" w:color="auto"/>
      </w:divBdr>
      <w:divsChild>
        <w:div w:id="1939212699">
          <w:marLeft w:val="0"/>
          <w:marRight w:val="0"/>
          <w:marTop w:val="0"/>
          <w:marBottom w:val="0"/>
          <w:divBdr>
            <w:top w:val="none" w:sz="0" w:space="0" w:color="auto"/>
            <w:left w:val="none" w:sz="0" w:space="0" w:color="auto"/>
            <w:bottom w:val="none" w:sz="0" w:space="0" w:color="auto"/>
            <w:right w:val="none" w:sz="0" w:space="0" w:color="auto"/>
          </w:divBdr>
        </w:div>
        <w:div w:id="133837876">
          <w:marLeft w:val="0"/>
          <w:marRight w:val="0"/>
          <w:marTop w:val="0"/>
          <w:marBottom w:val="0"/>
          <w:divBdr>
            <w:top w:val="none" w:sz="0" w:space="0" w:color="auto"/>
            <w:left w:val="none" w:sz="0" w:space="0" w:color="auto"/>
            <w:bottom w:val="none" w:sz="0" w:space="0" w:color="auto"/>
            <w:right w:val="none" w:sz="0" w:space="0" w:color="auto"/>
          </w:divBdr>
        </w:div>
        <w:div w:id="1142114759">
          <w:marLeft w:val="0"/>
          <w:marRight w:val="0"/>
          <w:marTop w:val="0"/>
          <w:marBottom w:val="0"/>
          <w:divBdr>
            <w:top w:val="none" w:sz="0" w:space="0" w:color="auto"/>
            <w:left w:val="none" w:sz="0" w:space="0" w:color="auto"/>
            <w:bottom w:val="none" w:sz="0" w:space="0" w:color="auto"/>
            <w:right w:val="none" w:sz="0" w:space="0" w:color="auto"/>
          </w:divBdr>
        </w:div>
        <w:div w:id="1941523570">
          <w:marLeft w:val="0"/>
          <w:marRight w:val="0"/>
          <w:marTop w:val="0"/>
          <w:marBottom w:val="0"/>
          <w:divBdr>
            <w:top w:val="none" w:sz="0" w:space="0" w:color="auto"/>
            <w:left w:val="none" w:sz="0" w:space="0" w:color="auto"/>
            <w:bottom w:val="none" w:sz="0" w:space="0" w:color="auto"/>
            <w:right w:val="none" w:sz="0" w:space="0" w:color="auto"/>
          </w:divBdr>
        </w:div>
        <w:div w:id="1523203334">
          <w:marLeft w:val="0"/>
          <w:marRight w:val="0"/>
          <w:marTop w:val="0"/>
          <w:marBottom w:val="0"/>
          <w:divBdr>
            <w:top w:val="none" w:sz="0" w:space="0" w:color="auto"/>
            <w:left w:val="none" w:sz="0" w:space="0" w:color="auto"/>
            <w:bottom w:val="none" w:sz="0" w:space="0" w:color="auto"/>
            <w:right w:val="none" w:sz="0" w:space="0" w:color="auto"/>
          </w:divBdr>
        </w:div>
        <w:div w:id="1012146167">
          <w:marLeft w:val="0"/>
          <w:marRight w:val="0"/>
          <w:marTop w:val="0"/>
          <w:marBottom w:val="0"/>
          <w:divBdr>
            <w:top w:val="none" w:sz="0" w:space="0" w:color="auto"/>
            <w:left w:val="none" w:sz="0" w:space="0" w:color="auto"/>
            <w:bottom w:val="none" w:sz="0" w:space="0" w:color="auto"/>
            <w:right w:val="none" w:sz="0" w:space="0" w:color="auto"/>
          </w:divBdr>
        </w:div>
        <w:div w:id="1176459566">
          <w:marLeft w:val="0"/>
          <w:marRight w:val="0"/>
          <w:marTop w:val="0"/>
          <w:marBottom w:val="0"/>
          <w:divBdr>
            <w:top w:val="none" w:sz="0" w:space="0" w:color="auto"/>
            <w:left w:val="none" w:sz="0" w:space="0" w:color="auto"/>
            <w:bottom w:val="none" w:sz="0" w:space="0" w:color="auto"/>
            <w:right w:val="none" w:sz="0" w:space="0" w:color="auto"/>
          </w:divBdr>
        </w:div>
        <w:div w:id="1394423539">
          <w:marLeft w:val="0"/>
          <w:marRight w:val="0"/>
          <w:marTop w:val="0"/>
          <w:marBottom w:val="0"/>
          <w:divBdr>
            <w:top w:val="none" w:sz="0" w:space="0" w:color="auto"/>
            <w:left w:val="none" w:sz="0" w:space="0" w:color="auto"/>
            <w:bottom w:val="none" w:sz="0" w:space="0" w:color="auto"/>
            <w:right w:val="none" w:sz="0" w:space="0" w:color="auto"/>
          </w:divBdr>
        </w:div>
        <w:div w:id="564880069">
          <w:marLeft w:val="0"/>
          <w:marRight w:val="0"/>
          <w:marTop w:val="0"/>
          <w:marBottom w:val="0"/>
          <w:divBdr>
            <w:top w:val="none" w:sz="0" w:space="0" w:color="auto"/>
            <w:left w:val="none" w:sz="0" w:space="0" w:color="auto"/>
            <w:bottom w:val="none" w:sz="0" w:space="0" w:color="auto"/>
            <w:right w:val="none" w:sz="0" w:space="0" w:color="auto"/>
          </w:divBdr>
        </w:div>
        <w:div w:id="1140685844">
          <w:marLeft w:val="0"/>
          <w:marRight w:val="0"/>
          <w:marTop w:val="0"/>
          <w:marBottom w:val="0"/>
          <w:divBdr>
            <w:top w:val="none" w:sz="0" w:space="0" w:color="auto"/>
            <w:left w:val="none" w:sz="0" w:space="0" w:color="auto"/>
            <w:bottom w:val="none" w:sz="0" w:space="0" w:color="auto"/>
            <w:right w:val="none" w:sz="0" w:space="0" w:color="auto"/>
          </w:divBdr>
        </w:div>
        <w:div w:id="807010402">
          <w:marLeft w:val="0"/>
          <w:marRight w:val="0"/>
          <w:marTop w:val="0"/>
          <w:marBottom w:val="0"/>
          <w:divBdr>
            <w:top w:val="none" w:sz="0" w:space="0" w:color="auto"/>
            <w:left w:val="none" w:sz="0" w:space="0" w:color="auto"/>
            <w:bottom w:val="none" w:sz="0" w:space="0" w:color="auto"/>
            <w:right w:val="none" w:sz="0" w:space="0" w:color="auto"/>
          </w:divBdr>
        </w:div>
        <w:div w:id="1110902672">
          <w:marLeft w:val="0"/>
          <w:marRight w:val="0"/>
          <w:marTop w:val="0"/>
          <w:marBottom w:val="0"/>
          <w:divBdr>
            <w:top w:val="none" w:sz="0" w:space="0" w:color="auto"/>
            <w:left w:val="none" w:sz="0" w:space="0" w:color="auto"/>
            <w:bottom w:val="none" w:sz="0" w:space="0" w:color="auto"/>
            <w:right w:val="none" w:sz="0" w:space="0" w:color="auto"/>
          </w:divBdr>
        </w:div>
        <w:div w:id="994800903">
          <w:marLeft w:val="0"/>
          <w:marRight w:val="0"/>
          <w:marTop w:val="0"/>
          <w:marBottom w:val="0"/>
          <w:divBdr>
            <w:top w:val="none" w:sz="0" w:space="0" w:color="auto"/>
            <w:left w:val="none" w:sz="0" w:space="0" w:color="auto"/>
            <w:bottom w:val="none" w:sz="0" w:space="0" w:color="auto"/>
            <w:right w:val="none" w:sz="0" w:space="0" w:color="auto"/>
          </w:divBdr>
        </w:div>
        <w:div w:id="773400732">
          <w:marLeft w:val="0"/>
          <w:marRight w:val="0"/>
          <w:marTop w:val="0"/>
          <w:marBottom w:val="0"/>
          <w:divBdr>
            <w:top w:val="none" w:sz="0" w:space="0" w:color="auto"/>
            <w:left w:val="none" w:sz="0" w:space="0" w:color="auto"/>
            <w:bottom w:val="none" w:sz="0" w:space="0" w:color="auto"/>
            <w:right w:val="none" w:sz="0" w:space="0" w:color="auto"/>
          </w:divBdr>
        </w:div>
        <w:div w:id="2023193421">
          <w:marLeft w:val="0"/>
          <w:marRight w:val="0"/>
          <w:marTop w:val="0"/>
          <w:marBottom w:val="0"/>
          <w:divBdr>
            <w:top w:val="none" w:sz="0" w:space="0" w:color="auto"/>
            <w:left w:val="none" w:sz="0" w:space="0" w:color="auto"/>
            <w:bottom w:val="none" w:sz="0" w:space="0" w:color="auto"/>
            <w:right w:val="none" w:sz="0" w:space="0" w:color="auto"/>
          </w:divBdr>
        </w:div>
      </w:divsChild>
    </w:div>
    <w:div w:id="1790859606">
      <w:bodyDiv w:val="1"/>
      <w:marLeft w:val="0"/>
      <w:marRight w:val="0"/>
      <w:marTop w:val="0"/>
      <w:marBottom w:val="0"/>
      <w:divBdr>
        <w:top w:val="none" w:sz="0" w:space="0" w:color="auto"/>
        <w:left w:val="none" w:sz="0" w:space="0" w:color="auto"/>
        <w:bottom w:val="none" w:sz="0" w:space="0" w:color="auto"/>
        <w:right w:val="none" w:sz="0" w:space="0" w:color="auto"/>
      </w:divBdr>
    </w:div>
    <w:div w:id="1815634073">
      <w:bodyDiv w:val="1"/>
      <w:marLeft w:val="0"/>
      <w:marRight w:val="0"/>
      <w:marTop w:val="0"/>
      <w:marBottom w:val="0"/>
      <w:divBdr>
        <w:top w:val="none" w:sz="0" w:space="0" w:color="auto"/>
        <w:left w:val="none" w:sz="0" w:space="0" w:color="auto"/>
        <w:bottom w:val="none" w:sz="0" w:space="0" w:color="auto"/>
        <w:right w:val="none" w:sz="0" w:space="0" w:color="auto"/>
      </w:divBdr>
    </w:div>
    <w:div w:id="1829591042">
      <w:bodyDiv w:val="1"/>
      <w:marLeft w:val="0"/>
      <w:marRight w:val="0"/>
      <w:marTop w:val="0"/>
      <w:marBottom w:val="0"/>
      <w:divBdr>
        <w:top w:val="none" w:sz="0" w:space="0" w:color="auto"/>
        <w:left w:val="none" w:sz="0" w:space="0" w:color="auto"/>
        <w:bottom w:val="none" w:sz="0" w:space="0" w:color="auto"/>
        <w:right w:val="none" w:sz="0" w:space="0" w:color="auto"/>
      </w:divBdr>
    </w:div>
    <w:div w:id="1880823765">
      <w:bodyDiv w:val="1"/>
      <w:marLeft w:val="0"/>
      <w:marRight w:val="0"/>
      <w:marTop w:val="0"/>
      <w:marBottom w:val="0"/>
      <w:divBdr>
        <w:top w:val="none" w:sz="0" w:space="0" w:color="auto"/>
        <w:left w:val="none" w:sz="0" w:space="0" w:color="auto"/>
        <w:bottom w:val="none" w:sz="0" w:space="0" w:color="auto"/>
        <w:right w:val="none" w:sz="0" w:space="0" w:color="auto"/>
      </w:divBdr>
    </w:div>
    <w:div w:id="1899979010">
      <w:bodyDiv w:val="1"/>
      <w:marLeft w:val="0"/>
      <w:marRight w:val="0"/>
      <w:marTop w:val="0"/>
      <w:marBottom w:val="0"/>
      <w:divBdr>
        <w:top w:val="none" w:sz="0" w:space="0" w:color="auto"/>
        <w:left w:val="none" w:sz="0" w:space="0" w:color="auto"/>
        <w:bottom w:val="none" w:sz="0" w:space="0" w:color="auto"/>
        <w:right w:val="none" w:sz="0" w:space="0" w:color="auto"/>
      </w:divBdr>
    </w:div>
    <w:div w:id="1904830102">
      <w:bodyDiv w:val="1"/>
      <w:marLeft w:val="0"/>
      <w:marRight w:val="0"/>
      <w:marTop w:val="0"/>
      <w:marBottom w:val="0"/>
      <w:divBdr>
        <w:top w:val="none" w:sz="0" w:space="0" w:color="auto"/>
        <w:left w:val="none" w:sz="0" w:space="0" w:color="auto"/>
        <w:bottom w:val="none" w:sz="0" w:space="0" w:color="auto"/>
        <w:right w:val="none" w:sz="0" w:space="0" w:color="auto"/>
      </w:divBdr>
    </w:div>
    <w:div w:id="1933467218">
      <w:bodyDiv w:val="1"/>
      <w:marLeft w:val="0"/>
      <w:marRight w:val="0"/>
      <w:marTop w:val="0"/>
      <w:marBottom w:val="0"/>
      <w:divBdr>
        <w:top w:val="none" w:sz="0" w:space="0" w:color="auto"/>
        <w:left w:val="none" w:sz="0" w:space="0" w:color="auto"/>
        <w:bottom w:val="none" w:sz="0" w:space="0" w:color="auto"/>
        <w:right w:val="none" w:sz="0" w:space="0" w:color="auto"/>
      </w:divBdr>
    </w:div>
    <w:div w:id="1960407433">
      <w:bodyDiv w:val="1"/>
      <w:marLeft w:val="0"/>
      <w:marRight w:val="0"/>
      <w:marTop w:val="0"/>
      <w:marBottom w:val="0"/>
      <w:divBdr>
        <w:top w:val="none" w:sz="0" w:space="0" w:color="auto"/>
        <w:left w:val="none" w:sz="0" w:space="0" w:color="auto"/>
        <w:bottom w:val="none" w:sz="0" w:space="0" w:color="auto"/>
        <w:right w:val="none" w:sz="0" w:space="0" w:color="auto"/>
      </w:divBdr>
    </w:div>
    <w:div w:id="1973443814">
      <w:bodyDiv w:val="1"/>
      <w:marLeft w:val="0"/>
      <w:marRight w:val="0"/>
      <w:marTop w:val="0"/>
      <w:marBottom w:val="0"/>
      <w:divBdr>
        <w:top w:val="none" w:sz="0" w:space="0" w:color="auto"/>
        <w:left w:val="none" w:sz="0" w:space="0" w:color="auto"/>
        <w:bottom w:val="none" w:sz="0" w:space="0" w:color="auto"/>
        <w:right w:val="none" w:sz="0" w:space="0" w:color="auto"/>
      </w:divBdr>
    </w:div>
    <w:div w:id="1996299939">
      <w:bodyDiv w:val="1"/>
      <w:marLeft w:val="0"/>
      <w:marRight w:val="0"/>
      <w:marTop w:val="0"/>
      <w:marBottom w:val="0"/>
      <w:divBdr>
        <w:top w:val="none" w:sz="0" w:space="0" w:color="auto"/>
        <w:left w:val="none" w:sz="0" w:space="0" w:color="auto"/>
        <w:bottom w:val="none" w:sz="0" w:space="0" w:color="auto"/>
        <w:right w:val="none" w:sz="0" w:space="0" w:color="auto"/>
      </w:divBdr>
    </w:div>
    <w:div w:id="2001158890">
      <w:bodyDiv w:val="1"/>
      <w:marLeft w:val="0"/>
      <w:marRight w:val="0"/>
      <w:marTop w:val="0"/>
      <w:marBottom w:val="0"/>
      <w:divBdr>
        <w:top w:val="none" w:sz="0" w:space="0" w:color="auto"/>
        <w:left w:val="none" w:sz="0" w:space="0" w:color="auto"/>
        <w:bottom w:val="none" w:sz="0" w:space="0" w:color="auto"/>
        <w:right w:val="none" w:sz="0" w:space="0" w:color="auto"/>
      </w:divBdr>
    </w:div>
    <w:div w:id="2009482738">
      <w:bodyDiv w:val="1"/>
      <w:marLeft w:val="0"/>
      <w:marRight w:val="0"/>
      <w:marTop w:val="0"/>
      <w:marBottom w:val="0"/>
      <w:divBdr>
        <w:top w:val="none" w:sz="0" w:space="0" w:color="auto"/>
        <w:left w:val="none" w:sz="0" w:space="0" w:color="auto"/>
        <w:bottom w:val="none" w:sz="0" w:space="0" w:color="auto"/>
        <w:right w:val="none" w:sz="0" w:space="0" w:color="auto"/>
      </w:divBdr>
    </w:div>
    <w:div w:id="2012946493">
      <w:bodyDiv w:val="1"/>
      <w:marLeft w:val="0"/>
      <w:marRight w:val="0"/>
      <w:marTop w:val="0"/>
      <w:marBottom w:val="0"/>
      <w:divBdr>
        <w:top w:val="none" w:sz="0" w:space="0" w:color="auto"/>
        <w:left w:val="none" w:sz="0" w:space="0" w:color="auto"/>
        <w:bottom w:val="none" w:sz="0" w:space="0" w:color="auto"/>
        <w:right w:val="none" w:sz="0" w:space="0" w:color="auto"/>
      </w:divBdr>
    </w:div>
    <w:div w:id="2015643972">
      <w:bodyDiv w:val="1"/>
      <w:marLeft w:val="0"/>
      <w:marRight w:val="0"/>
      <w:marTop w:val="0"/>
      <w:marBottom w:val="0"/>
      <w:divBdr>
        <w:top w:val="none" w:sz="0" w:space="0" w:color="auto"/>
        <w:left w:val="none" w:sz="0" w:space="0" w:color="auto"/>
        <w:bottom w:val="none" w:sz="0" w:space="0" w:color="auto"/>
        <w:right w:val="none" w:sz="0" w:space="0" w:color="auto"/>
      </w:divBdr>
    </w:div>
    <w:div w:id="2025858219">
      <w:bodyDiv w:val="1"/>
      <w:marLeft w:val="0"/>
      <w:marRight w:val="0"/>
      <w:marTop w:val="0"/>
      <w:marBottom w:val="0"/>
      <w:divBdr>
        <w:top w:val="none" w:sz="0" w:space="0" w:color="auto"/>
        <w:left w:val="none" w:sz="0" w:space="0" w:color="auto"/>
        <w:bottom w:val="none" w:sz="0" w:space="0" w:color="auto"/>
        <w:right w:val="none" w:sz="0" w:space="0" w:color="auto"/>
      </w:divBdr>
    </w:div>
    <w:div w:id="2036732794">
      <w:bodyDiv w:val="1"/>
      <w:marLeft w:val="0"/>
      <w:marRight w:val="0"/>
      <w:marTop w:val="0"/>
      <w:marBottom w:val="0"/>
      <w:divBdr>
        <w:top w:val="none" w:sz="0" w:space="0" w:color="auto"/>
        <w:left w:val="none" w:sz="0" w:space="0" w:color="auto"/>
        <w:bottom w:val="none" w:sz="0" w:space="0" w:color="auto"/>
        <w:right w:val="none" w:sz="0" w:space="0" w:color="auto"/>
      </w:divBdr>
    </w:div>
    <w:div w:id="2041858588">
      <w:bodyDiv w:val="1"/>
      <w:marLeft w:val="0"/>
      <w:marRight w:val="0"/>
      <w:marTop w:val="0"/>
      <w:marBottom w:val="0"/>
      <w:divBdr>
        <w:top w:val="none" w:sz="0" w:space="0" w:color="auto"/>
        <w:left w:val="none" w:sz="0" w:space="0" w:color="auto"/>
        <w:bottom w:val="none" w:sz="0" w:space="0" w:color="auto"/>
        <w:right w:val="none" w:sz="0" w:space="0" w:color="auto"/>
      </w:divBdr>
    </w:div>
    <w:div w:id="2101099107">
      <w:bodyDiv w:val="1"/>
      <w:marLeft w:val="0"/>
      <w:marRight w:val="0"/>
      <w:marTop w:val="0"/>
      <w:marBottom w:val="0"/>
      <w:divBdr>
        <w:top w:val="none" w:sz="0" w:space="0" w:color="auto"/>
        <w:left w:val="none" w:sz="0" w:space="0" w:color="auto"/>
        <w:bottom w:val="none" w:sz="0" w:space="0" w:color="auto"/>
        <w:right w:val="none" w:sz="0" w:space="0" w:color="auto"/>
      </w:divBdr>
    </w:div>
    <w:div w:id="2123648400">
      <w:bodyDiv w:val="1"/>
      <w:marLeft w:val="0"/>
      <w:marRight w:val="0"/>
      <w:marTop w:val="0"/>
      <w:marBottom w:val="0"/>
      <w:divBdr>
        <w:top w:val="none" w:sz="0" w:space="0" w:color="auto"/>
        <w:left w:val="none" w:sz="0" w:space="0" w:color="auto"/>
        <w:bottom w:val="none" w:sz="0" w:space="0" w:color="auto"/>
        <w:right w:val="none" w:sz="0" w:space="0" w:color="auto"/>
      </w:divBdr>
      <w:divsChild>
        <w:div w:id="8024311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8.xml"/><Relationship Id="rId21" Type="http://schemas.openxmlformats.org/officeDocument/2006/relationships/image" Target="media/image6.gif"/><Relationship Id="rId42" Type="http://schemas.openxmlformats.org/officeDocument/2006/relationships/chart" Target="charts/chart5.xml"/><Relationship Id="rId63" Type="http://schemas.openxmlformats.org/officeDocument/2006/relationships/hyperlink" Target="https://vdb.czso.cz/mos/" TargetMode="External"/><Relationship Id="rId84" Type="http://schemas.openxmlformats.org/officeDocument/2006/relationships/hyperlink" Target="https://www.pamatkovykatalog.cz/" TargetMode="External"/><Relationship Id="rId138" Type="http://schemas.openxmlformats.org/officeDocument/2006/relationships/diagramQuickStyle" Target="diagrams/quickStyle2.xml"/><Relationship Id="rId159" Type="http://schemas.openxmlformats.org/officeDocument/2006/relationships/diagramLayout" Target="diagrams/layout4.xml"/><Relationship Id="rId170" Type="http://schemas.openxmlformats.org/officeDocument/2006/relationships/diagramColors" Target="diagrams/colors5.xml"/><Relationship Id="rId191" Type="http://schemas.openxmlformats.org/officeDocument/2006/relationships/hyperlink" Target="https://isir.justice.cz/" TargetMode="External"/><Relationship Id="rId205" Type="http://schemas.openxmlformats.org/officeDocument/2006/relationships/hyperlink" Target="https://www.starebuky.cz/" TargetMode="External"/><Relationship Id="rId226" Type="http://schemas.openxmlformats.org/officeDocument/2006/relationships/hyperlink" Target="https://www.dobrachaloupka.cz/" TargetMode="External"/><Relationship Id="rId247" Type="http://schemas.openxmlformats.org/officeDocument/2006/relationships/hyperlink" Target="https://mapy.geology.cz/" TargetMode="External"/><Relationship Id="rId107" Type="http://schemas.openxmlformats.org/officeDocument/2006/relationships/hyperlink" Target="https://nahlizenidokn.cuzk.cz/" TargetMode="External"/><Relationship Id="rId268" Type="http://schemas.openxmlformats.org/officeDocument/2006/relationships/hyperlink" Target="https://www.starebuky.cz/uzemni-plan-obce" TargetMode="External"/><Relationship Id="rId11" Type="http://schemas.openxmlformats.org/officeDocument/2006/relationships/footer" Target="footer2.xml"/><Relationship Id="rId32" Type="http://schemas.openxmlformats.org/officeDocument/2006/relationships/chart" Target="charts/chart2.xml"/><Relationship Id="rId53" Type="http://schemas.openxmlformats.org/officeDocument/2006/relationships/hyperlink" Target="https://zemedelska-a-s-vysina2.webnode.cz/" TargetMode="External"/><Relationship Id="rId74" Type="http://schemas.openxmlformats.org/officeDocument/2006/relationships/hyperlink" Target="https://mapy.cz/" TargetMode="External"/><Relationship Id="rId128" Type="http://schemas.openxmlformats.org/officeDocument/2006/relationships/diagramData" Target="diagrams/data1.xml"/><Relationship Id="rId149" Type="http://schemas.openxmlformats.org/officeDocument/2006/relationships/footer" Target="footer10.xml"/><Relationship Id="rId5" Type="http://schemas.openxmlformats.org/officeDocument/2006/relationships/webSettings" Target="webSettings.xml"/><Relationship Id="rId95" Type="http://schemas.openxmlformats.org/officeDocument/2006/relationships/image" Target="media/image16.png"/><Relationship Id="rId160" Type="http://schemas.openxmlformats.org/officeDocument/2006/relationships/diagramQuickStyle" Target="diagrams/quickStyle4.xml"/><Relationship Id="rId181" Type="http://schemas.openxmlformats.org/officeDocument/2006/relationships/hyperlink" Target="https://www.uur.cz/eupc/ilas" TargetMode="External"/><Relationship Id="rId216" Type="http://schemas.openxmlformats.org/officeDocument/2006/relationships/hyperlink" Target="https://www.facebook.com/Zdrav%C3%A1-FARMA-sro-148271709164267/" TargetMode="External"/><Relationship Id="rId237" Type="http://schemas.openxmlformats.org/officeDocument/2006/relationships/hyperlink" Target="https://www.facebook.com/Severka-Ryb%C3%A1%C5%99sk%C3%A1-Ba%C5%A1ta-2671642739544828/" TargetMode="External"/><Relationship Id="rId258" Type="http://schemas.openxmlformats.org/officeDocument/2006/relationships/hyperlink" Target="https://www.vhodne-uverejneni.cz/profil/obec-stare-buky" TargetMode="External"/><Relationship Id="rId22" Type="http://schemas.openxmlformats.org/officeDocument/2006/relationships/hyperlink" Target="https://rekos.psp.cz/" TargetMode="External"/><Relationship Id="rId43" Type="http://schemas.openxmlformats.org/officeDocument/2006/relationships/hyperlink" Target="https://www.czso.cz/staticke/sldb/sldb2001.nsf/index" TargetMode="External"/><Relationship Id="rId64" Type="http://schemas.openxmlformats.org/officeDocument/2006/relationships/hyperlink" Target="https://www.czso.cz/staticke/sldb/sldb2001.nsf/index" TargetMode="External"/><Relationship Id="rId118" Type="http://schemas.openxmlformats.org/officeDocument/2006/relationships/chart" Target="charts/chart19.xml"/><Relationship Id="rId139" Type="http://schemas.openxmlformats.org/officeDocument/2006/relationships/diagramColors" Target="diagrams/colors2.xml"/><Relationship Id="rId85" Type="http://schemas.openxmlformats.org/officeDocument/2006/relationships/image" Target="media/image13.jpeg"/><Relationship Id="rId150" Type="http://schemas.openxmlformats.org/officeDocument/2006/relationships/footer" Target="footer11.xml"/><Relationship Id="rId171" Type="http://schemas.microsoft.com/office/2007/relationships/diagramDrawing" Target="diagrams/drawing5.xml"/><Relationship Id="rId192" Type="http://schemas.openxmlformats.org/officeDocument/2006/relationships/hyperlink" Target="https://irop.mmr.cz/" TargetMode="External"/><Relationship Id="rId206" Type="http://schemas.openxmlformats.org/officeDocument/2006/relationships/hyperlink" Target="https://www.opzp.cz/" TargetMode="External"/><Relationship Id="rId227" Type="http://schemas.openxmlformats.org/officeDocument/2006/relationships/hyperlink" Target="https://www.domkykrkonose.cz/" TargetMode="External"/><Relationship Id="rId248" Type="http://schemas.openxmlformats.org/officeDocument/2006/relationships/hyperlink" Target="https://vdb.czso.cz/mos/" TargetMode="External"/><Relationship Id="rId269" Type="http://schemas.openxmlformats.org/officeDocument/2006/relationships/hyperlink" Target="https://vdp.cuzk.cz/" TargetMode="External"/><Relationship Id="rId12" Type="http://schemas.openxmlformats.org/officeDocument/2006/relationships/header" Target="header1.xml"/><Relationship Id="rId33" Type="http://schemas.openxmlformats.org/officeDocument/2006/relationships/hyperlink" Target="https://nahlizenidokn.cuzk.cz/" TargetMode="External"/><Relationship Id="rId108" Type="http://schemas.openxmlformats.org/officeDocument/2006/relationships/hyperlink" Target="https://nahlizenidokn.cuzk.cz/" TargetMode="External"/><Relationship Id="rId129" Type="http://schemas.openxmlformats.org/officeDocument/2006/relationships/diagramLayout" Target="diagrams/layout1.xml"/><Relationship Id="rId54" Type="http://schemas.openxmlformats.org/officeDocument/2006/relationships/hyperlink" Target="https://atol-pp.sluzby.cz/" TargetMode="External"/><Relationship Id="rId75" Type="http://schemas.openxmlformats.org/officeDocument/2006/relationships/image" Target="media/image11.jpeg"/><Relationship Id="rId96" Type="http://schemas.openxmlformats.org/officeDocument/2006/relationships/hyperlink" Target="https://geoportal.gov.cz/" TargetMode="External"/><Relationship Id="rId140" Type="http://schemas.microsoft.com/office/2007/relationships/diagramDrawing" Target="diagrams/drawing2.xml"/><Relationship Id="rId161" Type="http://schemas.openxmlformats.org/officeDocument/2006/relationships/diagramColors" Target="diagrams/colors4.xml"/><Relationship Id="rId182" Type="http://schemas.openxmlformats.org/officeDocument/2006/relationships/hyperlink" Target="https://www.facebook.com/groups/494089651113464" TargetMode="External"/><Relationship Id="rId217" Type="http://schemas.openxmlformats.org/officeDocument/2006/relationships/hyperlink" Target="https://www.tabor-legenda.cz/" TargetMode="External"/><Relationship Id="rId6" Type="http://schemas.openxmlformats.org/officeDocument/2006/relationships/footnotes" Target="footnotes.xml"/><Relationship Id="rId238" Type="http://schemas.openxmlformats.org/officeDocument/2006/relationships/hyperlink" Target="http://www.hany-tour.com/" TargetMode="External"/><Relationship Id="rId259" Type="http://schemas.openxmlformats.org/officeDocument/2006/relationships/hyperlink" Target="https://rekos.psp.cz/" TargetMode="External"/><Relationship Id="rId23" Type="http://schemas.openxmlformats.org/officeDocument/2006/relationships/hyperlink" Target="https://geoportal.gov.cz/" TargetMode="External"/><Relationship Id="rId119" Type="http://schemas.openxmlformats.org/officeDocument/2006/relationships/hyperlink" Target="https://www.mmr.cz/" TargetMode="External"/><Relationship Id="rId270" Type="http://schemas.openxmlformats.org/officeDocument/2006/relationships/hyperlink" Target="http://portal.idos.cz/" TargetMode="External"/><Relationship Id="rId44" Type="http://schemas.openxmlformats.org/officeDocument/2006/relationships/hyperlink" Target="https://www.czso.cz/csu/czso/scitani-lidu-domu-a-bytu" TargetMode="External"/><Relationship Id="rId65" Type="http://schemas.openxmlformats.org/officeDocument/2006/relationships/hyperlink" Target="https://www.czso.cz/csu/czso/scitani-lidu-domu-a-bytu" TargetMode="External"/><Relationship Id="rId86" Type="http://schemas.openxmlformats.org/officeDocument/2006/relationships/hyperlink" Target="https://nahlizenidokn.cuzk.cz/" TargetMode="External"/><Relationship Id="rId130" Type="http://schemas.openxmlformats.org/officeDocument/2006/relationships/diagramQuickStyle" Target="diagrams/quickStyle1.xml"/><Relationship Id="rId151" Type="http://schemas.openxmlformats.org/officeDocument/2006/relationships/diagramData" Target="diagrams/data3.xml"/><Relationship Id="rId172" Type="http://schemas.openxmlformats.org/officeDocument/2006/relationships/header" Target="header6.xml"/><Relationship Id="rId193" Type="http://schemas.openxmlformats.org/officeDocument/2006/relationships/hyperlink" Target="https://www.kr-kralovehradecky.cz/" TargetMode="External"/><Relationship Id="rId202" Type="http://schemas.openxmlformats.org/officeDocument/2006/relationships/hyperlink" Target="https://www.brownfieldy.eu/" TargetMode="External"/><Relationship Id="rId207" Type="http://schemas.openxmlformats.org/officeDocument/2006/relationships/hyperlink" Target="https://www.policie.cz/" TargetMode="External"/><Relationship Id="rId223" Type="http://schemas.openxmlformats.org/officeDocument/2006/relationships/hyperlink" Target="http://denik.obce.cz/" TargetMode="External"/><Relationship Id="rId228" Type="http://schemas.openxmlformats.org/officeDocument/2006/relationships/hyperlink" Target="https://www.facebook.com/hospoda59/" TargetMode="External"/><Relationship Id="rId244" Type="http://schemas.openxmlformats.org/officeDocument/2006/relationships/hyperlink" Target="http://socialnibydleni.mpsv.cz/cs/" TargetMode="External"/><Relationship Id="rId249" Type="http://schemas.openxmlformats.org/officeDocument/2006/relationships/hyperlink" Target="https://www.mmr.cz/getmedia/70d00bf5-cec5-4ddd-9309-a3f54c216ea8/Metodika-pripravy-verejnych-strategii-plna-verze_1.pdf.aspx?ext=.pdf" TargetMode="External"/><Relationship Id="rId13" Type="http://schemas.openxmlformats.org/officeDocument/2006/relationships/header" Target="header2.xml"/><Relationship Id="rId18" Type="http://schemas.openxmlformats.org/officeDocument/2006/relationships/hyperlink" Target="https://www.cuzk.cz/" TargetMode="External"/><Relationship Id="rId39" Type="http://schemas.openxmlformats.org/officeDocument/2006/relationships/hyperlink" Target="https://www.czso.cz/" TargetMode="External"/><Relationship Id="rId109" Type="http://schemas.openxmlformats.org/officeDocument/2006/relationships/image" Target="media/image19.jpeg"/><Relationship Id="rId260" Type="http://schemas.openxmlformats.org/officeDocument/2006/relationships/hyperlink" Target="https://www.kr-kralovehradecky.cz/assets/rozvoj-kraje/uzemni-planovani/4--Uplna-aktulizace-UAP-KHK---textova-cast---PRURU-a-RURU.pdf" TargetMode="External"/><Relationship Id="rId265" Type="http://schemas.openxmlformats.org/officeDocument/2006/relationships/hyperlink" Target="https://www.pamatkovykatalog.cz/" TargetMode="External"/><Relationship Id="rId34" Type="http://schemas.openxmlformats.org/officeDocument/2006/relationships/hyperlink" Target="https://www.czso.cz" TargetMode="External"/><Relationship Id="rId50" Type="http://schemas.openxmlformats.org/officeDocument/2006/relationships/hyperlink" Target="https://wwwinfo.mfcr.cz/ares/ares_es.html.cz" TargetMode="External"/><Relationship Id="rId55" Type="http://schemas.openxmlformats.org/officeDocument/2006/relationships/hyperlink" Target="https://go-kultura.cz/" TargetMode="External"/><Relationship Id="rId76" Type="http://schemas.openxmlformats.org/officeDocument/2006/relationships/hyperlink" Target="https://www.rsd.cz/cs/silnice-a-dalnice/scitani-dopravy" TargetMode="External"/><Relationship Id="rId97" Type="http://schemas.openxmlformats.org/officeDocument/2006/relationships/image" Target="media/image17.png"/><Relationship Id="rId104" Type="http://schemas.openxmlformats.org/officeDocument/2006/relationships/hyperlink" Target="https://www.opzp.cz/" TargetMode="External"/><Relationship Id="rId120" Type="http://schemas.openxmlformats.org/officeDocument/2006/relationships/hyperlink" Target="http://portal.uur.cz/" TargetMode="External"/><Relationship Id="rId125" Type="http://schemas.openxmlformats.org/officeDocument/2006/relationships/footer" Target="footer4.xml"/><Relationship Id="rId141" Type="http://schemas.openxmlformats.org/officeDocument/2006/relationships/footer" Target="footer9.xml"/><Relationship Id="rId146" Type="http://schemas.openxmlformats.org/officeDocument/2006/relationships/image" Target="media/image25.jpeg"/><Relationship Id="rId167" Type="http://schemas.openxmlformats.org/officeDocument/2006/relationships/diagramData" Target="diagrams/data5.xml"/><Relationship Id="rId188" Type="http://schemas.openxmlformats.org/officeDocument/2006/relationships/hyperlink" Target="http://dotace.kr-kralovehradecky.cz/" TargetMode="External"/><Relationship Id="rId7" Type="http://schemas.openxmlformats.org/officeDocument/2006/relationships/endnotes" Target="endnotes.xml"/><Relationship Id="rId71" Type="http://schemas.openxmlformats.org/officeDocument/2006/relationships/hyperlink" Target="https://www.czso.cz/csu/czso/scitani-lidu-domu-a-bytu" TargetMode="External"/><Relationship Id="rId92" Type="http://schemas.openxmlformats.org/officeDocument/2006/relationships/hyperlink" Target="https://geoportal.vumop.cz/" TargetMode="External"/><Relationship Id="rId162" Type="http://schemas.microsoft.com/office/2007/relationships/diagramDrawing" Target="diagrams/drawing4.xml"/><Relationship Id="rId183" Type="http://schemas.openxmlformats.org/officeDocument/2006/relationships/hyperlink" Target="https://geoportal.vumop.cz/" TargetMode="External"/><Relationship Id="rId213" Type="http://schemas.openxmlformats.org/officeDocument/2006/relationships/hyperlink" Target="https://go-kultura.cz/" TargetMode="External"/><Relationship Id="rId218" Type="http://schemas.openxmlformats.org/officeDocument/2006/relationships/hyperlink" Target="https://tjsokolstarebuky.netstranky.cz" TargetMode="External"/><Relationship Id="rId234" Type="http://schemas.openxmlformats.org/officeDocument/2006/relationships/hyperlink" Target="https://www.e-chalupy.cz/vychodni_cechy/ubytovani-prostredni-stare-buky-chata-trojka-0331.php" TargetMode="External"/><Relationship Id="rId239" Type="http://schemas.openxmlformats.org/officeDocument/2006/relationships/hyperlink" Target="https://ubytovani-stare-buky.webnode.cz/" TargetMode="External"/><Relationship Id="rId2" Type="http://schemas.openxmlformats.org/officeDocument/2006/relationships/numbering" Target="numbering.xml"/><Relationship Id="rId29" Type="http://schemas.openxmlformats.org/officeDocument/2006/relationships/chart" Target="charts/chart1.xml"/><Relationship Id="rId250" Type="http://schemas.openxmlformats.org/officeDocument/2006/relationships/hyperlink" Target="https://www.starebuky.cz/vyhlasky-zakony-a-usneseni-zastupitelstva" TargetMode="External"/><Relationship Id="rId255" Type="http://schemas.openxmlformats.org/officeDocument/2006/relationships/hyperlink" Target="http://portal.uur.cz/" TargetMode="External"/><Relationship Id="rId271" Type="http://schemas.openxmlformats.org/officeDocument/2006/relationships/header" Target="header7.xml"/><Relationship Id="rId276" Type="http://schemas.openxmlformats.org/officeDocument/2006/relationships/fontTable" Target="fontTable.xml"/><Relationship Id="rId24" Type="http://schemas.openxmlformats.org/officeDocument/2006/relationships/image" Target="media/image7.png"/><Relationship Id="rId40" Type="http://schemas.openxmlformats.org/officeDocument/2006/relationships/chart" Target="charts/chart4.xml"/><Relationship Id="rId45" Type="http://schemas.openxmlformats.org/officeDocument/2006/relationships/hyperlink" Target="https://vdb.czso.cz/mos/" TargetMode="External"/><Relationship Id="rId66" Type="http://schemas.openxmlformats.org/officeDocument/2006/relationships/chart" Target="charts/chart8.xml"/><Relationship Id="rId87" Type="http://schemas.openxmlformats.org/officeDocument/2006/relationships/chart" Target="charts/chart10.xml"/><Relationship Id="rId110" Type="http://schemas.openxmlformats.org/officeDocument/2006/relationships/chart" Target="charts/chart13.xml"/><Relationship Id="rId115" Type="http://schemas.openxmlformats.org/officeDocument/2006/relationships/chart" Target="charts/chart16.xml"/><Relationship Id="rId131" Type="http://schemas.openxmlformats.org/officeDocument/2006/relationships/diagramColors" Target="diagrams/colors1.xml"/><Relationship Id="rId136" Type="http://schemas.openxmlformats.org/officeDocument/2006/relationships/diagramData" Target="diagrams/data2.xml"/><Relationship Id="rId157" Type="http://schemas.openxmlformats.org/officeDocument/2006/relationships/footer" Target="footer12.xml"/><Relationship Id="rId178" Type="http://schemas.openxmlformats.org/officeDocument/2006/relationships/hyperlink" Target="https://eagri.cz/public/web/mze/voda/aplikace/cevt.html" TargetMode="External"/><Relationship Id="rId61" Type="http://schemas.openxmlformats.org/officeDocument/2006/relationships/hyperlink" Target="https://vdb.czso.cz/mos/" TargetMode="External"/><Relationship Id="rId82" Type="http://schemas.openxmlformats.org/officeDocument/2006/relationships/hyperlink" Target="https://www.czso.cz/staticke/sldb/sldb2001.nsf/index" TargetMode="External"/><Relationship Id="rId152" Type="http://schemas.openxmlformats.org/officeDocument/2006/relationships/diagramLayout" Target="diagrams/layout3.xml"/><Relationship Id="rId173" Type="http://schemas.openxmlformats.org/officeDocument/2006/relationships/footer" Target="footer16.xml"/><Relationship Id="rId194" Type="http://schemas.openxmlformats.org/officeDocument/2006/relationships/hyperlink" Target="https://www.kjh.cz/" TargetMode="External"/><Relationship Id="rId199" Type="http://schemas.openxmlformats.org/officeDocument/2006/relationships/hyperlink" Target="https://www.mvcr.cz/" TargetMode="External"/><Relationship Id="rId203" Type="http://schemas.openxmlformats.org/officeDocument/2006/relationships/hyperlink" Target="https://geoportal.gov.cz/" TargetMode="External"/><Relationship Id="rId208" Type="http://schemas.openxmlformats.org/officeDocument/2006/relationships/hyperlink" Target="https://www.e-chalupy.cz/" TargetMode="External"/><Relationship Id="rId229" Type="http://schemas.openxmlformats.org/officeDocument/2006/relationships/hyperlink" Target="https://www.e-chalupy.cz/krkonose/ubytovani-stare-buky-chalupa-dolniky-pronajem-4989.php" TargetMode="External"/><Relationship Id="rId19" Type="http://schemas.openxmlformats.org/officeDocument/2006/relationships/footer" Target="footer3.xml"/><Relationship Id="rId224" Type="http://schemas.openxmlformats.org/officeDocument/2006/relationships/hyperlink" Target="https://www.vumop.cz/" TargetMode="External"/><Relationship Id="rId240" Type="http://schemas.openxmlformats.org/officeDocument/2006/relationships/hyperlink" Target="https://www.zzskhk.cz/" TargetMode="External"/><Relationship Id="rId245" Type="http://schemas.openxmlformats.org/officeDocument/2006/relationships/hyperlink" Target="http://www.internetprovsechny.cz/" TargetMode="External"/><Relationship Id="rId261" Type="http://schemas.openxmlformats.org/officeDocument/2006/relationships/hyperlink" Target="https://www.czso.cz/staticke/sldb/sldb2001.nsf/index" TargetMode="External"/><Relationship Id="rId266" Type="http://schemas.openxmlformats.org/officeDocument/2006/relationships/hyperlink" Target="https://www.mestonachod.cz/urad/vystavba/uap/default.asp" TargetMode="External"/><Relationship Id="rId14" Type="http://schemas.openxmlformats.org/officeDocument/2006/relationships/header" Target="header3.xml"/><Relationship Id="rId30" Type="http://schemas.openxmlformats.org/officeDocument/2006/relationships/hyperlink" Target="https://nahlizenidokn.cuzk.cz/" TargetMode="External"/><Relationship Id="rId35" Type="http://schemas.openxmlformats.org/officeDocument/2006/relationships/hyperlink" Target="https://vdb.czso.cz/mos/" TargetMode="External"/><Relationship Id="rId56" Type="http://schemas.openxmlformats.org/officeDocument/2006/relationships/hyperlink" Target="https://www.4mc.eu/" TargetMode="External"/><Relationship Id="rId77" Type="http://schemas.openxmlformats.org/officeDocument/2006/relationships/hyperlink" Target="http://cyklotrasy.cz/" TargetMode="External"/><Relationship Id="rId100" Type="http://schemas.openxmlformats.org/officeDocument/2006/relationships/hyperlink" Target="https://monitor.statnipokladna.cz/" TargetMode="External"/><Relationship Id="rId105" Type="http://schemas.microsoft.com/office/2014/relationships/chartEx" Target="charts/chartEx1.xml"/><Relationship Id="rId126" Type="http://schemas.openxmlformats.org/officeDocument/2006/relationships/header" Target="header4.xml"/><Relationship Id="rId147" Type="http://schemas.openxmlformats.org/officeDocument/2006/relationships/image" Target="media/image26.jpeg"/><Relationship Id="rId168" Type="http://schemas.openxmlformats.org/officeDocument/2006/relationships/diagramLayout" Target="diagrams/layout5.xml"/><Relationship Id="rId8" Type="http://schemas.openxmlformats.org/officeDocument/2006/relationships/image" Target="media/image1.jpg"/><Relationship Id="rId51" Type="http://schemas.openxmlformats.org/officeDocument/2006/relationships/hyperlink" Target="https://www.facebook.com/groups/494089651113464" TargetMode="External"/><Relationship Id="rId72" Type="http://schemas.openxmlformats.org/officeDocument/2006/relationships/hyperlink" Target="https://www.e-chalupy.cz/" TargetMode="External"/><Relationship Id="rId93" Type="http://schemas.openxmlformats.org/officeDocument/2006/relationships/image" Target="media/image15.png"/><Relationship Id="rId98" Type="http://schemas.openxmlformats.org/officeDocument/2006/relationships/hyperlink" Target="https://gis.kr-kralovehradecky.cz/" TargetMode="External"/><Relationship Id="rId121" Type="http://schemas.openxmlformats.org/officeDocument/2006/relationships/hyperlink" Target="https://www.kr-kralovehradecky.cz/" TargetMode="External"/><Relationship Id="rId142" Type="http://schemas.openxmlformats.org/officeDocument/2006/relationships/image" Target="media/image21.jpeg"/><Relationship Id="rId163" Type="http://schemas.openxmlformats.org/officeDocument/2006/relationships/footer" Target="footer13.xml"/><Relationship Id="rId184" Type="http://schemas.openxmlformats.org/officeDocument/2006/relationships/hyperlink" Target="https://monitor.statnipokladna.cz/" TargetMode="External"/><Relationship Id="rId189" Type="http://schemas.openxmlformats.org/officeDocument/2006/relationships/hyperlink" Target="https://cs.wikipedia.org/" TargetMode="External"/><Relationship Id="rId219" Type="http://schemas.openxmlformats.org/officeDocument/2006/relationships/hyperlink" Target="https://www.sfdi.cz/" TargetMode="External"/><Relationship Id="rId3" Type="http://schemas.openxmlformats.org/officeDocument/2006/relationships/styles" Target="styles.xml"/><Relationship Id="rId214" Type="http://schemas.openxmlformats.org/officeDocument/2006/relationships/hyperlink" Target="https://www.4mc.eu/" TargetMode="External"/><Relationship Id="rId230" Type="http://schemas.openxmlformats.org/officeDocument/2006/relationships/hyperlink" Target="https://www.e-chalupy.cz/krkonose/ubytovani-horni-stare-buky-chalupa-pronajmuti-5194.php" TargetMode="External"/><Relationship Id="rId235" Type="http://schemas.openxmlformats.org/officeDocument/2006/relationships/hyperlink" Target="https://www.e-chalupy.cz/vychodni_cechy/ubytovani-horni-stare-buky-chata-mobilheim-pronajem-3461.php" TargetMode="External"/><Relationship Id="rId251" Type="http://schemas.openxmlformats.org/officeDocument/2006/relationships/hyperlink" Target="https://gis.kr-kralovehradecky.cz/assets/GIS/projekty/ziv-prostredi/Plan_USES_KHK.pdf" TargetMode="External"/><Relationship Id="rId256" Type="http://schemas.openxmlformats.org/officeDocument/2006/relationships/hyperlink" Target="https://uses.cz/" TargetMode="External"/><Relationship Id="rId277" Type="http://schemas.openxmlformats.org/officeDocument/2006/relationships/theme" Target="theme/theme1.xml"/><Relationship Id="rId25" Type="http://schemas.openxmlformats.org/officeDocument/2006/relationships/hyperlink" Target="https://geoportal.gov.cz/" TargetMode="External"/><Relationship Id="rId46" Type="http://schemas.openxmlformats.org/officeDocument/2006/relationships/hyperlink" Target="https://www.czso.cz/staticke/sldb/sldb2001.nsf/index" TargetMode="External"/><Relationship Id="rId67" Type="http://schemas.openxmlformats.org/officeDocument/2006/relationships/hyperlink" Target="https://www.mpsv.cz/" TargetMode="External"/><Relationship Id="rId116" Type="http://schemas.openxmlformats.org/officeDocument/2006/relationships/chart" Target="charts/chart17.xml"/><Relationship Id="rId137" Type="http://schemas.openxmlformats.org/officeDocument/2006/relationships/diagramLayout" Target="diagrams/layout2.xml"/><Relationship Id="rId158" Type="http://schemas.openxmlformats.org/officeDocument/2006/relationships/diagramData" Target="diagrams/data4.xml"/><Relationship Id="rId272" Type="http://schemas.openxmlformats.org/officeDocument/2006/relationships/footer" Target="footer18.xml"/><Relationship Id="rId20" Type="http://schemas.openxmlformats.org/officeDocument/2006/relationships/hyperlink" Target="http://www.uir.cz/" TargetMode="External"/><Relationship Id="rId41" Type="http://schemas.openxmlformats.org/officeDocument/2006/relationships/hyperlink" Target="https://www.czso.cz/" TargetMode="External"/><Relationship Id="rId62" Type="http://schemas.openxmlformats.org/officeDocument/2006/relationships/chart" Target="charts/chart7.xml"/><Relationship Id="rId83" Type="http://schemas.openxmlformats.org/officeDocument/2006/relationships/hyperlink" Target="https://www.czso.cz/csu/czso/scitani-lidu-domu-a-bytu" TargetMode="External"/><Relationship Id="rId88" Type="http://schemas.openxmlformats.org/officeDocument/2006/relationships/hyperlink" Target="https://nahlizenidokn.cuzk.cz/" TargetMode="External"/><Relationship Id="rId111" Type="http://schemas.openxmlformats.org/officeDocument/2006/relationships/chart" Target="charts/chart14.xml"/><Relationship Id="rId132" Type="http://schemas.microsoft.com/office/2007/relationships/diagramDrawing" Target="diagrams/drawing1.xml"/><Relationship Id="rId153" Type="http://schemas.openxmlformats.org/officeDocument/2006/relationships/diagramQuickStyle" Target="diagrams/quickStyle3.xml"/><Relationship Id="rId174" Type="http://schemas.openxmlformats.org/officeDocument/2006/relationships/footer" Target="footer17.xml"/><Relationship Id="rId179" Type="http://schemas.openxmlformats.org/officeDocument/2006/relationships/hyperlink" Target="https://drusop.nature.cz/mapa/drusop/" TargetMode="External"/><Relationship Id="rId195" Type="http://schemas.openxmlformats.org/officeDocument/2006/relationships/hyperlink" Target="https://www.mdcr.cz/" TargetMode="External"/><Relationship Id="rId209" Type="http://schemas.openxmlformats.org/officeDocument/2006/relationships/hyperlink" Target="https://www.risy.cz/cs" TargetMode="External"/><Relationship Id="rId190" Type="http://schemas.openxmlformats.org/officeDocument/2006/relationships/hyperlink" Target="https://www.hzscr.cz/" TargetMode="External"/><Relationship Id="rId204" Type="http://schemas.openxmlformats.org/officeDocument/2006/relationships/hyperlink" Target="https://www.estudanky.eu/" TargetMode="External"/><Relationship Id="rId220" Type="http://schemas.openxmlformats.org/officeDocument/2006/relationships/hyperlink" Target="https://sfpi.cz/" TargetMode="External"/><Relationship Id="rId225" Type="http://schemas.openxmlformats.org/officeDocument/2006/relationships/hyperlink" Target="https://www.e-chalupy.cz/krkonose/ubytovani-prostredni-stare-buky-apartman-4766.php" TargetMode="External"/><Relationship Id="rId241" Type="http://schemas.openxmlformats.org/officeDocument/2006/relationships/hyperlink" Target="https://jizdnirady.idnes.cz/vlakyautobusy/spojeni/" TargetMode="External"/><Relationship Id="rId246" Type="http://schemas.openxmlformats.org/officeDocument/2006/relationships/hyperlink" Target="https://gis.kr-kralovehradecky.cz/" TargetMode="External"/><Relationship Id="rId267" Type="http://schemas.openxmlformats.org/officeDocument/2006/relationships/hyperlink" Target="http://upd.trutnov.cz/upd/velke-svatonovice/" TargetMode="External"/><Relationship Id="rId15" Type="http://schemas.openxmlformats.org/officeDocument/2006/relationships/image" Target="media/image5.png"/><Relationship Id="rId36" Type="http://schemas.openxmlformats.org/officeDocument/2006/relationships/chart" Target="charts/chart3.xml"/><Relationship Id="rId57" Type="http://schemas.openxmlformats.org/officeDocument/2006/relationships/hyperlink" Target="https://vpstar.cz/" TargetMode="External"/><Relationship Id="rId106" Type="http://schemas.openxmlformats.org/officeDocument/2006/relationships/image" Target="media/image18.png"/><Relationship Id="rId127" Type="http://schemas.openxmlformats.org/officeDocument/2006/relationships/footer" Target="footer5.xml"/><Relationship Id="rId262" Type="http://schemas.openxmlformats.org/officeDocument/2006/relationships/hyperlink" Target="https://www.czso.cz/csu/czso/scitani-lidu-domu-a-bytu" TargetMode="External"/><Relationship Id="rId10" Type="http://schemas.openxmlformats.org/officeDocument/2006/relationships/footer" Target="footer1.xml"/><Relationship Id="rId31" Type="http://schemas.openxmlformats.org/officeDocument/2006/relationships/hyperlink" Target="https://nahlizenidokn.cuzk.cz/" TargetMode="External"/><Relationship Id="rId52" Type="http://schemas.openxmlformats.org/officeDocument/2006/relationships/image" Target="media/image10.jpeg"/><Relationship Id="rId73" Type="http://schemas.openxmlformats.org/officeDocument/2006/relationships/hyperlink" Target="https://mapy.cz/" TargetMode="External"/><Relationship Id="rId78" Type="http://schemas.openxmlformats.org/officeDocument/2006/relationships/hyperlink" Target="https://mapy.cz/" TargetMode="External"/><Relationship Id="rId94" Type="http://schemas.openxmlformats.org/officeDocument/2006/relationships/hyperlink" Target="https://geoportal.vumop.cz/" TargetMode="External"/><Relationship Id="rId99" Type="http://schemas.openxmlformats.org/officeDocument/2006/relationships/hyperlink" Target="https://nahlizenidokn.cuzk.cz/" TargetMode="External"/><Relationship Id="rId101" Type="http://schemas.openxmlformats.org/officeDocument/2006/relationships/chart" Target="charts/chart12.xml"/><Relationship Id="rId122" Type="http://schemas.openxmlformats.org/officeDocument/2006/relationships/hyperlink" Target="https://www.kjh.cz/" TargetMode="External"/><Relationship Id="rId143" Type="http://schemas.openxmlformats.org/officeDocument/2006/relationships/image" Target="media/image22.jpeg"/><Relationship Id="rId148" Type="http://schemas.openxmlformats.org/officeDocument/2006/relationships/image" Target="media/image27.jpeg"/><Relationship Id="rId164" Type="http://schemas.openxmlformats.org/officeDocument/2006/relationships/footer" Target="footer14.xml"/><Relationship Id="rId169" Type="http://schemas.openxmlformats.org/officeDocument/2006/relationships/diagramQuickStyle" Target="diagrams/quickStyle5.xml"/><Relationship Id="rId185" Type="http://schemas.openxmlformats.org/officeDocument/2006/relationships/hyperlink" Target="https://www.ochranaprirody.cz/"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s://klasifikace.pedologie.czu.cz/" TargetMode="External"/><Relationship Id="rId210" Type="http://schemas.openxmlformats.org/officeDocument/2006/relationships/hyperlink" Target="http://cyklotrasy.cz/" TargetMode="External"/><Relationship Id="rId215" Type="http://schemas.openxmlformats.org/officeDocument/2006/relationships/hyperlink" Target="https://vpstar.cz/" TargetMode="External"/><Relationship Id="rId236" Type="http://schemas.openxmlformats.org/officeDocument/2006/relationships/hyperlink" Target="https://www.e-chalupy.cz/krkonose/pohadkova-roubenka-horni-stare-buky-pronajem-14284.php" TargetMode="External"/><Relationship Id="rId257" Type="http://schemas.openxmlformats.org/officeDocument/2006/relationships/hyperlink" Target="https://kralovehradecky.dppcr.cz/html/index.html" TargetMode="External"/><Relationship Id="rId26" Type="http://schemas.openxmlformats.org/officeDocument/2006/relationships/image" Target="media/image8.jpeg"/><Relationship Id="rId231" Type="http://schemas.openxmlformats.org/officeDocument/2006/relationships/hyperlink" Target="https://www.e-chalupy.cz/vychodni_cechy/ubytovani-stare-buky-chalupa-pod-modriny-9934.php" TargetMode="External"/><Relationship Id="rId252" Type="http://schemas.openxmlformats.org/officeDocument/2006/relationships/hyperlink" Target="https://prvk.kr-kralovehradecky.cz/" TargetMode="External"/><Relationship Id="rId273" Type="http://schemas.openxmlformats.org/officeDocument/2006/relationships/header" Target="header8.xml"/><Relationship Id="rId47" Type="http://schemas.openxmlformats.org/officeDocument/2006/relationships/hyperlink" Target="https://www.czso.cz/csu/czso/scitani-lidu-domu-a-bytu" TargetMode="External"/><Relationship Id="rId68" Type="http://schemas.openxmlformats.org/officeDocument/2006/relationships/chart" Target="charts/chart9.xml"/><Relationship Id="rId89" Type="http://schemas.openxmlformats.org/officeDocument/2006/relationships/chart" Target="charts/chart11.xml"/><Relationship Id="rId112" Type="http://schemas.openxmlformats.org/officeDocument/2006/relationships/chart" Target="charts/chart15.xml"/><Relationship Id="rId133" Type="http://schemas.openxmlformats.org/officeDocument/2006/relationships/footer" Target="footer6.xml"/><Relationship Id="rId154" Type="http://schemas.openxmlformats.org/officeDocument/2006/relationships/diagramColors" Target="diagrams/colors3.xml"/><Relationship Id="rId175" Type="http://schemas.openxmlformats.org/officeDocument/2006/relationships/hyperlink" Target="https://wwwinfo.mfcr.cz/ares/ares_es.html.cz" TargetMode="External"/><Relationship Id="rId196" Type="http://schemas.openxmlformats.org/officeDocument/2006/relationships/hyperlink" Target="https://www.mfcr.cz/" TargetMode="External"/><Relationship Id="rId200" Type="http://schemas.openxmlformats.org/officeDocument/2006/relationships/hyperlink" Target="https://eagri.cz/" TargetMode="External"/><Relationship Id="rId16" Type="http://schemas.openxmlformats.org/officeDocument/2006/relationships/hyperlink" Target="https://www.czso.cz/" TargetMode="External"/><Relationship Id="rId221" Type="http://schemas.openxmlformats.org/officeDocument/2006/relationships/hyperlink" Target="https://www.sfzp.cz/" TargetMode="External"/><Relationship Id="rId242" Type="http://schemas.openxmlformats.org/officeDocument/2006/relationships/hyperlink" Target="https://mapy.cz/" TargetMode="External"/><Relationship Id="rId263" Type="http://schemas.openxmlformats.org/officeDocument/2006/relationships/hyperlink" Target="https://kjh.cz/uc/clanky/176/statut-mas-kjh-o-p-s-28-7-2020.pdf" TargetMode="External"/><Relationship Id="rId37" Type="http://schemas.openxmlformats.org/officeDocument/2006/relationships/hyperlink" Target="https://www.czso.cz" TargetMode="External"/><Relationship Id="rId58" Type="http://schemas.openxmlformats.org/officeDocument/2006/relationships/hyperlink" Target="https://www.facebook.com/Zdrav%C3%A1-FARMA-sro-148271709164267/" TargetMode="External"/><Relationship Id="rId79" Type="http://schemas.openxmlformats.org/officeDocument/2006/relationships/hyperlink" Target="http://portal.idos.cz/" TargetMode="External"/><Relationship Id="rId102" Type="http://schemas.openxmlformats.org/officeDocument/2006/relationships/hyperlink" Target="https://monitor.statnipokladna.cz/" TargetMode="External"/><Relationship Id="rId123" Type="http://schemas.openxmlformats.org/officeDocument/2006/relationships/hyperlink" Target="http://upd.trutnov.cz/" TargetMode="External"/><Relationship Id="rId144" Type="http://schemas.openxmlformats.org/officeDocument/2006/relationships/image" Target="media/image23.jpeg"/><Relationship Id="rId90" Type="http://schemas.openxmlformats.org/officeDocument/2006/relationships/hyperlink" Target="https://nahlizenidokn.cuzk.cz/" TargetMode="External"/><Relationship Id="rId165" Type="http://schemas.openxmlformats.org/officeDocument/2006/relationships/header" Target="header5.xml"/><Relationship Id="rId186" Type="http://schemas.openxmlformats.org/officeDocument/2006/relationships/hyperlink" Target="https://www.czso.cz/" TargetMode="External"/><Relationship Id="rId211" Type="http://schemas.openxmlformats.org/officeDocument/2006/relationships/hyperlink" Target="https://zemedelska-a-s-vysina2.webnode.cz/" TargetMode="External"/><Relationship Id="rId232" Type="http://schemas.openxmlformats.org/officeDocument/2006/relationships/hyperlink" Target="https://www.e-chalupy.cz/vychodni_cechy/chalupa-k-pronajmu-stare-buky-ubytovani-11186.php" TargetMode="External"/><Relationship Id="rId253" Type="http://schemas.openxmlformats.org/officeDocument/2006/relationships/hyperlink" Target="http://trasy.kct.cz/" TargetMode="External"/><Relationship Id="rId274" Type="http://schemas.openxmlformats.org/officeDocument/2006/relationships/footer" Target="footer19.xml"/><Relationship Id="rId27" Type="http://schemas.openxmlformats.org/officeDocument/2006/relationships/image" Target="media/image9.png"/><Relationship Id="rId48" Type="http://schemas.openxmlformats.org/officeDocument/2006/relationships/hyperlink" Target="https://www.tabor-legenda.cz/" TargetMode="External"/><Relationship Id="rId69" Type="http://schemas.openxmlformats.org/officeDocument/2006/relationships/hyperlink" Target="https://www.mpsv.cz/" TargetMode="External"/><Relationship Id="rId113" Type="http://schemas.microsoft.com/office/2014/relationships/chartEx" Target="charts/chartEx2.xml"/><Relationship Id="rId134" Type="http://schemas.openxmlformats.org/officeDocument/2006/relationships/footer" Target="footer7.xml"/><Relationship Id="rId80" Type="http://schemas.openxmlformats.org/officeDocument/2006/relationships/hyperlink" Target="https://jizdnirady.idnes.cz/autobusy/spojeni/" TargetMode="External"/><Relationship Id="rId155" Type="http://schemas.microsoft.com/office/2007/relationships/diagramDrawing" Target="diagrams/drawing3.xml"/><Relationship Id="rId176" Type="http://schemas.openxmlformats.org/officeDocument/2006/relationships/hyperlink" Target="https://nahlizenidokn.cuzk.cz/" TargetMode="External"/><Relationship Id="rId197" Type="http://schemas.openxmlformats.org/officeDocument/2006/relationships/hyperlink" Target="https://www.mpsv.cz/web/cz/upozorneni-na-zmenu-metodiky" TargetMode="External"/><Relationship Id="rId201" Type="http://schemas.openxmlformats.org/officeDocument/2006/relationships/hyperlink" Target="https://www.mzp.cz/" TargetMode="External"/><Relationship Id="rId222" Type="http://schemas.openxmlformats.org/officeDocument/2006/relationships/hyperlink" Target="http://www.uir.cz/" TargetMode="External"/><Relationship Id="rId243" Type="http://schemas.openxmlformats.org/officeDocument/2006/relationships/hyperlink" Target="https://www.naucne-stezky.cz/" TargetMode="External"/><Relationship Id="rId264" Type="http://schemas.openxmlformats.org/officeDocument/2006/relationships/hyperlink" Target="https://www.sekm.cz/" TargetMode="External"/><Relationship Id="rId17" Type="http://schemas.openxmlformats.org/officeDocument/2006/relationships/hyperlink" Target="https://geoportal.gov.cz/" TargetMode="External"/><Relationship Id="rId38" Type="http://schemas.openxmlformats.org/officeDocument/2006/relationships/hyperlink" Target="https://vdb.czso.cz/mos/" TargetMode="External"/><Relationship Id="rId59" Type="http://schemas.openxmlformats.org/officeDocument/2006/relationships/hyperlink" Target="https://wwwinfo.mfcr.cz/ares/ares_es.html.cz" TargetMode="External"/><Relationship Id="rId103" Type="http://schemas.openxmlformats.org/officeDocument/2006/relationships/hyperlink" Target="https://www.vhodne-uverejneni.cz/profil/obec-stare-buky" TargetMode="External"/><Relationship Id="rId124" Type="http://schemas.openxmlformats.org/officeDocument/2006/relationships/hyperlink" Target="https://www.starebuky.cz/" TargetMode="External"/><Relationship Id="rId70" Type="http://schemas.openxmlformats.org/officeDocument/2006/relationships/hyperlink" Target="https://www.czso.cz/staticke/sldb/sldb2001.nsf/index" TargetMode="External"/><Relationship Id="rId91" Type="http://schemas.openxmlformats.org/officeDocument/2006/relationships/image" Target="media/image14.png"/><Relationship Id="rId145" Type="http://schemas.openxmlformats.org/officeDocument/2006/relationships/image" Target="media/image24.jpeg"/><Relationship Id="rId166" Type="http://schemas.openxmlformats.org/officeDocument/2006/relationships/footer" Target="footer15.xml"/><Relationship Id="rId187" Type="http://schemas.openxmlformats.org/officeDocument/2006/relationships/hyperlink" Target="https://www.cuzk.cz/" TargetMode="External"/><Relationship Id="rId1" Type="http://schemas.openxmlformats.org/officeDocument/2006/relationships/customXml" Target="../customXml/item1.xml"/><Relationship Id="rId212" Type="http://schemas.openxmlformats.org/officeDocument/2006/relationships/hyperlink" Target="https://atol-pp.sluzby.cz/" TargetMode="External"/><Relationship Id="rId233" Type="http://schemas.openxmlformats.org/officeDocument/2006/relationships/hyperlink" Target="https://www.e-chalupy.cz/krkonose/chata-stare-buky-ubytovani-pronajem-5913.php" TargetMode="External"/><Relationship Id="rId254" Type="http://schemas.openxmlformats.org/officeDocument/2006/relationships/hyperlink" Target="https://www.rozvojobci.cz/news/financovani-rozvoje-obce-souhrn/" TargetMode="External"/><Relationship Id="rId28" Type="http://schemas.openxmlformats.org/officeDocument/2006/relationships/hyperlink" Target="https://geoportal.gov.cz/" TargetMode="External"/><Relationship Id="rId49" Type="http://schemas.openxmlformats.org/officeDocument/2006/relationships/hyperlink" Target="https://tjsokolstarebuky.netstranky.cz" TargetMode="External"/><Relationship Id="rId114" Type="http://schemas.openxmlformats.org/officeDocument/2006/relationships/image" Target="media/image20.png"/><Relationship Id="rId275" Type="http://schemas.openxmlformats.org/officeDocument/2006/relationships/hyperlink" Target="https://www.starebuky.cz/" TargetMode="External"/><Relationship Id="rId60" Type="http://schemas.openxmlformats.org/officeDocument/2006/relationships/chart" Target="charts/chart6.xml"/><Relationship Id="rId81" Type="http://schemas.openxmlformats.org/officeDocument/2006/relationships/image" Target="media/image12.jpeg"/><Relationship Id="rId135" Type="http://schemas.openxmlformats.org/officeDocument/2006/relationships/footer" Target="footer8.xml"/><Relationship Id="rId156" Type="http://schemas.openxmlformats.org/officeDocument/2006/relationships/image" Target="media/image28.jpeg"/><Relationship Id="rId177" Type="http://schemas.openxmlformats.org/officeDocument/2006/relationships/hyperlink" Target="https://www.rsd.cz/cs/silnice-a-dalnice/scitani-dopravy" TargetMode="External"/><Relationship Id="rId198" Type="http://schemas.openxmlformats.org/officeDocument/2006/relationships/hyperlink" Target="https://www.mmr.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4.jpeg"/></Relationships>
</file>

<file path=word/_rels/footer14.xml.rels><?xml version="1.0" encoding="UTF-8" standalone="yes"?>
<Relationships xmlns="http://schemas.openxmlformats.org/package/2006/relationships"><Relationship Id="rId1" Type="http://schemas.openxmlformats.org/officeDocument/2006/relationships/image" Target="media/image4.jpeg"/></Relationships>
</file>

<file path=word/_rels/footer15.xml.rels><?xml version="1.0" encoding="UTF-8" standalone="yes"?>
<Relationships xmlns="http://schemas.openxmlformats.org/package/2006/relationships"><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1" Type="http://schemas.openxmlformats.org/officeDocument/2006/relationships/image" Target="media/image4.jpeg"/></Relationships>
</file>

<file path=word/_rels/footer17.xml.rels><?xml version="1.0" encoding="UTF-8" standalone="yes"?>
<Relationships xmlns="http://schemas.openxmlformats.org/package/2006/relationships"><Relationship Id="rId1" Type="http://schemas.openxmlformats.org/officeDocument/2006/relationships/image" Target="media/image4.jpeg"/></Relationships>
</file>

<file path=word/_rels/footer18.xml.rels><?xml version="1.0" encoding="UTF-8" standalone="yes"?>
<Relationships xmlns="http://schemas.openxmlformats.org/package/2006/relationships"><Relationship Id="rId1" Type="http://schemas.openxmlformats.org/officeDocument/2006/relationships/image" Target="media/image4.jpeg"/></Relationships>
</file>

<file path=word/_rels/footer19.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3" Type="http://schemas.openxmlformats.org/officeDocument/2006/relationships/hyperlink" Target="https://klasifikace.pedologie.czu.cz/" TargetMode="External"/><Relationship Id="rId18" Type="http://schemas.openxmlformats.org/officeDocument/2006/relationships/hyperlink" Target="https://isir.justice.cz/" TargetMode="External"/><Relationship Id="rId26" Type="http://schemas.openxmlformats.org/officeDocument/2006/relationships/hyperlink" Target="https://prvk.kr-kralovehradecky.cz/" TargetMode="External"/><Relationship Id="rId39" Type="http://schemas.openxmlformats.org/officeDocument/2006/relationships/hyperlink" Target="https://geoportal.vumop.cz/" TargetMode="External"/><Relationship Id="rId21" Type="http://schemas.openxmlformats.org/officeDocument/2006/relationships/hyperlink" Target="https://www.brownfieldy.eu/" TargetMode="External"/><Relationship Id="rId34" Type="http://schemas.openxmlformats.org/officeDocument/2006/relationships/hyperlink" Target="https://geoportal.gov.cz/" TargetMode="External"/><Relationship Id="rId42" Type="http://schemas.openxmlformats.org/officeDocument/2006/relationships/hyperlink" Target="https://geoportal.gov.cz/" TargetMode="External"/><Relationship Id="rId47" Type="http://schemas.openxmlformats.org/officeDocument/2006/relationships/hyperlink" Target="https://www.kr-kralovehradecky.cz/assets/rozvoj-kraje/uzemni-planovani/4--Uplna-aktulizace-UAP-KHK---textova-cast---PRURU-a-RURU.pdf" TargetMode="External"/><Relationship Id="rId50" Type="http://schemas.openxmlformats.org/officeDocument/2006/relationships/hyperlink" Target="http://denik.obce.cz/" TargetMode="External"/><Relationship Id="rId55" Type="http://schemas.openxmlformats.org/officeDocument/2006/relationships/hyperlink" Target="https://www.policie.cz/" TargetMode="External"/><Relationship Id="rId63" Type="http://schemas.openxmlformats.org/officeDocument/2006/relationships/hyperlink" Target="https://www.mmr.cz/getmedia/70d00bf5-cec5-4ddd-9309-a3f54c216ea8/Metodika-pripravy-verejnych-strategii-plna-verze_1.pdf.aspx?ext=.pdf" TargetMode="External"/><Relationship Id="rId7" Type="http://schemas.openxmlformats.org/officeDocument/2006/relationships/hyperlink" Target="https://mapy.geology.cz/" TargetMode="External"/><Relationship Id="rId2" Type="http://schemas.openxmlformats.org/officeDocument/2006/relationships/hyperlink" Target="https://vdp.cuzk.cz/" TargetMode="External"/><Relationship Id="rId16" Type="http://schemas.openxmlformats.org/officeDocument/2006/relationships/hyperlink" Target="https://www.starebuky.cz/" TargetMode="External"/><Relationship Id="rId20" Type="http://schemas.openxmlformats.org/officeDocument/2006/relationships/hyperlink" Target="https://www.starebuky.cz/" TargetMode="External"/><Relationship Id="rId29" Type="http://schemas.openxmlformats.org/officeDocument/2006/relationships/hyperlink" Target="https://www.pamatkovykatalog.cz/" TargetMode="External"/><Relationship Id="rId41" Type="http://schemas.openxmlformats.org/officeDocument/2006/relationships/hyperlink" Target="https://cs.wikipedia.org/" TargetMode="External"/><Relationship Id="rId54" Type="http://schemas.openxmlformats.org/officeDocument/2006/relationships/hyperlink" Target="https://cs.wikipedia.org/" TargetMode="External"/><Relationship Id="rId62" Type="http://schemas.openxmlformats.org/officeDocument/2006/relationships/hyperlink" Target="https://cs.wikipedia.org/" TargetMode="External"/><Relationship Id="rId1" Type="http://schemas.openxmlformats.org/officeDocument/2006/relationships/hyperlink" Target="https://www.risy.cz/" TargetMode="External"/><Relationship Id="rId6" Type="http://schemas.openxmlformats.org/officeDocument/2006/relationships/hyperlink" Target="https://rekos.psp.cz/" TargetMode="External"/><Relationship Id="rId11" Type="http://schemas.openxmlformats.org/officeDocument/2006/relationships/hyperlink" Target="https://geoportal.gov.cz/" TargetMode="External"/><Relationship Id="rId24" Type="http://schemas.openxmlformats.org/officeDocument/2006/relationships/hyperlink" Target="https://cs.wikipedia.org/" TargetMode="External"/><Relationship Id="rId32" Type="http://schemas.openxmlformats.org/officeDocument/2006/relationships/hyperlink" Target="https://mapy.geology.cz/svahove_nestability/" TargetMode="External"/><Relationship Id="rId37" Type="http://schemas.openxmlformats.org/officeDocument/2006/relationships/hyperlink" Target="https://www.mestonachod.cz/urad/vystavba/uap/default.asp" TargetMode="External"/><Relationship Id="rId40" Type="http://schemas.openxmlformats.org/officeDocument/2006/relationships/hyperlink" Target="https://eagri.cz/public/app/eagriapp/PU/Prehled/" TargetMode="External"/><Relationship Id="rId45" Type="http://schemas.openxmlformats.org/officeDocument/2006/relationships/hyperlink" Target="https://uses.cz/" TargetMode="External"/><Relationship Id="rId53" Type="http://schemas.openxmlformats.org/officeDocument/2006/relationships/hyperlink" Target="https://www.rozvojobci.cz/news/financovani-rozvoje-obce-souhrn/" TargetMode="External"/><Relationship Id="rId58" Type="http://schemas.openxmlformats.org/officeDocument/2006/relationships/hyperlink" Target="https://kjh.cz/uc/clanky/176/statut-mas-kjh-o-p-s-28-7-2020.pdf" TargetMode="External"/><Relationship Id="rId5" Type="http://schemas.openxmlformats.org/officeDocument/2006/relationships/hyperlink" Target="https://mapy.cz/" TargetMode="External"/><Relationship Id="rId15" Type="http://schemas.openxmlformats.org/officeDocument/2006/relationships/hyperlink" Target="https://nahlizenidokn.cuzk.cz/" TargetMode="External"/><Relationship Id="rId23" Type="http://schemas.openxmlformats.org/officeDocument/2006/relationships/hyperlink" Target="https://www.rsd.cz/cs/silnice-a-dalnice/scitani-dopravy" TargetMode="External"/><Relationship Id="rId28" Type="http://schemas.openxmlformats.org/officeDocument/2006/relationships/hyperlink" Target="https://www.starebuky.cz/vyhlasky-zakony-a-usneseni-zastupitelstva" TargetMode="External"/><Relationship Id="rId36" Type="http://schemas.openxmlformats.org/officeDocument/2006/relationships/hyperlink" Target="https://bpej.vumop.cz/" TargetMode="External"/><Relationship Id="rId49" Type="http://schemas.openxmlformats.org/officeDocument/2006/relationships/hyperlink" Target="http://denik.obce.cz/" TargetMode="External"/><Relationship Id="rId57" Type="http://schemas.openxmlformats.org/officeDocument/2006/relationships/hyperlink" Target="https://www.zzskhk.cz/" TargetMode="External"/><Relationship Id="rId61" Type="http://schemas.openxmlformats.org/officeDocument/2006/relationships/hyperlink" Target="http://socialnibydleni.mpsv.cz/cs/" TargetMode="External"/><Relationship Id="rId10" Type="http://schemas.openxmlformats.org/officeDocument/2006/relationships/hyperlink" Target="https://www.estudanky.eu/" TargetMode="External"/><Relationship Id="rId19" Type="http://schemas.openxmlformats.org/officeDocument/2006/relationships/hyperlink" Target="https://www.starebuky.cz/" TargetMode="External"/><Relationship Id="rId31" Type="http://schemas.openxmlformats.org/officeDocument/2006/relationships/hyperlink" Target="https://www.naucne-stezky.cz/" TargetMode="External"/><Relationship Id="rId44" Type="http://schemas.openxmlformats.org/officeDocument/2006/relationships/hyperlink" Target="https://www.ochranaprirody.cz/" TargetMode="External"/><Relationship Id="rId52" Type="http://schemas.openxmlformats.org/officeDocument/2006/relationships/hyperlink" Target="https://www.mvcr.cz/egovernment.aspx" TargetMode="External"/><Relationship Id="rId60" Type="http://schemas.openxmlformats.org/officeDocument/2006/relationships/hyperlink" Target="https://www.starebuky.cz/" TargetMode="External"/><Relationship Id="rId4" Type="http://schemas.openxmlformats.org/officeDocument/2006/relationships/hyperlink" Target="http://www.uir.cz/" TargetMode="External"/><Relationship Id="rId9" Type="http://schemas.openxmlformats.org/officeDocument/2006/relationships/hyperlink" Target="https://mapy.cz/" TargetMode="External"/><Relationship Id="rId14" Type="http://schemas.openxmlformats.org/officeDocument/2006/relationships/hyperlink" Target="https://cs.wikipedia.org/" TargetMode="External"/><Relationship Id="rId22" Type="http://schemas.openxmlformats.org/officeDocument/2006/relationships/hyperlink" Target="https://www.mpsv.cz/web/cz/upozorneni-na-zmenu-metodiky" TargetMode="External"/><Relationship Id="rId27" Type="http://schemas.openxmlformats.org/officeDocument/2006/relationships/hyperlink" Target="http://www.internetprovsechny.cz/" TargetMode="External"/><Relationship Id="rId30" Type="http://schemas.openxmlformats.org/officeDocument/2006/relationships/hyperlink" Target="http://trasy.kct.cz/" TargetMode="External"/><Relationship Id="rId35" Type="http://schemas.openxmlformats.org/officeDocument/2006/relationships/hyperlink" Target="https://www.sekm.cz/" TargetMode="External"/><Relationship Id="rId43" Type="http://schemas.openxmlformats.org/officeDocument/2006/relationships/hyperlink" Target="https://drusop.nature.cz/mapa/drusop/" TargetMode="External"/><Relationship Id="rId48" Type="http://schemas.openxmlformats.org/officeDocument/2006/relationships/hyperlink" Target="https://www.mestonachod.cz/mestsky-urad/vystavba/uap/default.asp" TargetMode="External"/><Relationship Id="rId56" Type="http://schemas.openxmlformats.org/officeDocument/2006/relationships/hyperlink" Target="https://www.hzscr.cz/" TargetMode="External"/><Relationship Id="rId8" Type="http://schemas.openxmlformats.org/officeDocument/2006/relationships/hyperlink" Target="http://eagri.cz/public/web/mze/voda/aplikace/cevt.html" TargetMode="External"/><Relationship Id="rId51" Type="http://schemas.openxmlformats.org/officeDocument/2006/relationships/hyperlink" Target="https://kralovehradecky.dppcr.cz/html/index.html" TargetMode="External"/><Relationship Id="rId3" Type="http://schemas.openxmlformats.org/officeDocument/2006/relationships/hyperlink" Target="https://vdb.czso.cz/mos/" TargetMode="External"/><Relationship Id="rId12" Type="http://schemas.openxmlformats.org/officeDocument/2006/relationships/hyperlink" Target="https://geoportal.gov.cz/" TargetMode="External"/><Relationship Id="rId17" Type="http://schemas.openxmlformats.org/officeDocument/2006/relationships/hyperlink" Target="https://www.czso.cz/" TargetMode="External"/><Relationship Id="rId25" Type="http://schemas.openxmlformats.org/officeDocument/2006/relationships/hyperlink" Target="https://prvk.kr-kralovehradecky.cz/" TargetMode="External"/><Relationship Id="rId33" Type="http://schemas.openxmlformats.org/officeDocument/2006/relationships/hyperlink" Target="https://geoportal.gov.cz/" TargetMode="External"/><Relationship Id="rId38" Type="http://schemas.openxmlformats.org/officeDocument/2006/relationships/hyperlink" Target="https://www.vumop.cz/" TargetMode="External"/><Relationship Id="rId46" Type="http://schemas.openxmlformats.org/officeDocument/2006/relationships/hyperlink" Target="https://gis.kr-kralovehradecky.cz/assets/GIS/projekty/ziv-prostredi/Plan_USES_KHK.pdf" TargetMode="External"/><Relationship Id="rId59" Type="http://schemas.openxmlformats.org/officeDocument/2006/relationships/hyperlink" Target="https://www.uur.cz/eupc/ila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Pr&#225;ce\DRAG\PRO%20Star&#233;%20Buky\Star&#233;%20Buky%20-%20datab&#225;z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Pr&#225;ce\DRAG\PRO%20Star&#233;%20Buky\Star&#233;%20Buky%20-%20datab&#225;z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3" Type="http://schemas.openxmlformats.org/officeDocument/2006/relationships/oleObject" Target="file:///C:\Pr&#225;ce\DRAG\PRO%20Star&#233;%20Buky\Star&#233;%20Buky%20-%20datab&#225;z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Pr&#225;ce\DRAG\PRO%20Star&#233;%20Buky\Star&#233;%20Buky%20-%20datab&#225;ze.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Pr&#225;ce\DRAG\PRO%20Star&#233;%20Buky\Star&#233;%20Buky%20-%20datab&#225;ze.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Pr&#225;ce\DRAG\PRO%20Star&#233;%20Buky\Star&#233;%20Buky%20-%20datab&#225;ze.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Pr&#225;ce\DRAG\PRO%20Star&#233;%20Buky\Star&#233;%20Buky%20-%20datab&#225;ze.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Pr&#225;ce\DRAG\PRO%20Star&#233;%20Buky\Star&#233;%20Buky%20-%20datab&#225;ze.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Pr&#225;ce\DRAG\PRO%20Star&#233;%20Buky\Star&#233;%20Buky%20-%20datab&#225;ze.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Pr&#225;ce\DRAG\PRO%20Star&#233;%20Buky\Star&#233;%20Buky%20-%20datab&#225;z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Pr&#225;ce\DRAG\PRO%20Star&#233;%20Buky\Star&#233;%20Buky%20-%20datab&#225;z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Pr&#225;ce\DRAG\PRO%20Star&#233;%20Buky\Star&#233;%20Buky%20-%20datab&#225;z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Pr&#225;ce\DRAG\PRO%20Star&#233;%20Buky\Star&#233;%20Buky%20-%20datab&#225;z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Pr&#225;ce\DRAG\PRO%20Star&#233;%20Buky\Star&#233;%20Buky%20-%20datab&#225;z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Pr&#225;ce\DRAG\PRO%20Star&#233;%20Buky\Star&#233;%20Buky%20-%20datab&#225;z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Pr&#225;ce\DRAG\PRO%20Star&#233;%20Buky\Star&#233;%20Buky%20-%20datab&#225;z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Pr&#225;ce\DRAG\PRO%20Star&#233;%20Buky\Star&#233;%20Buky%20-%20datab&#225;z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Pr&#225;ce\DRAG\PRO%20Star&#233;%20Buky\Star&#233;%20Buky%20-%20datab&#225;ze.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C:\Pr&#225;ce\DRAG\PRO%20Star&#233;%20Buky\Star&#233;%20Buky%20-%20datab&#225;ze.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Pr&#225;ce\DRAG\PRO%20Star&#233;%20Buky\Star&#233;%20Buky%20-%20datab&#225;z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a:solidFill>
                <a:sysClr val="windowText" lastClr="000000"/>
              </a:solidFill>
            </a:ln>
          </c:spPr>
          <c:dPt>
            <c:idx val="0"/>
            <c:bubble3D val="0"/>
            <c:spPr>
              <a:solidFill>
                <a:srgbClr val="996633"/>
              </a:solidFill>
              <a:ln w="12700">
                <a:solidFill>
                  <a:sysClr val="windowText" lastClr="000000"/>
                </a:solidFill>
              </a:ln>
              <a:effectLst/>
            </c:spPr>
            <c:extLst>
              <c:ext xmlns:c16="http://schemas.microsoft.com/office/drawing/2014/chart" uri="{C3380CC4-5D6E-409C-BE32-E72D297353CC}">
                <c16:uniqueId val="{00000001-7C0D-41B6-BF47-F147003F0D0B}"/>
              </c:ext>
            </c:extLst>
          </c:dPt>
          <c:dPt>
            <c:idx val="1"/>
            <c:bubble3D val="0"/>
            <c:spPr>
              <a:solidFill>
                <a:srgbClr val="99FF66"/>
              </a:solidFill>
              <a:ln w="12700">
                <a:solidFill>
                  <a:sysClr val="windowText" lastClr="000000"/>
                </a:solidFill>
              </a:ln>
              <a:effectLst/>
            </c:spPr>
            <c:extLst>
              <c:ext xmlns:c16="http://schemas.microsoft.com/office/drawing/2014/chart" uri="{C3380CC4-5D6E-409C-BE32-E72D297353CC}">
                <c16:uniqueId val="{00000003-7C0D-41B6-BF47-F147003F0D0B}"/>
              </c:ext>
            </c:extLst>
          </c:dPt>
          <c:dPt>
            <c:idx val="2"/>
            <c:bubble3D val="0"/>
            <c:spPr>
              <a:solidFill>
                <a:schemeClr val="accent3"/>
              </a:solidFill>
              <a:ln w="12700">
                <a:solidFill>
                  <a:sysClr val="windowText" lastClr="000000"/>
                </a:solidFill>
              </a:ln>
              <a:effectLst/>
            </c:spPr>
            <c:extLst>
              <c:ext xmlns:c16="http://schemas.microsoft.com/office/drawing/2014/chart" uri="{C3380CC4-5D6E-409C-BE32-E72D297353CC}">
                <c16:uniqueId val="{00000005-7C0D-41B6-BF47-F147003F0D0B}"/>
              </c:ext>
            </c:extLst>
          </c:dPt>
          <c:dPt>
            <c:idx val="3"/>
            <c:bubble3D val="0"/>
            <c:spPr>
              <a:solidFill>
                <a:srgbClr val="92D050"/>
              </a:solidFill>
              <a:ln w="12700">
                <a:solidFill>
                  <a:sysClr val="windowText" lastClr="000000"/>
                </a:solidFill>
              </a:ln>
              <a:effectLst/>
            </c:spPr>
            <c:extLst>
              <c:ext xmlns:c16="http://schemas.microsoft.com/office/drawing/2014/chart" uri="{C3380CC4-5D6E-409C-BE32-E72D297353CC}">
                <c16:uniqueId val="{00000007-7C0D-41B6-BF47-F147003F0D0B}"/>
              </c:ext>
            </c:extLst>
          </c:dPt>
          <c:dPt>
            <c:idx val="4"/>
            <c:bubble3D val="0"/>
            <c:spPr>
              <a:solidFill>
                <a:schemeClr val="accent6">
                  <a:lumMod val="40000"/>
                  <a:lumOff val="60000"/>
                </a:schemeClr>
              </a:solidFill>
              <a:ln w="12700">
                <a:solidFill>
                  <a:sysClr val="windowText" lastClr="000000"/>
                </a:solidFill>
              </a:ln>
              <a:effectLst/>
            </c:spPr>
            <c:extLst>
              <c:ext xmlns:c16="http://schemas.microsoft.com/office/drawing/2014/chart" uri="{C3380CC4-5D6E-409C-BE32-E72D297353CC}">
                <c16:uniqueId val="{00000009-7C0D-41B6-BF47-F147003F0D0B}"/>
              </c:ext>
            </c:extLst>
          </c:dPt>
          <c:dPt>
            <c:idx val="5"/>
            <c:bubble3D val="0"/>
            <c:spPr>
              <a:solidFill>
                <a:srgbClr val="00B0F0"/>
              </a:solidFill>
              <a:ln w="12700">
                <a:solidFill>
                  <a:sysClr val="windowText" lastClr="000000"/>
                </a:solidFill>
              </a:ln>
              <a:effectLst/>
            </c:spPr>
            <c:extLst>
              <c:ext xmlns:c16="http://schemas.microsoft.com/office/drawing/2014/chart" uri="{C3380CC4-5D6E-409C-BE32-E72D297353CC}">
                <c16:uniqueId val="{0000000B-7C0D-41B6-BF47-F147003F0D0B}"/>
              </c:ext>
            </c:extLst>
          </c:dPt>
          <c:dPt>
            <c:idx val="6"/>
            <c:bubble3D val="0"/>
            <c:spPr>
              <a:solidFill>
                <a:srgbClr val="FFC000"/>
              </a:solidFill>
              <a:ln w="12700">
                <a:solidFill>
                  <a:sysClr val="windowText" lastClr="000000"/>
                </a:solidFill>
              </a:ln>
              <a:effectLst/>
            </c:spPr>
            <c:extLst>
              <c:ext xmlns:c16="http://schemas.microsoft.com/office/drawing/2014/chart" uri="{C3380CC4-5D6E-409C-BE32-E72D297353CC}">
                <c16:uniqueId val="{0000000D-7C0D-41B6-BF47-F147003F0D0B}"/>
              </c:ext>
            </c:extLst>
          </c:dPt>
          <c:dPt>
            <c:idx val="7"/>
            <c:bubble3D val="0"/>
            <c:spPr>
              <a:solidFill>
                <a:srgbClr val="CC99FF"/>
              </a:solidFill>
              <a:ln w="12700">
                <a:solidFill>
                  <a:sysClr val="windowText" lastClr="000000"/>
                </a:solidFill>
              </a:ln>
              <a:effectLst/>
            </c:spPr>
            <c:extLst>
              <c:ext xmlns:c16="http://schemas.microsoft.com/office/drawing/2014/chart" uri="{C3380CC4-5D6E-409C-BE32-E72D297353CC}">
                <c16:uniqueId val="{0000000F-7C0D-41B6-BF47-F147003F0D0B}"/>
              </c:ext>
            </c:extLst>
          </c:dPt>
          <c:dLbls>
            <c:dLbl>
              <c:idx val="0"/>
              <c:layout>
                <c:manualLayout>
                  <c:x val="-0.13402565750709733"/>
                  <c:y val="0.165977362204724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C0D-41B6-BF47-F147003F0D0B}"/>
                </c:ext>
              </c:extLst>
            </c:dLbl>
            <c:dLbl>
              <c:idx val="1"/>
              <c:layout>
                <c:manualLayout>
                  <c:x val="7.7983658636077077E-2"/>
                  <c:y val="-2.45905511811023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C0D-41B6-BF47-F147003F0D0B}"/>
                </c:ext>
              </c:extLst>
            </c:dLbl>
            <c:dLbl>
              <c:idx val="2"/>
              <c:layout>
                <c:manualLayout>
                  <c:x val="3.8843084174917601E-2"/>
                  <c:y val="0.124289370078740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C0D-41B6-BF47-F147003F0D0B}"/>
                </c:ext>
              </c:extLst>
            </c:dLbl>
            <c:dLbl>
              <c:idx val="3"/>
              <c:layout>
                <c:manualLayout>
                  <c:x val="-0.12380293122700321"/>
                  <c:y val="-0.2243858267716536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C0D-41B6-BF47-F147003F0D0B}"/>
                </c:ext>
              </c:extLst>
            </c:dLbl>
            <c:dLbl>
              <c:idx val="4"/>
              <c:layout>
                <c:manualLayout>
                  <c:x val="0.2062291664091439"/>
                  <c:y val="-4.31003937007874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C0D-41B6-BF47-F147003F0D0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'struktura půdy'!$B$52:$B$59</c:f>
              <c:strCache>
                <c:ptCount val="8"/>
                <c:pt idx="0">
                  <c:v>orná půda</c:v>
                </c:pt>
                <c:pt idx="1">
                  <c:v>zahrada</c:v>
                </c:pt>
                <c:pt idx="2">
                  <c:v>ovocný sad</c:v>
                </c:pt>
                <c:pt idx="3">
                  <c:v>trvalý travní porost</c:v>
                </c:pt>
                <c:pt idx="4">
                  <c:v>lesní pozemek</c:v>
                </c:pt>
                <c:pt idx="5">
                  <c:v>vodní plocha</c:v>
                </c:pt>
                <c:pt idx="6">
                  <c:v>zastavěná plocha a nádvoří</c:v>
                </c:pt>
                <c:pt idx="7">
                  <c:v>ostatní plocha</c:v>
                </c:pt>
              </c:strCache>
            </c:strRef>
          </c:cat>
          <c:val>
            <c:numRef>
              <c:f>'struktura půdy'!$C$52:$C$59</c:f>
              <c:numCache>
                <c:formatCode>0.0</c:formatCode>
                <c:ptCount val="8"/>
                <c:pt idx="0">
                  <c:v>20.150174055324214</c:v>
                </c:pt>
                <c:pt idx="1">
                  <c:v>1.3307976504738424</c:v>
                </c:pt>
                <c:pt idx="2" formatCode="0.000">
                  <c:v>0</c:v>
                </c:pt>
                <c:pt idx="3">
                  <c:v>26.926021709614545</c:v>
                </c:pt>
                <c:pt idx="4">
                  <c:v>42.791855446854868</c:v>
                </c:pt>
                <c:pt idx="5">
                  <c:v>1.5160565743225565</c:v>
                </c:pt>
                <c:pt idx="6">
                  <c:v>0.56483464436869091</c:v>
                </c:pt>
                <c:pt idx="7">
                  <c:v>6.72025991904128</c:v>
                </c:pt>
              </c:numCache>
            </c:numRef>
          </c:val>
          <c:extLst>
            <c:ext xmlns:c16="http://schemas.microsoft.com/office/drawing/2014/chart" uri="{C3380CC4-5D6E-409C-BE32-E72D297353CC}">
              <c16:uniqueId val="{00000010-7C0D-41B6-BF47-F147003F0D0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12700"/>
          </c:spPr>
          <c:dPt>
            <c:idx val="0"/>
            <c:bubble3D val="0"/>
            <c:spPr>
              <a:solidFill>
                <a:srgbClr val="996633"/>
              </a:solidFill>
              <a:ln w="12700">
                <a:solidFill>
                  <a:sysClr val="windowText" lastClr="000000"/>
                </a:solidFill>
              </a:ln>
              <a:effectLst/>
            </c:spPr>
            <c:extLst>
              <c:ext xmlns:c16="http://schemas.microsoft.com/office/drawing/2014/chart" uri="{C3380CC4-5D6E-409C-BE32-E72D297353CC}">
                <c16:uniqueId val="{00000001-CCC8-43CC-8691-8B5A60CB57ED}"/>
              </c:ext>
            </c:extLst>
          </c:dPt>
          <c:dPt>
            <c:idx val="1"/>
            <c:bubble3D val="0"/>
            <c:spPr>
              <a:solidFill>
                <a:srgbClr val="99FF66"/>
              </a:solidFill>
              <a:ln w="12700">
                <a:solidFill>
                  <a:sysClr val="windowText" lastClr="000000"/>
                </a:solidFill>
              </a:ln>
              <a:effectLst/>
            </c:spPr>
            <c:extLst>
              <c:ext xmlns:c16="http://schemas.microsoft.com/office/drawing/2014/chart" uri="{C3380CC4-5D6E-409C-BE32-E72D297353CC}">
                <c16:uniqueId val="{00000003-CCC8-43CC-8691-8B5A60CB57ED}"/>
              </c:ext>
            </c:extLst>
          </c:dPt>
          <c:dPt>
            <c:idx val="2"/>
            <c:bubble3D val="0"/>
            <c:spPr>
              <a:solidFill>
                <a:srgbClr val="92D050"/>
              </a:solidFill>
              <a:ln w="12700">
                <a:solidFill>
                  <a:sysClr val="windowText" lastClr="000000"/>
                </a:solidFill>
              </a:ln>
              <a:effectLst/>
            </c:spPr>
            <c:extLst>
              <c:ext xmlns:c16="http://schemas.microsoft.com/office/drawing/2014/chart" uri="{C3380CC4-5D6E-409C-BE32-E72D297353CC}">
                <c16:uniqueId val="{00000005-CCC8-43CC-8691-8B5A60CB57ED}"/>
              </c:ext>
            </c:extLst>
          </c:dPt>
          <c:dLbls>
            <c:dLbl>
              <c:idx val="0"/>
              <c:layout>
                <c:manualLayout>
                  <c:x val="-0.17992213473315846"/>
                  <c:y val="6.813484251968508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C8-43CC-8691-8B5A60CB57ED}"/>
                </c:ext>
              </c:extLst>
            </c:dLbl>
            <c:dLbl>
              <c:idx val="1"/>
              <c:layout>
                <c:manualLayout>
                  <c:x val="4.6986876640419846E-2"/>
                  <c:y val="-9.7706536682914628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C8-43CC-8691-8B5A60CB57ED}"/>
                </c:ext>
              </c:extLst>
            </c:dLbl>
            <c:dLbl>
              <c:idx val="2"/>
              <c:layout>
                <c:manualLayout>
                  <c:x val="0.21337904636920385"/>
                  <c:y val="-6.148293963254593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20252777777777778"/>
                      <c:h val="0.22130475878015249"/>
                    </c:manualLayout>
                  </c15:layout>
                </c:ext>
                <c:ext xmlns:c16="http://schemas.microsoft.com/office/drawing/2014/chart" uri="{C3380CC4-5D6E-409C-BE32-E72D297353CC}">
                  <c16:uniqueId val="{00000005-CCC8-43CC-8691-8B5A60CB57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'struktura půdy'!$N$65:$N$67</c:f>
              <c:strCache>
                <c:ptCount val="3"/>
                <c:pt idx="0">
                  <c:v>orná půda</c:v>
                </c:pt>
                <c:pt idx="1">
                  <c:v>zahrada</c:v>
                </c:pt>
                <c:pt idx="2">
                  <c:v>trvalý travní porost</c:v>
                </c:pt>
              </c:strCache>
            </c:strRef>
          </c:cat>
          <c:val>
            <c:numRef>
              <c:f>'struktura půdy'!$O$65:$O$67</c:f>
              <c:numCache>
                <c:formatCode>0.0</c:formatCode>
                <c:ptCount val="3"/>
                <c:pt idx="0">
                  <c:v>41.626576313885415</c:v>
                </c:pt>
                <c:pt idx="1">
                  <c:v>2.7491846871244054</c:v>
                </c:pt>
                <c:pt idx="2">
                  <c:v>55.62423899899018</c:v>
                </c:pt>
              </c:numCache>
            </c:numRef>
          </c:val>
          <c:extLst>
            <c:ext xmlns:c16="http://schemas.microsoft.com/office/drawing/2014/chart" uri="{C3380CC4-5D6E-409C-BE32-E72D297353CC}">
              <c16:uniqueId val="{00000006-CCC8-43CC-8691-8B5A60CB57E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c:spPr>
          <c:dPt>
            <c:idx val="0"/>
            <c:bubble3D val="0"/>
            <c:spPr>
              <a:solidFill>
                <a:schemeClr val="accent6">
                  <a:lumMod val="75000"/>
                </a:schemeClr>
              </a:solidFill>
              <a:ln w="12700">
                <a:solidFill>
                  <a:sysClr val="windowText" lastClr="000000"/>
                </a:solidFill>
              </a:ln>
              <a:effectLst/>
            </c:spPr>
            <c:extLst>
              <c:ext xmlns:c16="http://schemas.microsoft.com/office/drawing/2014/chart" uri="{C3380CC4-5D6E-409C-BE32-E72D297353CC}">
                <c16:uniqueId val="{00000001-2210-4F04-91C5-F3FB30A6C482}"/>
              </c:ext>
            </c:extLst>
          </c:dPt>
          <c:dPt>
            <c:idx val="1"/>
            <c:bubble3D val="0"/>
            <c:spPr>
              <a:solidFill>
                <a:srgbClr val="00B0F0"/>
              </a:solidFill>
              <a:ln w="12700">
                <a:solidFill>
                  <a:sysClr val="windowText" lastClr="000000"/>
                </a:solidFill>
              </a:ln>
              <a:effectLst/>
            </c:spPr>
            <c:extLst>
              <c:ext xmlns:c16="http://schemas.microsoft.com/office/drawing/2014/chart" uri="{C3380CC4-5D6E-409C-BE32-E72D297353CC}">
                <c16:uniqueId val="{00000003-2210-4F04-91C5-F3FB30A6C482}"/>
              </c:ext>
            </c:extLst>
          </c:dPt>
          <c:dPt>
            <c:idx val="2"/>
            <c:bubble3D val="0"/>
            <c:spPr>
              <a:solidFill>
                <a:srgbClr val="FFC000"/>
              </a:solidFill>
              <a:ln w="12700">
                <a:solidFill>
                  <a:sysClr val="windowText" lastClr="000000"/>
                </a:solidFill>
              </a:ln>
              <a:effectLst/>
            </c:spPr>
            <c:extLst>
              <c:ext xmlns:c16="http://schemas.microsoft.com/office/drawing/2014/chart" uri="{C3380CC4-5D6E-409C-BE32-E72D297353CC}">
                <c16:uniqueId val="{00000005-2210-4F04-91C5-F3FB30A6C482}"/>
              </c:ext>
            </c:extLst>
          </c:dPt>
          <c:dPt>
            <c:idx val="3"/>
            <c:bubble3D val="0"/>
            <c:spPr>
              <a:solidFill>
                <a:srgbClr val="CC99FF"/>
              </a:solidFill>
              <a:ln w="12700">
                <a:solidFill>
                  <a:sysClr val="windowText" lastClr="000000"/>
                </a:solidFill>
              </a:ln>
              <a:effectLst/>
            </c:spPr>
            <c:extLst>
              <c:ext xmlns:c16="http://schemas.microsoft.com/office/drawing/2014/chart" uri="{C3380CC4-5D6E-409C-BE32-E72D297353CC}">
                <c16:uniqueId val="{00000007-2210-4F04-91C5-F3FB30A6C482}"/>
              </c:ext>
            </c:extLst>
          </c:dPt>
          <c:dLbls>
            <c:dLbl>
              <c:idx val="0"/>
              <c:layout>
                <c:manualLayout>
                  <c:x val="-0.14326449515062675"/>
                  <c:y val="-0.2945501355304666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10-4F04-91C5-F3FB30A6C482}"/>
                </c:ext>
              </c:extLst>
            </c:dLbl>
            <c:dLbl>
              <c:idx val="1"/>
              <c:layout>
                <c:manualLayout>
                  <c:x val="-0.10937368928554442"/>
                  <c:y val="9.59627318072280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10-4F04-91C5-F3FB30A6C482}"/>
                </c:ext>
              </c:extLst>
            </c:dLbl>
            <c:dLbl>
              <c:idx val="2"/>
              <c:layout>
                <c:manualLayout>
                  <c:x val="-6.5897858319604596E-2"/>
                  <c:y val="-1.889595531327815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37822624931356397"/>
                      <c:h val="0.19631410256410253"/>
                    </c:manualLayout>
                  </c15:layout>
                </c:ext>
                <c:ext xmlns:c16="http://schemas.microsoft.com/office/drawing/2014/chart" uri="{C3380CC4-5D6E-409C-BE32-E72D297353CC}">
                  <c16:uniqueId val="{00000005-2210-4F04-91C5-F3FB30A6C482}"/>
                </c:ext>
              </c:extLst>
            </c:dLbl>
            <c:dLbl>
              <c:idx val="3"/>
              <c:layout>
                <c:manualLayout>
                  <c:x val="0.1043382756727073"/>
                  <c:y val="0.15336033200488411"/>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3660076880834707"/>
                      <c:h val="0.22435897435897437"/>
                    </c:manualLayout>
                  </c15:layout>
                </c:ext>
                <c:ext xmlns:c16="http://schemas.microsoft.com/office/drawing/2014/chart" uri="{C3380CC4-5D6E-409C-BE32-E72D297353CC}">
                  <c16:uniqueId val="{00000007-2210-4F04-91C5-F3FB30A6C48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'struktura půdy'!$N$71:$N$74</c:f>
              <c:strCache>
                <c:ptCount val="4"/>
                <c:pt idx="0">
                  <c:v>lesní pozemek</c:v>
                </c:pt>
                <c:pt idx="1">
                  <c:v>vodní plocha</c:v>
                </c:pt>
                <c:pt idx="2">
                  <c:v>zastavěná plocha a nádvoří</c:v>
                </c:pt>
                <c:pt idx="3">
                  <c:v>ostatní plocha</c:v>
                </c:pt>
              </c:strCache>
            </c:strRef>
          </c:cat>
          <c:val>
            <c:numRef>
              <c:f>'struktura půdy'!$O$71:$O$74</c:f>
              <c:numCache>
                <c:formatCode>0.0</c:formatCode>
                <c:ptCount val="4"/>
                <c:pt idx="0">
                  <c:v>82.941193544704689</c:v>
                </c:pt>
                <c:pt idx="1">
                  <c:v>2.9384923939971639</c:v>
                </c:pt>
                <c:pt idx="2">
                  <c:v>1.094789161865644</c:v>
                </c:pt>
                <c:pt idx="3">
                  <c:v>13.025524899432501</c:v>
                </c:pt>
              </c:numCache>
            </c:numRef>
          </c:val>
          <c:extLst>
            <c:ext xmlns:c16="http://schemas.microsoft.com/office/drawing/2014/chart" uri="{C3380CC4-5D6E-409C-BE32-E72D297353CC}">
              <c16:uniqueId val="{00000008-2210-4F04-91C5-F3FB30A6C48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'hospodaření obce'!$B$13</c:f>
              <c:strCache>
                <c:ptCount val="1"/>
                <c:pt idx="0">
                  <c:v>plán-příjmy</c:v>
                </c:pt>
              </c:strCache>
            </c:strRef>
          </c:tx>
          <c:spPr>
            <a:solidFill>
              <a:srgbClr val="00B0F0"/>
            </a:solidFill>
            <a:ln>
              <a:solidFill>
                <a:sysClr val="windowText" lastClr="000000"/>
              </a:solidFill>
            </a:ln>
            <a:effectLst/>
          </c:spPr>
          <c:invertIfNegative val="0"/>
          <c:cat>
            <c:numRef>
              <c:f>'hospodaření obce'!$C$12:$H$12</c:f>
              <c:numCache>
                <c:formatCode>General</c:formatCode>
                <c:ptCount val="6"/>
                <c:pt idx="0">
                  <c:v>2016</c:v>
                </c:pt>
                <c:pt idx="1">
                  <c:v>2017</c:v>
                </c:pt>
                <c:pt idx="2">
                  <c:v>2018</c:v>
                </c:pt>
                <c:pt idx="3">
                  <c:v>2019</c:v>
                </c:pt>
                <c:pt idx="4">
                  <c:v>2020</c:v>
                </c:pt>
                <c:pt idx="5" formatCode="0">
                  <c:v>2021</c:v>
                </c:pt>
              </c:numCache>
            </c:numRef>
          </c:cat>
          <c:val>
            <c:numRef>
              <c:f>'hospodaření obce'!$C$13:$H$13</c:f>
              <c:numCache>
                <c:formatCode>0.000</c:formatCode>
                <c:ptCount val="6"/>
                <c:pt idx="0">
                  <c:v>9.8162000000000003</c:v>
                </c:pt>
                <c:pt idx="1">
                  <c:v>11.920864999999999</c:v>
                </c:pt>
                <c:pt idx="2">
                  <c:v>12.118758</c:v>
                </c:pt>
                <c:pt idx="3">
                  <c:v>13.173</c:v>
                </c:pt>
                <c:pt idx="4">
                  <c:v>13.0501</c:v>
                </c:pt>
                <c:pt idx="5">
                  <c:v>12.3835</c:v>
                </c:pt>
              </c:numCache>
            </c:numRef>
          </c:val>
          <c:extLst>
            <c:ext xmlns:c16="http://schemas.microsoft.com/office/drawing/2014/chart" uri="{C3380CC4-5D6E-409C-BE32-E72D297353CC}">
              <c16:uniqueId val="{00000000-0FE7-4880-9B15-6CE01933BE8B}"/>
            </c:ext>
          </c:extLst>
        </c:ser>
        <c:ser>
          <c:idx val="1"/>
          <c:order val="1"/>
          <c:tx>
            <c:strRef>
              <c:f>'hospodaření obce'!$B$14</c:f>
              <c:strCache>
                <c:ptCount val="1"/>
                <c:pt idx="0">
                  <c:v>plán-výdaje</c:v>
                </c:pt>
              </c:strCache>
            </c:strRef>
          </c:tx>
          <c:spPr>
            <a:solidFill>
              <a:srgbClr val="92D050"/>
            </a:solidFill>
            <a:ln>
              <a:solidFill>
                <a:sysClr val="windowText" lastClr="000000"/>
              </a:solidFill>
            </a:ln>
            <a:effectLst/>
          </c:spPr>
          <c:invertIfNegative val="0"/>
          <c:cat>
            <c:numRef>
              <c:f>'hospodaření obce'!$C$12:$H$12</c:f>
              <c:numCache>
                <c:formatCode>General</c:formatCode>
                <c:ptCount val="6"/>
                <c:pt idx="0">
                  <c:v>2016</c:v>
                </c:pt>
                <c:pt idx="1">
                  <c:v>2017</c:v>
                </c:pt>
                <c:pt idx="2">
                  <c:v>2018</c:v>
                </c:pt>
                <c:pt idx="3">
                  <c:v>2019</c:v>
                </c:pt>
                <c:pt idx="4">
                  <c:v>2020</c:v>
                </c:pt>
                <c:pt idx="5" formatCode="0">
                  <c:v>2021</c:v>
                </c:pt>
              </c:numCache>
            </c:numRef>
          </c:cat>
          <c:val>
            <c:numRef>
              <c:f>'hospodaření obce'!$C$14:$H$14</c:f>
              <c:numCache>
                <c:formatCode>0.000</c:formatCode>
                <c:ptCount val="6"/>
                <c:pt idx="0">
                  <c:v>11.086980000000001</c:v>
                </c:pt>
                <c:pt idx="1">
                  <c:v>13.470428999999999</c:v>
                </c:pt>
                <c:pt idx="2">
                  <c:v>14.763845</c:v>
                </c:pt>
                <c:pt idx="3">
                  <c:v>14.801242999999999</c:v>
                </c:pt>
                <c:pt idx="4">
                  <c:v>14.412748000000001</c:v>
                </c:pt>
                <c:pt idx="5">
                  <c:v>14.945940999999999</c:v>
                </c:pt>
              </c:numCache>
            </c:numRef>
          </c:val>
          <c:extLst>
            <c:ext xmlns:c16="http://schemas.microsoft.com/office/drawing/2014/chart" uri="{C3380CC4-5D6E-409C-BE32-E72D297353CC}">
              <c16:uniqueId val="{00000001-0FE7-4880-9B15-6CE01933BE8B}"/>
            </c:ext>
          </c:extLst>
        </c:ser>
        <c:ser>
          <c:idx val="2"/>
          <c:order val="2"/>
          <c:tx>
            <c:strRef>
              <c:f>'hospodaření obce'!$B$15</c:f>
              <c:strCache>
                <c:ptCount val="1"/>
                <c:pt idx="0">
                  <c:v>skutečnost-příjmy</c:v>
                </c:pt>
              </c:strCache>
            </c:strRef>
          </c:tx>
          <c:spPr>
            <a:solidFill>
              <a:srgbClr val="FFC000"/>
            </a:solidFill>
            <a:ln>
              <a:solidFill>
                <a:sysClr val="windowText" lastClr="000000"/>
              </a:solidFill>
            </a:ln>
            <a:effectLst/>
          </c:spPr>
          <c:invertIfNegative val="0"/>
          <c:cat>
            <c:numRef>
              <c:f>'hospodaření obce'!$C$12:$H$12</c:f>
              <c:numCache>
                <c:formatCode>General</c:formatCode>
                <c:ptCount val="6"/>
                <c:pt idx="0">
                  <c:v>2016</c:v>
                </c:pt>
                <c:pt idx="1">
                  <c:v>2017</c:v>
                </c:pt>
                <c:pt idx="2">
                  <c:v>2018</c:v>
                </c:pt>
                <c:pt idx="3">
                  <c:v>2019</c:v>
                </c:pt>
                <c:pt idx="4">
                  <c:v>2020</c:v>
                </c:pt>
                <c:pt idx="5" formatCode="0">
                  <c:v>2021</c:v>
                </c:pt>
              </c:numCache>
            </c:numRef>
          </c:cat>
          <c:val>
            <c:numRef>
              <c:f>'hospodaření obce'!$C$15:$H$15</c:f>
              <c:numCache>
                <c:formatCode>0.000</c:formatCode>
                <c:ptCount val="6"/>
                <c:pt idx="0">
                  <c:v>18.242433999999999</c:v>
                </c:pt>
                <c:pt idx="1">
                  <c:v>13.166788</c:v>
                </c:pt>
                <c:pt idx="2">
                  <c:v>10.206002</c:v>
                </c:pt>
                <c:pt idx="3">
                  <c:v>15.797229</c:v>
                </c:pt>
                <c:pt idx="4">
                  <c:v>14.409012000000001</c:v>
                </c:pt>
                <c:pt idx="5">
                  <c:v>28.274642</c:v>
                </c:pt>
              </c:numCache>
            </c:numRef>
          </c:val>
          <c:extLst>
            <c:ext xmlns:c16="http://schemas.microsoft.com/office/drawing/2014/chart" uri="{C3380CC4-5D6E-409C-BE32-E72D297353CC}">
              <c16:uniqueId val="{00000002-0FE7-4880-9B15-6CE01933BE8B}"/>
            </c:ext>
          </c:extLst>
        </c:ser>
        <c:ser>
          <c:idx val="3"/>
          <c:order val="3"/>
          <c:tx>
            <c:strRef>
              <c:f>'hospodaření obce'!$B$16</c:f>
              <c:strCache>
                <c:ptCount val="1"/>
                <c:pt idx="0">
                  <c:v>skutečnost-výdaje</c:v>
                </c:pt>
              </c:strCache>
            </c:strRef>
          </c:tx>
          <c:spPr>
            <a:solidFill>
              <a:srgbClr val="FFFF00"/>
            </a:solidFill>
            <a:ln>
              <a:solidFill>
                <a:sysClr val="windowText" lastClr="000000"/>
              </a:solidFill>
            </a:ln>
            <a:effectLst/>
          </c:spPr>
          <c:invertIfNegative val="0"/>
          <c:cat>
            <c:numRef>
              <c:f>'hospodaření obce'!$C$12:$H$12</c:f>
              <c:numCache>
                <c:formatCode>General</c:formatCode>
                <c:ptCount val="6"/>
                <c:pt idx="0">
                  <c:v>2016</c:v>
                </c:pt>
                <c:pt idx="1">
                  <c:v>2017</c:v>
                </c:pt>
                <c:pt idx="2">
                  <c:v>2018</c:v>
                </c:pt>
                <c:pt idx="3">
                  <c:v>2019</c:v>
                </c:pt>
                <c:pt idx="4">
                  <c:v>2020</c:v>
                </c:pt>
                <c:pt idx="5" formatCode="0">
                  <c:v>2021</c:v>
                </c:pt>
              </c:numCache>
            </c:numRef>
          </c:cat>
          <c:val>
            <c:numRef>
              <c:f>'hospodaření obce'!$C$16:$H$16</c:f>
              <c:numCache>
                <c:formatCode>0.000</c:formatCode>
                <c:ptCount val="6"/>
                <c:pt idx="0">
                  <c:v>18.874825999999999</c:v>
                </c:pt>
                <c:pt idx="1">
                  <c:v>11.630381</c:v>
                </c:pt>
                <c:pt idx="2">
                  <c:v>13.032005</c:v>
                </c:pt>
                <c:pt idx="3">
                  <c:v>14.880378</c:v>
                </c:pt>
                <c:pt idx="4">
                  <c:v>9.9906489999999994</c:v>
                </c:pt>
                <c:pt idx="5">
                  <c:v>22.244032000000001</c:v>
                </c:pt>
              </c:numCache>
            </c:numRef>
          </c:val>
          <c:extLst>
            <c:ext xmlns:c16="http://schemas.microsoft.com/office/drawing/2014/chart" uri="{C3380CC4-5D6E-409C-BE32-E72D297353CC}">
              <c16:uniqueId val="{00000003-0FE7-4880-9B15-6CE01933BE8B}"/>
            </c:ext>
          </c:extLst>
        </c:ser>
        <c:dLbls>
          <c:showLegendKey val="0"/>
          <c:showVal val="0"/>
          <c:showCatName val="0"/>
          <c:showSerName val="0"/>
          <c:showPercent val="0"/>
          <c:showBubbleSize val="0"/>
        </c:dLbls>
        <c:gapWidth val="219"/>
        <c:overlap val="-27"/>
        <c:axId val="530266752"/>
        <c:axId val="530266096"/>
      </c:barChart>
      <c:catAx>
        <c:axId val="53026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30266096"/>
        <c:crosses val="autoZero"/>
        <c:auto val="1"/>
        <c:lblAlgn val="ctr"/>
        <c:lblOffset val="100"/>
        <c:noMultiLvlLbl val="0"/>
      </c:catAx>
      <c:valAx>
        <c:axId val="530266096"/>
        <c:scaling>
          <c:orientation val="minMax"/>
          <c:max val="30"/>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miliony</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30266752"/>
        <c:crosses val="autoZero"/>
        <c:crossBetween val="between"/>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ysClr val="windowText" lastClr="000000"/>
              </a:solidFill>
            </a:ln>
          </c:spPr>
          <c:dPt>
            <c:idx val="0"/>
            <c:bubble3D val="0"/>
            <c:spPr>
              <a:solidFill>
                <a:srgbClr val="00B0F0"/>
              </a:solidFill>
              <a:ln w="19050">
                <a:solidFill>
                  <a:sysClr val="windowText" lastClr="000000"/>
                </a:solidFill>
              </a:ln>
              <a:effectLst/>
            </c:spPr>
            <c:extLst>
              <c:ext xmlns:c16="http://schemas.microsoft.com/office/drawing/2014/chart" uri="{C3380CC4-5D6E-409C-BE32-E72D297353CC}">
                <c16:uniqueId val="{00000001-9915-4389-9D07-96C7AF4AC31F}"/>
              </c:ext>
            </c:extLst>
          </c:dPt>
          <c:dPt>
            <c:idx val="1"/>
            <c:bubble3D val="0"/>
            <c:spPr>
              <a:solidFill>
                <a:srgbClr val="92D050"/>
              </a:solidFill>
              <a:ln w="19050">
                <a:solidFill>
                  <a:sysClr val="windowText" lastClr="000000"/>
                </a:solidFill>
              </a:ln>
              <a:effectLst/>
            </c:spPr>
            <c:extLst>
              <c:ext xmlns:c16="http://schemas.microsoft.com/office/drawing/2014/chart" uri="{C3380CC4-5D6E-409C-BE32-E72D297353CC}">
                <c16:uniqueId val="{00000003-9915-4389-9D07-96C7AF4AC31F}"/>
              </c:ext>
            </c:extLst>
          </c:dPt>
          <c:dPt>
            <c:idx val="2"/>
            <c:bubble3D val="0"/>
            <c:spPr>
              <a:solidFill>
                <a:srgbClr val="FFC000"/>
              </a:solidFill>
              <a:ln w="19050">
                <a:solidFill>
                  <a:sysClr val="windowText" lastClr="000000"/>
                </a:solidFill>
              </a:ln>
              <a:effectLst/>
            </c:spPr>
            <c:extLst>
              <c:ext xmlns:c16="http://schemas.microsoft.com/office/drawing/2014/chart" uri="{C3380CC4-5D6E-409C-BE32-E72D297353CC}">
                <c16:uniqueId val="{00000005-9915-4389-9D07-96C7AF4AC31F}"/>
              </c:ext>
            </c:extLst>
          </c:dPt>
          <c:dPt>
            <c:idx val="3"/>
            <c:bubble3D val="0"/>
            <c:spPr>
              <a:solidFill>
                <a:srgbClr val="CC99FF"/>
              </a:solidFill>
              <a:ln w="19050">
                <a:solidFill>
                  <a:sysClr val="windowText" lastClr="000000"/>
                </a:solidFill>
              </a:ln>
              <a:effectLst/>
            </c:spPr>
            <c:extLst>
              <c:ext xmlns:c16="http://schemas.microsoft.com/office/drawing/2014/chart" uri="{C3380CC4-5D6E-409C-BE32-E72D297353CC}">
                <c16:uniqueId val="{00000007-9915-4389-9D07-96C7AF4AC31F}"/>
              </c:ext>
            </c:extLst>
          </c:dPt>
          <c:dPt>
            <c:idx val="4"/>
            <c:bubble3D val="0"/>
            <c:spPr>
              <a:solidFill>
                <a:srgbClr val="FFFF00"/>
              </a:solidFill>
              <a:ln w="19050">
                <a:solidFill>
                  <a:sysClr val="windowText" lastClr="000000"/>
                </a:solidFill>
              </a:ln>
              <a:effectLst/>
            </c:spPr>
            <c:extLst>
              <c:ext xmlns:c16="http://schemas.microsoft.com/office/drawing/2014/chart" uri="{C3380CC4-5D6E-409C-BE32-E72D297353CC}">
                <c16:uniqueId val="{00000009-9915-4389-9D07-96C7AF4AC31F}"/>
              </c:ext>
            </c:extLst>
          </c:dPt>
          <c:dLbls>
            <c:dLbl>
              <c:idx val="0"/>
              <c:layout>
                <c:manualLayout>
                  <c:x val="-0.22203950677877363"/>
                  <c:y val="0.1275313111028906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8998714986133924"/>
                      <c:h val="0.21182129918323964"/>
                    </c:manualLayout>
                  </c15:layout>
                </c:ext>
                <c:ext xmlns:c16="http://schemas.microsoft.com/office/drawing/2014/chart" uri="{C3380CC4-5D6E-409C-BE32-E72D297353CC}">
                  <c16:uniqueId val="{00000001-9915-4389-9D07-96C7AF4AC31F}"/>
                </c:ext>
              </c:extLst>
            </c:dLbl>
            <c:dLbl>
              <c:idx val="1"/>
              <c:layout>
                <c:manualLayout>
                  <c:x val="0.17373687319079162"/>
                  <c:y val="-0.2505046768482799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8791029601085457"/>
                      <c:h val="0.13802720968603757"/>
                    </c:manualLayout>
                  </c15:layout>
                </c:ext>
                <c:ext xmlns:c16="http://schemas.microsoft.com/office/drawing/2014/chart" uri="{C3380CC4-5D6E-409C-BE32-E72D297353CC}">
                  <c16:uniqueId val="{00000003-9915-4389-9D07-96C7AF4AC31F}"/>
                </c:ext>
              </c:extLst>
            </c:dLbl>
            <c:dLbl>
              <c:idx val="2"/>
              <c:layout>
                <c:manualLayout>
                  <c:x val="0.14214408373699625"/>
                  <c:y val="0.1776171854357131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0109129538063658"/>
                      <c:h val="0.20013593099520277"/>
                    </c:manualLayout>
                  </c15:layout>
                </c:ext>
                <c:ext xmlns:c16="http://schemas.microsoft.com/office/drawing/2014/chart" uri="{C3380CC4-5D6E-409C-BE32-E72D297353CC}">
                  <c16:uniqueId val="{00000005-9915-4389-9D07-96C7AF4AC31F}"/>
                </c:ext>
              </c:extLst>
            </c:dLbl>
            <c:dLbl>
              <c:idx val="3"/>
              <c:layout>
                <c:manualLayout>
                  <c:x val="-0.12681099182436054"/>
                  <c:y val="7.978687032858367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915-4389-9D07-96C7AF4AC31F}"/>
                </c:ext>
              </c:extLst>
            </c:dLbl>
            <c:dLbl>
              <c:idx val="4"/>
              <c:layout>
                <c:manualLayout>
                  <c:x val="0.11297851485378486"/>
                  <c:y val="2.659574468085106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915-4389-9D07-96C7AF4AC31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šetření'!$B$4:$B$8</c:f>
              <c:strCache>
                <c:ptCount val="5"/>
                <c:pt idx="0">
                  <c:v>velmi dobře</c:v>
                </c:pt>
                <c:pt idx="1">
                  <c:v>spíše dobře</c:v>
                </c:pt>
                <c:pt idx="2">
                  <c:v>ani dobře ani špatně</c:v>
                </c:pt>
                <c:pt idx="3">
                  <c:v>spíše špatně</c:v>
                </c:pt>
                <c:pt idx="4">
                  <c:v>velmi špatně</c:v>
                </c:pt>
              </c:strCache>
            </c:strRef>
          </c:cat>
          <c:val>
            <c:numRef>
              <c:f>'dotazníkové šetření'!$C$4:$C$8</c:f>
              <c:numCache>
                <c:formatCode>General</c:formatCode>
                <c:ptCount val="5"/>
                <c:pt idx="0">
                  <c:v>46</c:v>
                </c:pt>
                <c:pt idx="1">
                  <c:v>63</c:v>
                </c:pt>
                <c:pt idx="2">
                  <c:v>18</c:v>
                </c:pt>
                <c:pt idx="3">
                  <c:v>2</c:v>
                </c:pt>
                <c:pt idx="4">
                  <c:v>0</c:v>
                </c:pt>
              </c:numCache>
            </c:numRef>
          </c:val>
          <c:extLst>
            <c:ext xmlns:c16="http://schemas.microsoft.com/office/drawing/2014/chart" uri="{C3380CC4-5D6E-409C-BE32-E72D297353CC}">
              <c16:uniqueId val="{0000000A-9915-4389-9D07-96C7AF4AC31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c:spPr>
          <c:dPt>
            <c:idx val="0"/>
            <c:bubble3D val="0"/>
            <c:spPr>
              <a:solidFill>
                <a:srgbClr val="00B0F0"/>
              </a:solidFill>
              <a:ln w="12700">
                <a:solidFill>
                  <a:sysClr val="windowText" lastClr="000000"/>
                </a:solidFill>
              </a:ln>
              <a:effectLst/>
            </c:spPr>
            <c:extLst>
              <c:ext xmlns:c16="http://schemas.microsoft.com/office/drawing/2014/chart" uri="{C3380CC4-5D6E-409C-BE32-E72D297353CC}">
                <c16:uniqueId val="{00000001-AC9E-48D8-AA41-395E4A4789C0}"/>
              </c:ext>
            </c:extLst>
          </c:dPt>
          <c:dPt>
            <c:idx val="1"/>
            <c:bubble3D val="0"/>
            <c:spPr>
              <a:solidFill>
                <a:srgbClr val="92D050"/>
              </a:solidFill>
              <a:ln w="12700">
                <a:solidFill>
                  <a:sysClr val="windowText" lastClr="000000"/>
                </a:solidFill>
              </a:ln>
              <a:effectLst/>
            </c:spPr>
            <c:extLst>
              <c:ext xmlns:c16="http://schemas.microsoft.com/office/drawing/2014/chart" uri="{C3380CC4-5D6E-409C-BE32-E72D297353CC}">
                <c16:uniqueId val="{00000003-AC9E-48D8-AA41-395E4A4789C0}"/>
              </c:ext>
            </c:extLst>
          </c:dPt>
          <c:dPt>
            <c:idx val="2"/>
            <c:bubble3D val="0"/>
            <c:spPr>
              <a:solidFill>
                <a:srgbClr val="FFC000"/>
              </a:solidFill>
              <a:ln w="12700">
                <a:solidFill>
                  <a:sysClr val="windowText" lastClr="000000"/>
                </a:solidFill>
              </a:ln>
              <a:effectLst/>
            </c:spPr>
            <c:extLst>
              <c:ext xmlns:c16="http://schemas.microsoft.com/office/drawing/2014/chart" uri="{C3380CC4-5D6E-409C-BE32-E72D297353CC}">
                <c16:uniqueId val="{00000005-AC9E-48D8-AA41-395E4A4789C0}"/>
              </c:ext>
            </c:extLst>
          </c:dPt>
          <c:dPt>
            <c:idx val="3"/>
            <c:bubble3D val="0"/>
            <c:spPr>
              <a:solidFill>
                <a:srgbClr val="CC99FF"/>
              </a:solidFill>
              <a:ln w="12700">
                <a:solidFill>
                  <a:sysClr val="windowText" lastClr="000000"/>
                </a:solidFill>
              </a:ln>
              <a:effectLst/>
            </c:spPr>
            <c:extLst>
              <c:ext xmlns:c16="http://schemas.microsoft.com/office/drawing/2014/chart" uri="{C3380CC4-5D6E-409C-BE32-E72D297353CC}">
                <c16:uniqueId val="{00000007-AC9E-48D8-AA41-395E4A4789C0}"/>
              </c:ext>
            </c:extLst>
          </c:dPt>
          <c:dPt>
            <c:idx val="4"/>
            <c:bubble3D val="0"/>
            <c:spPr>
              <a:solidFill>
                <a:srgbClr val="FFFF00"/>
              </a:solidFill>
              <a:ln w="12700">
                <a:solidFill>
                  <a:sysClr val="windowText" lastClr="000000"/>
                </a:solidFill>
              </a:ln>
              <a:effectLst/>
            </c:spPr>
            <c:extLst>
              <c:ext xmlns:c16="http://schemas.microsoft.com/office/drawing/2014/chart" uri="{C3380CC4-5D6E-409C-BE32-E72D297353CC}">
                <c16:uniqueId val="{00000009-AC9E-48D8-AA41-395E4A4789C0}"/>
              </c:ext>
            </c:extLst>
          </c:dPt>
          <c:dLbls>
            <c:dLbl>
              <c:idx val="0"/>
              <c:layout>
                <c:manualLayout>
                  <c:x val="-0.11119790026246713"/>
                  <c:y val="0.124558939430091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7588148809402326"/>
                      <c:h val="0.19581128747795415"/>
                    </c:manualLayout>
                  </c15:layout>
                </c:ext>
                <c:ext xmlns:c16="http://schemas.microsoft.com/office/drawing/2014/chart" uri="{C3380CC4-5D6E-409C-BE32-E72D297353CC}">
                  <c16:uniqueId val="{00000001-AC9E-48D8-AA41-395E4A4789C0}"/>
                </c:ext>
              </c:extLst>
            </c:dLbl>
            <c:dLbl>
              <c:idx val="1"/>
              <c:layout>
                <c:manualLayout>
                  <c:x val="-0.23919370078740163"/>
                  <c:y val="-0.1591538144508795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2973993420893948"/>
                      <c:h val="0.15762786596119929"/>
                    </c:manualLayout>
                  </c15:layout>
                </c:ext>
                <c:ext xmlns:c16="http://schemas.microsoft.com/office/drawing/2014/chart" uri="{C3380CC4-5D6E-409C-BE32-E72D297353CC}">
                  <c16:uniqueId val="{00000003-AC9E-48D8-AA41-395E4A4789C0}"/>
                </c:ext>
              </c:extLst>
            </c:dLbl>
            <c:dLbl>
              <c:idx val="2"/>
              <c:layout>
                <c:manualLayout>
                  <c:x val="0.20533532581311806"/>
                  <c:y val="-0.18640621311224986"/>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2637378132675723"/>
                      <c:h val="0.18959435626102292"/>
                    </c:manualLayout>
                  </c15:layout>
                </c:ext>
                <c:ext xmlns:c16="http://schemas.microsoft.com/office/drawing/2014/chart" uri="{C3380CC4-5D6E-409C-BE32-E72D297353CC}">
                  <c16:uniqueId val="{00000005-AC9E-48D8-AA41-395E4A4789C0}"/>
                </c:ext>
              </c:extLst>
            </c:dLbl>
            <c:dLbl>
              <c:idx val="3"/>
              <c:layout>
                <c:manualLayout>
                  <c:x val="0.20960538057742778"/>
                  <c:y val="3.0377504464834459E-2"/>
                </c:manualLayout>
              </c:layout>
              <c:showLegendKey val="0"/>
              <c:showVal val="1"/>
              <c:showCatName val="1"/>
              <c:showSerName val="0"/>
              <c:showPercent val="1"/>
              <c:showBubbleSize val="0"/>
              <c:extLst>
                <c:ext xmlns:c15="http://schemas.microsoft.com/office/drawing/2012/chart" uri="{CE6537A1-D6FC-4f65-9D91-7224C49458BB}">
                  <c15:layout>
                    <c:manualLayout>
                      <c:w val="0.21615763985503805"/>
                      <c:h val="0.12085537918871252"/>
                    </c:manualLayout>
                  </c15:layout>
                </c:ext>
                <c:ext xmlns:c16="http://schemas.microsoft.com/office/drawing/2014/chart" uri="{C3380CC4-5D6E-409C-BE32-E72D297353CC}">
                  <c16:uniqueId val="{00000007-AC9E-48D8-AA41-395E4A4789C0}"/>
                </c:ext>
              </c:extLst>
            </c:dLbl>
            <c:dLbl>
              <c:idx val="4"/>
              <c:layout>
                <c:manualLayout>
                  <c:x val="0.16206876640419943"/>
                  <c:y val="0.21219604780807358"/>
                </c:manualLayout>
              </c:layout>
              <c:showLegendKey val="0"/>
              <c:showVal val="1"/>
              <c:showCatName val="1"/>
              <c:showSerName val="0"/>
              <c:showPercent val="1"/>
              <c:showBubbleSize val="0"/>
              <c:extLst>
                <c:ext xmlns:c15="http://schemas.microsoft.com/office/drawing/2012/chart" uri="{CE6537A1-D6FC-4f65-9D91-7224C49458BB}">
                  <c15:layout>
                    <c:manualLayout>
                      <c:w val="0.18540000000000001"/>
                      <c:h val="0.18188723310412644"/>
                    </c:manualLayout>
                  </c15:layout>
                </c:ext>
                <c:ext xmlns:c16="http://schemas.microsoft.com/office/drawing/2014/chart" uri="{C3380CC4-5D6E-409C-BE32-E72D297353CC}">
                  <c16:uniqueId val="{00000009-AC9E-48D8-AA41-395E4A4789C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šetření'!$B$135:$B$139</c:f>
              <c:strCache>
                <c:ptCount val="5"/>
                <c:pt idx="0">
                  <c:v>velmi dobré</c:v>
                </c:pt>
                <c:pt idx="1">
                  <c:v>docela dobré</c:v>
                </c:pt>
                <c:pt idx="2">
                  <c:v>ne moc dobré</c:v>
                </c:pt>
                <c:pt idx="3">
                  <c:v>špatné</c:v>
                </c:pt>
                <c:pt idx="4">
                  <c:v>nedovedu posoudit</c:v>
                </c:pt>
              </c:strCache>
            </c:strRef>
          </c:cat>
          <c:val>
            <c:numRef>
              <c:f>'dotazníkové šetření'!$C$135:$C$139</c:f>
              <c:numCache>
                <c:formatCode>General</c:formatCode>
                <c:ptCount val="5"/>
                <c:pt idx="0">
                  <c:v>14</c:v>
                </c:pt>
                <c:pt idx="1">
                  <c:v>58</c:v>
                </c:pt>
                <c:pt idx="2">
                  <c:v>23</c:v>
                </c:pt>
                <c:pt idx="3">
                  <c:v>8</c:v>
                </c:pt>
                <c:pt idx="4">
                  <c:v>26</c:v>
                </c:pt>
              </c:numCache>
            </c:numRef>
          </c:val>
          <c:extLst>
            <c:ext xmlns:c16="http://schemas.microsoft.com/office/drawing/2014/chart" uri="{C3380CC4-5D6E-409C-BE32-E72D297353CC}">
              <c16:uniqueId val="{0000000A-AC9E-48D8-AA41-395E4A4789C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sz="1000">
          <a:solidFill>
            <a:sysClr val="windowText" lastClr="000000"/>
          </a:solidFill>
        </a:defRPr>
      </a:pPr>
      <a:endParaRPr lang="cs-CZ"/>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c:spPr>
          <c:dPt>
            <c:idx val="0"/>
            <c:bubble3D val="0"/>
            <c:spPr>
              <a:solidFill>
                <a:srgbClr val="00B0F0"/>
              </a:solidFill>
              <a:ln w="12700">
                <a:solidFill>
                  <a:sysClr val="windowText" lastClr="000000"/>
                </a:solidFill>
              </a:ln>
              <a:effectLst/>
            </c:spPr>
            <c:extLst>
              <c:ext xmlns:c16="http://schemas.microsoft.com/office/drawing/2014/chart" uri="{C3380CC4-5D6E-409C-BE32-E72D297353CC}">
                <c16:uniqueId val="{00000001-8117-4156-9921-F6D287C1BB0E}"/>
              </c:ext>
            </c:extLst>
          </c:dPt>
          <c:dPt>
            <c:idx val="1"/>
            <c:bubble3D val="0"/>
            <c:spPr>
              <a:solidFill>
                <a:srgbClr val="92D050"/>
              </a:solidFill>
              <a:ln w="12700">
                <a:solidFill>
                  <a:sysClr val="windowText" lastClr="000000"/>
                </a:solidFill>
              </a:ln>
              <a:effectLst/>
            </c:spPr>
            <c:extLst>
              <c:ext xmlns:c16="http://schemas.microsoft.com/office/drawing/2014/chart" uri="{C3380CC4-5D6E-409C-BE32-E72D297353CC}">
                <c16:uniqueId val="{00000003-8117-4156-9921-F6D287C1BB0E}"/>
              </c:ext>
            </c:extLst>
          </c:dPt>
          <c:dPt>
            <c:idx val="2"/>
            <c:bubble3D val="0"/>
            <c:spPr>
              <a:solidFill>
                <a:srgbClr val="FFC000"/>
              </a:solidFill>
              <a:ln w="12700">
                <a:solidFill>
                  <a:sysClr val="windowText" lastClr="000000"/>
                </a:solidFill>
              </a:ln>
              <a:effectLst/>
            </c:spPr>
            <c:extLst>
              <c:ext xmlns:c16="http://schemas.microsoft.com/office/drawing/2014/chart" uri="{C3380CC4-5D6E-409C-BE32-E72D297353CC}">
                <c16:uniqueId val="{00000005-8117-4156-9921-F6D287C1BB0E}"/>
              </c:ext>
            </c:extLst>
          </c:dPt>
          <c:dPt>
            <c:idx val="3"/>
            <c:bubble3D val="0"/>
            <c:spPr>
              <a:solidFill>
                <a:srgbClr val="CC99FF"/>
              </a:solidFill>
              <a:ln w="12700">
                <a:solidFill>
                  <a:sysClr val="windowText" lastClr="000000"/>
                </a:solidFill>
              </a:ln>
              <a:effectLst/>
            </c:spPr>
            <c:extLst>
              <c:ext xmlns:c16="http://schemas.microsoft.com/office/drawing/2014/chart" uri="{C3380CC4-5D6E-409C-BE32-E72D297353CC}">
                <c16:uniqueId val="{00000007-8117-4156-9921-F6D287C1BB0E}"/>
              </c:ext>
            </c:extLst>
          </c:dPt>
          <c:dPt>
            <c:idx val="4"/>
            <c:bubble3D val="0"/>
            <c:spPr>
              <a:solidFill>
                <a:srgbClr val="FFFF00"/>
              </a:solidFill>
              <a:ln w="12700">
                <a:solidFill>
                  <a:sysClr val="windowText" lastClr="000000"/>
                </a:solidFill>
              </a:ln>
              <a:effectLst/>
            </c:spPr>
            <c:extLst>
              <c:ext xmlns:c16="http://schemas.microsoft.com/office/drawing/2014/chart" uri="{C3380CC4-5D6E-409C-BE32-E72D297353CC}">
                <c16:uniqueId val="{00000009-8117-4156-9921-F6D287C1BB0E}"/>
              </c:ext>
            </c:extLst>
          </c:dPt>
          <c:dLbls>
            <c:dLbl>
              <c:idx val="0"/>
              <c:layout>
                <c:manualLayout>
                  <c:x val="0.13659633423626311"/>
                  <c:y val="3.4885739588666914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17-4156-9921-F6D287C1BB0E}"/>
                </c:ext>
              </c:extLst>
            </c:dLbl>
            <c:dLbl>
              <c:idx val="1"/>
              <c:layout>
                <c:manualLayout>
                  <c:x val="-0.22347887189388682"/>
                  <c:y val="7.9261579978559024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9430592009332165"/>
                      <c:h val="0.14845107389745293"/>
                    </c:manualLayout>
                  </c15:layout>
                </c:ext>
                <c:ext xmlns:c16="http://schemas.microsoft.com/office/drawing/2014/chart" uri="{C3380CC4-5D6E-409C-BE32-E72D297353CC}">
                  <c16:uniqueId val="{00000003-8117-4156-9921-F6D287C1BB0E}"/>
                </c:ext>
              </c:extLst>
            </c:dLbl>
            <c:dLbl>
              <c:idx val="2"/>
              <c:layout>
                <c:manualLayout>
                  <c:x val="0.21618583979433276"/>
                  <c:y val="-0.22666583526898829"/>
                </c:manualLayout>
              </c:layout>
              <c:showLegendKey val="0"/>
              <c:showVal val="1"/>
              <c:showCatName val="1"/>
              <c:showSerName val="0"/>
              <c:showPercent val="1"/>
              <c:showBubbleSize val="0"/>
              <c:extLst>
                <c:ext xmlns:c15="http://schemas.microsoft.com/office/drawing/2012/chart" uri="{CE6537A1-D6FC-4f65-9D91-7224C49458BB}">
                  <c15:layout>
                    <c:manualLayout>
                      <c:w val="0.29690457867858033"/>
                      <c:h val="5.2328609383000373E-2"/>
                    </c:manualLayout>
                  </c15:layout>
                </c:ext>
                <c:ext xmlns:c16="http://schemas.microsoft.com/office/drawing/2014/chart" uri="{C3380CC4-5D6E-409C-BE32-E72D297353CC}">
                  <c16:uniqueId val="{00000005-8117-4156-9921-F6D287C1BB0E}"/>
                </c:ext>
              </c:extLst>
            </c:dLbl>
            <c:dLbl>
              <c:idx val="3"/>
              <c:layout>
                <c:manualLayout>
                  <c:x val="-2.0544342876680645E-2"/>
                  <c:y val="-4.6119551957413775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7939230297362255"/>
                      <c:h val="0.13787549443643488"/>
                    </c:manualLayout>
                  </c15:layout>
                </c:ext>
                <c:ext xmlns:c16="http://schemas.microsoft.com/office/drawing/2014/chart" uri="{C3380CC4-5D6E-409C-BE32-E72D297353CC}">
                  <c16:uniqueId val="{00000007-8117-4156-9921-F6D287C1BB0E}"/>
                </c:ext>
              </c:extLst>
            </c:dLbl>
            <c:dLbl>
              <c:idx val="4"/>
              <c:layout>
                <c:manualLayout>
                  <c:x val="0.13228723564726816"/>
                  <c:y val="0.1553151454659716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7396069025854527"/>
                      <c:h val="0.20439835865587225"/>
                    </c:manualLayout>
                  </c15:layout>
                </c:ext>
                <c:ext xmlns:c16="http://schemas.microsoft.com/office/drawing/2014/chart" uri="{C3380CC4-5D6E-409C-BE32-E72D297353CC}">
                  <c16:uniqueId val="{00000009-8117-4156-9921-F6D287C1BB0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šetření'!$B$143:$B$147</c:f>
              <c:strCache>
                <c:ptCount val="5"/>
                <c:pt idx="0">
                  <c:v>rozhodně ano</c:v>
                </c:pt>
                <c:pt idx="1">
                  <c:v>spíše ano</c:v>
                </c:pt>
                <c:pt idx="2">
                  <c:v>spíše ne</c:v>
                </c:pt>
                <c:pt idx="3">
                  <c:v>rozhodně ne</c:v>
                </c:pt>
                <c:pt idx="4">
                  <c:v>nedovedu posoudit</c:v>
                </c:pt>
              </c:strCache>
            </c:strRef>
          </c:cat>
          <c:val>
            <c:numRef>
              <c:f>'dotazníkové šetření'!$C$143:$C$147</c:f>
              <c:numCache>
                <c:formatCode>General</c:formatCode>
                <c:ptCount val="5"/>
                <c:pt idx="0">
                  <c:v>7</c:v>
                </c:pt>
                <c:pt idx="1">
                  <c:v>39</c:v>
                </c:pt>
                <c:pt idx="2">
                  <c:v>57</c:v>
                </c:pt>
                <c:pt idx="3">
                  <c:v>8</c:v>
                </c:pt>
                <c:pt idx="4">
                  <c:v>18</c:v>
                </c:pt>
              </c:numCache>
            </c:numRef>
          </c:val>
          <c:extLst>
            <c:ext xmlns:c16="http://schemas.microsoft.com/office/drawing/2014/chart" uri="{C3380CC4-5D6E-409C-BE32-E72D297353CC}">
              <c16:uniqueId val="{0000000A-8117-4156-9921-F6D287C1BB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3648293963254E-2"/>
          <c:y val="2.976190476190476E-2"/>
          <c:w val="0.90286351706036749"/>
          <c:h val="0.88793822647169107"/>
        </c:manualLayout>
      </c:layout>
      <c:barChart>
        <c:barDir val="col"/>
        <c:grouping val="clustered"/>
        <c:varyColors val="0"/>
        <c:ser>
          <c:idx val="0"/>
          <c:order val="0"/>
          <c:spPr>
            <a:solidFill>
              <a:srgbClr val="00B0F0"/>
            </a:solidFill>
            <a:ln w="12700">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'dotazníkové šetření'!$B$164:$B$167</c:f>
              <c:strCache>
                <c:ptCount val="4"/>
                <c:pt idx="0">
                  <c:v>pravidelně (min. 1x týdně)</c:v>
                </c:pt>
                <c:pt idx="1">
                  <c:v>občas (cca 1x za měsíc)</c:v>
                </c:pt>
                <c:pt idx="2">
                  <c:v>vůbec</c:v>
                </c:pt>
                <c:pt idx="3">
                  <c:v>nemám internet</c:v>
                </c:pt>
              </c:strCache>
            </c:strRef>
          </c:cat>
          <c:val>
            <c:numRef>
              <c:f>'dotazníkové šetření'!$C$164:$C$167</c:f>
              <c:numCache>
                <c:formatCode>General</c:formatCode>
                <c:ptCount val="4"/>
                <c:pt idx="0">
                  <c:v>27</c:v>
                </c:pt>
                <c:pt idx="1">
                  <c:v>76</c:v>
                </c:pt>
                <c:pt idx="2">
                  <c:v>15</c:v>
                </c:pt>
                <c:pt idx="3">
                  <c:v>11</c:v>
                </c:pt>
              </c:numCache>
            </c:numRef>
          </c:val>
          <c:extLst>
            <c:ext xmlns:c16="http://schemas.microsoft.com/office/drawing/2014/chart" uri="{C3380CC4-5D6E-409C-BE32-E72D297353CC}">
              <c16:uniqueId val="{00000000-4816-43C3-A517-F7E8D0D80332}"/>
            </c:ext>
          </c:extLst>
        </c:ser>
        <c:dLbls>
          <c:showLegendKey val="0"/>
          <c:showVal val="0"/>
          <c:showCatName val="0"/>
          <c:showSerName val="0"/>
          <c:showPercent val="0"/>
          <c:showBubbleSize val="0"/>
        </c:dLbls>
        <c:gapWidth val="219"/>
        <c:overlap val="-27"/>
        <c:axId val="668804808"/>
        <c:axId val="668805136"/>
      </c:barChart>
      <c:catAx>
        <c:axId val="66880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68805136"/>
        <c:crosses val="autoZero"/>
        <c:auto val="1"/>
        <c:lblAlgn val="ctr"/>
        <c:lblOffset val="100"/>
        <c:noMultiLvlLbl val="0"/>
      </c:catAx>
      <c:valAx>
        <c:axId val="668805136"/>
        <c:scaling>
          <c:orientation val="minMax"/>
        </c:scaling>
        <c:delete val="0"/>
        <c:axPos val="l"/>
        <c:majorGridlines>
          <c:spPr>
            <a:ln w="9525" cap="flat" cmpd="sng" algn="ctr">
              <a:solidFill>
                <a:schemeClr val="bg1">
                  <a:lumMod val="6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68804808"/>
        <c:crosses val="autoZero"/>
        <c:crossBetween val="between"/>
      </c:valAx>
      <c:spPr>
        <a:solidFill>
          <a:schemeClr val="bg1">
            <a:lumMod val="85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00B0F0"/>
            </a:solidFill>
            <a:ln w="12700">
              <a:solidFill>
                <a:sysClr val="windowText" lastClr="000000"/>
              </a:solidFill>
            </a:ln>
          </c:spPr>
          <c:dPt>
            <c:idx val="0"/>
            <c:bubble3D val="0"/>
            <c:spPr>
              <a:solidFill>
                <a:srgbClr val="00B0F0"/>
              </a:solidFill>
              <a:ln w="12700">
                <a:solidFill>
                  <a:sysClr val="windowText" lastClr="000000"/>
                </a:solidFill>
              </a:ln>
              <a:effectLst/>
            </c:spPr>
            <c:extLst>
              <c:ext xmlns:c16="http://schemas.microsoft.com/office/drawing/2014/chart" uri="{C3380CC4-5D6E-409C-BE32-E72D297353CC}">
                <c16:uniqueId val="{00000001-DA78-44AC-87C3-5B9700B94C1A}"/>
              </c:ext>
            </c:extLst>
          </c:dPt>
          <c:dPt>
            <c:idx val="1"/>
            <c:bubble3D val="0"/>
            <c:spPr>
              <a:solidFill>
                <a:srgbClr val="92D050"/>
              </a:solidFill>
              <a:ln w="12700">
                <a:solidFill>
                  <a:sysClr val="windowText" lastClr="000000"/>
                </a:solidFill>
              </a:ln>
              <a:effectLst/>
            </c:spPr>
            <c:extLst>
              <c:ext xmlns:c16="http://schemas.microsoft.com/office/drawing/2014/chart" uri="{C3380CC4-5D6E-409C-BE32-E72D297353CC}">
                <c16:uniqueId val="{00000003-DA78-44AC-87C3-5B9700B94C1A}"/>
              </c:ext>
            </c:extLst>
          </c:dPt>
          <c:dPt>
            <c:idx val="2"/>
            <c:bubble3D val="0"/>
            <c:spPr>
              <a:solidFill>
                <a:srgbClr val="FFC000"/>
              </a:solidFill>
              <a:ln w="12700">
                <a:solidFill>
                  <a:sysClr val="windowText" lastClr="000000"/>
                </a:solidFill>
              </a:ln>
              <a:effectLst/>
            </c:spPr>
            <c:extLst>
              <c:ext xmlns:c16="http://schemas.microsoft.com/office/drawing/2014/chart" uri="{C3380CC4-5D6E-409C-BE32-E72D297353CC}">
                <c16:uniqueId val="{00000005-DA78-44AC-87C3-5B9700B94C1A}"/>
              </c:ext>
            </c:extLst>
          </c:dPt>
          <c:dPt>
            <c:idx val="3"/>
            <c:bubble3D val="0"/>
            <c:spPr>
              <a:solidFill>
                <a:srgbClr val="CC99FF"/>
              </a:solidFill>
              <a:ln w="12700">
                <a:solidFill>
                  <a:sysClr val="windowText" lastClr="000000"/>
                </a:solidFill>
              </a:ln>
              <a:effectLst/>
            </c:spPr>
            <c:extLst>
              <c:ext xmlns:c16="http://schemas.microsoft.com/office/drawing/2014/chart" uri="{C3380CC4-5D6E-409C-BE32-E72D297353CC}">
                <c16:uniqueId val="{00000007-DA78-44AC-87C3-5B9700B94C1A}"/>
              </c:ext>
            </c:extLst>
          </c:dPt>
          <c:dPt>
            <c:idx val="4"/>
            <c:bubble3D val="0"/>
            <c:spPr>
              <a:solidFill>
                <a:srgbClr val="FFFF00"/>
              </a:solidFill>
              <a:ln w="12700">
                <a:solidFill>
                  <a:sysClr val="windowText" lastClr="000000"/>
                </a:solidFill>
              </a:ln>
              <a:effectLst/>
            </c:spPr>
            <c:extLst>
              <c:ext xmlns:c16="http://schemas.microsoft.com/office/drawing/2014/chart" uri="{C3380CC4-5D6E-409C-BE32-E72D297353CC}">
                <c16:uniqueId val="{00000009-DA78-44AC-87C3-5B9700B94C1A}"/>
              </c:ext>
            </c:extLst>
          </c:dPt>
          <c:dLbls>
            <c:dLbl>
              <c:idx val="0"/>
              <c:layout>
                <c:manualLayout>
                  <c:x val="-0.16786296983147378"/>
                  <c:y val="0.19549643626835955"/>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A78-44AC-87C3-5B9700B94C1A}"/>
                </c:ext>
              </c:extLst>
            </c:dLbl>
            <c:dLbl>
              <c:idx val="1"/>
              <c:layout>
                <c:manualLayout>
                  <c:x val="-0.13776234051824598"/>
                  <c:y val="-0.228323934544878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8556962474285307"/>
                      <c:h val="0.13987971046915862"/>
                    </c:manualLayout>
                  </c15:layout>
                </c:ext>
                <c:ext xmlns:c16="http://schemas.microsoft.com/office/drawing/2014/chart" uri="{C3380CC4-5D6E-409C-BE32-E72D297353CC}">
                  <c16:uniqueId val="{00000003-DA78-44AC-87C3-5B9700B94C1A}"/>
                </c:ext>
              </c:extLst>
            </c:dLbl>
            <c:dLbl>
              <c:idx val="2"/>
              <c:layout>
                <c:manualLayout>
                  <c:x val="-5.791505791505791E-2"/>
                  <c:y val="4.072009610819325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640926640926641"/>
                      <c:h val="0.12914713796897803"/>
                    </c:manualLayout>
                  </c15:layout>
                </c:ext>
                <c:ext xmlns:c16="http://schemas.microsoft.com/office/drawing/2014/chart" uri="{C3380CC4-5D6E-409C-BE32-E72D297353CC}">
                  <c16:uniqueId val="{00000005-DA78-44AC-87C3-5B9700B94C1A}"/>
                </c:ext>
              </c:extLst>
            </c:dLbl>
            <c:dLbl>
              <c:idx val="3"/>
              <c:layout>
                <c:manualLayout>
                  <c:x val="-4.0719276644473494E-2"/>
                  <c:y val="6.3679392492985102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A78-44AC-87C3-5B9700B94C1A}"/>
                </c:ext>
              </c:extLst>
            </c:dLbl>
            <c:dLbl>
              <c:idx val="4"/>
              <c:layout>
                <c:manualLayout>
                  <c:x val="0.20129751517546793"/>
                  <c:y val="0.1613729080653316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A78-44AC-87C3-5B9700B94C1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šetření'!$B$171:$B$175</c:f>
              <c:strCache>
                <c:ptCount val="5"/>
                <c:pt idx="0">
                  <c:v>rozhodně ano</c:v>
                </c:pt>
                <c:pt idx="1">
                  <c:v>spíše ano</c:v>
                </c:pt>
                <c:pt idx="2">
                  <c:v>spíše ne</c:v>
                </c:pt>
                <c:pt idx="3">
                  <c:v>rozhodně ne</c:v>
                </c:pt>
                <c:pt idx="4">
                  <c:v>nedovedu posoudit</c:v>
                </c:pt>
              </c:strCache>
            </c:strRef>
          </c:cat>
          <c:val>
            <c:numRef>
              <c:f>'dotazníkové šetření'!$C$171:$C$175</c:f>
              <c:numCache>
                <c:formatCode>General</c:formatCode>
                <c:ptCount val="5"/>
                <c:pt idx="0">
                  <c:v>32</c:v>
                </c:pt>
                <c:pt idx="1">
                  <c:v>44</c:v>
                </c:pt>
                <c:pt idx="2">
                  <c:v>8</c:v>
                </c:pt>
                <c:pt idx="3">
                  <c:v>4</c:v>
                </c:pt>
                <c:pt idx="4">
                  <c:v>38</c:v>
                </c:pt>
              </c:numCache>
            </c:numRef>
          </c:val>
          <c:extLst>
            <c:ext xmlns:c16="http://schemas.microsoft.com/office/drawing/2014/chart" uri="{C3380CC4-5D6E-409C-BE32-E72D297353CC}">
              <c16:uniqueId val="{0000000A-DA78-44AC-87C3-5B9700B94C1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cs-CZ"/>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a:solidFill>
                <a:sysClr val="windowText" lastClr="000000"/>
              </a:solidFill>
            </a:ln>
          </c:spPr>
          <c:dPt>
            <c:idx val="0"/>
            <c:bubble3D val="0"/>
            <c:spPr>
              <a:solidFill>
                <a:schemeClr val="accent1"/>
              </a:solidFill>
              <a:ln w="12700">
                <a:solidFill>
                  <a:sysClr val="windowText" lastClr="000000"/>
                </a:solidFill>
              </a:ln>
              <a:effectLst/>
            </c:spPr>
            <c:extLst>
              <c:ext xmlns:c16="http://schemas.microsoft.com/office/drawing/2014/chart" uri="{C3380CC4-5D6E-409C-BE32-E72D297353CC}">
                <c16:uniqueId val="{00000001-A363-40A9-AAA8-3F471C3F0CA7}"/>
              </c:ext>
            </c:extLst>
          </c:dPt>
          <c:dPt>
            <c:idx val="1"/>
            <c:bubble3D val="0"/>
            <c:spPr>
              <a:solidFill>
                <a:srgbClr val="92D050"/>
              </a:solidFill>
              <a:ln w="12700">
                <a:solidFill>
                  <a:sysClr val="windowText" lastClr="000000"/>
                </a:solidFill>
              </a:ln>
              <a:effectLst/>
            </c:spPr>
            <c:extLst>
              <c:ext xmlns:c16="http://schemas.microsoft.com/office/drawing/2014/chart" uri="{C3380CC4-5D6E-409C-BE32-E72D297353CC}">
                <c16:uniqueId val="{00000003-A363-40A9-AAA8-3F471C3F0CA7}"/>
              </c:ext>
            </c:extLst>
          </c:dPt>
          <c:dPt>
            <c:idx val="2"/>
            <c:bubble3D val="0"/>
            <c:spPr>
              <a:solidFill>
                <a:srgbClr val="FFC000"/>
              </a:solidFill>
              <a:ln w="12700">
                <a:solidFill>
                  <a:sysClr val="windowText" lastClr="000000"/>
                </a:solidFill>
              </a:ln>
              <a:effectLst/>
            </c:spPr>
            <c:extLst>
              <c:ext xmlns:c16="http://schemas.microsoft.com/office/drawing/2014/chart" uri="{C3380CC4-5D6E-409C-BE32-E72D297353CC}">
                <c16:uniqueId val="{00000005-A363-40A9-AAA8-3F471C3F0CA7}"/>
              </c:ext>
            </c:extLst>
          </c:dPt>
          <c:dPt>
            <c:idx val="3"/>
            <c:bubble3D val="0"/>
            <c:spPr>
              <a:solidFill>
                <a:srgbClr val="CC99FF"/>
              </a:solidFill>
              <a:ln w="12700">
                <a:solidFill>
                  <a:sysClr val="windowText" lastClr="000000"/>
                </a:solidFill>
              </a:ln>
              <a:effectLst/>
            </c:spPr>
            <c:extLst>
              <c:ext xmlns:c16="http://schemas.microsoft.com/office/drawing/2014/chart" uri="{C3380CC4-5D6E-409C-BE32-E72D297353CC}">
                <c16:uniqueId val="{00000007-A363-40A9-AAA8-3F471C3F0CA7}"/>
              </c:ext>
            </c:extLst>
          </c:dPt>
          <c:dPt>
            <c:idx val="4"/>
            <c:bubble3D val="0"/>
            <c:spPr>
              <a:solidFill>
                <a:srgbClr val="FFFF00"/>
              </a:solidFill>
              <a:ln w="12700">
                <a:solidFill>
                  <a:sysClr val="windowText" lastClr="000000"/>
                </a:solidFill>
              </a:ln>
              <a:effectLst/>
            </c:spPr>
            <c:extLst>
              <c:ext xmlns:c16="http://schemas.microsoft.com/office/drawing/2014/chart" uri="{C3380CC4-5D6E-409C-BE32-E72D297353CC}">
                <c16:uniqueId val="{00000009-A363-40A9-AAA8-3F471C3F0CA7}"/>
              </c:ext>
            </c:extLst>
          </c:dPt>
          <c:dLbls>
            <c:dLbl>
              <c:idx val="0"/>
              <c:layout>
                <c:manualLayout>
                  <c:x val="-0.20779377519760495"/>
                  <c:y val="1.1479610146264533E-3"/>
                </c:manualLayout>
              </c:layout>
              <c:showLegendKey val="0"/>
              <c:showVal val="1"/>
              <c:showCatName val="1"/>
              <c:showSerName val="0"/>
              <c:showPercent val="1"/>
              <c:showBubbleSize val="0"/>
              <c:extLst>
                <c:ext xmlns:c15="http://schemas.microsoft.com/office/drawing/2012/chart" uri="{CE6537A1-D6FC-4f65-9D91-7224C49458BB}">
                  <c15:layout>
                    <c:manualLayout>
                      <c:w val="0.26274785504753084"/>
                      <c:h val="0.12584964103751736"/>
                    </c:manualLayout>
                  </c15:layout>
                </c:ext>
                <c:ext xmlns:c16="http://schemas.microsoft.com/office/drawing/2014/chart" uri="{C3380CC4-5D6E-409C-BE32-E72D297353CC}">
                  <c16:uniqueId val="{00000001-A363-40A9-AAA8-3F471C3F0CA7}"/>
                </c:ext>
              </c:extLst>
            </c:dLbl>
            <c:dLbl>
              <c:idx val="1"/>
              <c:layout>
                <c:manualLayout>
                  <c:x val="0.19643233643782146"/>
                  <c:y val="4.9374142972952395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0518152142746862"/>
                      <c:h val="0.18557105913231434"/>
                    </c:manualLayout>
                  </c15:layout>
                </c:ext>
                <c:ext xmlns:c16="http://schemas.microsoft.com/office/drawing/2014/chart" uri="{C3380CC4-5D6E-409C-BE32-E72D297353CC}">
                  <c16:uniqueId val="{00000003-A363-40A9-AAA8-3F471C3F0CA7}"/>
                </c:ext>
              </c:extLst>
            </c:dLbl>
            <c:dLbl>
              <c:idx val="2"/>
              <c:layout>
                <c:manualLayout>
                  <c:x val="-0.21810637640883118"/>
                  <c:y val="-3.8083314034275124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0429762456163567"/>
                      <c:h val="0.24533445267870929"/>
                    </c:manualLayout>
                  </c15:layout>
                </c:ext>
                <c:ext xmlns:c16="http://schemas.microsoft.com/office/drawing/2014/chart" uri="{C3380CC4-5D6E-409C-BE32-E72D297353CC}">
                  <c16:uniqueId val="{00000005-A363-40A9-AAA8-3F471C3F0CA7}"/>
                </c:ext>
              </c:extLst>
            </c:dLbl>
            <c:dLbl>
              <c:idx val="3"/>
              <c:layout>
                <c:manualLayout>
                  <c:x val="0.17422858907342464"/>
                  <c:y val="-0.2074547437085070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1541608769492049"/>
                      <c:h val="0.25760624131542381"/>
                    </c:manualLayout>
                  </c15:layout>
                </c:ext>
                <c:ext xmlns:c16="http://schemas.microsoft.com/office/drawing/2014/chart" uri="{C3380CC4-5D6E-409C-BE32-E72D297353CC}">
                  <c16:uniqueId val="{00000007-A363-40A9-AAA8-3F471C3F0CA7}"/>
                </c:ext>
              </c:extLst>
            </c:dLbl>
            <c:dLbl>
              <c:idx val="4"/>
              <c:layout>
                <c:manualLayout>
                  <c:x val="0.16857561922406758"/>
                  <c:y val="0.2377007102053419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363-40A9-AAA8-3F471C3F0CA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šetření'!$B$265:$B$269</c:f>
              <c:strCache>
                <c:ptCount val="5"/>
                <c:pt idx="0">
                  <c:v>do 18 let</c:v>
                </c:pt>
                <c:pt idx="1">
                  <c:v>19 - 29 let</c:v>
                </c:pt>
                <c:pt idx="2">
                  <c:v>30 - 49 let</c:v>
                </c:pt>
                <c:pt idx="3">
                  <c:v>50 - 64 let</c:v>
                </c:pt>
                <c:pt idx="4">
                  <c:v>65 a více let</c:v>
                </c:pt>
              </c:strCache>
            </c:strRef>
          </c:cat>
          <c:val>
            <c:numRef>
              <c:f>'dotazníkové šetření'!$C$265:$C$269</c:f>
              <c:numCache>
                <c:formatCode>0</c:formatCode>
                <c:ptCount val="5"/>
                <c:pt idx="0">
                  <c:v>0</c:v>
                </c:pt>
                <c:pt idx="1">
                  <c:v>9</c:v>
                </c:pt>
                <c:pt idx="2">
                  <c:v>55</c:v>
                </c:pt>
                <c:pt idx="3">
                  <c:v>30</c:v>
                </c:pt>
                <c:pt idx="4">
                  <c:v>34</c:v>
                </c:pt>
              </c:numCache>
            </c:numRef>
          </c:val>
          <c:extLst>
            <c:ext xmlns:c16="http://schemas.microsoft.com/office/drawing/2014/chart" uri="{C3380CC4-5D6E-409C-BE32-E72D297353CC}">
              <c16:uniqueId val="{0000000A-A363-40A9-AAA8-3F471C3F0CA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a:solidFill>
                <a:sysClr val="windowText" lastClr="000000"/>
              </a:solidFill>
            </a:ln>
          </c:spPr>
          <c:dPt>
            <c:idx val="0"/>
            <c:bubble3D val="0"/>
            <c:spPr>
              <a:solidFill>
                <a:srgbClr val="00B0F0"/>
              </a:solidFill>
              <a:ln w="12700">
                <a:solidFill>
                  <a:sysClr val="windowText" lastClr="000000"/>
                </a:solidFill>
              </a:ln>
              <a:effectLst/>
            </c:spPr>
            <c:extLst>
              <c:ext xmlns:c16="http://schemas.microsoft.com/office/drawing/2014/chart" uri="{C3380CC4-5D6E-409C-BE32-E72D297353CC}">
                <c16:uniqueId val="{00000001-F369-4456-AA57-E0D3A444D660}"/>
              </c:ext>
            </c:extLst>
          </c:dPt>
          <c:dPt>
            <c:idx val="1"/>
            <c:bubble3D val="0"/>
            <c:spPr>
              <a:solidFill>
                <a:srgbClr val="92D050"/>
              </a:solidFill>
              <a:ln w="12700">
                <a:solidFill>
                  <a:sysClr val="windowText" lastClr="000000"/>
                </a:solidFill>
              </a:ln>
              <a:effectLst/>
            </c:spPr>
            <c:extLst>
              <c:ext xmlns:c16="http://schemas.microsoft.com/office/drawing/2014/chart" uri="{C3380CC4-5D6E-409C-BE32-E72D297353CC}">
                <c16:uniqueId val="{00000003-F369-4456-AA57-E0D3A444D660}"/>
              </c:ext>
            </c:extLst>
          </c:dPt>
          <c:dPt>
            <c:idx val="2"/>
            <c:bubble3D val="0"/>
            <c:spPr>
              <a:solidFill>
                <a:srgbClr val="FFC000"/>
              </a:solidFill>
              <a:ln w="12700">
                <a:solidFill>
                  <a:sysClr val="windowText" lastClr="000000"/>
                </a:solidFill>
              </a:ln>
              <a:effectLst/>
            </c:spPr>
            <c:extLst>
              <c:ext xmlns:c16="http://schemas.microsoft.com/office/drawing/2014/chart" uri="{C3380CC4-5D6E-409C-BE32-E72D297353CC}">
                <c16:uniqueId val="{00000005-F369-4456-AA57-E0D3A444D660}"/>
              </c:ext>
            </c:extLst>
          </c:dPt>
          <c:dPt>
            <c:idx val="3"/>
            <c:bubble3D val="0"/>
            <c:spPr>
              <a:solidFill>
                <a:srgbClr val="CC99FF"/>
              </a:solidFill>
              <a:ln w="12700">
                <a:solidFill>
                  <a:sysClr val="windowText" lastClr="000000"/>
                </a:solidFill>
              </a:ln>
              <a:effectLst/>
            </c:spPr>
            <c:extLst>
              <c:ext xmlns:c16="http://schemas.microsoft.com/office/drawing/2014/chart" uri="{C3380CC4-5D6E-409C-BE32-E72D297353CC}">
                <c16:uniqueId val="{00000007-F369-4456-AA57-E0D3A444D660}"/>
              </c:ext>
            </c:extLst>
          </c:dPt>
          <c:dPt>
            <c:idx val="4"/>
            <c:bubble3D val="0"/>
            <c:spPr>
              <a:solidFill>
                <a:srgbClr val="FFFF00"/>
              </a:solidFill>
              <a:ln w="12700">
                <a:solidFill>
                  <a:sysClr val="windowText" lastClr="000000"/>
                </a:solidFill>
              </a:ln>
              <a:effectLst/>
            </c:spPr>
            <c:extLst>
              <c:ext xmlns:c16="http://schemas.microsoft.com/office/drawing/2014/chart" uri="{C3380CC4-5D6E-409C-BE32-E72D297353CC}">
                <c16:uniqueId val="{00000009-F369-4456-AA57-E0D3A444D660}"/>
              </c:ext>
            </c:extLst>
          </c:dPt>
          <c:dLbls>
            <c:dLbl>
              <c:idx val="0"/>
              <c:layout>
                <c:manualLayout>
                  <c:x val="-7.043953892229024E-2"/>
                  <c:y val="0.1290573788698790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2883554659621888"/>
                      <c:h val="0.12115755996728225"/>
                    </c:manualLayout>
                  </c15:layout>
                </c:ext>
                <c:ext xmlns:c16="http://schemas.microsoft.com/office/drawing/2014/chart" uri="{C3380CC4-5D6E-409C-BE32-E72D297353CC}">
                  <c16:uniqueId val="{00000001-F369-4456-AA57-E0D3A444D660}"/>
                </c:ext>
              </c:extLst>
            </c:dLbl>
            <c:dLbl>
              <c:idx val="1"/>
              <c:layout>
                <c:manualLayout>
                  <c:x val="-0.233727408615301"/>
                  <c:y val="4.7181034685509854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3984236988721294"/>
                      <c:h val="0.17008913755301608"/>
                    </c:manualLayout>
                  </c15:layout>
                </c:ext>
                <c:ext xmlns:c16="http://schemas.microsoft.com/office/drawing/2014/chart" uri="{C3380CC4-5D6E-409C-BE32-E72D297353CC}">
                  <c16:uniqueId val="{00000003-F369-4456-AA57-E0D3A444D660}"/>
                </c:ext>
              </c:extLst>
            </c:dLbl>
            <c:dLbl>
              <c:idx val="2"/>
              <c:layout>
                <c:manualLayout>
                  <c:x val="0.18208995787471119"/>
                  <c:y val="-0.21593056103609673"/>
                </c:manualLayout>
              </c:layout>
              <c:showLegendKey val="0"/>
              <c:showVal val="1"/>
              <c:showCatName val="1"/>
              <c:showSerName val="0"/>
              <c:showPercent val="1"/>
              <c:showBubbleSize val="0"/>
              <c:extLst>
                <c:ext xmlns:c15="http://schemas.microsoft.com/office/drawing/2012/chart" uri="{CE6537A1-D6FC-4f65-9D91-7224C49458BB}">
                  <c15:layout>
                    <c:manualLayout>
                      <c:w val="0.27721157766000815"/>
                      <c:h val="0.16490349311542413"/>
                    </c:manualLayout>
                  </c15:layout>
                </c:ext>
                <c:ext xmlns:c16="http://schemas.microsoft.com/office/drawing/2014/chart" uri="{C3380CC4-5D6E-409C-BE32-E72D297353CC}">
                  <c16:uniqueId val="{00000005-F369-4456-AA57-E0D3A444D660}"/>
                </c:ext>
              </c:extLst>
            </c:dLbl>
            <c:dLbl>
              <c:idx val="3"/>
              <c:layout>
                <c:manualLayout>
                  <c:x val="-2.5560966110381739E-2"/>
                  <c:y val="-0.1693933628977675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369-4456-AA57-E0D3A444D660}"/>
                </c:ext>
              </c:extLst>
            </c:dLbl>
            <c:dLbl>
              <c:idx val="4"/>
              <c:layout>
                <c:manualLayout>
                  <c:x val="0.16403450485933449"/>
                  <c:y val="0.1732900276219271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369-4456-AA57-E0D3A444D66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šetření'!$B$273:$B$277</c:f>
              <c:strCache>
                <c:ptCount val="5"/>
                <c:pt idx="0">
                  <c:v>základní</c:v>
                </c:pt>
                <c:pt idx="1">
                  <c:v>střední odborné</c:v>
                </c:pt>
                <c:pt idx="2">
                  <c:v>střední odborné s maturitou</c:v>
                </c:pt>
                <c:pt idx="3">
                  <c:v>vyšší odborné</c:v>
                </c:pt>
                <c:pt idx="4">
                  <c:v>vysokoškolské</c:v>
                </c:pt>
              </c:strCache>
            </c:strRef>
          </c:cat>
          <c:val>
            <c:numRef>
              <c:f>'dotazníkové šetření'!$C$273:$C$277</c:f>
              <c:numCache>
                <c:formatCode>0</c:formatCode>
                <c:ptCount val="5"/>
                <c:pt idx="0">
                  <c:v>11</c:v>
                </c:pt>
                <c:pt idx="1">
                  <c:v>38</c:v>
                </c:pt>
                <c:pt idx="2">
                  <c:v>47</c:v>
                </c:pt>
                <c:pt idx="3">
                  <c:v>3</c:v>
                </c:pt>
                <c:pt idx="4">
                  <c:v>29</c:v>
                </c:pt>
              </c:numCache>
            </c:numRef>
          </c:val>
          <c:extLst>
            <c:ext xmlns:c16="http://schemas.microsoft.com/office/drawing/2014/chart" uri="{C3380CC4-5D6E-409C-BE32-E72D297353CC}">
              <c16:uniqueId val="{0000000A-F369-4456-AA57-E0D3A444D66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'struktura půdy'!$M$52</c:f>
              <c:strCache>
                <c:ptCount val="1"/>
                <c:pt idx="0">
                  <c:v>orná půda</c:v>
                </c:pt>
              </c:strCache>
            </c:strRef>
          </c:tx>
          <c:spPr>
            <a:solidFill>
              <a:srgbClr val="99663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půdy'!$N$51:$P$51</c:f>
              <c:strCache>
                <c:ptCount val="3"/>
                <c:pt idx="0">
                  <c:v>Dolní Staré Buky</c:v>
                </c:pt>
                <c:pt idx="1">
                  <c:v>Horní Staré Buky</c:v>
                </c:pt>
                <c:pt idx="2">
                  <c:v>Prostřední Staré Buky</c:v>
                </c:pt>
              </c:strCache>
            </c:strRef>
          </c:cat>
          <c:val>
            <c:numRef>
              <c:f>'struktura půdy'!$N$52:$P$52</c:f>
              <c:numCache>
                <c:formatCode>0.0</c:formatCode>
                <c:ptCount val="3"/>
                <c:pt idx="0">
                  <c:v>28.816303463973348</c:v>
                </c:pt>
                <c:pt idx="1">
                  <c:v>15.515262558689194</c:v>
                </c:pt>
                <c:pt idx="2">
                  <c:v>21.317363592252605</c:v>
                </c:pt>
              </c:numCache>
            </c:numRef>
          </c:val>
          <c:extLst>
            <c:ext xmlns:c16="http://schemas.microsoft.com/office/drawing/2014/chart" uri="{C3380CC4-5D6E-409C-BE32-E72D297353CC}">
              <c16:uniqueId val="{00000000-4CFF-42F4-82D5-CDE719A3AA4E}"/>
            </c:ext>
          </c:extLst>
        </c:ser>
        <c:ser>
          <c:idx val="1"/>
          <c:order val="1"/>
          <c:tx>
            <c:strRef>
              <c:f>'struktura půdy'!$M$53</c:f>
              <c:strCache>
                <c:ptCount val="1"/>
                <c:pt idx="0">
                  <c:v>zahrada</c:v>
                </c:pt>
              </c:strCache>
            </c:strRef>
          </c:tx>
          <c:spPr>
            <a:solidFill>
              <a:srgbClr val="99FF66"/>
            </a:solidFill>
            <a:ln>
              <a:solidFill>
                <a:sysClr val="windowText" lastClr="000000"/>
              </a:solidFill>
            </a:ln>
            <a:effectLst/>
          </c:spPr>
          <c:invertIfNegative val="0"/>
          <c:dLbls>
            <c:dLbl>
              <c:idx val="0"/>
              <c:layout>
                <c:manualLayout>
                  <c:x val="8.0223257643253304E-2"/>
                  <c:y val="-4.3763676148796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FF-42F4-82D5-CDE719A3AA4E}"/>
                </c:ext>
              </c:extLst>
            </c:dLbl>
            <c:dLbl>
              <c:idx val="1"/>
              <c:layout>
                <c:manualLayout>
                  <c:x val="-7.9001019367991893E-2"/>
                  <c:y val="7.29394602479928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FF-42F4-82D5-CDE719A3AA4E}"/>
                </c:ext>
              </c:extLst>
            </c:dLbl>
            <c:dLbl>
              <c:idx val="2"/>
              <c:layout>
                <c:manualLayout>
                  <c:x val="-8.1549439347604488E-2"/>
                  <c:y val="-2.1881838074398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FF-42F4-82D5-CDE719A3AA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půdy'!$N$51:$P$51</c:f>
              <c:strCache>
                <c:ptCount val="3"/>
                <c:pt idx="0">
                  <c:v>Dolní Staré Buky</c:v>
                </c:pt>
                <c:pt idx="1">
                  <c:v>Horní Staré Buky</c:v>
                </c:pt>
                <c:pt idx="2">
                  <c:v>Prostřední Staré Buky</c:v>
                </c:pt>
              </c:strCache>
            </c:strRef>
          </c:cat>
          <c:val>
            <c:numRef>
              <c:f>'struktura půdy'!$N$53:$P$53</c:f>
              <c:numCache>
                <c:formatCode>0.0</c:formatCode>
                <c:ptCount val="3"/>
                <c:pt idx="0">
                  <c:v>0.53564989419089326</c:v>
                </c:pt>
                <c:pt idx="1">
                  <c:v>0.84521906201441344</c:v>
                </c:pt>
                <c:pt idx="2">
                  <c:v>2.4600145484022704</c:v>
                </c:pt>
              </c:numCache>
            </c:numRef>
          </c:val>
          <c:extLst>
            <c:ext xmlns:c16="http://schemas.microsoft.com/office/drawing/2014/chart" uri="{C3380CC4-5D6E-409C-BE32-E72D297353CC}">
              <c16:uniqueId val="{00000004-4CFF-42F4-82D5-CDE719A3AA4E}"/>
            </c:ext>
          </c:extLst>
        </c:ser>
        <c:ser>
          <c:idx val="2"/>
          <c:order val="2"/>
          <c:tx>
            <c:strRef>
              <c:f>'struktura půdy'!$M$54</c:f>
              <c:strCache>
                <c:ptCount val="1"/>
                <c:pt idx="0">
                  <c:v>trvalý travní porost</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půdy'!$N$51:$P$51</c:f>
              <c:strCache>
                <c:ptCount val="3"/>
                <c:pt idx="0">
                  <c:v>Dolní Staré Buky</c:v>
                </c:pt>
                <c:pt idx="1">
                  <c:v>Horní Staré Buky</c:v>
                </c:pt>
                <c:pt idx="2">
                  <c:v>Prostřední Staré Buky</c:v>
                </c:pt>
              </c:strCache>
            </c:strRef>
          </c:cat>
          <c:val>
            <c:numRef>
              <c:f>'struktura půdy'!$N$54:$P$54</c:f>
              <c:numCache>
                <c:formatCode>0.0</c:formatCode>
                <c:ptCount val="3"/>
                <c:pt idx="0">
                  <c:v>34.285745336958954</c:v>
                </c:pt>
                <c:pt idx="1">
                  <c:v>28.376090557763252</c:v>
                </c:pt>
                <c:pt idx="2">
                  <c:v>20.606370157157343</c:v>
                </c:pt>
              </c:numCache>
            </c:numRef>
          </c:val>
          <c:extLst>
            <c:ext xmlns:c16="http://schemas.microsoft.com/office/drawing/2014/chart" uri="{C3380CC4-5D6E-409C-BE32-E72D297353CC}">
              <c16:uniqueId val="{00000005-4CFF-42F4-82D5-CDE719A3AA4E}"/>
            </c:ext>
          </c:extLst>
        </c:ser>
        <c:ser>
          <c:idx val="4"/>
          <c:order val="3"/>
          <c:tx>
            <c:strRef>
              <c:f>'struktura půdy'!$M$56</c:f>
              <c:strCache>
                <c:ptCount val="1"/>
                <c:pt idx="0">
                  <c:v>vodní plocha</c:v>
                </c:pt>
              </c:strCache>
            </c:strRef>
          </c:tx>
          <c:spPr>
            <a:solidFill>
              <a:srgbClr val="00B0F0"/>
            </a:solidFill>
            <a:ln>
              <a:solidFill>
                <a:sysClr val="windowText" lastClr="000000"/>
              </a:solidFill>
            </a:ln>
            <a:effectLst/>
          </c:spPr>
          <c:invertIfNegative val="0"/>
          <c:dLbls>
            <c:dLbl>
              <c:idx val="0"/>
              <c:layout>
                <c:manualLayout>
                  <c:x val="8.2199546485260774E-2"/>
                  <c:y val="-2.9175784099197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FF-42F4-82D5-CDE719A3AA4E}"/>
                </c:ext>
              </c:extLst>
            </c:dLbl>
            <c:dLbl>
              <c:idx val="1"/>
              <c:layout>
                <c:manualLayout>
                  <c:x val="8.7868480725623588E-2"/>
                  <c:y val="-5.4704595185995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FF-42F4-82D5-CDE719A3AA4E}"/>
                </c:ext>
              </c:extLst>
            </c:dLbl>
            <c:dLbl>
              <c:idx val="2"/>
              <c:layout>
                <c:manualLayout>
                  <c:x val="-8.9272757189754956E-2"/>
                  <c:y val="2.9175784099197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FF-42F4-82D5-CDE719A3AA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půdy'!$N$51:$P$51</c:f>
              <c:strCache>
                <c:ptCount val="3"/>
                <c:pt idx="0">
                  <c:v>Dolní Staré Buky</c:v>
                </c:pt>
                <c:pt idx="1">
                  <c:v>Horní Staré Buky</c:v>
                </c:pt>
                <c:pt idx="2">
                  <c:v>Prostřední Staré Buky</c:v>
                </c:pt>
              </c:strCache>
            </c:strRef>
          </c:cat>
          <c:val>
            <c:numRef>
              <c:f>'struktura půdy'!$N$56:$P$56</c:f>
              <c:numCache>
                <c:formatCode>0.0</c:formatCode>
                <c:ptCount val="3"/>
                <c:pt idx="0">
                  <c:v>2.1819749435564009</c:v>
                </c:pt>
                <c:pt idx="1">
                  <c:v>0.24060156582202621</c:v>
                </c:pt>
                <c:pt idx="2">
                  <c:v>2.8535298823029307</c:v>
                </c:pt>
              </c:numCache>
            </c:numRef>
          </c:val>
          <c:extLst>
            <c:ext xmlns:c16="http://schemas.microsoft.com/office/drawing/2014/chart" uri="{C3380CC4-5D6E-409C-BE32-E72D297353CC}">
              <c16:uniqueId val="{00000009-4CFF-42F4-82D5-CDE719A3AA4E}"/>
            </c:ext>
          </c:extLst>
        </c:ser>
        <c:ser>
          <c:idx val="3"/>
          <c:order val="4"/>
          <c:tx>
            <c:strRef>
              <c:f>'struktura půdy'!$M$55</c:f>
              <c:strCache>
                <c:ptCount val="1"/>
                <c:pt idx="0">
                  <c:v>lesní pozemek</c:v>
                </c:pt>
              </c:strCache>
            </c:strRef>
          </c:tx>
          <c:spPr>
            <a:solidFill>
              <a:schemeClr val="accent6">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půdy'!$N$51:$P$51</c:f>
              <c:strCache>
                <c:ptCount val="3"/>
                <c:pt idx="0">
                  <c:v>Dolní Staré Buky</c:v>
                </c:pt>
                <c:pt idx="1">
                  <c:v>Horní Staré Buky</c:v>
                </c:pt>
                <c:pt idx="2">
                  <c:v>Prostřední Staré Buky</c:v>
                </c:pt>
              </c:strCache>
            </c:strRef>
          </c:cat>
          <c:val>
            <c:numRef>
              <c:f>'struktura půdy'!$N$55:$P$55</c:f>
              <c:numCache>
                <c:formatCode>0.0</c:formatCode>
                <c:ptCount val="3"/>
                <c:pt idx="0">
                  <c:v>21.856895482227021</c:v>
                </c:pt>
                <c:pt idx="1">
                  <c:v>50.673110222853545</c:v>
                </c:pt>
                <c:pt idx="2">
                  <c:v>44.472307371657308</c:v>
                </c:pt>
              </c:numCache>
            </c:numRef>
          </c:val>
          <c:extLst>
            <c:ext xmlns:c16="http://schemas.microsoft.com/office/drawing/2014/chart" uri="{C3380CC4-5D6E-409C-BE32-E72D297353CC}">
              <c16:uniqueId val="{0000000A-4CFF-42F4-82D5-CDE719A3AA4E}"/>
            </c:ext>
          </c:extLst>
        </c:ser>
        <c:ser>
          <c:idx val="5"/>
          <c:order val="5"/>
          <c:tx>
            <c:strRef>
              <c:f>'struktura půdy'!$M$57</c:f>
              <c:strCache>
                <c:ptCount val="1"/>
                <c:pt idx="0">
                  <c:v>zastavěná plocha a nádvoří</c:v>
                </c:pt>
              </c:strCache>
            </c:strRef>
          </c:tx>
          <c:spPr>
            <a:solidFill>
              <a:srgbClr val="FFC000"/>
            </a:solidFill>
            <a:ln>
              <a:solidFill>
                <a:sysClr val="windowText" lastClr="000000"/>
              </a:solidFill>
            </a:ln>
            <a:effectLst/>
          </c:spPr>
          <c:invertIfNegative val="0"/>
          <c:dLbls>
            <c:dLbl>
              <c:idx val="0"/>
              <c:layout>
                <c:manualLayout>
                  <c:x val="9.0702947845804988E-2"/>
                  <c:y val="6.929248723559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FF-42F4-82D5-CDE719A3AA4E}"/>
                </c:ext>
              </c:extLst>
            </c:dLbl>
            <c:dLbl>
              <c:idx val="1"/>
              <c:layout>
                <c:manualLayout>
                  <c:x val="8.50340136054421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FF-42F4-82D5-CDE719A3AA4E}"/>
                </c:ext>
              </c:extLst>
            </c:dLbl>
            <c:dLbl>
              <c:idx val="2"/>
              <c:layout>
                <c:manualLayout>
                  <c:x val="8.2199546485260774E-2"/>
                  <c:y val="-3.6469730123997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FF-42F4-82D5-CDE719A3AA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půdy'!$N$51:$P$51</c:f>
              <c:strCache>
                <c:ptCount val="3"/>
                <c:pt idx="0">
                  <c:v>Dolní Staré Buky</c:v>
                </c:pt>
                <c:pt idx="1">
                  <c:v>Horní Staré Buky</c:v>
                </c:pt>
                <c:pt idx="2">
                  <c:v>Prostřední Staré Buky</c:v>
                </c:pt>
              </c:strCache>
            </c:strRef>
          </c:cat>
          <c:val>
            <c:numRef>
              <c:f>'struktura půdy'!$N$57:$P$57</c:f>
              <c:numCache>
                <c:formatCode>0.0</c:formatCode>
                <c:ptCount val="3"/>
                <c:pt idx="0">
                  <c:v>0.71173831794452225</c:v>
                </c:pt>
                <c:pt idx="1">
                  <c:v>0.43330374318061893</c:v>
                </c:pt>
                <c:pt idx="2">
                  <c:v>0.65650695003373483</c:v>
                </c:pt>
              </c:numCache>
            </c:numRef>
          </c:val>
          <c:extLst>
            <c:ext xmlns:c16="http://schemas.microsoft.com/office/drawing/2014/chart" uri="{C3380CC4-5D6E-409C-BE32-E72D297353CC}">
              <c16:uniqueId val="{0000000E-4CFF-42F4-82D5-CDE719A3AA4E}"/>
            </c:ext>
          </c:extLst>
        </c:ser>
        <c:ser>
          <c:idx val="6"/>
          <c:order val="6"/>
          <c:tx>
            <c:strRef>
              <c:f>'struktura půdy'!$M$58</c:f>
              <c:strCache>
                <c:ptCount val="1"/>
                <c:pt idx="0">
                  <c:v>ostatní plocha</c:v>
                </c:pt>
              </c:strCache>
            </c:strRef>
          </c:tx>
          <c:spPr>
            <a:solidFill>
              <a:srgbClr val="CC99FF"/>
            </a:solidFill>
            <a:ln>
              <a:solidFill>
                <a:sysClr val="windowText" lastClr="000000"/>
              </a:solidFill>
            </a:ln>
            <a:effectLst/>
          </c:spPr>
          <c:invertIfNegative val="0"/>
          <c:dLbls>
            <c:dLbl>
              <c:idx val="1"/>
              <c:layout>
                <c:manualLayout>
                  <c:x val="-9.3609285077897377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CFF-42F4-82D5-CDE719A3AA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půdy'!$N$51:$P$51</c:f>
              <c:strCache>
                <c:ptCount val="3"/>
                <c:pt idx="0">
                  <c:v>Dolní Staré Buky</c:v>
                </c:pt>
                <c:pt idx="1">
                  <c:v>Horní Staré Buky</c:v>
                </c:pt>
                <c:pt idx="2">
                  <c:v>Prostřední Staré Buky</c:v>
                </c:pt>
              </c:strCache>
            </c:strRef>
          </c:cat>
          <c:val>
            <c:numRef>
              <c:f>'struktura půdy'!$N$58:$P$58</c:f>
              <c:numCache>
                <c:formatCode>0.0</c:formatCode>
                <c:ptCount val="3"/>
                <c:pt idx="0">
                  <c:v>11.611692561148853</c:v>
                </c:pt>
                <c:pt idx="1">
                  <c:v>3.9164122896769538</c:v>
                </c:pt>
                <c:pt idx="2">
                  <c:v>7.6339074981938069</c:v>
                </c:pt>
              </c:numCache>
            </c:numRef>
          </c:val>
          <c:extLst>
            <c:ext xmlns:c16="http://schemas.microsoft.com/office/drawing/2014/chart" uri="{C3380CC4-5D6E-409C-BE32-E72D297353CC}">
              <c16:uniqueId val="{00000010-4CFF-42F4-82D5-CDE719A3AA4E}"/>
            </c:ext>
          </c:extLst>
        </c:ser>
        <c:dLbls>
          <c:showLegendKey val="0"/>
          <c:showVal val="0"/>
          <c:showCatName val="0"/>
          <c:showSerName val="0"/>
          <c:showPercent val="0"/>
          <c:showBubbleSize val="0"/>
        </c:dLbls>
        <c:gapWidth val="150"/>
        <c:overlap val="100"/>
        <c:axId val="578908120"/>
        <c:axId val="578907464"/>
      </c:barChart>
      <c:catAx>
        <c:axId val="57890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78907464"/>
        <c:crosses val="autoZero"/>
        <c:auto val="1"/>
        <c:lblAlgn val="ctr"/>
        <c:lblOffset val="100"/>
        <c:noMultiLvlLbl val="0"/>
      </c:catAx>
      <c:valAx>
        <c:axId val="578907464"/>
        <c:scaling>
          <c:orientation val="minMax"/>
        </c:scaling>
        <c:delete val="0"/>
        <c:axPos val="l"/>
        <c:majorGridlines>
          <c:spPr>
            <a:ln w="9525" cap="flat" cmpd="sng" algn="ctr">
              <a:solidFill>
                <a:schemeClr val="bg1">
                  <a:lumMod val="6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78908120"/>
        <c:crosses val="autoZero"/>
        <c:crossBetween val="between"/>
      </c:valAx>
      <c:spPr>
        <a:solidFill>
          <a:schemeClr val="bg1">
            <a:lumMod val="85000"/>
          </a:schemeClr>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obyvatelstvo!$B$5</c:f>
              <c:strCache>
                <c:ptCount val="1"/>
                <c:pt idx="0">
                  <c:v>Dolní Staré Buky</c:v>
                </c:pt>
              </c:strCache>
            </c:strRef>
          </c:tx>
          <c:spPr>
            <a:ln w="28575" cap="rnd">
              <a:solidFill>
                <a:srgbClr val="00B0F0"/>
              </a:solidFill>
              <a:round/>
            </a:ln>
            <a:effectLst/>
          </c:spPr>
          <c:marker>
            <c:symbol val="none"/>
          </c:marker>
          <c:cat>
            <c:numRef>
              <c:f>obyvatelstvo!$C$4:$L$4</c:f>
              <c:numCache>
                <c:formatCode>General</c:formatCode>
                <c:ptCount val="10"/>
                <c:pt idx="0">
                  <c:v>1869</c:v>
                </c:pt>
                <c:pt idx="1">
                  <c:v>1890</c:v>
                </c:pt>
                <c:pt idx="2">
                  <c:v>1910</c:v>
                </c:pt>
                <c:pt idx="3">
                  <c:v>1930</c:v>
                </c:pt>
                <c:pt idx="4">
                  <c:v>1950</c:v>
                </c:pt>
                <c:pt idx="5">
                  <c:v>1970</c:v>
                </c:pt>
                <c:pt idx="6">
                  <c:v>1991</c:v>
                </c:pt>
                <c:pt idx="7">
                  <c:v>2001</c:v>
                </c:pt>
                <c:pt idx="8">
                  <c:v>2011</c:v>
                </c:pt>
                <c:pt idx="9">
                  <c:v>2021</c:v>
                </c:pt>
              </c:numCache>
            </c:numRef>
          </c:cat>
          <c:val>
            <c:numRef>
              <c:f>obyvatelstvo!$C$5:$L$5</c:f>
              <c:numCache>
                <c:formatCode>General</c:formatCode>
                <c:ptCount val="10"/>
                <c:pt idx="0">
                  <c:v>339</c:v>
                </c:pt>
                <c:pt idx="1">
                  <c:v>294</c:v>
                </c:pt>
                <c:pt idx="2">
                  <c:v>291</c:v>
                </c:pt>
                <c:pt idx="3">
                  <c:v>237</c:v>
                </c:pt>
                <c:pt idx="4">
                  <c:v>160</c:v>
                </c:pt>
                <c:pt idx="5">
                  <c:v>127</c:v>
                </c:pt>
                <c:pt idx="6">
                  <c:v>75</c:v>
                </c:pt>
                <c:pt idx="7">
                  <c:v>68</c:v>
                </c:pt>
                <c:pt idx="8">
                  <c:v>105</c:v>
                </c:pt>
                <c:pt idx="9">
                  <c:v>124</c:v>
                </c:pt>
              </c:numCache>
            </c:numRef>
          </c:val>
          <c:smooth val="0"/>
          <c:extLst>
            <c:ext xmlns:c16="http://schemas.microsoft.com/office/drawing/2014/chart" uri="{C3380CC4-5D6E-409C-BE32-E72D297353CC}">
              <c16:uniqueId val="{00000000-C2E5-448A-AD7F-590A8F3FE130}"/>
            </c:ext>
          </c:extLst>
        </c:ser>
        <c:ser>
          <c:idx val="1"/>
          <c:order val="1"/>
          <c:tx>
            <c:strRef>
              <c:f>obyvatelstvo!$B$6</c:f>
              <c:strCache>
                <c:ptCount val="1"/>
                <c:pt idx="0">
                  <c:v>Horní Staré Buky</c:v>
                </c:pt>
              </c:strCache>
            </c:strRef>
          </c:tx>
          <c:spPr>
            <a:ln w="28575" cap="rnd">
              <a:solidFill>
                <a:schemeClr val="accent2"/>
              </a:solidFill>
              <a:round/>
            </a:ln>
            <a:effectLst/>
          </c:spPr>
          <c:marker>
            <c:symbol val="none"/>
          </c:marker>
          <c:cat>
            <c:numRef>
              <c:f>obyvatelstvo!$C$4:$L$4</c:f>
              <c:numCache>
                <c:formatCode>General</c:formatCode>
                <c:ptCount val="10"/>
                <c:pt idx="0">
                  <c:v>1869</c:v>
                </c:pt>
                <c:pt idx="1">
                  <c:v>1890</c:v>
                </c:pt>
                <c:pt idx="2">
                  <c:v>1910</c:v>
                </c:pt>
                <c:pt idx="3">
                  <c:v>1930</c:v>
                </c:pt>
                <c:pt idx="4">
                  <c:v>1950</c:v>
                </c:pt>
                <c:pt idx="5">
                  <c:v>1970</c:v>
                </c:pt>
                <c:pt idx="6">
                  <c:v>1991</c:v>
                </c:pt>
                <c:pt idx="7">
                  <c:v>2001</c:v>
                </c:pt>
                <c:pt idx="8">
                  <c:v>2011</c:v>
                </c:pt>
                <c:pt idx="9">
                  <c:v>2021</c:v>
                </c:pt>
              </c:numCache>
            </c:numRef>
          </c:cat>
          <c:val>
            <c:numRef>
              <c:f>obyvatelstvo!$C$6:$L$6</c:f>
              <c:numCache>
                <c:formatCode>General</c:formatCode>
                <c:ptCount val="10"/>
                <c:pt idx="0">
                  <c:v>746</c:v>
                </c:pt>
                <c:pt idx="1">
                  <c:v>598</c:v>
                </c:pt>
                <c:pt idx="2">
                  <c:v>526</c:v>
                </c:pt>
                <c:pt idx="3">
                  <c:v>426</c:v>
                </c:pt>
                <c:pt idx="4">
                  <c:v>217</c:v>
                </c:pt>
                <c:pt idx="5">
                  <c:v>137</c:v>
                </c:pt>
                <c:pt idx="6">
                  <c:v>104</c:v>
                </c:pt>
                <c:pt idx="7">
                  <c:v>142</c:v>
                </c:pt>
                <c:pt idx="8">
                  <c:v>152</c:v>
                </c:pt>
                <c:pt idx="9">
                  <c:v>161</c:v>
                </c:pt>
              </c:numCache>
            </c:numRef>
          </c:val>
          <c:smooth val="0"/>
          <c:extLst>
            <c:ext xmlns:c16="http://schemas.microsoft.com/office/drawing/2014/chart" uri="{C3380CC4-5D6E-409C-BE32-E72D297353CC}">
              <c16:uniqueId val="{00000001-C2E5-448A-AD7F-590A8F3FE130}"/>
            </c:ext>
          </c:extLst>
        </c:ser>
        <c:ser>
          <c:idx val="2"/>
          <c:order val="2"/>
          <c:tx>
            <c:strRef>
              <c:f>obyvatelstvo!$B$7</c:f>
              <c:strCache>
                <c:ptCount val="1"/>
                <c:pt idx="0">
                  <c:v>Prostřední Staré Buky</c:v>
                </c:pt>
              </c:strCache>
            </c:strRef>
          </c:tx>
          <c:spPr>
            <a:ln w="28575" cap="rnd">
              <a:solidFill>
                <a:srgbClr val="92D050"/>
              </a:solidFill>
              <a:round/>
            </a:ln>
            <a:effectLst/>
          </c:spPr>
          <c:marker>
            <c:symbol val="none"/>
          </c:marker>
          <c:cat>
            <c:numRef>
              <c:f>obyvatelstvo!$C$4:$L$4</c:f>
              <c:numCache>
                <c:formatCode>General</c:formatCode>
                <c:ptCount val="10"/>
                <c:pt idx="0">
                  <c:v>1869</c:v>
                </c:pt>
                <c:pt idx="1">
                  <c:v>1890</c:v>
                </c:pt>
                <c:pt idx="2">
                  <c:v>1910</c:v>
                </c:pt>
                <c:pt idx="3">
                  <c:v>1930</c:v>
                </c:pt>
                <c:pt idx="4">
                  <c:v>1950</c:v>
                </c:pt>
                <c:pt idx="5">
                  <c:v>1970</c:v>
                </c:pt>
                <c:pt idx="6">
                  <c:v>1991</c:v>
                </c:pt>
                <c:pt idx="7">
                  <c:v>2001</c:v>
                </c:pt>
                <c:pt idx="8">
                  <c:v>2011</c:v>
                </c:pt>
                <c:pt idx="9">
                  <c:v>2021</c:v>
                </c:pt>
              </c:numCache>
            </c:numRef>
          </c:cat>
          <c:val>
            <c:numRef>
              <c:f>obyvatelstvo!$C$7:$L$7</c:f>
              <c:numCache>
                <c:formatCode>General</c:formatCode>
                <c:ptCount val="10"/>
                <c:pt idx="0">
                  <c:v>964</c:v>
                </c:pt>
                <c:pt idx="1">
                  <c:v>798</c:v>
                </c:pt>
                <c:pt idx="2">
                  <c:v>747</c:v>
                </c:pt>
                <c:pt idx="3">
                  <c:v>687</c:v>
                </c:pt>
                <c:pt idx="4">
                  <c:v>290</c:v>
                </c:pt>
                <c:pt idx="5">
                  <c:v>239</c:v>
                </c:pt>
                <c:pt idx="6">
                  <c:v>177</c:v>
                </c:pt>
                <c:pt idx="7">
                  <c:v>173</c:v>
                </c:pt>
                <c:pt idx="8">
                  <c:v>234</c:v>
                </c:pt>
                <c:pt idx="9">
                  <c:v>342</c:v>
                </c:pt>
              </c:numCache>
            </c:numRef>
          </c:val>
          <c:smooth val="0"/>
          <c:extLst>
            <c:ext xmlns:c16="http://schemas.microsoft.com/office/drawing/2014/chart" uri="{C3380CC4-5D6E-409C-BE32-E72D297353CC}">
              <c16:uniqueId val="{00000002-C2E5-448A-AD7F-590A8F3FE130}"/>
            </c:ext>
          </c:extLst>
        </c:ser>
        <c:dLbls>
          <c:showLegendKey val="0"/>
          <c:showVal val="0"/>
          <c:showCatName val="0"/>
          <c:showSerName val="0"/>
          <c:showPercent val="0"/>
          <c:showBubbleSize val="0"/>
        </c:dLbls>
        <c:smooth val="0"/>
        <c:axId val="610405008"/>
        <c:axId val="610407960"/>
      </c:lineChart>
      <c:catAx>
        <c:axId val="61040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10407960"/>
        <c:crosses val="autoZero"/>
        <c:auto val="1"/>
        <c:lblAlgn val="ctr"/>
        <c:lblOffset val="100"/>
        <c:noMultiLvlLbl val="0"/>
      </c:catAx>
      <c:valAx>
        <c:axId val="610407960"/>
        <c:scaling>
          <c:orientation val="minMax"/>
          <c:max val="1000"/>
          <c:min val="0"/>
        </c:scaling>
        <c:delete val="0"/>
        <c:axPos val="l"/>
        <c:majorGridlines>
          <c:spPr>
            <a:ln w="9525" cap="flat" cmpd="sng" algn="ctr">
              <a:solidFill>
                <a:schemeClr val="bg1">
                  <a:lumMod val="6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10405008"/>
        <c:crosses val="autoZero"/>
        <c:crossBetween val="between"/>
        <c:majorUnit val="200"/>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obyvatelstvo!$M$42</c:f>
              <c:strCache>
                <c:ptCount val="1"/>
                <c:pt idx="0">
                  <c:v>Přirozený přírůstek</c:v>
                </c:pt>
              </c:strCache>
            </c:strRef>
          </c:tx>
          <c:spPr>
            <a:solidFill>
              <a:srgbClr val="00B0F0"/>
            </a:solidFill>
            <a:ln>
              <a:solidFill>
                <a:sysClr val="windowText" lastClr="000000"/>
              </a:solidFill>
            </a:ln>
            <a:effectLst/>
          </c:spPr>
          <c:invertIfNegative val="0"/>
          <c:dLbls>
            <c:dLbl>
              <c:idx val="0"/>
              <c:layout>
                <c:manualLayout>
                  <c:x val="0"/>
                  <c:y val="1.2642225031605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C5-4EC6-A1B7-CF4BBFB6BB1D}"/>
                </c:ext>
              </c:extLst>
            </c:dLbl>
            <c:dLbl>
              <c:idx val="11"/>
              <c:layout>
                <c:manualLayout>
                  <c:x val="-4.4444444444444444E-3"/>
                  <c:y val="1.685630004214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C5-4EC6-A1B7-CF4BBFB6BB1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obyvatelstvo!$L$43:$L$54</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celkem 2011-2021</c:v>
                </c:pt>
              </c:strCache>
            </c:strRef>
          </c:cat>
          <c:val>
            <c:numRef>
              <c:f>obyvatelstvo!$M$43:$M$54</c:f>
              <c:numCache>
                <c:formatCode>General</c:formatCode>
                <c:ptCount val="12"/>
                <c:pt idx="0">
                  <c:v>3</c:v>
                </c:pt>
                <c:pt idx="1">
                  <c:v>-1</c:v>
                </c:pt>
                <c:pt idx="2">
                  <c:v>-8</c:v>
                </c:pt>
                <c:pt idx="3">
                  <c:v>6</c:v>
                </c:pt>
                <c:pt idx="4">
                  <c:v>4</c:v>
                </c:pt>
                <c:pt idx="5">
                  <c:v>6</c:v>
                </c:pt>
                <c:pt idx="6">
                  <c:v>-5</c:v>
                </c:pt>
                <c:pt idx="7">
                  <c:v>7</c:v>
                </c:pt>
                <c:pt idx="8">
                  <c:v>4</c:v>
                </c:pt>
                <c:pt idx="9">
                  <c:v>5</c:v>
                </c:pt>
                <c:pt idx="10">
                  <c:v>-2</c:v>
                </c:pt>
                <c:pt idx="11">
                  <c:v>19</c:v>
                </c:pt>
              </c:numCache>
            </c:numRef>
          </c:val>
          <c:extLst>
            <c:ext xmlns:c16="http://schemas.microsoft.com/office/drawing/2014/chart" uri="{C3380CC4-5D6E-409C-BE32-E72D297353CC}">
              <c16:uniqueId val="{00000002-C3C5-4EC6-A1B7-CF4BBFB6BB1D}"/>
            </c:ext>
          </c:extLst>
        </c:ser>
        <c:ser>
          <c:idx val="1"/>
          <c:order val="1"/>
          <c:tx>
            <c:strRef>
              <c:f>obyvatelstvo!$N$42</c:f>
              <c:strCache>
                <c:ptCount val="1"/>
                <c:pt idx="0">
                  <c:v>Saldo migrace</c:v>
                </c:pt>
              </c:strCache>
            </c:strRef>
          </c:tx>
          <c:spPr>
            <a:solidFill>
              <a:srgbClr val="FFC000"/>
            </a:solidFill>
            <a:ln>
              <a:solidFill>
                <a:sysClr val="windowText" lastClr="000000"/>
              </a:solidFill>
            </a:ln>
            <a:effectLst/>
          </c:spPr>
          <c:invertIfNegative val="0"/>
          <c:dLbls>
            <c:dLbl>
              <c:idx val="0"/>
              <c:layout>
                <c:manualLayout>
                  <c:x val="-1.0185067526415995E-17"/>
                  <c:y val="1.6856300042140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C5-4EC6-A1B7-CF4BBFB6BB1D}"/>
                </c:ext>
              </c:extLst>
            </c:dLbl>
            <c:dLbl>
              <c:idx val="2"/>
              <c:layout>
                <c:manualLayout>
                  <c:x val="-2.2222222222222222E-3"/>
                  <c:y val="1.685630004214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C5-4EC6-A1B7-CF4BBFB6BB1D}"/>
                </c:ext>
              </c:extLst>
            </c:dLbl>
            <c:dLbl>
              <c:idx val="3"/>
              <c:layout>
                <c:manualLayout>
                  <c:x val="-2.2222222222222222E-3"/>
                  <c:y val="1.2642225031605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C5-4EC6-A1B7-CF4BBFB6BB1D}"/>
                </c:ext>
              </c:extLst>
            </c:dLbl>
            <c:dLbl>
              <c:idx val="4"/>
              <c:layout>
                <c:manualLayout>
                  <c:x val="0"/>
                  <c:y val="-2.9498525073746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C5-4EC6-A1B7-CF4BBFB6BB1D}"/>
                </c:ext>
              </c:extLst>
            </c:dLbl>
            <c:dLbl>
              <c:idx val="7"/>
              <c:layout>
                <c:manualLayout>
                  <c:x val="-8.1480540211327956E-17"/>
                  <c:y val="1.2642225031605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C5-4EC6-A1B7-CF4BBFB6BB1D}"/>
                </c:ext>
              </c:extLst>
            </c:dLbl>
            <c:dLbl>
              <c:idx val="8"/>
              <c:layout>
                <c:manualLayout>
                  <c:x val="-8.1480540211327956E-17"/>
                  <c:y val="1.685630004214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C5-4EC6-A1B7-CF4BBFB6BB1D}"/>
                </c:ext>
              </c:extLst>
            </c:dLbl>
            <c:dLbl>
              <c:idx val="9"/>
              <c:layout>
                <c:manualLayout>
                  <c:x val="-1.6296108042265591E-16"/>
                  <c:y val="1.685630004214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C5-4EC6-A1B7-CF4BBFB6BB1D}"/>
                </c:ext>
              </c:extLst>
            </c:dLbl>
            <c:dLbl>
              <c:idx val="10"/>
              <c:layout>
                <c:manualLayout>
                  <c:x val="-6.6666666666668293E-3"/>
                  <c:y val="2.1070375052675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C5-4EC6-A1B7-CF4BBFB6BB1D}"/>
                </c:ext>
              </c:extLst>
            </c:dLbl>
            <c:dLbl>
              <c:idx val="11"/>
              <c:layout>
                <c:manualLayout>
                  <c:x val="-4.4444444444444444E-3"/>
                  <c:y val="8.42815002107037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C5-4EC6-A1B7-CF4BBFB6BB1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obyvatelstvo!$L$43:$L$54</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celkem 2011-2021</c:v>
                </c:pt>
              </c:strCache>
            </c:strRef>
          </c:cat>
          <c:val>
            <c:numRef>
              <c:f>obyvatelstvo!$N$43:$N$54</c:f>
              <c:numCache>
                <c:formatCode>General</c:formatCode>
                <c:ptCount val="12"/>
                <c:pt idx="0">
                  <c:v>14</c:v>
                </c:pt>
                <c:pt idx="1">
                  <c:v>21</c:v>
                </c:pt>
                <c:pt idx="2">
                  <c:v>26</c:v>
                </c:pt>
                <c:pt idx="3">
                  <c:v>1</c:v>
                </c:pt>
                <c:pt idx="4">
                  <c:v>13</c:v>
                </c:pt>
                <c:pt idx="5">
                  <c:v>8</c:v>
                </c:pt>
                <c:pt idx="6">
                  <c:v>-9</c:v>
                </c:pt>
                <c:pt idx="7">
                  <c:v>3</c:v>
                </c:pt>
                <c:pt idx="8">
                  <c:v>25</c:v>
                </c:pt>
                <c:pt idx="9">
                  <c:v>21</c:v>
                </c:pt>
                <c:pt idx="10">
                  <c:v>28</c:v>
                </c:pt>
                <c:pt idx="11">
                  <c:v>151</c:v>
                </c:pt>
              </c:numCache>
            </c:numRef>
          </c:val>
          <c:extLst>
            <c:ext xmlns:c16="http://schemas.microsoft.com/office/drawing/2014/chart" uri="{C3380CC4-5D6E-409C-BE32-E72D297353CC}">
              <c16:uniqueId val="{0000000C-C3C5-4EC6-A1B7-CF4BBFB6BB1D}"/>
            </c:ext>
          </c:extLst>
        </c:ser>
        <c:ser>
          <c:idx val="2"/>
          <c:order val="2"/>
          <c:tx>
            <c:strRef>
              <c:f>obyvatelstvo!$O$42</c:f>
              <c:strCache>
                <c:ptCount val="1"/>
                <c:pt idx="0">
                  <c:v>Celkový přírůstek</c:v>
                </c:pt>
              </c:strCache>
            </c:strRef>
          </c:tx>
          <c:spPr>
            <a:solidFill>
              <a:srgbClr val="92D050"/>
            </a:solidFill>
            <a:ln>
              <a:solidFill>
                <a:sysClr val="windowText" lastClr="000000"/>
              </a:solidFill>
            </a:ln>
            <a:effectLst/>
          </c:spPr>
          <c:invertIfNegative val="0"/>
          <c:dLbls>
            <c:dLbl>
              <c:idx val="1"/>
              <c:layout>
                <c:manualLayout>
                  <c:x val="-2.0370135052831989E-17"/>
                  <c:y val="2.1070375052675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C5-4EC6-A1B7-CF4BBFB6BB1D}"/>
                </c:ext>
              </c:extLst>
            </c:dLbl>
            <c:dLbl>
              <c:idx val="2"/>
              <c:layout>
                <c:manualLayout>
                  <c:x val="0"/>
                  <c:y val="1.2642225031605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3C5-4EC6-A1B7-CF4BBFB6BB1D}"/>
                </c:ext>
              </c:extLst>
            </c:dLbl>
            <c:dLbl>
              <c:idx val="3"/>
              <c:layout>
                <c:manualLayout>
                  <c:x val="-4.0740270105663978E-17"/>
                  <c:y val="1.2642225031605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3C5-4EC6-A1B7-CF4BBFB6BB1D}"/>
                </c:ext>
              </c:extLst>
            </c:dLbl>
            <c:dLbl>
              <c:idx val="4"/>
              <c:layout>
                <c:manualLayout>
                  <c:x val="0"/>
                  <c:y val="1.6856300042140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3C5-4EC6-A1B7-CF4BBFB6BB1D}"/>
                </c:ext>
              </c:extLst>
            </c:dLbl>
            <c:dLbl>
              <c:idx val="5"/>
              <c:layout>
                <c:manualLayout>
                  <c:x val="0"/>
                  <c:y val="1.6856300042140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3C5-4EC6-A1B7-CF4BBFB6BB1D}"/>
                </c:ext>
              </c:extLst>
            </c:dLbl>
            <c:dLbl>
              <c:idx val="10"/>
              <c:layout>
                <c:manualLayout>
                  <c:x val="0"/>
                  <c:y val="1.2642225031605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3C5-4EC6-A1B7-CF4BBFB6BB1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obyvatelstvo!$L$43:$L$54</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celkem 2011-2021</c:v>
                </c:pt>
              </c:strCache>
            </c:strRef>
          </c:cat>
          <c:val>
            <c:numRef>
              <c:f>obyvatelstvo!$O$43:$O$54</c:f>
              <c:numCache>
                <c:formatCode>General</c:formatCode>
                <c:ptCount val="12"/>
                <c:pt idx="0">
                  <c:v>17</c:v>
                </c:pt>
                <c:pt idx="1">
                  <c:v>20</c:v>
                </c:pt>
                <c:pt idx="2">
                  <c:v>18</c:v>
                </c:pt>
                <c:pt idx="3">
                  <c:v>7</c:v>
                </c:pt>
                <c:pt idx="4">
                  <c:v>17</c:v>
                </c:pt>
                <c:pt idx="5">
                  <c:v>14</c:v>
                </c:pt>
                <c:pt idx="6">
                  <c:v>-14</c:v>
                </c:pt>
                <c:pt idx="7">
                  <c:v>10</c:v>
                </c:pt>
                <c:pt idx="8">
                  <c:v>29</c:v>
                </c:pt>
                <c:pt idx="9">
                  <c:v>26</c:v>
                </c:pt>
                <c:pt idx="10">
                  <c:v>26</c:v>
                </c:pt>
                <c:pt idx="11">
                  <c:v>170</c:v>
                </c:pt>
              </c:numCache>
            </c:numRef>
          </c:val>
          <c:extLst>
            <c:ext xmlns:c16="http://schemas.microsoft.com/office/drawing/2014/chart" uri="{C3380CC4-5D6E-409C-BE32-E72D297353CC}">
              <c16:uniqueId val="{00000013-C3C5-4EC6-A1B7-CF4BBFB6BB1D}"/>
            </c:ext>
          </c:extLst>
        </c:ser>
        <c:dLbls>
          <c:showLegendKey val="0"/>
          <c:showVal val="0"/>
          <c:showCatName val="0"/>
          <c:showSerName val="0"/>
          <c:showPercent val="0"/>
          <c:showBubbleSize val="0"/>
        </c:dLbls>
        <c:gapWidth val="219"/>
        <c:overlap val="-27"/>
        <c:axId val="543408632"/>
        <c:axId val="543409616"/>
      </c:barChart>
      <c:catAx>
        <c:axId val="543408632"/>
        <c:scaling>
          <c:orientation val="minMax"/>
        </c:scaling>
        <c:delete val="0"/>
        <c:axPos val="b"/>
        <c:numFmt formatCode="General" sourceLinked="1"/>
        <c:majorTickMark val="none"/>
        <c:minorTickMark val="none"/>
        <c:tickLblPos val="high"/>
        <c:spPr>
          <a:noFill/>
          <a:ln w="12700"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cs-CZ"/>
          </a:p>
        </c:txPr>
        <c:crossAx val="543409616"/>
        <c:crosses val="autoZero"/>
        <c:auto val="1"/>
        <c:lblAlgn val="ctr"/>
        <c:lblOffset val="100"/>
        <c:noMultiLvlLbl val="0"/>
      </c:catAx>
      <c:valAx>
        <c:axId val="543409616"/>
        <c:scaling>
          <c:orientation val="minMax"/>
        </c:scaling>
        <c:delete val="0"/>
        <c:axPos val="l"/>
        <c:majorGridlines>
          <c:spPr>
            <a:ln w="9525" cap="flat" cmpd="sng" algn="ctr">
              <a:solidFill>
                <a:schemeClr val="bg1">
                  <a:lumMod val="6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43408632"/>
        <c:crosses val="autoZero"/>
        <c:crossBetween val="between"/>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obyvatelstvo!$L$20</c:f>
              <c:strCache>
                <c:ptCount val="1"/>
                <c:pt idx="0">
                  <c:v>0 až 14 let</c:v>
                </c:pt>
              </c:strCache>
            </c:strRef>
          </c:tx>
          <c:spPr>
            <a:solidFill>
              <a:srgbClr val="00B0F0"/>
            </a:solidFill>
            <a:ln w="12700">
              <a:solidFill>
                <a:sysClr val="windowText" lastClr="000000"/>
              </a:solidFill>
            </a:ln>
            <a:effectLst/>
            <a:sp3d contourW="12700">
              <a:contourClr>
                <a:sysClr val="windowText" lastClr="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obyvatelstvo!$M$19:$O$19</c:f>
              <c:numCache>
                <c:formatCode>General</c:formatCode>
                <c:ptCount val="3"/>
                <c:pt idx="0">
                  <c:v>2001</c:v>
                </c:pt>
                <c:pt idx="1">
                  <c:v>2011</c:v>
                </c:pt>
                <c:pt idx="2">
                  <c:v>2021</c:v>
                </c:pt>
              </c:numCache>
            </c:numRef>
          </c:cat>
          <c:val>
            <c:numRef>
              <c:f>obyvatelstvo!$M$20:$O$20</c:f>
              <c:numCache>
                <c:formatCode>0</c:formatCode>
                <c:ptCount val="3"/>
                <c:pt idx="0">
                  <c:v>12</c:v>
                </c:pt>
                <c:pt idx="1">
                  <c:v>16</c:v>
                </c:pt>
                <c:pt idx="2">
                  <c:v>19</c:v>
                </c:pt>
              </c:numCache>
            </c:numRef>
          </c:val>
          <c:extLst>
            <c:ext xmlns:c16="http://schemas.microsoft.com/office/drawing/2014/chart" uri="{C3380CC4-5D6E-409C-BE32-E72D297353CC}">
              <c16:uniqueId val="{00000000-57FA-4DD0-8A09-83AB094401D9}"/>
            </c:ext>
          </c:extLst>
        </c:ser>
        <c:ser>
          <c:idx val="1"/>
          <c:order val="1"/>
          <c:tx>
            <c:strRef>
              <c:f>obyvatelstvo!$L$21</c:f>
              <c:strCache>
                <c:ptCount val="1"/>
                <c:pt idx="0">
                  <c:v>15 až 64 let</c:v>
                </c:pt>
              </c:strCache>
            </c:strRef>
          </c:tx>
          <c:spPr>
            <a:solidFill>
              <a:srgbClr val="FFC000"/>
            </a:solidFill>
            <a:ln w="12700">
              <a:solidFill>
                <a:sysClr val="windowText" lastClr="000000"/>
              </a:solidFill>
            </a:ln>
            <a:effectLst/>
            <a:sp3d contourW="12700">
              <a:contourClr>
                <a:sysClr val="windowText" lastClr="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obyvatelstvo!$M$19:$O$19</c:f>
              <c:numCache>
                <c:formatCode>General</c:formatCode>
                <c:ptCount val="3"/>
                <c:pt idx="0">
                  <c:v>2001</c:v>
                </c:pt>
                <c:pt idx="1">
                  <c:v>2011</c:v>
                </c:pt>
                <c:pt idx="2">
                  <c:v>2021</c:v>
                </c:pt>
              </c:numCache>
            </c:numRef>
          </c:cat>
          <c:val>
            <c:numRef>
              <c:f>obyvatelstvo!$M$21:$O$21</c:f>
              <c:numCache>
                <c:formatCode>0</c:formatCode>
                <c:ptCount val="3"/>
                <c:pt idx="0">
                  <c:v>73</c:v>
                </c:pt>
                <c:pt idx="1">
                  <c:v>68</c:v>
                </c:pt>
                <c:pt idx="2">
                  <c:v>64</c:v>
                </c:pt>
              </c:numCache>
            </c:numRef>
          </c:val>
          <c:extLst>
            <c:ext xmlns:c16="http://schemas.microsoft.com/office/drawing/2014/chart" uri="{C3380CC4-5D6E-409C-BE32-E72D297353CC}">
              <c16:uniqueId val="{00000001-57FA-4DD0-8A09-83AB094401D9}"/>
            </c:ext>
          </c:extLst>
        </c:ser>
        <c:ser>
          <c:idx val="2"/>
          <c:order val="2"/>
          <c:tx>
            <c:strRef>
              <c:f>obyvatelstvo!$L$22</c:f>
              <c:strCache>
                <c:ptCount val="1"/>
                <c:pt idx="0">
                  <c:v>65 a více let</c:v>
                </c:pt>
              </c:strCache>
            </c:strRef>
          </c:tx>
          <c:spPr>
            <a:solidFill>
              <a:srgbClr val="92D050"/>
            </a:solidFill>
            <a:ln w="12700">
              <a:solidFill>
                <a:sysClr val="windowText" lastClr="000000"/>
              </a:solidFill>
            </a:ln>
            <a:effectLst/>
            <a:sp3d contourW="12700">
              <a:contourClr>
                <a:sysClr val="windowText" lastClr="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obyvatelstvo!$M$19:$O$19</c:f>
              <c:numCache>
                <c:formatCode>General</c:formatCode>
                <c:ptCount val="3"/>
                <c:pt idx="0">
                  <c:v>2001</c:v>
                </c:pt>
                <c:pt idx="1">
                  <c:v>2011</c:v>
                </c:pt>
                <c:pt idx="2">
                  <c:v>2021</c:v>
                </c:pt>
              </c:numCache>
            </c:numRef>
          </c:cat>
          <c:val>
            <c:numRef>
              <c:f>obyvatelstvo!$M$22:$O$22</c:f>
              <c:numCache>
                <c:formatCode>0</c:formatCode>
                <c:ptCount val="3"/>
                <c:pt idx="0">
                  <c:v>15</c:v>
                </c:pt>
                <c:pt idx="1">
                  <c:v>16</c:v>
                </c:pt>
                <c:pt idx="2">
                  <c:v>17</c:v>
                </c:pt>
              </c:numCache>
            </c:numRef>
          </c:val>
          <c:extLst>
            <c:ext xmlns:c16="http://schemas.microsoft.com/office/drawing/2014/chart" uri="{C3380CC4-5D6E-409C-BE32-E72D297353CC}">
              <c16:uniqueId val="{00000002-57FA-4DD0-8A09-83AB094401D9}"/>
            </c:ext>
          </c:extLst>
        </c:ser>
        <c:dLbls>
          <c:showLegendKey val="0"/>
          <c:showVal val="0"/>
          <c:showCatName val="0"/>
          <c:showSerName val="0"/>
          <c:showPercent val="0"/>
          <c:showBubbleSize val="0"/>
        </c:dLbls>
        <c:gapWidth val="150"/>
        <c:shape val="box"/>
        <c:axId val="640806568"/>
        <c:axId val="640807880"/>
        <c:axId val="0"/>
      </c:bar3DChart>
      <c:catAx>
        <c:axId val="640806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40807880"/>
        <c:crosses val="autoZero"/>
        <c:auto val="1"/>
        <c:lblAlgn val="ctr"/>
        <c:lblOffset val="100"/>
        <c:noMultiLvlLbl val="0"/>
      </c:catAx>
      <c:valAx>
        <c:axId val="640807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40806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'podn. aktivita'!$B$15</c:f>
              <c:strCache>
                <c:ptCount val="1"/>
                <c:pt idx="0">
                  <c:v>Registrované podniky</c:v>
                </c:pt>
              </c:strCache>
            </c:strRef>
          </c:tx>
          <c:spPr>
            <a:solidFill>
              <a:srgbClr val="00B0F0"/>
            </a:solidFill>
            <a:ln>
              <a:solidFill>
                <a:sysClr val="windowText" lastClr="000000"/>
              </a:solidFill>
            </a:ln>
            <a:effectLst/>
          </c:spPr>
          <c:invertIfNegative val="0"/>
          <c:cat>
            <c:strRef>
              <c:f>'podn. aktivita'!$C$14:$S$14</c:f>
              <c:strCache>
                <c:ptCount val="17"/>
                <c:pt idx="0">
                  <c:v> Zemědělství, lesnictví, rybářství</c:v>
                </c:pt>
                <c:pt idx="1">
                  <c:v>Průmysl</c:v>
                </c:pt>
                <c:pt idx="2">
                  <c:v>Stavebnictví</c:v>
                </c:pt>
                <c:pt idx="3">
                  <c:v>Velkoobchod a maloobchod</c:v>
                </c:pt>
                <c:pt idx="4">
                  <c:v>Doprava a skladování</c:v>
                </c:pt>
                <c:pt idx="5">
                  <c:v>Ubytování, stravování, pohostinství</c:v>
                </c:pt>
                <c:pt idx="6">
                  <c:v>Informační a komunikační č.</c:v>
                </c:pt>
                <c:pt idx="7">
                  <c:v>Peněžnictví a pojišťovnictví</c:v>
                </c:pt>
                <c:pt idx="8">
                  <c:v>Činnosti v oblasti nemovitostí</c:v>
                </c:pt>
                <c:pt idx="9">
                  <c:v>Profesní, vědecké a technické č.</c:v>
                </c:pt>
                <c:pt idx="10">
                  <c:v>Administrativní a podpůrné č.</c:v>
                </c:pt>
                <c:pt idx="11">
                  <c:v>Veřejná správa a obrana</c:v>
                </c:pt>
                <c:pt idx="12">
                  <c:v>Vzdělávání</c:v>
                </c:pt>
                <c:pt idx="13">
                  <c:v>Zdravotní a sociální péče</c:v>
                </c:pt>
                <c:pt idx="14">
                  <c:v>Kulturní, zábavní a rekreační č.</c:v>
                </c:pt>
                <c:pt idx="15">
                  <c:v>Ostatní činnosti</c:v>
                </c:pt>
                <c:pt idx="16">
                  <c:v>Nezařazeno</c:v>
                </c:pt>
              </c:strCache>
            </c:strRef>
          </c:cat>
          <c:val>
            <c:numRef>
              <c:f>'podn. aktivita'!$C$15:$S$15</c:f>
              <c:numCache>
                <c:formatCode>0.0</c:formatCode>
                <c:ptCount val="17"/>
                <c:pt idx="0">
                  <c:v>15.819209039548024</c:v>
                </c:pt>
                <c:pt idx="1">
                  <c:v>12.429378531073446</c:v>
                </c:pt>
                <c:pt idx="2">
                  <c:v>20.903954802259886</c:v>
                </c:pt>
                <c:pt idx="3">
                  <c:v>18.07909604519774</c:v>
                </c:pt>
                <c:pt idx="4">
                  <c:v>2.2598870056497176</c:v>
                </c:pt>
                <c:pt idx="5">
                  <c:v>9.0395480225988702</c:v>
                </c:pt>
                <c:pt idx="6">
                  <c:v>0</c:v>
                </c:pt>
                <c:pt idx="7">
                  <c:v>0.56497175141242939</c:v>
                </c:pt>
                <c:pt idx="8">
                  <c:v>3.3898305084745761</c:v>
                </c:pt>
                <c:pt idx="9">
                  <c:v>3.9548022598870061</c:v>
                </c:pt>
                <c:pt idx="10">
                  <c:v>1.6949152542372881</c:v>
                </c:pt>
                <c:pt idx="11">
                  <c:v>0.56497175141242939</c:v>
                </c:pt>
                <c:pt idx="12">
                  <c:v>0</c:v>
                </c:pt>
                <c:pt idx="13">
                  <c:v>0.56497175141242939</c:v>
                </c:pt>
                <c:pt idx="14">
                  <c:v>1.6949152542372881</c:v>
                </c:pt>
                <c:pt idx="15">
                  <c:v>5.0847457627118651</c:v>
                </c:pt>
                <c:pt idx="16">
                  <c:v>3.9548022598870061</c:v>
                </c:pt>
              </c:numCache>
            </c:numRef>
          </c:val>
          <c:extLst>
            <c:ext xmlns:c16="http://schemas.microsoft.com/office/drawing/2014/chart" uri="{C3380CC4-5D6E-409C-BE32-E72D297353CC}">
              <c16:uniqueId val="{00000000-6362-4A6E-B3C8-3D4B4DAED567}"/>
            </c:ext>
          </c:extLst>
        </c:ser>
        <c:ser>
          <c:idx val="1"/>
          <c:order val="1"/>
          <c:tx>
            <c:strRef>
              <c:f>'podn. aktivita'!$B$16</c:f>
              <c:strCache>
                <c:ptCount val="1"/>
                <c:pt idx="0">
                  <c:v>Podniky se zjištěnou aktivitou</c:v>
                </c:pt>
              </c:strCache>
            </c:strRef>
          </c:tx>
          <c:spPr>
            <a:solidFill>
              <a:srgbClr val="FFC000"/>
            </a:solidFill>
            <a:ln>
              <a:solidFill>
                <a:sysClr val="windowText" lastClr="000000"/>
              </a:solidFill>
            </a:ln>
            <a:effectLst/>
          </c:spPr>
          <c:invertIfNegative val="0"/>
          <c:cat>
            <c:strRef>
              <c:f>'podn. aktivita'!$C$14:$S$14</c:f>
              <c:strCache>
                <c:ptCount val="17"/>
                <c:pt idx="0">
                  <c:v> Zemědělství, lesnictví, rybářství</c:v>
                </c:pt>
                <c:pt idx="1">
                  <c:v>Průmysl</c:v>
                </c:pt>
                <c:pt idx="2">
                  <c:v>Stavebnictví</c:v>
                </c:pt>
                <c:pt idx="3">
                  <c:v>Velkoobchod a maloobchod</c:v>
                </c:pt>
                <c:pt idx="4">
                  <c:v>Doprava a skladování</c:v>
                </c:pt>
                <c:pt idx="5">
                  <c:v>Ubytování, stravování, pohostinství</c:v>
                </c:pt>
                <c:pt idx="6">
                  <c:v>Informační a komunikační č.</c:v>
                </c:pt>
                <c:pt idx="7">
                  <c:v>Peněžnictví a pojišťovnictví</c:v>
                </c:pt>
                <c:pt idx="8">
                  <c:v>Činnosti v oblasti nemovitostí</c:v>
                </c:pt>
                <c:pt idx="9">
                  <c:v>Profesní, vědecké a technické č.</c:v>
                </c:pt>
                <c:pt idx="10">
                  <c:v>Administrativní a podpůrné č.</c:v>
                </c:pt>
                <c:pt idx="11">
                  <c:v>Veřejná správa a obrana</c:v>
                </c:pt>
                <c:pt idx="12">
                  <c:v>Vzdělávání</c:v>
                </c:pt>
                <c:pt idx="13">
                  <c:v>Zdravotní a sociální péče</c:v>
                </c:pt>
                <c:pt idx="14">
                  <c:v>Kulturní, zábavní a rekreační č.</c:v>
                </c:pt>
                <c:pt idx="15">
                  <c:v>Ostatní činnosti</c:v>
                </c:pt>
                <c:pt idx="16">
                  <c:v>Nezařazeno</c:v>
                </c:pt>
              </c:strCache>
            </c:strRef>
          </c:cat>
          <c:val>
            <c:numRef>
              <c:f>'podn. aktivita'!$C$16:$S$16</c:f>
              <c:numCache>
                <c:formatCode>0.0</c:formatCode>
                <c:ptCount val="17"/>
                <c:pt idx="0">
                  <c:v>14.102564102564102</c:v>
                </c:pt>
                <c:pt idx="1">
                  <c:v>16.666666666666664</c:v>
                </c:pt>
                <c:pt idx="2">
                  <c:v>23.076923076923077</c:v>
                </c:pt>
                <c:pt idx="3">
                  <c:v>12.820512820512819</c:v>
                </c:pt>
                <c:pt idx="4">
                  <c:v>1.2820512820512819</c:v>
                </c:pt>
                <c:pt idx="5">
                  <c:v>7.6923076923076925</c:v>
                </c:pt>
                <c:pt idx="6">
                  <c:v>0</c:v>
                </c:pt>
                <c:pt idx="7">
                  <c:v>0</c:v>
                </c:pt>
                <c:pt idx="8">
                  <c:v>3.8461538461538463</c:v>
                </c:pt>
                <c:pt idx="9">
                  <c:v>6.4102564102564097</c:v>
                </c:pt>
                <c:pt idx="10">
                  <c:v>1.2820512820512819</c:v>
                </c:pt>
                <c:pt idx="11">
                  <c:v>1.2820512820512819</c:v>
                </c:pt>
                <c:pt idx="12">
                  <c:v>0</c:v>
                </c:pt>
                <c:pt idx="13">
                  <c:v>0</c:v>
                </c:pt>
                <c:pt idx="14">
                  <c:v>3.8461538461538463</c:v>
                </c:pt>
                <c:pt idx="15">
                  <c:v>5.1282051282051277</c:v>
                </c:pt>
                <c:pt idx="16">
                  <c:v>2.5641025641025639</c:v>
                </c:pt>
              </c:numCache>
            </c:numRef>
          </c:val>
          <c:extLst>
            <c:ext xmlns:c16="http://schemas.microsoft.com/office/drawing/2014/chart" uri="{C3380CC4-5D6E-409C-BE32-E72D297353CC}">
              <c16:uniqueId val="{00000001-6362-4A6E-B3C8-3D4B4DAED567}"/>
            </c:ext>
          </c:extLst>
        </c:ser>
        <c:dLbls>
          <c:showLegendKey val="0"/>
          <c:showVal val="0"/>
          <c:showCatName val="0"/>
          <c:showSerName val="0"/>
          <c:showPercent val="0"/>
          <c:showBubbleSize val="0"/>
        </c:dLbls>
        <c:gapWidth val="219"/>
        <c:overlap val="-27"/>
        <c:axId val="634388728"/>
        <c:axId val="634391352"/>
      </c:barChart>
      <c:catAx>
        <c:axId val="63438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cs-CZ"/>
          </a:p>
        </c:txPr>
        <c:crossAx val="634391352"/>
        <c:crosses val="autoZero"/>
        <c:auto val="1"/>
        <c:lblAlgn val="ctr"/>
        <c:lblOffset val="100"/>
        <c:noMultiLvlLbl val="0"/>
      </c:catAx>
      <c:valAx>
        <c:axId val="634391352"/>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v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34388728"/>
        <c:crosses val="autoZero"/>
        <c:crossBetween val="between"/>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'podn. aktivita'!$F$26</c:f>
              <c:strCache>
                <c:ptCount val="1"/>
                <c:pt idx="0">
                  <c:v>Živnostníci</c:v>
                </c:pt>
              </c:strCache>
            </c:strRef>
          </c:tx>
          <c:spPr>
            <a:solidFill>
              <a:srgbClr val="00B0F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'podn. aktivita'!$G$25:$H$25</c:f>
              <c:strCache>
                <c:ptCount val="2"/>
                <c:pt idx="0">
                  <c:v>Registrované podniky</c:v>
                </c:pt>
                <c:pt idx="1">
                  <c:v>Podniky se zjištěnou aktivitou</c:v>
                </c:pt>
              </c:strCache>
            </c:strRef>
          </c:cat>
          <c:val>
            <c:numRef>
              <c:f>'podn. aktivita'!$G$26:$H$26</c:f>
              <c:numCache>
                <c:formatCode>0.0</c:formatCode>
                <c:ptCount val="2"/>
                <c:pt idx="0">
                  <c:v>80.225988700564983</c:v>
                </c:pt>
                <c:pt idx="1">
                  <c:v>73.076923076923066</c:v>
                </c:pt>
              </c:numCache>
            </c:numRef>
          </c:val>
          <c:extLst>
            <c:ext xmlns:c16="http://schemas.microsoft.com/office/drawing/2014/chart" uri="{C3380CC4-5D6E-409C-BE32-E72D297353CC}">
              <c16:uniqueId val="{00000000-8976-4C21-84C0-3222E5F2EAFE}"/>
            </c:ext>
          </c:extLst>
        </c:ser>
        <c:ser>
          <c:idx val="1"/>
          <c:order val="1"/>
          <c:tx>
            <c:strRef>
              <c:f>'podn. aktivita'!$F$27</c:f>
              <c:strCache>
                <c:ptCount val="1"/>
                <c:pt idx="0">
                  <c:v>Svobodná povolání</c:v>
                </c:pt>
              </c:strCache>
            </c:strRef>
          </c:tx>
          <c:spPr>
            <a:solidFill>
              <a:srgbClr val="FFC000"/>
            </a:solidFill>
            <a:ln>
              <a:solidFill>
                <a:sysClr val="windowText" lastClr="000000"/>
              </a:solidFill>
            </a:ln>
            <a:effectLst/>
          </c:spPr>
          <c:invertIfNegative val="0"/>
          <c:dLbls>
            <c:dLbl>
              <c:idx val="0"/>
              <c:layout>
                <c:manualLayout>
                  <c:x val="-0.10762331838565024"/>
                  <c:y val="-2.8135993218561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76-4C21-84C0-3222E5F2EAFE}"/>
                </c:ext>
              </c:extLst>
            </c:dLbl>
            <c:dLbl>
              <c:idx val="1"/>
              <c:layout>
                <c:manualLayout>
                  <c:x val="-0.11883408071748879"/>
                  <c:y val="-2.1101994913920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76-4C21-84C0-3222E5F2EA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'podn. aktivita'!$G$25:$H$25</c:f>
              <c:strCache>
                <c:ptCount val="2"/>
                <c:pt idx="0">
                  <c:v>Registrované podniky</c:v>
                </c:pt>
                <c:pt idx="1">
                  <c:v>Podniky se zjištěnou aktivitou</c:v>
                </c:pt>
              </c:strCache>
            </c:strRef>
          </c:cat>
          <c:val>
            <c:numRef>
              <c:f>'podn. aktivita'!$G$27:$H$27</c:f>
              <c:numCache>
                <c:formatCode>0.0</c:formatCode>
                <c:ptCount val="2"/>
                <c:pt idx="0">
                  <c:v>1.6949152542372881</c:v>
                </c:pt>
                <c:pt idx="1">
                  <c:v>2.5641025641025639</c:v>
                </c:pt>
              </c:numCache>
            </c:numRef>
          </c:val>
          <c:extLst>
            <c:ext xmlns:c16="http://schemas.microsoft.com/office/drawing/2014/chart" uri="{C3380CC4-5D6E-409C-BE32-E72D297353CC}">
              <c16:uniqueId val="{00000003-8976-4C21-84C0-3222E5F2EAFE}"/>
            </c:ext>
          </c:extLst>
        </c:ser>
        <c:ser>
          <c:idx val="4"/>
          <c:order val="2"/>
          <c:tx>
            <c:strRef>
              <c:f>'podn. aktivita'!$F$28</c:f>
              <c:strCache>
                <c:ptCount val="1"/>
                <c:pt idx="0">
                  <c:v>Zemědělští podnikatelé</c:v>
                </c:pt>
              </c:strCache>
            </c:strRef>
          </c:tx>
          <c:spPr>
            <a:solidFill>
              <a:srgbClr val="92D050"/>
            </a:solidFill>
            <a:ln>
              <a:solidFill>
                <a:sysClr val="windowText" lastClr="000000"/>
              </a:solidFill>
            </a:ln>
            <a:effectLst/>
          </c:spPr>
          <c:invertIfNegative val="0"/>
          <c:dLbls>
            <c:dLbl>
              <c:idx val="0"/>
              <c:layout>
                <c:manualLayout>
                  <c:x val="-4.1105653694055585E-17"/>
                  <c:y val="3.5169981783611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76-4C21-84C0-3222E5F2EA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'podn. aktivita'!$G$25:$H$25</c:f>
              <c:strCache>
                <c:ptCount val="2"/>
                <c:pt idx="0">
                  <c:v>Registrované podniky</c:v>
                </c:pt>
                <c:pt idx="1">
                  <c:v>Podniky se zjištěnou aktivitou</c:v>
                </c:pt>
              </c:strCache>
            </c:strRef>
          </c:cat>
          <c:val>
            <c:numRef>
              <c:f>'podn. aktivita'!$G$28:$H$28</c:f>
              <c:numCache>
                <c:formatCode>0.0</c:formatCode>
                <c:ptCount val="2"/>
                <c:pt idx="0">
                  <c:v>5.6497175141242941</c:v>
                </c:pt>
                <c:pt idx="1">
                  <c:v>8.9743589743589745</c:v>
                </c:pt>
              </c:numCache>
            </c:numRef>
          </c:val>
          <c:extLst>
            <c:ext xmlns:c16="http://schemas.microsoft.com/office/drawing/2014/chart" uri="{C3380CC4-5D6E-409C-BE32-E72D297353CC}">
              <c16:uniqueId val="{00000005-8976-4C21-84C0-3222E5F2EAFE}"/>
            </c:ext>
          </c:extLst>
        </c:ser>
        <c:ser>
          <c:idx val="3"/>
          <c:order val="3"/>
          <c:tx>
            <c:strRef>
              <c:f>'podn. aktivita'!$F$29</c:f>
              <c:strCache>
                <c:ptCount val="1"/>
                <c:pt idx="0">
                  <c:v>Akciové společnosti</c:v>
                </c:pt>
              </c:strCache>
            </c:strRef>
          </c:tx>
          <c:spPr>
            <a:solidFill>
              <a:srgbClr val="FFFF00"/>
            </a:solidFill>
            <a:ln>
              <a:solidFill>
                <a:sysClr val="windowText" lastClr="000000"/>
              </a:solidFill>
            </a:ln>
            <a:effectLst/>
          </c:spPr>
          <c:invertIfNegative val="0"/>
          <c:dLbls>
            <c:dLbl>
              <c:idx val="0"/>
              <c:layout>
                <c:manualLayout>
                  <c:x val="-0.12107623318385652"/>
                  <c:y val="-3.5169991523201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76-4C21-84C0-3222E5F2EAFE}"/>
                </c:ext>
              </c:extLst>
            </c:dLbl>
            <c:dLbl>
              <c:idx val="1"/>
              <c:layout>
                <c:manualLayout>
                  <c:x val="-0.13228699551569506"/>
                  <c:y val="-7.0339983046402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76-4C21-84C0-3222E5F2EA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'podn. aktivita'!$G$25:$H$25</c:f>
              <c:strCache>
                <c:ptCount val="2"/>
                <c:pt idx="0">
                  <c:v>Registrované podniky</c:v>
                </c:pt>
                <c:pt idx="1">
                  <c:v>Podniky se zjištěnou aktivitou</c:v>
                </c:pt>
              </c:strCache>
            </c:strRef>
          </c:cat>
          <c:val>
            <c:numRef>
              <c:f>'podn. aktivita'!$G$29:$H$29</c:f>
              <c:numCache>
                <c:formatCode>0.0</c:formatCode>
                <c:ptCount val="2"/>
                <c:pt idx="0">
                  <c:v>0.56497175141242939</c:v>
                </c:pt>
                <c:pt idx="1">
                  <c:v>1.2820512820512819</c:v>
                </c:pt>
              </c:numCache>
            </c:numRef>
          </c:val>
          <c:extLst>
            <c:ext xmlns:c16="http://schemas.microsoft.com/office/drawing/2014/chart" uri="{C3380CC4-5D6E-409C-BE32-E72D297353CC}">
              <c16:uniqueId val="{00000008-8976-4C21-84C0-3222E5F2EAFE}"/>
            </c:ext>
          </c:extLst>
        </c:ser>
        <c:ser>
          <c:idx val="2"/>
          <c:order val="4"/>
          <c:tx>
            <c:strRef>
              <c:f>'podn. aktivita'!$F$30</c:f>
              <c:strCache>
                <c:ptCount val="1"/>
                <c:pt idx="0">
                  <c:v>Obchodní společnosti</c:v>
                </c:pt>
              </c:strCache>
            </c:strRef>
          </c:tx>
          <c:spPr>
            <a:solidFill>
              <a:srgbClr val="CC99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'podn. aktivita'!$G$25:$H$25</c:f>
              <c:strCache>
                <c:ptCount val="2"/>
                <c:pt idx="0">
                  <c:v>Registrované podniky</c:v>
                </c:pt>
                <c:pt idx="1">
                  <c:v>Podniky se zjištěnou aktivitou</c:v>
                </c:pt>
              </c:strCache>
            </c:strRef>
          </c:cat>
          <c:val>
            <c:numRef>
              <c:f>'podn. aktivita'!$G$30:$H$30</c:f>
              <c:numCache>
                <c:formatCode>0.0</c:formatCode>
                <c:ptCount val="2"/>
                <c:pt idx="0">
                  <c:v>7.9096045197740121</c:v>
                </c:pt>
                <c:pt idx="1">
                  <c:v>12.820512820512819</c:v>
                </c:pt>
              </c:numCache>
            </c:numRef>
          </c:val>
          <c:extLst>
            <c:ext xmlns:c16="http://schemas.microsoft.com/office/drawing/2014/chart" uri="{C3380CC4-5D6E-409C-BE32-E72D297353CC}">
              <c16:uniqueId val="{00000009-8976-4C21-84C0-3222E5F2EAFE}"/>
            </c:ext>
          </c:extLst>
        </c:ser>
        <c:ser>
          <c:idx val="5"/>
          <c:order val="5"/>
          <c:tx>
            <c:strRef>
              <c:f>'podn. aktivita'!$F$31</c:f>
              <c:strCache>
                <c:ptCount val="1"/>
                <c:pt idx="0">
                  <c:v>Družstva</c:v>
                </c:pt>
              </c:strCache>
            </c:strRef>
          </c:tx>
          <c:spPr>
            <a:solidFill>
              <a:schemeClr val="accent2">
                <a:lumMod val="60000"/>
                <a:lumOff val="40000"/>
              </a:schemeClr>
            </a:solidFill>
            <a:ln>
              <a:solidFill>
                <a:sysClr val="windowText" lastClr="000000"/>
              </a:solidFill>
            </a:ln>
            <a:effectLst/>
          </c:spPr>
          <c:invertIfNegative val="0"/>
          <c:cat>
            <c:strRef>
              <c:f>'podn. aktivita'!$G$25:$H$25</c:f>
              <c:strCache>
                <c:ptCount val="2"/>
                <c:pt idx="0">
                  <c:v>Registrované podniky</c:v>
                </c:pt>
                <c:pt idx="1">
                  <c:v>Podniky se zjištěnou aktivitou</c:v>
                </c:pt>
              </c:strCache>
            </c:strRef>
          </c:cat>
          <c:val>
            <c:numRef>
              <c:f>'podn. aktivita'!$G$31:$H$31</c:f>
              <c:numCache>
                <c:formatCode>0.0</c:formatCode>
                <c:ptCount val="2"/>
                <c:pt idx="0">
                  <c:v>0</c:v>
                </c:pt>
                <c:pt idx="1">
                  <c:v>0</c:v>
                </c:pt>
              </c:numCache>
            </c:numRef>
          </c:val>
          <c:extLst>
            <c:ext xmlns:c16="http://schemas.microsoft.com/office/drawing/2014/chart" uri="{C3380CC4-5D6E-409C-BE32-E72D297353CC}">
              <c16:uniqueId val="{0000000A-8976-4C21-84C0-3222E5F2EAFE}"/>
            </c:ext>
          </c:extLst>
        </c:ser>
        <c:ser>
          <c:idx val="6"/>
          <c:order val="6"/>
          <c:tx>
            <c:strRef>
              <c:f>'podn. aktivita'!$F$32</c:f>
              <c:strCache>
                <c:ptCount val="1"/>
                <c:pt idx="0">
                  <c:v>Nezjištěno</c:v>
                </c:pt>
              </c:strCache>
            </c:strRef>
          </c:tx>
          <c:spPr>
            <a:solidFill>
              <a:srgbClr val="996633"/>
            </a:solidFill>
            <a:ln>
              <a:solidFill>
                <a:sysClr val="windowText" lastClr="000000"/>
              </a:solidFill>
            </a:ln>
            <a:effectLst/>
          </c:spPr>
          <c:invertIfNegative val="0"/>
          <c:dLbls>
            <c:dLbl>
              <c:idx val="1"/>
              <c:layout>
                <c:manualLayout>
                  <c:x val="0.12780269058295965"/>
                  <c:y val="2.8135985426888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76-4C21-84C0-3222E5F2EA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'podn. aktivita'!$G$25:$H$25</c:f>
              <c:strCache>
                <c:ptCount val="2"/>
                <c:pt idx="0">
                  <c:v>Registrované podniky</c:v>
                </c:pt>
                <c:pt idx="1">
                  <c:v>Podniky se zjištěnou aktivitou</c:v>
                </c:pt>
              </c:strCache>
            </c:strRef>
          </c:cat>
          <c:val>
            <c:numRef>
              <c:f>'podn. aktivita'!$G$32:$H$32</c:f>
              <c:numCache>
                <c:formatCode>0.0</c:formatCode>
                <c:ptCount val="2"/>
                <c:pt idx="0">
                  <c:v>3.9548022598870061</c:v>
                </c:pt>
                <c:pt idx="1">
                  <c:v>1.2820512820512819</c:v>
                </c:pt>
              </c:numCache>
            </c:numRef>
          </c:val>
          <c:extLst>
            <c:ext xmlns:c16="http://schemas.microsoft.com/office/drawing/2014/chart" uri="{C3380CC4-5D6E-409C-BE32-E72D297353CC}">
              <c16:uniqueId val="{0000000C-8976-4C21-84C0-3222E5F2EAFE}"/>
            </c:ext>
          </c:extLst>
        </c:ser>
        <c:dLbls>
          <c:showLegendKey val="0"/>
          <c:showVal val="0"/>
          <c:showCatName val="0"/>
          <c:showSerName val="0"/>
          <c:showPercent val="0"/>
          <c:showBubbleSize val="0"/>
        </c:dLbls>
        <c:gapWidth val="150"/>
        <c:overlap val="100"/>
        <c:axId val="523208632"/>
        <c:axId val="523210600"/>
      </c:barChart>
      <c:catAx>
        <c:axId val="523208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23210600"/>
        <c:crosses val="autoZero"/>
        <c:auto val="1"/>
        <c:lblAlgn val="ctr"/>
        <c:lblOffset val="100"/>
        <c:noMultiLvlLbl val="0"/>
      </c:catAx>
      <c:valAx>
        <c:axId val="523210600"/>
        <c:scaling>
          <c:orientation val="minMax"/>
        </c:scaling>
        <c:delete val="0"/>
        <c:axPos val="l"/>
        <c:majorGridlines>
          <c:spPr>
            <a:ln w="9525" cap="flat" cmpd="sng" algn="ctr">
              <a:solidFill>
                <a:schemeClr val="bg1">
                  <a:lumMod val="6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23208632"/>
        <c:crosses val="autoZero"/>
        <c:crossBetween val="between"/>
      </c:valAx>
      <c:spPr>
        <a:solidFill>
          <a:schemeClr val="bg1">
            <a:lumMod val="85000"/>
          </a:schemeClr>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nezaměstnanost!$J$29</c:f>
              <c:strCache>
                <c:ptCount val="1"/>
                <c:pt idx="0">
                  <c:v>průměrná hodnota v daném roce</c:v>
                </c:pt>
              </c:strCache>
            </c:strRef>
          </c:tx>
          <c:spPr>
            <a:ln w="28575" cap="rnd">
              <a:solidFill>
                <a:srgbClr val="00B0F0"/>
              </a:solidFill>
              <a:round/>
            </a:ln>
            <a:effectLst/>
          </c:spPr>
          <c:marker>
            <c:symbol val="circle"/>
            <c:size val="5"/>
            <c:spPr>
              <a:solidFill>
                <a:schemeClr val="accent1"/>
              </a:solidFill>
              <a:ln w="28575">
                <a:solidFill>
                  <a:srgbClr val="00B0F0"/>
                </a:solidFill>
              </a:ln>
              <a:effectLst/>
            </c:spPr>
          </c:marker>
          <c:xVal>
            <c:numRef>
              <c:f>nezaměstnanost!$K$28:$R$28</c:f>
              <c:numCache>
                <c:formatCode>General</c:formatCode>
                <c:ptCount val="8"/>
                <c:pt idx="0">
                  <c:v>2014</c:v>
                </c:pt>
                <c:pt idx="1">
                  <c:v>2015</c:v>
                </c:pt>
                <c:pt idx="2">
                  <c:v>2016</c:v>
                </c:pt>
                <c:pt idx="3">
                  <c:v>2017</c:v>
                </c:pt>
                <c:pt idx="4">
                  <c:v>2018</c:v>
                </c:pt>
                <c:pt idx="5">
                  <c:v>2019</c:v>
                </c:pt>
                <c:pt idx="6">
                  <c:v>2020</c:v>
                </c:pt>
                <c:pt idx="7">
                  <c:v>2021</c:v>
                </c:pt>
              </c:numCache>
            </c:numRef>
          </c:xVal>
          <c:yVal>
            <c:numRef>
              <c:f>nezaměstnanost!$K$29:$R$29</c:f>
              <c:numCache>
                <c:formatCode>0.0</c:formatCode>
                <c:ptCount val="8"/>
                <c:pt idx="0">
                  <c:v>7.12</c:v>
                </c:pt>
                <c:pt idx="1">
                  <c:v>4.6083333333333325</c:v>
                </c:pt>
                <c:pt idx="2">
                  <c:v>3.1416666666666662</c:v>
                </c:pt>
                <c:pt idx="3">
                  <c:v>2.7333333333333338</c:v>
                </c:pt>
                <c:pt idx="4">
                  <c:v>1.925</c:v>
                </c:pt>
                <c:pt idx="5">
                  <c:v>2.4416666666666669</c:v>
                </c:pt>
                <c:pt idx="6">
                  <c:v>2.3250000000000006</c:v>
                </c:pt>
                <c:pt idx="7">
                  <c:v>2.3166666666666669</c:v>
                </c:pt>
              </c:numCache>
            </c:numRef>
          </c:yVal>
          <c:smooth val="1"/>
          <c:extLst>
            <c:ext xmlns:c16="http://schemas.microsoft.com/office/drawing/2014/chart" uri="{C3380CC4-5D6E-409C-BE32-E72D297353CC}">
              <c16:uniqueId val="{00000000-4AB1-4875-BC61-27CDBB913B84}"/>
            </c:ext>
          </c:extLst>
        </c:ser>
        <c:ser>
          <c:idx val="1"/>
          <c:order val="1"/>
          <c:tx>
            <c:strRef>
              <c:f>nezaměstnanost!$J$30</c:f>
              <c:strCache>
                <c:ptCount val="1"/>
                <c:pt idx="0">
                  <c:v>červenec</c:v>
                </c:pt>
              </c:strCache>
            </c:strRef>
          </c:tx>
          <c:spPr>
            <a:ln w="28575" cap="rnd">
              <a:solidFill>
                <a:srgbClr val="FFC000"/>
              </a:solidFill>
              <a:round/>
            </a:ln>
            <a:effectLst/>
          </c:spPr>
          <c:marker>
            <c:symbol val="circle"/>
            <c:size val="5"/>
            <c:spPr>
              <a:solidFill>
                <a:schemeClr val="accent2"/>
              </a:solidFill>
              <a:ln w="28575">
                <a:solidFill>
                  <a:srgbClr val="FFC000"/>
                </a:solidFill>
              </a:ln>
              <a:effectLst/>
            </c:spPr>
          </c:marker>
          <c:xVal>
            <c:numRef>
              <c:f>nezaměstnanost!$K$28:$R$28</c:f>
              <c:numCache>
                <c:formatCode>General</c:formatCode>
                <c:ptCount val="8"/>
                <c:pt idx="0">
                  <c:v>2014</c:v>
                </c:pt>
                <c:pt idx="1">
                  <c:v>2015</c:v>
                </c:pt>
                <c:pt idx="2">
                  <c:v>2016</c:v>
                </c:pt>
                <c:pt idx="3">
                  <c:v>2017</c:v>
                </c:pt>
                <c:pt idx="4">
                  <c:v>2018</c:v>
                </c:pt>
                <c:pt idx="5">
                  <c:v>2019</c:v>
                </c:pt>
                <c:pt idx="6">
                  <c:v>2020</c:v>
                </c:pt>
                <c:pt idx="7">
                  <c:v>2021</c:v>
                </c:pt>
              </c:numCache>
            </c:numRef>
          </c:xVal>
          <c:yVal>
            <c:numRef>
              <c:f>nezaměstnanost!$K$30:$R$30</c:f>
              <c:numCache>
                <c:formatCode>General</c:formatCode>
                <c:ptCount val="8"/>
                <c:pt idx="0">
                  <c:v>6.7</c:v>
                </c:pt>
                <c:pt idx="1">
                  <c:v>4.0999999999999996</c:v>
                </c:pt>
                <c:pt idx="2">
                  <c:v>3.2</c:v>
                </c:pt>
                <c:pt idx="3">
                  <c:v>1.8</c:v>
                </c:pt>
                <c:pt idx="4">
                  <c:v>1.4</c:v>
                </c:pt>
                <c:pt idx="5">
                  <c:v>1.6</c:v>
                </c:pt>
                <c:pt idx="6">
                  <c:v>2.1</c:v>
                </c:pt>
                <c:pt idx="7">
                  <c:v>2.5</c:v>
                </c:pt>
              </c:numCache>
            </c:numRef>
          </c:yVal>
          <c:smooth val="1"/>
          <c:extLst>
            <c:ext xmlns:c16="http://schemas.microsoft.com/office/drawing/2014/chart" uri="{C3380CC4-5D6E-409C-BE32-E72D297353CC}">
              <c16:uniqueId val="{00000001-4AB1-4875-BC61-27CDBB913B84}"/>
            </c:ext>
          </c:extLst>
        </c:ser>
        <c:ser>
          <c:idx val="2"/>
          <c:order val="2"/>
          <c:tx>
            <c:strRef>
              <c:f>nezaměstnanost!$J$31</c:f>
              <c:strCache>
                <c:ptCount val="1"/>
                <c:pt idx="0">
                  <c:v>prosinec</c:v>
                </c:pt>
              </c:strCache>
            </c:strRef>
          </c:tx>
          <c:spPr>
            <a:ln w="28575" cap="rnd">
              <a:solidFill>
                <a:srgbClr val="92D050"/>
              </a:solidFill>
              <a:round/>
            </a:ln>
            <a:effectLst/>
          </c:spPr>
          <c:marker>
            <c:symbol val="circle"/>
            <c:size val="5"/>
            <c:spPr>
              <a:solidFill>
                <a:schemeClr val="accent3"/>
              </a:solidFill>
              <a:ln w="28575">
                <a:solidFill>
                  <a:srgbClr val="92D050"/>
                </a:solidFill>
              </a:ln>
              <a:effectLst/>
            </c:spPr>
          </c:marker>
          <c:xVal>
            <c:numRef>
              <c:f>nezaměstnanost!$K$28:$R$28</c:f>
              <c:numCache>
                <c:formatCode>General</c:formatCode>
                <c:ptCount val="8"/>
                <c:pt idx="0">
                  <c:v>2014</c:v>
                </c:pt>
                <c:pt idx="1">
                  <c:v>2015</c:v>
                </c:pt>
                <c:pt idx="2">
                  <c:v>2016</c:v>
                </c:pt>
                <c:pt idx="3">
                  <c:v>2017</c:v>
                </c:pt>
                <c:pt idx="4">
                  <c:v>2018</c:v>
                </c:pt>
                <c:pt idx="5">
                  <c:v>2019</c:v>
                </c:pt>
                <c:pt idx="6">
                  <c:v>2020</c:v>
                </c:pt>
                <c:pt idx="7">
                  <c:v>2021</c:v>
                </c:pt>
              </c:numCache>
            </c:numRef>
          </c:xVal>
          <c:yVal>
            <c:numRef>
              <c:f>nezaměstnanost!$K$31:$R$31</c:f>
              <c:numCache>
                <c:formatCode>General</c:formatCode>
                <c:ptCount val="8"/>
                <c:pt idx="0">
                  <c:v>6.2</c:v>
                </c:pt>
                <c:pt idx="1">
                  <c:v>3.8</c:v>
                </c:pt>
                <c:pt idx="2">
                  <c:v>2.9</c:v>
                </c:pt>
                <c:pt idx="3">
                  <c:v>2.9</c:v>
                </c:pt>
                <c:pt idx="4">
                  <c:v>3</c:v>
                </c:pt>
                <c:pt idx="5">
                  <c:v>3</c:v>
                </c:pt>
                <c:pt idx="6">
                  <c:v>2.6</c:v>
                </c:pt>
                <c:pt idx="7">
                  <c:v>1.8</c:v>
                </c:pt>
              </c:numCache>
            </c:numRef>
          </c:yVal>
          <c:smooth val="1"/>
          <c:extLst>
            <c:ext xmlns:c16="http://schemas.microsoft.com/office/drawing/2014/chart" uri="{C3380CC4-5D6E-409C-BE32-E72D297353CC}">
              <c16:uniqueId val="{00000002-4AB1-4875-BC61-27CDBB913B84}"/>
            </c:ext>
          </c:extLst>
        </c:ser>
        <c:dLbls>
          <c:showLegendKey val="0"/>
          <c:showVal val="0"/>
          <c:showCatName val="0"/>
          <c:showSerName val="0"/>
          <c:showPercent val="0"/>
          <c:showBubbleSize val="0"/>
        </c:dLbls>
        <c:axId val="751414456"/>
        <c:axId val="751414784"/>
      </c:scatterChart>
      <c:valAx>
        <c:axId val="751414456"/>
        <c:scaling>
          <c:orientation val="minMax"/>
          <c:max val="2021"/>
          <c:min val="2014"/>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751414784"/>
        <c:crosses val="autoZero"/>
        <c:crossBetween val="midCat"/>
        <c:majorUnit val="1"/>
      </c:valAx>
      <c:valAx>
        <c:axId val="751414784"/>
        <c:scaling>
          <c:orientation val="minMax"/>
          <c:max val="8"/>
          <c:min val="1"/>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Podíl nezaměstnaných osob</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751414456"/>
        <c:crosses val="autoZero"/>
        <c:crossBetween val="midCat"/>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nezaměstnanost!$C$9</c:f>
              <c:strCache>
                <c:ptCount val="1"/>
                <c:pt idx="0">
                  <c:v>obec Staré Buky</c:v>
                </c:pt>
              </c:strCache>
            </c:strRef>
          </c:tx>
          <c:spPr>
            <a:ln w="28575" cap="rnd">
              <a:solidFill>
                <a:srgbClr val="00B0F0"/>
              </a:solidFill>
              <a:round/>
            </a:ln>
            <a:effectLst/>
          </c:spPr>
          <c:marker>
            <c:symbol val="none"/>
          </c:marker>
          <c:xVal>
            <c:numRef>
              <c:f>nezaměstnanost!$B$10:$B$17</c:f>
              <c:numCache>
                <c:formatCode>General</c:formatCode>
                <c:ptCount val="8"/>
                <c:pt idx="0">
                  <c:v>2014</c:v>
                </c:pt>
                <c:pt idx="1">
                  <c:v>2015</c:v>
                </c:pt>
                <c:pt idx="2">
                  <c:v>2016</c:v>
                </c:pt>
                <c:pt idx="3">
                  <c:v>2017</c:v>
                </c:pt>
                <c:pt idx="4">
                  <c:v>2018</c:v>
                </c:pt>
                <c:pt idx="5">
                  <c:v>2019</c:v>
                </c:pt>
                <c:pt idx="6">
                  <c:v>2020</c:v>
                </c:pt>
                <c:pt idx="7">
                  <c:v>2021</c:v>
                </c:pt>
              </c:numCache>
            </c:numRef>
          </c:xVal>
          <c:yVal>
            <c:numRef>
              <c:f>nezaměstnanost!$C$10:$C$17</c:f>
              <c:numCache>
                <c:formatCode>0.0</c:formatCode>
                <c:ptCount val="8"/>
                <c:pt idx="0">
                  <c:v>7.12</c:v>
                </c:pt>
                <c:pt idx="1">
                  <c:v>4.6083333333333325</c:v>
                </c:pt>
                <c:pt idx="2">
                  <c:v>3.1416666666666662</c:v>
                </c:pt>
                <c:pt idx="3">
                  <c:v>2.7333333333333338</c:v>
                </c:pt>
                <c:pt idx="4">
                  <c:v>1.925</c:v>
                </c:pt>
                <c:pt idx="5">
                  <c:v>2.4416666666666669</c:v>
                </c:pt>
                <c:pt idx="6">
                  <c:v>2.3250000000000006</c:v>
                </c:pt>
                <c:pt idx="7">
                  <c:v>2.3166666666666669</c:v>
                </c:pt>
              </c:numCache>
            </c:numRef>
          </c:yVal>
          <c:smooth val="1"/>
          <c:extLst>
            <c:ext xmlns:c16="http://schemas.microsoft.com/office/drawing/2014/chart" uri="{C3380CC4-5D6E-409C-BE32-E72D297353CC}">
              <c16:uniqueId val="{00000000-B668-43DF-B11D-12AF26C956B6}"/>
            </c:ext>
          </c:extLst>
        </c:ser>
        <c:ser>
          <c:idx val="1"/>
          <c:order val="1"/>
          <c:tx>
            <c:strRef>
              <c:f>nezaměstnanost!$D$9</c:f>
              <c:strCache>
                <c:ptCount val="1"/>
                <c:pt idx="0">
                  <c:v>Okres Trutnov</c:v>
                </c:pt>
              </c:strCache>
            </c:strRef>
          </c:tx>
          <c:spPr>
            <a:ln w="28575" cap="rnd">
              <a:solidFill>
                <a:srgbClr val="FFC000"/>
              </a:solidFill>
              <a:round/>
            </a:ln>
            <a:effectLst/>
          </c:spPr>
          <c:marker>
            <c:symbol val="none"/>
          </c:marker>
          <c:xVal>
            <c:numRef>
              <c:f>nezaměstnanost!$B$10:$B$17</c:f>
              <c:numCache>
                <c:formatCode>General</c:formatCode>
                <c:ptCount val="8"/>
                <c:pt idx="0">
                  <c:v>2014</c:v>
                </c:pt>
                <c:pt idx="1">
                  <c:v>2015</c:v>
                </c:pt>
                <c:pt idx="2">
                  <c:v>2016</c:v>
                </c:pt>
                <c:pt idx="3">
                  <c:v>2017</c:v>
                </c:pt>
                <c:pt idx="4">
                  <c:v>2018</c:v>
                </c:pt>
                <c:pt idx="5">
                  <c:v>2019</c:v>
                </c:pt>
                <c:pt idx="6">
                  <c:v>2020</c:v>
                </c:pt>
                <c:pt idx="7">
                  <c:v>2021</c:v>
                </c:pt>
              </c:numCache>
            </c:numRef>
          </c:xVal>
          <c:yVal>
            <c:numRef>
              <c:f>nezaměstnanost!$D$10:$D$17</c:f>
              <c:numCache>
                <c:formatCode>0.0</c:formatCode>
                <c:ptCount val="8"/>
                <c:pt idx="0">
                  <c:v>7.9799999999999995</c:v>
                </c:pt>
                <c:pt idx="1">
                  <c:v>6.1749999999999998</c:v>
                </c:pt>
                <c:pt idx="2">
                  <c:v>4.6500000000000004</c:v>
                </c:pt>
                <c:pt idx="3">
                  <c:v>3.4166666666666665</c:v>
                </c:pt>
                <c:pt idx="4">
                  <c:v>2.4416666666666669</c:v>
                </c:pt>
                <c:pt idx="5">
                  <c:v>2.2166666666666668</c:v>
                </c:pt>
                <c:pt idx="6">
                  <c:v>3.0500000000000003</c:v>
                </c:pt>
                <c:pt idx="7">
                  <c:v>3.4</c:v>
                </c:pt>
              </c:numCache>
            </c:numRef>
          </c:yVal>
          <c:smooth val="1"/>
          <c:extLst>
            <c:ext xmlns:c16="http://schemas.microsoft.com/office/drawing/2014/chart" uri="{C3380CC4-5D6E-409C-BE32-E72D297353CC}">
              <c16:uniqueId val="{00000001-B668-43DF-B11D-12AF26C956B6}"/>
            </c:ext>
          </c:extLst>
        </c:ser>
        <c:ser>
          <c:idx val="2"/>
          <c:order val="2"/>
          <c:tx>
            <c:strRef>
              <c:f>nezaměstnanost!$E$9</c:f>
              <c:strCache>
                <c:ptCount val="1"/>
                <c:pt idx="0">
                  <c:v>Královéhradecký kraj</c:v>
                </c:pt>
              </c:strCache>
            </c:strRef>
          </c:tx>
          <c:spPr>
            <a:ln w="28575" cap="rnd">
              <a:solidFill>
                <a:srgbClr val="92D050"/>
              </a:solidFill>
              <a:round/>
            </a:ln>
            <a:effectLst/>
          </c:spPr>
          <c:marker>
            <c:symbol val="none"/>
          </c:marker>
          <c:xVal>
            <c:numRef>
              <c:f>nezaměstnanost!$B$10:$B$17</c:f>
              <c:numCache>
                <c:formatCode>General</c:formatCode>
                <c:ptCount val="8"/>
                <c:pt idx="0">
                  <c:v>2014</c:v>
                </c:pt>
                <c:pt idx="1">
                  <c:v>2015</c:v>
                </c:pt>
                <c:pt idx="2">
                  <c:v>2016</c:v>
                </c:pt>
                <c:pt idx="3">
                  <c:v>2017</c:v>
                </c:pt>
                <c:pt idx="4">
                  <c:v>2018</c:v>
                </c:pt>
                <c:pt idx="5">
                  <c:v>2019</c:v>
                </c:pt>
                <c:pt idx="6">
                  <c:v>2020</c:v>
                </c:pt>
                <c:pt idx="7">
                  <c:v>2021</c:v>
                </c:pt>
              </c:numCache>
            </c:numRef>
          </c:xVal>
          <c:yVal>
            <c:numRef>
              <c:f>nezaměstnanost!$E$10:$E$17</c:f>
              <c:numCache>
                <c:formatCode>0.0</c:formatCode>
                <c:ptCount val="8"/>
                <c:pt idx="0">
                  <c:v>6.4</c:v>
                </c:pt>
                <c:pt idx="1">
                  <c:v>5.2</c:v>
                </c:pt>
                <c:pt idx="2">
                  <c:v>4.083333333333333</c:v>
                </c:pt>
                <c:pt idx="3">
                  <c:v>2.9750000000000001</c:v>
                </c:pt>
                <c:pt idx="4">
                  <c:v>2.2833333333333332</c:v>
                </c:pt>
                <c:pt idx="5">
                  <c:v>2.166666666666667</c:v>
                </c:pt>
                <c:pt idx="6">
                  <c:v>2.8249999999999997</c:v>
                </c:pt>
                <c:pt idx="7">
                  <c:v>2.9</c:v>
                </c:pt>
              </c:numCache>
            </c:numRef>
          </c:yVal>
          <c:smooth val="1"/>
          <c:extLst>
            <c:ext xmlns:c16="http://schemas.microsoft.com/office/drawing/2014/chart" uri="{C3380CC4-5D6E-409C-BE32-E72D297353CC}">
              <c16:uniqueId val="{00000002-B668-43DF-B11D-12AF26C956B6}"/>
            </c:ext>
          </c:extLst>
        </c:ser>
        <c:dLbls>
          <c:showLegendKey val="0"/>
          <c:showVal val="0"/>
          <c:showCatName val="0"/>
          <c:showSerName val="0"/>
          <c:showPercent val="0"/>
          <c:showBubbleSize val="0"/>
        </c:dLbls>
        <c:axId val="877142104"/>
        <c:axId val="877135216"/>
      </c:scatterChart>
      <c:valAx>
        <c:axId val="877142104"/>
        <c:scaling>
          <c:orientation val="minMax"/>
          <c:max val="2021"/>
          <c:min val="201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77135216"/>
        <c:crosses val="autoZero"/>
        <c:crossBetween val="midCat"/>
        <c:majorUnit val="1"/>
      </c:valAx>
      <c:valAx>
        <c:axId val="877135216"/>
        <c:scaling>
          <c:orientation val="minMax"/>
          <c:max val="8"/>
          <c:min val="1"/>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Podíl nezaměstnaných osob</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77142104"/>
        <c:crosses val="autoZero"/>
        <c:crossBetween val="midCat"/>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'[Staré Buky - databáze.xlsx]majetek'!$J$3:$J$7</cx:f>
        <cx:lvl ptCount="5">
          <cx:pt idx="0">stavba občanského vybavení</cx:pt>
          <cx:pt idx="1">objekt občanské vybavenosti</cx:pt>
          <cx:pt idx="2">garáž</cx:pt>
          <cx:pt idx="3">zemědělská stavba</cx:pt>
          <cx:pt idx="4">jiná stavba</cx:pt>
        </cx:lvl>
      </cx:strDim>
      <cx:numDim type="val">
        <cx:f>'[Staré Buky - databáze.xlsx]majetek'!$K$3:$K$7</cx:f>
        <cx:lvl ptCount="5" formatCode="Všeobecný">
          <cx:pt idx="0">2</cx:pt>
          <cx:pt idx="1">3</cx:pt>
          <cx:pt idx="2">1</cx:pt>
          <cx:pt idx="3">2</cx:pt>
          <cx:pt idx="4">1</cx:pt>
        </cx:lvl>
      </cx:numDim>
    </cx:data>
  </cx:chartData>
  <cx:chart>
    <cx:plotArea>
      <cx:plotAreaRegion>
        <cx:plotSurface>
          <cx:spPr>
            <a:solidFill>
              <a:schemeClr val="bg1">
                <a:lumMod val="85000"/>
              </a:schemeClr>
            </a:solidFill>
          </cx:spPr>
        </cx:plotSurface>
        <cx:series layoutId="clusteredColumn" uniqueId="{A90A8A3B-99A1-4E9D-A939-47339BBC31E4}">
          <cx:spPr>
            <a:solidFill>
              <a:srgbClr val="00B0F0"/>
            </a:solidFill>
            <a:ln w="9525">
              <a:solidFill>
                <a:sysClr val="windowText" lastClr="000000"/>
              </a:solidFill>
            </a:ln>
          </cx:spPr>
          <cx:dataLabels>
            <cx:txPr>
              <a:bodyPr spcFirstLastPara="1" vertOverflow="ellipsis" horzOverflow="overflow" wrap="square" lIns="0" tIns="0" rIns="0" bIns="0" anchor="ctr" anchorCtr="1"/>
              <a:lstStyle/>
              <a:p>
                <a:pPr algn="ctr" rtl="0">
                  <a:defRPr sz="1200" b="1"/>
                </a:pPr>
                <a:endParaRPr lang="cs-CZ" sz="1200" b="1" i="0" u="none" strike="noStrike" baseline="0">
                  <a:solidFill>
                    <a:sysClr val="windowText" lastClr="000000">
                      <a:lumMod val="65000"/>
                      <a:lumOff val="35000"/>
                    </a:sysClr>
                  </a:solidFill>
                  <a:latin typeface="Calibri" panose="020F0502020204030204"/>
                </a:endParaRPr>
              </a:p>
            </cx:txPr>
            <cx:dataLabel idx="0">
              <cx:txPr>
                <a:bodyPr spcFirstLastPara="1" vertOverflow="ellipsis" horzOverflow="overflow" wrap="square" lIns="0" tIns="0" rIns="0" bIns="0" anchor="ctr" anchorCtr="1"/>
                <a:lstStyle/>
                <a:p>
                  <a:pPr algn="ctr" rtl="0">
                    <a:defRPr/>
                  </a:pPr>
                  <a:r>
                    <a:rPr lang="cs-CZ" sz="1200" b="1" i="0" u="none" strike="noStrike" baseline="0">
                      <a:solidFill>
                        <a:sysClr val="windowText" lastClr="000000">
                          <a:lumMod val="65000"/>
                          <a:lumOff val="35000"/>
                        </a:sysClr>
                      </a:solidFill>
                      <a:latin typeface="Calibri" panose="020F0502020204030204"/>
                    </a:rPr>
                    <a:t>3</a:t>
                  </a:r>
                </a:p>
              </cx:txPr>
            </cx:dataLabel>
          </cx:dataLabels>
          <cx:dataId val="0"/>
          <cx:layoutPr>
            <cx:aggregation/>
          </cx:layoutPr>
          <cx:axisId val="1"/>
        </cx:series>
        <cx:series layoutId="paretoLine" ownerIdx="0" uniqueId="{7DBB1E75-8D28-4034-A936-36F51D39ED23}">
          <cx:spPr>
            <a:ln>
              <a:solidFill>
                <a:srgbClr val="FFFF00"/>
              </a:solidFill>
            </a:ln>
          </cx:spPr>
          <cx:axisId val="2"/>
        </cx:series>
      </cx:plotAreaRegion>
      <cx:axis id="0">
        <cx:catScaling gapWidth="0"/>
        <cx:tickLabels/>
        <cx:txPr>
          <a:bodyPr vertOverflow="overflow" horzOverflow="overflow" wrap="square" lIns="0" tIns="0" rIns="0" bIns="0"/>
          <a:lstStyle/>
          <a:p>
            <a:pPr algn="ctr" rtl="0">
              <a:defRPr sz="700" b="0" i="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cs-CZ" sz="700" b="0">
              <a:solidFill>
                <a:sysClr val="windowText" lastClr="000000"/>
              </a:solidFill>
            </a:endParaRPr>
          </a:p>
        </cx:txPr>
      </cx:axis>
      <cx:axis id="1">
        <cx:valScaling/>
        <cx:majorGridlines/>
        <cx:tickLabels/>
        <cx:txPr>
          <a:bodyPr vertOverflow="overflow" horzOverflow="overflow" wrap="square" lIns="0" tIns="0" rIns="0" bIns="0"/>
          <a:lstStyle/>
          <a:p>
            <a:pPr algn="ctr" rtl="0">
              <a:defRPr sz="900" b="0" i="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cs-CZ" b="0">
              <a:solidFill>
                <a:sysClr val="windowText" lastClr="000000"/>
              </a:solidFill>
            </a:endParaRPr>
          </a:p>
        </cx:txPr>
      </cx:axis>
      <cx:axis id="2">
        <cx:valScaling max="1" min="0"/>
        <cx:units unit="percentage"/>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'[Staré Buky - databáze.xlsx]dotazníkové šetření'!$B$151:$B$156</cx:f>
        <cx:lvl ptCount="6">
          <cx:pt idx="0">výlepové plochy</cx:pt>
          <cx:pt idx="1">SMS</cx:pt>
          <cx:pt idx="2">Facebook</cx:pt>
          <cx:pt idx="3">email</cx:pt>
          <cx:pt idx="4">webové stránky obce</cx:pt>
          <cx:pt idx="5">jiné</cx:pt>
        </cx:lvl>
      </cx:strDim>
      <cx:numDim type="val">
        <cx:f>'[Staré Buky - databáze.xlsx]dotazníkové šetření'!$C$151:$C$156</cx:f>
        <cx:lvl ptCount="6" formatCode="0">
          <cx:pt idx="0">60</cx:pt>
          <cx:pt idx="1">34</cx:pt>
          <cx:pt idx="2">71</cx:pt>
          <cx:pt idx="3">50</cx:pt>
          <cx:pt idx="4">70</cx:pt>
          <cx:pt idx="5">3</cx:pt>
        </cx:lvl>
      </cx:numDim>
    </cx:data>
  </cx:chartData>
  <cx:chart>
    <cx:plotArea>
      <cx:plotAreaRegion>
        <cx:plotSurface>
          <cx:spPr>
            <a:solidFill>
              <a:schemeClr val="bg1">
                <a:lumMod val="85000"/>
              </a:schemeClr>
            </a:solidFill>
          </cx:spPr>
        </cx:plotSurface>
        <cx:series layoutId="clusteredColumn" uniqueId="{F31C9BD6-C4BD-494C-AF30-5BDC6EB90946}">
          <cx:spPr>
            <a:solidFill>
              <a:srgbClr val="00B0F0"/>
            </a:solidFill>
            <a:ln w="12700">
              <a:solidFill>
                <a:sysClr val="windowText" lastClr="000000"/>
              </a:solidFill>
            </a:ln>
          </cx:spPr>
          <cx:dataLabels>
            <cx:txPr>
              <a:bodyPr spcFirstLastPara="1" vertOverflow="ellipsis" horzOverflow="overflow" wrap="square" lIns="0" tIns="0" rIns="0" bIns="0" anchor="ctr" anchorCtr="1"/>
              <a:lstStyle/>
              <a:p>
                <a:pPr algn="ctr" rtl="0">
                  <a:defRPr sz="1200" b="1"/>
                </a:pPr>
                <a:endParaRPr lang="cs-CZ" sz="1200" b="1" i="0" u="none" strike="noStrike" baseline="0">
                  <a:solidFill>
                    <a:sysClr val="windowText" lastClr="000000">
                      <a:lumMod val="65000"/>
                      <a:lumOff val="35000"/>
                    </a:sysClr>
                  </a:solidFill>
                  <a:latin typeface="Calibri" panose="020F0502020204030204"/>
                </a:endParaRPr>
              </a:p>
            </cx:txPr>
            <cx:dataLabel idx="0">
              <cx:txPr>
                <a:bodyPr spcFirstLastPara="1" vertOverflow="ellipsis" horzOverflow="overflow" wrap="square" lIns="0" tIns="0" rIns="0" bIns="0" anchor="ctr" anchorCtr="1"/>
                <a:lstStyle/>
                <a:p>
                  <a:pPr algn="ctr" rtl="0">
                    <a:defRPr/>
                  </a:pPr>
                  <a:r>
                    <a:rPr lang="cs-CZ" sz="1200" b="1" i="0" u="none" strike="noStrike" baseline="0">
                      <a:solidFill>
                        <a:sysClr val="windowText" lastClr="000000">
                          <a:lumMod val="65000"/>
                          <a:lumOff val="35000"/>
                        </a:sysClr>
                      </a:solidFill>
                      <a:latin typeface="Calibri" panose="020F0502020204030204"/>
                    </a:rPr>
                    <a:t>71</a:t>
                  </a:r>
                </a:p>
              </cx:txPr>
            </cx:dataLabel>
          </cx:dataLabels>
          <cx:dataId val="0"/>
          <cx:layoutPr>
            <cx:aggregation/>
          </cx:layoutPr>
          <cx:axisId val="1"/>
        </cx:series>
        <cx:series layoutId="paretoLine" ownerIdx="0" uniqueId="{6DB11BFB-3481-4500-9D6A-4C072B16A273}">
          <cx:spPr>
            <a:ln>
              <a:solidFill>
                <a:srgbClr val="FFFF00"/>
              </a:solidFill>
            </a:ln>
          </cx:spPr>
          <cx:axisId val="2"/>
        </cx:series>
      </cx:plotAreaRegion>
      <cx:axis id="0">
        <cx:catScaling gapWidth="0"/>
        <cx:tickLabels/>
        <cx:txPr>
          <a:bodyPr vertOverflow="overflow" horzOverflow="overflow" wrap="square" lIns="0" tIns="0" rIns="0" bIns="0"/>
          <a:lstStyle/>
          <a:p>
            <a:pPr algn="ctr" rtl="0">
              <a:defRPr sz="1000" b="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cs-CZ" sz="1000" b="0">
              <a:solidFill>
                <a:sysClr val="windowText" lastClr="000000"/>
              </a:solidFill>
            </a:endParaRPr>
          </a:p>
        </cx:txPr>
      </cx:axis>
      <cx:axis id="1">
        <cx:valScaling/>
        <cx:majorGridlines/>
        <cx:tickLabels/>
        <cx:txPr>
          <a:bodyPr vertOverflow="overflow" horzOverflow="overflow" wrap="square" lIns="0" tIns="0" rIns="0" bIns="0"/>
          <a:lstStyle/>
          <a:p>
            <a:pPr algn="ctr" rtl="0">
              <a:defRPr sz="900" b="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cs-CZ" b="0">
              <a:solidFill>
                <a:sysClr val="windowText" lastClr="000000"/>
              </a:solidFill>
            </a:endParaRPr>
          </a:p>
        </cx:txPr>
      </cx:axis>
      <cx:axis id="2">
        <cx:valScaling max="1" min="0"/>
        <cx:units unit="percentage"/>
        <cx:tickLabels/>
      </cx:axis>
    </cx:plotArea>
  </cx:chart>
  <cx:spPr>
    <a:ln>
      <a:solidFill>
        <a:schemeClr val="bg1">
          <a:lumMod val="65000"/>
        </a:schemeClr>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1118D-7546-4ED8-AB60-4058A18D09A0}"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cs-CZ"/>
        </a:p>
      </dgm:t>
    </dgm:pt>
    <dgm:pt modelId="{C0DC9170-8F36-4B79-BB87-448963AE54FC}">
      <dgm:prSet phldrT="[Text]"/>
      <dgm:spPr>
        <a:xfrm rot="16200000">
          <a:off x="276638" y="2133490"/>
          <a:ext cx="3110790" cy="350739"/>
        </a:xfrm>
        <a:prstGeom prst="rect">
          <a:avLst/>
        </a:prstGeom>
        <a:solidFill>
          <a:srgbClr val="FFC000"/>
        </a:solidFill>
        <a:ln w="12700" cap="flat" cmpd="sng" algn="ctr">
          <a:solidFill>
            <a:sysClr val="windowText" lastClr="000000"/>
          </a:solidFill>
          <a:prstDash val="solid"/>
          <a:miter lim="800000"/>
        </a:ln>
        <a:effectLst/>
      </dgm:spPr>
      <dgm:t>
        <a:bodyPr/>
        <a:lstStyle/>
        <a:p>
          <a:pPr algn="ctr">
            <a:buNone/>
          </a:pPr>
          <a:r>
            <a:rPr lang="cs-CZ" b="1" baseline="0">
              <a:solidFill>
                <a:sysClr val="windowText" lastClr="000000"/>
              </a:solidFill>
              <a:latin typeface="Calibri" panose="020F0502020204030204"/>
              <a:ea typeface="+mn-ea"/>
              <a:cs typeface="+mn-cs"/>
            </a:rPr>
            <a:t>VIZE ROZVOJE OBCE</a:t>
          </a:r>
        </a:p>
      </dgm:t>
    </dgm:pt>
    <dgm:pt modelId="{3D44AABD-2FA4-40A3-AE08-C66256113919}" type="parTrans" cxnId="{03AF806A-2F4F-4A27-9BFE-D795F3B224CE}">
      <dgm:prSet/>
      <dgm:spPr/>
      <dgm:t>
        <a:bodyPr/>
        <a:lstStyle/>
        <a:p>
          <a:endParaRPr lang="cs-CZ"/>
        </a:p>
      </dgm:t>
    </dgm:pt>
    <dgm:pt modelId="{522CFC97-9C0C-4D46-B3FF-CF4F8B5ACFEB}" type="sibTrans" cxnId="{03AF806A-2F4F-4A27-9BFE-D795F3B224CE}">
      <dgm:prSet/>
      <dgm:spPr/>
      <dgm:t>
        <a:bodyPr/>
        <a:lstStyle/>
        <a:p>
          <a:endParaRPr lang="cs-CZ"/>
        </a:p>
      </dgm:t>
    </dgm:pt>
    <dgm:pt modelId="{077E7F10-9F93-42F7-B551-49611E257257}">
      <dgm:prSet phldrT="[Text]"/>
      <dgm:spPr>
        <a:xfrm>
          <a:off x="2212556" y="588826"/>
          <a:ext cx="1025765" cy="312733"/>
        </a:xfrm>
        <a:prstGeom prst="rect">
          <a:avLst/>
        </a:prstGeom>
        <a:solidFill>
          <a:sysClr val="window" lastClr="FFFFFF">
            <a:lumMod val="65000"/>
          </a:sysClr>
        </a:solidFill>
        <a:ln w="12700" cap="flat" cmpd="sng" algn="ctr">
          <a:solidFill>
            <a:sysClr val="windowText" lastClr="000000"/>
          </a:solidFill>
          <a:prstDash val="solid"/>
          <a:miter lim="800000"/>
        </a:ln>
        <a:effectLst/>
      </dgm:spPr>
      <dgm:t>
        <a:bodyPr/>
        <a:lstStyle/>
        <a:p>
          <a:pPr>
            <a:buNone/>
          </a:pPr>
          <a:r>
            <a:rPr lang="cs-CZ">
              <a:solidFill>
                <a:sysClr val="windowText" lastClr="000000"/>
              </a:solidFill>
              <a:latin typeface="Calibri" panose="020F0502020204030204"/>
              <a:ea typeface="+mn-ea"/>
              <a:cs typeface="+mn-cs"/>
            </a:rPr>
            <a:t>Klíčová oblast rozvoje 1</a:t>
          </a:r>
        </a:p>
      </dgm:t>
    </dgm:pt>
    <dgm:pt modelId="{413F64A9-5D21-4B09-9586-61FA282C9F71}" type="parTrans" cxnId="{8351C02B-2038-483F-A1F4-3E271D162C99}">
      <dgm:prSet/>
      <dgm:spPr>
        <a:xfrm>
          <a:off x="2007403" y="745193"/>
          <a:ext cx="205153" cy="1563666"/>
        </a:xfrm>
        <a:custGeom>
          <a:avLst/>
          <a:gdLst/>
          <a:ahLst/>
          <a:cxnLst/>
          <a:rect l="0" t="0" r="0" b="0"/>
          <a:pathLst>
            <a:path>
              <a:moveTo>
                <a:pt x="0" y="1563666"/>
              </a:moveTo>
              <a:lnTo>
                <a:pt x="102576" y="1563666"/>
              </a:lnTo>
              <a:lnTo>
                <a:pt x="102576" y="0"/>
              </a:lnTo>
              <a:lnTo>
                <a:pt x="205153" y="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2ED9445C-F897-420A-A00D-D315A15956C4}" type="sibTrans" cxnId="{8351C02B-2038-483F-A1F4-3E271D162C99}">
      <dgm:prSet/>
      <dgm:spPr/>
      <dgm:t>
        <a:bodyPr/>
        <a:lstStyle/>
        <a:p>
          <a:endParaRPr lang="cs-CZ"/>
        </a:p>
      </dgm:t>
    </dgm:pt>
    <dgm:pt modelId="{7515A0DC-5A9C-4AC2-8771-8F9F09EFC498}">
      <dgm:prSet phldrT="[Text]"/>
      <dgm:spPr>
        <a:xfrm>
          <a:off x="2212556" y="2152493"/>
          <a:ext cx="1025765" cy="312733"/>
        </a:xfrm>
        <a:prstGeom prst="rect">
          <a:avLst/>
        </a:prstGeom>
        <a:solidFill>
          <a:srgbClr val="92D050"/>
        </a:solidFill>
        <a:ln w="12700" cap="flat" cmpd="sng" algn="ctr">
          <a:solidFill>
            <a:sysClr val="windowText" lastClr="000000"/>
          </a:solidFill>
          <a:prstDash val="solid"/>
          <a:miter lim="800000"/>
        </a:ln>
        <a:effectLst/>
      </dgm:spPr>
      <dgm:t>
        <a:bodyPr/>
        <a:lstStyle/>
        <a:p>
          <a:pPr>
            <a:buNone/>
          </a:pPr>
          <a:r>
            <a:rPr lang="cs-CZ">
              <a:solidFill>
                <a:sysClr val="windowText" lastClr="000000"/>
              </a:solidFill>
              <a:latin typeface="Calibri" panose="020F0502020204030204"/>
              <a:ea typeface="+mn-ea"/>
              <a:cs typeface="+mn-cs"/>
            </a:rPr>
            <a:t>Klíčová oblast rozvoje 2</a:t>
          </a:r>
        </a:p>
      </dgm:t>
    </dgm:pt>
    <dgm:pt modelId="{F3A63992-D4E4-4B06-B239-3D9B22C7DC53}" type="parTrans" cxnId="{AF4EEDBC-B53A-40F9-BBED-EC07EA5E3313}">
      <dgm:prSet/>
      <dgm:spPr>
        <a:xfrm>
          <a:off x="2007403" y="2263139"/>
          <a:ext cx="205153" cy="91440"/>
        </a:xfrm>
        <a:custGeom>
          <a:avLst/>
          <a:gdLst/>
          <a:ahLst/>
          <a:cxnLst/>
          <a:rect l="0" t="0" r="0" b="0"/>
          <a:pathLst>
            <a:path>
              <a:moveTo>
                <a:pt x="0" y="45720"/>
              </a:moveTo>
              <a:lnTo>
                <a:pt x="205153" y="4572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E9D6F673-4F04-4807-8CC4-982390416951}" type="sibTrans" cxnId="{AF4EEDBC-B53A-40F9-BBED-EC07EA5E3313}">
      <dgm:prSet/>
      <dgm:spPr/>
      <dgm:t>
        <a:bodyPr/>
        <a:lstStyle/>
        <a:p>
          <a:endParaRPr lang="cs-CZ"/>
        </a:p>
      </dgm:t>
    </dgm:pt>
    <dgm:pt modelId="{AE2DB31A-3B06-49B1-B6E4-15CF13C19D91}">
      <dgm:prSet phldrT="[Text]"/>
      <dgm:spPr>
        <a:xfrm>
          <a:off x="2212556" y="3716159"/>
          <a:ext cx="1025765" cy="312733"/>
        </a:xfrm>
        <a:prstGeom prst="rect">
          <a:avLst/>
        </a:prstGeom>
        <a:solidFill>
          <a:sysClr val="window" lastClr="FFFFFF">
            <a:lumMod val="65000"/>
          </a:sys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Klíčová oblast rozvoje 3</a:t>
          </a:r>
        </a:p>
      </dgm:t>
    </dgm:pt>
    <dgm:pt modelId="{641E1839-97FE-46FA-A5CF-660A9B7310D7}" type="parTrans" cxnId="{55E5F3E7-200B-4C89-B341-25C267757205}">
      <dgm:prSet/>
      <dgm:spPr>
        <a:xfrm>
          <a:off x="2007403" y="2308859"/>
          <a:ext cx="205153" cy="1563666"/>
        </a:xfrm>
        <a:custGeom>
          <a:avLst/>
          <a:gdLst/>
          <a:ahLst/>
          <a:cxnLst/>
          <a:rect l="0" t="0" r="0" b="0"/>
          <a:pathLst>
            <a:path>
              <a:moveTo>
                <a:pt x="0" y="0"/>
              </a:moveTo>
              <a:lnTo>
                <a:pt x="102576" y="0"/>
              </a:lnTo>
              <a:lnTo>
                <a:pt x="102576" y="1563666"/>
              </a:lnTo>
              <a:lnTo>
                <a:pt x="205153" y="1563666"/>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2B5E3ADE-490D-45D4-A328-36BD49C209B1}" type="sibTrans" cxnId="{55E5F3E7-200B-4C89-B341-25C267757205}">
      <dgm:prSet/>
      <dgm:spPr/>
      <dgm:t>
        <a:bodyPr/>
        <a:lstStyle/>
        <a:p>
          <a:endParaRPr lang="cs-CZ"/>
        </a:p>
      </dgm:t>
    </dgm:pt>
    <dgm:pt modelId="{6374B15B-2C84-4A0E-A2EF-9BE822897845}">
      <dgm:prSet/>
      <dgm:spPr>
        <a:xfrm>
          <a:off x="3443474" y="200362"/>
          <a:ext cx="1025765" cy="312733"/>
        </a:xfrm>
        <a:prstGeom prst="rect">
          <a:avLst/>
        </a:prstGeom>
        <a:solidFill>
          <a:sysClr val="window" lastClr="FFFFFF">
            <a:lumMod val="75000"/>
          </a:sys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Strategický cíl 1.1</a:t>
          </a:r>
        </a:p>
      </dgm:t>
    </dgm:pt>
    <dgm:pt modelId="{E62320D0-BD4D-4AEE-8089-78489DB4207A}" type="parTrans" cxnId="{F2902ADB-AA2B-4DB2-810B-DDE49F957901}">
      <dgm:prSet/>
      <dgm:spPr>
        <a:xfrm>
          <a:off x="3238321" y="356728"/>
          <a:ext cx="205153" cy="388464"/>
        </a:xfrm>
        <a:custGeom>
          <a:avLst/>
          <a:gdLst/>
          <a:ahLst/>
          <a:cxnLst/>
          <a:rect l="0" t="0" r="0" b="0"/>
          <a:pathLst>
            <a:path>
              <a:moveTo>
                <a:pt x="0" y="388464"/>
              </a:moveTo>
              <a:lnTo>
                <a:pt x="102576" y="388464"/>
              </a:lnTo>
              <a:lnTo>
                <a:pt x="102576" y="0"/>
              </a:lnTo>
              <a:lnTo>
                <a:pt x="205153" y="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D9793319-D74C-4FEE-9CCE-873FC47FF680}" type="sibTrans" cxnId="{F2902ADB-AA2B-4DB2-810B-DDE49F957901}">
      <dgm:prSet/>
      <dgm:spPr/>
      <dgm:t>
        <a:bodyPr/>
        <a:lstStyle/>
        <a:p>
          <a:endParaRPr lang="cs-CZ"/>
        </a:p>
      </dgm:t>
    </dgm:pt>
    <dgm:pt modelId="{ADE56455-EB56-46FB-8D17-E6BAFB2EEC9A}">
      <dgm:prSet/>
      <dgm:spPr>
        <a:xfrm>
          <a:off x="3443474" y="982195"/>
          <a:ext cx="1025765" cy="312733"/>
        </a:xfrm>
        <a:prstGeom prst="rect">
          <a:avLst/>
        </a:prstGeom>
        <a:solidFill>
          <a:sysClr val="window" lastClr="FFFFFF">
            <a:lumMod val="75000"/>
          </a:sys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Strategický cíl 1.2</a:t>
          </a:r>
        </a:p>
      </dgm:t>
    </dgm:pt>
    <dgm:pt modelId="{EA8A0722-BF0B-49A0-852F-39F2903C6BAC}" type="parTrans" cxnId="{AD7C0A60-EE6F-40C4-9134-D6E03B6F4C9A}">
      <dgm:prSet/>
      <dgm:spPr>
        <a:xfrm>
          <a:off x="3238321" y="745193"/>
          <a:ext cx="205153" cy="393368"/>
        </a:xfrm>
        <a:custGeom>
          <a:avLst/>
          <a:gdLst/>
          <a:ahLst/>
          <a:cxnLst/>
          <a:rect l="0" t="0" r="0" b="0"/>
          <a:pathLst>
            <a:path>
              <a:moveTo>
                <a:pt x="0" y="0"/>
              </a:moveTo>
              <a:lnTo>
                <a:pt x="102576" y="0"/>
              </a:lnTo>
              <a:lnTo>
                <a:pt x="102576" y="393368"/>
              </a:lnTo>
              <a:lnTo>
                <a:pt x="205153" y="393368"/>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4F700BF7-242D-4C89-BF15-97E2C44A3E27}" type="sibTrans" cxnId="{AD7C0A60-EE6F-40C4-9134-D6E03B6F4C9A}">
      <dgm:prSet/>
      <dgm:spPr/>
      <dgm:t>
        <a:bodyPr/>
        <a:lstStyle/>
        <a:p>
          <a:endParaRPr lang="cs-CZ"/>
        </a:p>
      </dgm:t>
    </dgm:pt>
    <dgm:pt modelId="{FCEA70D9-66A0-402A-94CF-4AE63221705F}">
      <dgm:prSet/>
      <dgm:spPr>
        <a:xfrm>
          <a:off x="3443474" y="1764028"/>
          <a:ext cx="1025765" cy="312733"/>
        </a:xfrm>
        <a:prstGeom prst="rect">
          <a:avLst/>
        </a:prstGeom>
        <a:solidFill>
          <a:srgbClr val="70AD47">
            <a:lumMod val="60000"/>
            <a:lumOff val="40000"/>
          </a:srgb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Strategický cíl 2.1</a:t>
          </a:r>
        </a:p>
      </dgm:t>
    </dgm:pt>
    <dgm:pt modelId="{B25A3A85-0CB1-40E8-8F55-0E927DB3073B}" type="parTrans" cxnId="{B55B1D36-59A2-4C42-8364-8482A39B4384}">
      <dgm:prSet/>
      <dgm:spPr>
        <a:xfrm>
          <a:off x="3238321" y="1920395"/>
          <a:ext cx="205153" cy="388464"/>
        </a:xfrm>
        <a:custGeom>
          <a:avLst/>
          <a:gdLst/>
          <a:ahLst/>
          <a:cxnLst/>
          <a:rect l="0" t="0" r="0" b="0"/>
          <a:pathLst>
            <a:path>
              <a:moveTo>
                <a:pt x="0" y="388464"/>
              </a:moveTo>
              <a:lnTo>
                <a:pt x="102576" y="388464"/>
              </a:lnTo>
              <a:lnTo>
                <a:pt x="102576" y="0"/>
              </a:lnTo>
              <a:lnTo>
                <a:pt x="205153" y="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38774431-5473-4E26-9DC0-F672394A41F9}" type="sibTrans" cxnId="{B55B1D36-59A2-4C42-8364-8482A39B4384}">
      <dgm:prSet/>
      <dgm:spPr/>
      <dgm:t>
        <a:bodyPr/>
        <a:lstStyle/>
        <a:p>
          <a:endParaRPr lang="cs-CZ"/>
        </a:p>
      </dgm:t>
    </dgm:pt>
    <dgm:pt modelId="{21391115-5D3B-4BBB-870E-24AEAE365C7D}">
      <dgm:prSet/>
      <dgm:spPr>
        <a:xfrm>
          <a:off x="3443474" y="2545861"/>
          <a:ext cx="1025765" cy="312733"/>
        </a:xfrm>
        <a:prstGeom prst="rect">
          <a:avLst/>
        </a:prstGeom>
        <a:solidFill>
          <a:srgbClr val="70AD47">
            <a:lumMod val="60000"/>
            <a:lumOff val="40000"/>
          </a:srgb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Strategický cíl 2.2</a:t>
          </a:r>
        </a:p>
      </dgm:t>
    </dgm:pt>
    <dgm:pt modelId="{4236090A-2D69-4A64-A7C9-1D43A61EBDDE}" type="parTrans" cxnId="{EA28C4FD-2F43-47BF-8509-7682C71D414C}">
      <dgm:prSet/>
      <dgm:spPr>
        <a:xfrm>
          <a:off x="3238321" y="2308860"/>
          <a:ext cx="205153" cy="393368"/>
        </a:xfrm>
        <a:custGeom>
          <a:avLst/>
          <a:gdLst/>
          <a:ahLst/>
          <a:cxnLst/>
          <a:rect l="0" t="0" r="0" b="0"/>
          <a:pathLst>
            <a:path>
              <a:moveTo>
                <a:pt x="0" y="0"/>
              </a:moveTo>
              <a:lnTo>
                <a:pt x="102576" y="0"/>
              </a:lnTo>
              <a:lnTo>
                <a:pt x="102576" y="393368"/>
              </a:lnTo>
              <a:lnTo>
                <a:pt x="205153" y="393368"/>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E2F9E790-4A20-447E-8527-56EE9146F152}" type="sibTrans" cxnId="{EA28C4FD-2F43-47BF-8509-7682C71D414C}">
      <dgm:prSet/>
      <dgm:spPr/>
      <dgm:t>
        <a:bodyPr/>
        <a:lstStyle/>
        <a:p>
          <a:endParaRPr lang="cs-CZ"/>
        </a:p>
      </dgm:t>
    </dgm:pt>
    <dgm:pt modelId="{5910CD64-DEB6-41A2-A540-0FAB987844F9}">
      <dgm:prSet/>
      <dgm:spPr>
        <a:xfrm>
          <a:off x="3443474" y="3327694"/>
          <a:ext cx="1025765" cy="312733"/>
        </a:xfrm>
        <a:prstGeom prst="rect">
          <a:avLst/>
        </a:prstGeom>
        <a:solidFill>
          <a:sysClr val="window" lastClr="FFFFFF">
            <a:lumMod val="75000"/>
          </a:sys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Strategický cíl 3.1</a:t>
          </a:r>
        </a:p>
      </dgm:t>
    </dgm:pt>
    <dgm:pt modelId="{132EB148-92DF-45F0-A3C8-40CABFEAE1A3}" type="parTrans" cxnId="{D14DE90C-E1BA-405E-83CB-88BD62DEE443}">
      <dgm:prSet/>
      <dgm:spPr>
        <a:xfrm>
          <a:off x="3238321" y="3484061"/>
          <a:ext cx="205153" cy="388464"/>
        </a:xfrm>
        <a:custGeom>
          <a:avLst/>
          <a:gdLst/>
          <a:ahLst/>
          <a:cxnLst/>
          <a:rect l="0" t="0" r="0" b="0"/>
          <a:pathLst>
            <a:path>
              <a:moveTo>
                <a:pt x="0" y="388464"/>
              </a:moveTo>
              <a:lnTo>
                <a:pt x="102576" y="388464"/>
              </a:lnTo>
              <a:lnTo>
                <a:pt x="102576" y="0"/>
              </a:lnTo>
              <a:lnTo>
                <a:pt x="205153" y="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EB573AA0-E1C3-4050-8D49-C5F6F37DAB4E}" type="sibTrans" cxnId="{D14DE90C-E1BA-405E-83CB-88BD62DEE443}">
      <dgm:prSet/>
      <dgm:spPr/>
      <dgm:t>
        <a:bodyPr/>
        <a:lstStyle/>
        <a:p>
          <a:endParaRPr lang="cs-CZ"/>
        </a:p>
      </dgm:t>
    </dgm:pt>
    <dgm:pt modelId="{BFAD6C39-E400-4265-93CA-04560C41404E}">
      <dgm:prSet/>
      <dgm:spPr>
        <a:xfrm>
          <a:off x="3443474" y="4109528"/>
          <a:ext cx="1025765" cy="312733"/>
        </a:xfrm>
        <a:prstGeom prst="rect">
          <a:avLst/>
        </a:prstGeom>
        <a:solidFill>
          <a:sysClr val="window" lastClr="FFFFFF">
            <a:lumMod val="75000"/>
          </a:sys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Strategický cíl 3.2</a:t>
          </a:r>
        </a:p>
      </dgm:t>
    </dgm:pt>
    <dgm:pt modelId="{82F42672-78A7-4C01-9819-269272D69DAD}" type="parTrans" cxnId="{2C4243A0-5D59-4105-A1CF-DB3F842980C5}">
      <dgm:prSet/>
      <dgm:spPr>
        <a:xfrm>
          <a:off x="3238321" y="3872526"/>
          <a:ext cx="205153" cy="393368"/>
        </a:xfrm>
        <a:custGeom>
          <a:avLst/>
          <a:gdLst/>
          <a:ahLst/>
          <a:cxnLst/>
          <a:rect l="0" t="0" r="0" b="0"/>
          <a:pathLst>
            <a:path>
              <a:moveTo>
                <a:pt x="0" y="0"/>
              </a:moveTo>
              <a:lnTo>
                <a:pt x="102576" y="0"/>
              </a:lnTo>
              <a:lnTo>
                <a:pt x="102576" y="393368"/>
              </a:lnTo>
              <a:lnTo>
                <a:pt x="205153" y="393368"/>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C0BF7FC3-5F69-42EA-A733-7208766FFD5B}" type="sibTrans" cxnId="{2C4243A0-5D59-4105-A1CF-DB3F842980C5}">
      <dgm:prSet/>
      <dgm:spPr/>
      <dgm:t>
        <a:bodyPr/>
        <a:lstStyle/>
        <a:p>
          <a:endParaRPr lang="cs-CZ"/>
        </a:p>
      </dgm:t>
    </dgm:pt>
    <dgm:pt modelId="{A6354AB3-B038-4F3F-8C48-2722C8585607}">
      <dgm:prSet/>
      <dgm:spPr>
        <a:xfrm>
          <a:off x="5907578" y="15452"/>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Konkrétní aktivity</a:t>
          </a:r>
        </a:p>
      </dgm:t>
    </dgm:pt>
    <dgm:pt modelId="{E5F69BAB-2030-4A51-97A6-AED57E4C5C03}" type="parTrans" cxnId="{E1A68B0B-6149-4E80-90EC-72E0583208E0}">
      <dgm:prSet/>
      <dgm:spPr>
        <a:xfrm>
          <a:off x="5683068" y="125886"/>
          <a:ext cx="224509" cy="91440"/>
        </a:xfrm>
        <a:custGeom>
          <a:avLst/>
          <a:gdLst/>
          <a:ahLst/>
          <a:cxnLst/>
          <a:rect l="0" t="0" r="0" b="0"/>
          <a:pathLst>
            <a:path>
              <a:moveTo>
                <a:pt x="0" y="45720"/>
              </a:moveTo>
              <a:lnTo>
                <a:pt x="112254" y="45720"/>
              </a:lnTo>
              <a:lnTo>
                <a:pt x="112254" y="45932"/>
              </a:lnTo>
              <a:lnTo>
                <a:pt x="224509" y="45932"/>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D2A7CE52-073B-4236-AFB4-08DC78806943}" type="sibTrans" cxnId="{E1A68B0B-6149-4E80-90EC-72E0583208E0}">
      <dgm:prSet/>
      <dgm:spPr/>
      <dgm:t>
        <a:bodyPr/>
        <a:lstStyle/>
        <a:p>
          <a:endParaRPr lang="cs-CZ"/>
        </a:p>
      </dgm:t>
    </dgm:pt>
    <dgm:pt modelId="{D2295F07-D507-488E-A5E1-B57D7755424E}">
      <dgm:prSet/>
      <dgm:spPr>
        <a:xfrm>
          <a:off x="5905311" y="379345"/>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Konkrétní aktivity</a:t>
          </a:r>
        </a:p>
      </dgm:t>
    </dgm:pt>
    <dgm:pt modelId="{ADC2A854-A3A7-4938-AEF4-78C7BC217B9B}" type="parTrans" cxnId="{FF92C675-8A4E-4A27-82CE-B08D5DF79FE9}">
      <dgm:prSet/>
      <dgm:spPr>
        <a:xfrm>
          <a:off x="5675447" y="489992"/>
          <a:ext cx="229863" cy="91440"/>
        </a:xfrm>
        <a:custGeom>
          <a:avLst/>
          <a:gdLst/>
          <a:ahLst/>
          <a:cxnLst/>
          <a:rect l="0" t="0" r="0" b="0"/>
          <a:pathLst>
            <a:path>
              <a:moveTo>
                <a:pt x="0" y="45720"/>
              </a:moveTo>
              <a:lnTo>
                <a:pt x="229863" y="4572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8117A2A2-55EC-4FEB-A697-843DB93B1DB0}" type="sibTrans" cxnId="{FF92C675-8A4E-4A27-82CE-B08D5DF79FE9}">
      <dgm:prSet/>
      <dgm:spPr/>
      <dgm:t>
        <a:bodyPr/>
        <a:lstStyle/>
        <a:p>
          <a:endParaRPr lang="cs-CZ"/>
        </a:p>
      </dgm:t>
    </dgm:pt>
    <dgm:pt modelId="{6B988B30-348E-46F3-A948-896A00A090E5}">
      <dgm:prSet/>
      <dgm:spPr>
        <a:xfrm>
          <a:off x="5905311" y="770262"/>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Konkrétní aktivity</a:t>
          </a:r>
        </a:p>
      </dgm:t>
    </dgm:pt>
    <dgm:pt modelId="{EA5EA040-7980-4BBE-B96E-4B4AF60842DB}" type="parTrans" cxnId="{5DBE91C6-3E75-4933-B171-81F81449E8DF}">
      <dgm:prSet/>
      <dgm:spPr>
        <a:xfrm>
          <a:off x="5675447" y="880908"/>
          <a:ext cx="229863" cy="91440"/>
        </a:xfrm>
        <a:custGeom>
          <a:avLst/>
          <a:gdLst/>
          <a:ahLst/>
          <a:cxnLst/>
          <a:rect l="0" t="0" r="0" b="0"/>
          <a:pathLst>
            <a:path>
              <a:moveTo>
                <a:pt x="0" y="45720"/>
              </a:moveTo>
              <a:lnTo>
                <a:pt x="229863" y="4572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9B3609AD-6D81-4A3B-97C5-FB7BDD3C8682}" type="sibTrans" cxnId="{5DBE91C6-3E75-4933-B171-81F81449E8DF}">
      <dgm:prSet/>
      <dgm:spPr/>
      <dgm:t>
        <a:bodyPr/>
        <a:lstStyle/>
        <a:p>
          <a:endParaRPr lang="cs-CZ"/>
        </a:p>
      </dgm:t>
    </dgm:pt>
    <dgm:pt modelId="{7F77E588-223E-4D70-B9DA-A484D2D3EE48}">
      <dgm:prSet/>
      <dgm:spPr>
        <a:xfrm>
          <a:off x="5905311" y="1161178"/>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Konkrétní aktivity</a:t>
          </a:r>
        </a:p>
      </dgm:t>
    </dgm:pt>
    <dgm:pt modelId="{51628C19-F86B-4B95-A566-B75B2E96E3B1}" type="parTrans" cxnId="{94BF5077-986A-4F58-8FAF-A23F37AE0B7E}">
      <dgm:prSet/>
      <dgm:spPr>
        <a:xfrm>
          <a:off x="5675447" y="1271825"/>
          <a:ext cx="229863" cy="91440"/>
        </a:xfrm>
        <a:custGeom>
          <a:avLst/>
          <a:gdLst/>
          <a:ahLst/>
          <a:cxnLst/>
          <a:rect l="0" t="0" r="0" b="0"/>
          <a:pathLst>
            <a:path>
              <a:moveTo>
                <a:pt x="0" y="45720"/>
              </a:moveTo>
              <a:lnTo>
                <a:pt x="229863" y="4572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8FB79C97-6AF8-48B8-96F2-992F0E1AC06B}" type="sibTrans" cxnId="{94BF5077-986A-4F58-8FAF-A23F37AE0B7E}">
      <dgm:prSet/>
      <dgm:spPr/>
      <dgm:t>
        <a:bodyPr/>
        <a:lstStyle/>
        <a:p>
          <a:endParaRPr lang="cs-CZ"/>
        </a:p>
      </dgm:t>
    </dgm:pt>
    <dgm:pt modelId="{C1FE717B-2BD9-43E3-8A8D-05641CFF5522}">
      <dgm:prSet/>
      <dgm:spPr>
        <a:xfrm>
          <a:off x="5905311" y="1568570"/>
          <a:ext cx="1025765" cy="312733"/>
        </a:xfrm>
        <a:prstGeom prst="rect">
          <a:avLst/>
        </a:prstGeom>
        <a:solidFill>
          <a:srgbClr val="70AD47">
            <a:lumMod val="20000"/>
            <a:lumOff val="80000"/>
          </a:srgbClr>
        </a:solidFill>
        <a:ln w="9525"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Konkrétní aktivity</a:t>
          </a:r>
        </a:p>
      </dgm:t>
    </dgm:pt>
    <dgm:pt modelId="{C5B08D25-AF92-49CD-9DBE-F60C7E7A5E7D}" type="parTrans" cxnId="{96D6DFDF-947D-4524-B891-3BAEC466F8EC}">
      <dgm:prSet/>
      <dgm:spPr>
        <a:xfrm>
          <a:off x="5700158" y="1679216"/>
          <a:ext cx="205153" cy="91440"/>
        </a:xfrm>
        <a:custGeom>
          <a:avLst/>
          <a:gdLst/>
          <a:ahLst/>
          <a:cxnLst/>
          <a:rect l="0" t="0" r="0" b="0"/>
          <a:pathLst>
            <a:path>
              <a:moveTo>
                <a:pt x="0" y="45720"/>
              </a:moveTo>
              <a:lnTo>
                <a:pt x="205153" y="4572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82F279E1-6E85-45D4-AA6B-33D02F2F66AC}" type="sibTrans" cxnId="{96D6DFDF-947D-4524-B891-3BAEC466F8EC}">
      <dgm:prSet/>
      <dgm:spPr/>
      <dgm:t>
        <a:bodyPr/>
        <a:lstStyle/>
        <a:p>
          <a:endParaRPr lang="cs-CZ"/>
        </a:p>
      </dgm:t>
    </dgm:pt>
    <dgm:pt modelId="{0692D778-0F32-4165-BB4D-D0617F522E15}">
      <dgm:prSet/>
      <dgm:spPr>
        <a:xfrm>
          <a:off x="5905311" y="1959486"/>
          <a:ext cx="1025765" cy="312733"/>
        </a:xfrm>
        <a:prstGeom prst="rect">
          <a:avLst/>
        </a:prstGeom>
        <a:solidFill>
          <a:srgbClr val="70AD47">
            <a:lumMod val="20000"/>
            <a:lumOff val="80000"/>
          </a:srgbClr>
        </a:solidFill>
        <a:ln w="9525"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Konkrétní aktivity</a:t>
          </a:r>
        </a:p>
      </dgm:t>
    </dgm:pt>
    <dgm:pt modelId="{DF577185-EF0E-4F1C-B05A-EDA1D51FA488}" type="parTrans" cxnId="{8BFB1939-6DD3-41D9-9447-145B405B5CDD}">
      <dgm:prSet/>
      <dgm:spPr>
        <a:xfrm>
          <a:off x="5700158" y="2070133"/>
          <a:ext cx="205153" cy="91440"/>
        </a:xfrm>
        <a:custGeom>
          <a:avLst/>
          <a:gdLst/>
          <a:ahLst/>
          <a:cxnLst/>
          <a:rect l="0" t="0" r="0" b="0"/>
          <a:pathLst>
            <a:path>
              <a:moveTo>
                <a:pt x="0" y="45720"/>
              </a:moveTo>
              <a:lnTo>
                <a:pt x="205153" y="4572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D995E55A-7653-43B7-902F-9CA79D464172}" type="sibTrans" cxnId="{8BFB1939-6DD3-41D9-9447-145B405B5CDD}">
      <dgm:prSet/>
      <dgm:spPr/>
      <dgm:t>
        <a:bodyPr/>
        <a:lstStyle/>
        <a:p>
          <a:endParaRPr lang="cs-CZ"/>
        </a:p>
      </dgm:t>
    </dgm:pt>
    <dgm:pt modelId="{2064A4A3-37CD-4029-AFAC-40DEAB879D8E}">
      <dgm:prSet/>
      <dgm:spPr>
        <a:xfrm>
          <a:off x="5905311" y="2350403"/>
          <a:ext cx="1025765" cy="312733"/>
        </a:xfrm>
        <a:prstGeom prst="rect">
          <a:avLst/>
        </a:prstGeom>
        <a:solidFill>
          <a:srgbClr val="70AD47">
            <a:lumMod val="20000"/>
            <a:lumOff val="80000"/>
          </a:srgbClr>
        </a:solidFill>
        <a:ln w="9525"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Konkrétní aktivity</a:t>
          </a:r>
        </a:p>
      </dgm:t>
    </dgm:pt>
    <dgm:pt modelId="{07CDB11C-BFA8-47B8-90F9-CBA0BFEB0344}" type="parTrans" cxnId="{56F93DE2-A902-48A2-A046-72D566312BFF}">
      <dgm:prSet/>
      <dgm:spPr>
        <a:xfrm>
          <a:off x="5700158" y="2461050"/>
          <a:ext cx="205153" cy="91440"/>
        </a:xfrm>
        <a:custGeom>
          <a:avLst/>
          <a:gdLst/>
          <a:ahLst/>
          <a:cxnLst/>
          <a:rect l="0" t="0" r="0" b="0"/>
          <a:pathLst>
            <a:path>
              <a:moveTo>
                <a:pt x="0" y="45720"/>
              </a:moveTo>
              <a:lnTo>
                <a:pt x="205153" y="4572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5505CC9C-AFA0-480C-BD42-05F56B2100E2}" type="sibTrans" cxnId="{56F93DE2-A902-48A2-A046-72D566312BFF}">
      <dgm:prSet/>
      <dgm:spPr/>
      <dgm:t>
        <a:bodyPr/>
        <a:lstStyle/>
        <a:p>
          <a:endParaRPr lang="cs-CZ"/>
        </a:p>
      </dgm:t>
    </dgm:pt>
    <dgm:pt modelId="{5B40F81D-BB3A-410A-B612-9303712F579F}">
      <dgm:prSet/>
      <dgm:spPr>
        <a:xfrm>
          <a:off x="5905311" y="2741320"/>
          <a:ext cx="1025765" cy="312733"/>
        </a:xfrm>
        <a:prstGeom prst="rect">
          <a:avLst/>
        </a:prstGeom>
        <a:solidFill>
          <a:srgbClr val="70AD47">
            <a:lumMod val="20000"/>
            <a:lumOff val="80000"/>
          </a:srgbClr>
        </a:solidFill>
        <a:ln w="9525"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Konkrétní aktivity</a:t>
          </a:r>
        </a:p>
      </dgm:t>
    </dgm:pt>
    <dgm:pt modelId="{31760B29-4D77-47AE-AE70-57405F979C6E}" type="parTrans" cxnId="{6DF8A74E-2C95-48BC-91FD-7FB0E68216E4}">
      <dgm:prSet/>
      <dgm:spPr>
        <a:xfrm>
          <a:off x="5700158" y="2851966"/>
          <a:ext cx="205153" cy="91440"/>
        </a:xfrm>
        <a:custGeom>
          <a:avLst/>
          <a:gdLst/>
          <a:ahLst/>
          <a:cxnLst/>
          <a:rect l="0" t="0" r="0" b="0"/>
          <a:pathLst>
            <a:path>
              <a:moveTo>
                <a:pt x="0" y="45720"/>
              </a:moveTo>
              <a:lnTo>
                <a:pt x="205153" y="4572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4DF027D2-6D41-4EE8-B1EC-77BD3AE789DF}" type="sibTrans" cxnId="{6DF8A74E-2C95-48BC-91FD-7FB0E68216E4}">
      <dgm:prSet/>
      <dgm:spPr/>
      <dgm:t>
        <a:bodyPr/>
        <a:lstStyle/>
        <a:p>
          <a:endParaRPr lang="cs-CZ"/>
        </a:p>
      </dgm:t>
    </dgm:pt>
    <dgm:pt modelId="{45C43FCA-F3D9-4FD7-B958-842A93815AEA}">
      <dgm:prSet/>
      <dgm:spPr>
        <a:xfrm>
          <a:off x="5906870" y="3134688"/>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Konkrétní aktivity</a:t>
          </a:r>
        </a:p>
      </dgm:t>
    </dgm:pt>
    <dgm:pt modelId="{4825FC5A-E3A3-45F6-A265-82C97FE7C18B}" type="parTrans" cxnId="{DA63FBD3-0510-4634-9A63-251DED5192B1}">
      <dgm:prSet/>
      <dgm:spPr>
        <a:xfrm>
          <a:off x="5700158" y="3242883"/>
          <a:ext cx="206712" cy="91440"/>
        </a:xfrm>
        <a:custGeom>
          <a:avLst/>
          <a:gdLst/>
          <a:ahLst/>
          <a:cxnLst/>
          <a:rect l="0" t="0" r="0" b="0"/>
          <a:pathLst>
            <a:path>
              <a:moveTo>
                <a:pt x="0" y="45720"/>
              </a:moveTo>
              <a:lnTo>
                <a:pt x="103356" y="45720"/>
              </a:lnTo>
              <a:lnTo>
                <a:pt x="103356" y="48171"/>
              </a:lnTo>
              <a:lnTo>
                <a:pt x="206712" y="48171"/>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07FAA064-4127-413B-85A6-35010E4EA3AC}" type="sibTrans" cxnId="{DA63FBD3-0510-4634-9A63-251DED5192B1}">
      <dgm:prSet/>
      <dgm:spPr/>
      <dgm:t>
        <a:bodyPr/>
        <a:lstStyle/>
        <a:p>
          <a:endParaRPr lang="cs-CZ"/>
        </a:p>
      </dgm:t>
    </dgm:pt>
    <dgm:pt modelId="{E852028A-FD5F-4F0B-8760-9264A722BD48}">
      <dgm:prSet/>
      <dgm:spPr>
        <a:xfrm>
          <a:off x="5906870" y="3525605"/>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Konkrétní aktivity</a:t>
          </a:r>
        </a:p>
      </dgm:t>
    </dgm:pt>
    <dgm:pt modelId="{DF1EDD13-516A-4F59-B6CE-B6D185739264}" type="parTrans" cxnId="{F188FF6D-FB6A-4DD0-831F-034D589074F7}">
      <dgm:prSet/>
      <dgm:spPr>
        <a:xfrm>
          <a:off x="5700158" y="3633799"/>
          <a:ext cx="206712" cy="91440"/>
        </a:xfrm>
        <a:custGeom>
          <a:avLst/>
          <a:gdLst/>
          <a:ahLst/>
          <a:cxnLst/>
          <a:rect l="0" t="0" r="0" b="0"/>
          <a:pathLst>
            <a:path>
              <a:moveTo>
                <a:pt x="0" y="45720"/>
              </a:moveTo>
              <a:lnTo>
                <a:pt x="103356" y="45720"/>
              </a:lnTo>
              <a:lnTo>
                <a:pt x="103356" y="48171"/>
              </a:lnTo>
              <a:lnTo>
                <a:pt x="206712" y="48171"/>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57A21F51-1737-410C-B1E7-ED51E2EF8921}" type="sibTrans" cxnId="{F188FF6D-FB6A-4DD0-831F-034D589074F7}">
      <dgm:prSet/>
      <dgm:spPr/>
      <dgm:t>
        <a:bodyPr/>
        <a:lstStyle/>
        <a:p>
          <a:endParaRPr lang="cs-CZ"/>
        </a:p>
      </dgm:t>
    </dgm:pt>
    <dgm:pt modelId="{279D325B-A1B3-49A3-8D4C-7B91A95C5CC7}">
      <dgm:prSet/>
      <dgm:spPr>
        <a:xfrm>
          <a:off x="5906870" y="3916521"/>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Konkrétní aktivity</a:t>
          </a:r>
        </a:p>
      </dgm:t>
    </dgm:pt>
    <dgm:pt modelId="{9BED43CC-94D2-4751-B1F1-A25BD3A65EEA}" type="parTrans" cxnId="{113CDFA1-2A02-4A45-A6DB-5F4A1495C11B}">
      <dgm:prSet/>
      <dgm:spPr>
        <a:xfrm>
          <a:off x="5700158" y="4024716"/>
          <a:ext cx="206712" cy="91440"/>
        </a:xfrm>
        <a:custGeom>
          <a:avLst/>
          <a:gdLst/>
          <a:ahLst/>
          <a:cxnLst/>
          <a:rect l="0" t="0" r="0" b="0"/>
          <a:pathLst>
            <a:path>
              <a:moveTo>
                <a:pt x="0" y="45720"/>
              </a:moveTo>
              <a:lnTo>
                <a:pt x="103356" y="45720"/>
              </a:lnTo>
              <a:lnTo>
                <a:pt x="103356" y="48171"/>
              </a:lnTo>
              <a:lnTo>
                <a:pt x="206712" y="48171"/>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47E700D3-55E1-4858-9C14-A14498E3F3AB}" type="sibTrans" cxnId="{113CDFA1-2A02-4A45-A6DB-5F4A1495C11B}">
      <dgm:prSet/>
      <dgm:spPr/>
      <dgm:t>
        <a:bodyPr/>
        <a:lstStyle/>
        <a:p>
          <a:endParaRPr lang="cs-CZ"/>
        </a:p>
      </dgm:t>
    </dgm:pt>
    <dgm:pt modelId="{504609E6-ABC5-4D74-837E-F1BA5CF4E36E}">
      <dgm:prSet/>
      <dgm:spPr>
        <a:xfrm>
          <a:off x="5906870" y="4280271"/>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Konkrétní aktivity</a:t>
          </a:r>
        </a:p>
      </dgm:t>
    </dgm:pt>
    <dgm:pt modelId="{656E8767-2CA7-463E-B251-FAB86B864C0B}" type="parTrans" cxnId="{3E41C055-6C05-4BB0-9998-64153965543F}">
      <dgm:prSet/>
      <dgm:spPr>
        <a:xfrm>
          <a:off x="5700158" y="4390917"/>
          <a:ext cx="206712" cy="91440"/>
        </a:xfrm>
        <a:custGeom>
          <a:avLst/>
          <a:gdLst/>
          <a:ahLst/>
          <a:cxnLst/>
          <a:rect l="0" t="0" r="0" b="0"/>
          <a:pathLst>
            <a:path>
              <a:moveTo>
                <a:pt x="0" y="45720"/>
              </a:moveTo>
              <a:lnTo>
                <a:pt x="206712" y="4572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D29DBCBF-A903-4A63-9343-D2342938B3EA}" type="sibTrans" cxnId="{3E41C055-6C05-4BB0-9998-64153965543F}">
      <dgm:prSet/>
      <dgm:spPr/>
      <dgm:t>
        <a:bodyPr/>
        <a:lstStyle/>
        <a:p>
          <a:endParaRPr lang="cs-CZ"/>
        </a:p>
      </dgm:t>
    </dgm:pt>
    <dgm:pt modelId="{89932BDF-B4D4-46A9-A87C-2258F747B6CE}">
      <dgm:prSet/>
      <dgm:spPr>
        <a:xfrm>
          <a:off x="4657303" y="15239"/>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Opatření 1.1.1</a:t>
          </a:r>
        </a:p>
      </dgm:t>
    </dgm:pt>
    <dgm:pt modelId="{C97D5173-39C6-486B-8B5B-07DE9D649660}" type="parTrans" cxnId="{7B2E6018-E9AB-4AC8-8699-0B1BB63F1545}">
      <dgm:prSet/>
      <dgm:spPr>
        <a:xfrm>
          <a:off x="4469239" y="171606"/>
          <a:ext cx="188063" cy="185122"/>
        </a:xfrm>
        <a:custGeom>
          <a:avLst/>
          <a:gdLst/>
          <a:ahLst/>
          <a:cxnLst/>
          <a:rect l="0" t="0" r="0" b="0"/>
          <a:pathLst>
            <a:path>
              <a:moveTo>
                <a:pt x="0" y="185122"/>
              </a:moveTo>
              <a:lnTo>
                <a:pt x="94031" y="185122"/>
              </a:lnTo>
              <a:lnTo>
                <a:pt x="94031" y="0"/>
              </a:lnTo>
              <a:lnTo>
                <a:pt x="188063" y="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453616C6-78F2-4A4F-983C-A7EB67F8A9E0}" type="sibTrans" cxnId="{7B2E6018-E9AB-4AC8-8699-0B1BB63F1545}">
      <dgm:prSet/>
      <dgm:spPr/>
      <dgm:t>
        <a:bodyPr/>
        <a:lstStyle/>
        <a:p>
          <a:endParaRPr lang="cs-CZ"/>
        </a:p>
      </dgm:t>
    </dgm:pt>
    <dgm:pt modelId="{6A4A391C-4C74-4517-B67A-C3BCA0CD8A04}">
      <dgm:prSet/>
      <dgm:spPr>
        <a:xfrm>
          <a:off x="4649682" y="379345"/>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Opatření 1.1.2</a:t>
          </a:r>
        </a:p>
      </dgm:t>
    </dgm:pt>
    <dgm:pt modelId="{FC4C4977-D679-42D7-B753-E6E4AFE0E1B5}" type="parTrans" cxnId="{97274CCD-4A70-4604-A680-7333DD61EF1D}">
      <dgm:prSet/>
      <dgm:spPr>
        <a:xfrm>
          <a:off x="4469239" y="356728"/>
          <a:ext cx="180442" cy="178983"/>
        </a:xfrm>
        <a:custGeom>
          <a:avLst/>
          <a:gdLst/>
          <a:ahLst/>
          <a:cxnLst/>
          <a:rect l="0" t="0" r="0" b="0"/>
          <a:pathLst>
            <a:path>
              <a:moveTo>
                <a:pt x="0" y="0"/>
              </a:moveTo>
              <a:lnTo>
                <a:pt x="90221" y="0"/>
              </a:lnTo>
              <a:lnTo>
                <a:pt x="90221" y="178983"/>
              </a:lnTo>
              <a:lnTo>
                <a:pt x="180442" y="178983"/>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73C1B80D-DAF6-4D3A-9BBD-CB4DEB5722EF}" type="sibTrans" cxnId="{97274CCD-4A70-4604-A680-7333DD61EF1D}">
      <dgm:prSet/>
      <dgm:spPr/>
      <dgm:t>
        <a:bodyPr/>
        <a:lstStyle/>
        <a:p>
          <a:endParaRPr lang="cs-CZ"/>
        </a:p>
      </dgm:t>
    </dgm:pt>
    <dgm:pt modelId="{F7A4C6D4-3844-4528-9AB9-C30ED2CBBB7A}">
      <dgm:prSet/>
      <dgm:spPr>
        <a:xfrm>
          <a:off x="4649682" y="770262"/>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Opatření 1.2.1</a:t>
          </a:r>
        </a:p>
      </dgm:t>
    </dgm:pt>
    <dgm:pt modelId="{66BB0E4E-D091-4B5F-A669-4E9DB1A9DFA6}" type="parTrans" cxnId="{B32C3768-5EF8-455E-ADDA-7E6115A0A7EB}">
      <dgm:prSet/>
      <dgm:spPr>
        <a:xfrm>
          <a:off x="4469239" y="926628"/>
          <a:ext cx="180442" cy="211933"/>
        </a:xfrm>
        <a:custGeom>
          <a:avLst/>
          <a:gdLst/>
          <a:ahLst/>
          <a:cxnLst/>
          <a:rect l="0" t="0" r="0" b="0"/>
          <a:pathLst>
            <a:path>
              <a:moveTo>
                <a:pt x="0" y="211933"/>
              </a:moveTo>
              <a:lnTo>
                <a:pt x="90221" y="211933"/>
              </a:lnTo>
              <a:lnTo>
                <a:pt x="90221" y="0"/>
              </a:lnTo>
              <a:lnTo>
                <a:pt x="180442" y="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93AED325-55FA-47B3-AC48-E0771D7FDF3A}" type="sibTrans" cxnId="{B32C3768-5EF8-455E-ADDA-7E6115A0A7EB}">
      <dgm:prSet/>
      <dgm:spPr/>
      <dgm:t>
        <a:bodyPr/>
        <a:lstStyle/>
        <a:p>
          <a:endParaRPr lang="cs-CZ"/>
        </a:p>
      </dgm:t>
    </dgm:pt>
    <dgm:pt modelId="{F51D50B8-1A3D-4F98-9FA5-3AD6FBB97CB5}">
      <dgm:prSet/>
      <dgm:spPr>
        <a:xfrm>
          <a:off x="4649682" y="1161178"/>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Opatření 1.2.2</a:t>
          </a:r>
        </a:p>
      </dgm:t>
    </dgm:pt>
    <dgm:pt modelId="{8D5C26FF-D30B-40FA-B497-6F9A2462CEF2}" type="parTrans" cxnId="{74F6AAD8-368E-40D6-B20E-BD5572526E35}">
      <dgm:prSet/>
      <dgm:spPr>
        <a:xfrm>
          <a:off x="4469239" y="1138562"/>
          <a:ext cx="180442" cy="178983"/>
        </a:xfrm>
        <a:custGeom>
          <a:avLst/>
          <a:gdLst/>
          <a:ahLst/>
          <a:cxnLst/>
          <a:rect l="0" t="0" r="0" b="0"/>
          <a:pathLst>
            <a:path>
              <a:moveTo>
                <a:pt x="0" y="0"/>
              </a:moveTo>
              <a:lnTo>
                <a:pt x="90221" y="0"/>
              </a:lnTo>
              <a:lnTo>
                <a:pt x="90221" y="178983"/>
              </a:lnTo>
              <a:lnTo>
                <a:pt x="180442" y="178983"/>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CCED6703-8BA9-4F44-A5B0-8AC9FF4B3BAD}" type="sibTrans" cxnId="{74F6AAD8-368E-40D6-B20E-BD5572526E35}">
      <dgm:prSet/>
      <dgm:spPr/>
      <dgm:t>
        <a:bodyPr/>
        <a:lstStyle/>
        <a:p>
          <a:endParaRPr lang="cs-CZ"/>
        </a:p>
      </dgm:t>
    </dgm:pt>
    <dgm:pt modelId="{D7F5F864-1C76-487A-9D7C-B1644E238242}">
      <dgm:prSet/>
      <dgm:spPr>
        <a:xfrm>
          <a:off x="4674392" y="1568570"/>
          <a:ext cx="1025765" cy="312733"/>
        </a:xfrm>
        <a:prstGeom prst="rect">
          <a:avLst/>
        </a:prstGeom>
        <a:solidFill>
          <a:srgbClr val="70AD47">
            <a:lumMod val="40000"/>
            <a:lumOff val="60000"/>
          </a:srgb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Opatření 2.1.1</a:t>
          </a:r>
        </a:p>
      </dgm:t>
    </dgm:pt>
    <dgm:pt modelId="{3F353E34-264F-4C4B-AE16-90DD6D3AF7EC}" type="parTrans" cxnId="{11A8446F-AAF3-49DF-B792-DBAE40D3C101}">
      <dgm:prSet/>
      <dgm:spPr>
        <a:xfrm>
          <a:off x="4469239" y="1724936"/>
          <a:ext cx="205153" cy="195458"/>
        </a:xfrm>
        <a:custGeom>
          <a:avLst/>
          <a:gdLst/>
          <a:ahLst/>
          <a:cxnLst/>
          <a:rect l="0" t="0" r="0" b="0"/>
          <a:pathLst>
            <a:path>
              <a:moveTo>
                <a:pt x="0" y="195458"/>
              </a:moveTo>
              <a:lnTo>
                <a:pt x="102576" y="195458"/>
              </a:lnTo>
              <a:lnTo>
                <a:pt x="102576" y="0"/>
              </a:lnTo>
              <a:lnTo>
                <a:pt x="205153" y="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82F00048-C3DC-498E-AD09-1EAF402BDF65}" type="sibTrans" cxnId="{11A8446F-AAF3-49DF-B792-DBAE40D3C101}">
      <dgm:prSet/>
      <dgm:spPr/>
      <dgm:t>
        <a:bodyPr/>
        <a:lstStyle/>
        <a:p>
          <a:endParaRPr lang="cs-CZ"/>
        </a:p>
      </dgm:t>
    </dgm:pt>
    <dgm:pt modelId="{5544AAC8-9ED2-4439-90ED-0C64E5D1A789}">
      <dgm:prSet/>
      <dgm:spPr>
        <a:xfrm>
          <a:off x="4674392" y="1959486"/>
          <a:ext cx="1025765" cy="312733"/>
        </a:xfrm>
        <a:prstGeom prst="rect">
          <a:avLst/>
        </a:prstGeom>
        <a:solidFill>
          <a:srgbClr val="70AD47">
            <a:lumMod val="40000"/>
            <a:lumOff val="60000"/>
          </a:srgb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Opatření 2.1.2</a:t>
          </a:r>
        </a:p>
      </dgm:t>
    </dgm:pt>
    <dgm:pt modelId="{A1C6218B-25E4-495A-B9F9-1C0395CEE8D2}" type="parTrans" cxnId="{53DCE3CC-1F2D-4A8E-9106-1D72F8661ADA}">
      <dgm:prSet/>
      <dgm:spPr>
        <a:xfrm>
          <a:off x="4469239" y="1920395"/>
          <a:ext cx="205153" cy="195458"/>
        </a:xfrm>
        <a:custGeom>
          <a:avLst/>
          <a:gdLst/>
          <a:ahLst/>
          <a:cxnLst/>
          <a:rect l="0" t="0" r="0" b="0"/>
          <a:pathLst>
            <a:path>
              <a:moveTo>
                <a:pt x="0" y="0"/>
              </a:moveTo>
              <a:lnTo>
                <a:pt x="102576" y="0"/>
              </a:lnTo>
              <a:lnTo>
                <a:pt x="102576" y="195458"/>
              </a:lnTo>
              <a:lnTo>
                <a:pt x="205153" y="195458"/>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928DFBBA-BAF5-4F5B-AFFF-C99067087792}" type="sibTrans" cxnId="{53DCE3CC-1F2D-4A8E-9106-1D72F8661ADA}">
      <dgm:prSet/>
      <dgm:spPr/>
      <dgm:t>
        <a:bodyPr/>
        <a:lstStyle/>
        <a:p>
          <a:endParaRPr lang="cs-CZ"/>
        </a:p>
      </dgm:t>
    </dgm:pt>
    <dgm:pt modelId="{ED5CB04A-E13E-4229-BEA9-AA7F6E84464A}">
      <dgm:prSet/>
      <dgm:spPr>
        <a:xfrm>
          <a:off x="4674392" y="2350403"/>
          <a:ext cx="1025765" cy="312733"/>
        </a:xfrm>
        <a:prstGeom prst="rect">
          <a:avLst/>
        </a:prstGeom>
        <a:solidFill>
          <a:srgbClr val="70AD47">
            <a:lumMod val="40000"/>
            <a:lumOff val="60000"/>
          </a:srgb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Opatření 2.2.1</a:t>
          </a:r>
        </a:p>
      </dgm:t>
    </dgm:pt>
    <dgm:pt modelId="{9AB565B0-52EC-400E-9B04-907E106AA7AF}" type="parTrans" cxnId="{814F1817-6375-4194-82CA-06DAC18C23F1}">
      <dgm:prSet/>
      <dgm:spPr>
        <a:xfrm>
          <a:off x="4469239" y="2506770"/>
          <a:ext cx="205153" cy="195458"/>
        </a:xfrm>
        <a:custGeom>
          <a:avLst/>
          <a:gdLst/>
          <a:ahLst/>
          <a:cxnLst/>
          <a:rect l="0" t="0" r="0" b="0"/>
          <a:pathLst>
            <a:path>
              <a:moveTo>
                <a:pt x="0" y="195458"/>
              </a:moveTo>
              <a:lnTo>
                <a:pt x="102576" y="195458"/>
              </a:lnTo>
              <a:lnTo>
                <a:pt x="102576" y="0"/>
              </a:lnTo>
              <a:lnTo>
                <a:pt x="205153" y="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10DCFA16-36A1-4DD2-9152-F611E365A982}" type="sibTrans" cxnId="{814F1817-6375-4194-82CA-06DAC18C23F1}">
      <dgm:prSet/>
      <dgm:spPr/>
      <dgm:t>
        <a:bodyPr/>
        <a:lstStyle/>
        <a:p>
          <a:endParaRPr lang="cs-CZ"/>
        </a:p>
      </dgm:t>
    </dgm:pt>
    <dgm:pt modelId="{72C8AC1E-9BE5-4353-BA26-CBF18DF2B1E3}">
      <dgm:prSet/>
      <dgm:spPr>
        <a:xfrm>
          <a:off x="4674392" y="2741320"/>
          <a:ext cx="1025765" cy="312733"/>
        </a:xfrm>
        <a:prstGeom prst="rect">
          <a:avLst/>
        </a:prstGeom>
        <a:solidFill>
          <a:srgbClr val="70AD47">
            <a:lumMod val="40000"/>
            <a:lumOff val="60000"/>
          </a:srgb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Opatření 2.2.2</a:t>
          </a:r>
        </a:p>
      </dgm:t>
    </dgm:pt>
    <dgm:pt modelId="{977EBD13-30B5-408B-8020-4C00B3C04E0F}" type="parTrans" cxnId="{851FA977-A8F5-4F3A-A550-30A8DDE90B2C}">
      <dgm:prSet/>
      <dgm:spPr>
        <a:xfrm>
          <a:off x="4469239" y="2702228"/>
          <a:ext cx="205153" cy="195458"/>
        </a:xfrm>
        <a:custGeom>
          <a:avLst/>
          <a:gdLst/>
          <a:ahLst/>
          <a:cxnLst/>
          <a:rect l="0" t="0" r="0" b="0"/>
          <a:pathLst>
            <a:path>
              <a:moveTo>
                <a:pt x="0" y="0"/>
              </a:moveTo>
              <a:lnTo>
                <a:pt x="102576" y="0"/>
              </a:lnTo>
              <a:lnTo>
                <a:pt x="102576" y="195458"/>
              </a:lnTo>
              <a:lnTo>
                <a:pt x="205153" y="195458"/>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DDE2D603-70CB-4171-BF39-C3301621C5E7}" type="sibTrans" cxnId="{851FA977-A8F5-4F3A-A550-30A8DDE90B2C}">
      <dgm:prSet/>
      <dgm:spPr/>
      <dgm:t>
        <a:bodyPr/>
        <a:lstStyle/>
        <a:p>
          <a:endParaRPr lang="cs-CZ"/>
        </a:p>
      </dgm:t>
    </dgm:pt>
    <dgm:pt modelId="{3AD89FD9-9825-432C-9273-D9696A824C92}">
      <dgm:prSet/>
      <dgm:spPr>
        <a:xfrm>
          <a:off x="4674392" y="3132236"/>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Opatření 3.1.1</a:t>
          </a:r>
        </a:p>
      </dgm:t>
    </dgm:pt>
    <dgm:pt modelId="{20E30B86-9026-4063-A926-7D090F43537F}" type="parTrans" cxnId="{3C3C9BEF-53F6-4C5F-9906-07DC53DA54EA}">
      <dgm:prSet/>
      <dgm:spPr>
        <a:xfrm>
          <a:off x="4469239" y="3288603"/>
          <a:ext cx="205153" cy="195458"/>
        </a:xfrm>
        <a:custGeom>
          <a:avLst/>
          <a:gdLst/>
          <a:ahLst/>
          <a:cxnLst/>
          <a:rect l="0" t="0" r="0" b="0"/>
          <a:pathLst>
            <a:path>
              <a:moveTo>
                <a:pt x="0" y="195458"/>
              </a:moveTo>
              <a:lnTo>
                <a:pt x="102576" y="195458"/>
              </a:lnTo>
              <a:lnTo>
                <a:pt x="102576" y="0"/>
              </a:lnTo>
              <a:lnTo>
                <a:pt x="205153" y="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7D9E68D7-43B1-4F66-A7C2-BE517C436DA1}" type="sibTrans" cxnId="{3C3C9BEF-53F6-4C5F-9906-07DC53DA54EA}">
      <dgm:prSet/>
      <dgm:spPr/>
      <dgm:t>
        <a:bodyPr/>
        <a:lstStyle/>
        <a:p>
          <a:endParaRPr lang="cs-CZ"/>
        </a:p>
      </dgm:t>
    </dgm:pt>
    <dgm:pt modelId="{2D1D0124-F11B-4AC4-A8F7-2567EB199D62}">
      <dgm:prSet/>
      <dgm:spPr>
        <a:xfrm>
          <a:off x="4674392" y="3523153"/>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Opatření 3.1.2</a:t>
          </a:r>
        </a:p>
      </dgm:t>
    </dgm:pt>
    <dgm:pt modelId="{24A0BD65-5513-44DD-A7AF-303ABB693E70}" type="parTrans" cxnId="{7AF77D77-01D5-495A-962D-0E58BC0E3D94}">
      <dgm:prSet/>
      <dgm:spPr>
        <a:xfrm>
          <a:off x="4469239" y="3484061"/>
          <a:ext cx="205153" cy="195458"/>
        </a:xfrm>
        <a:custGeom>
          <a:avLst/>
          <a:gdLst/>
          <a:ahLst/>
          <a:cxnLst/>
          <a:rect l="0" t="0" r="0" b="0"/>
          <a:pathLst>
            <a:path>
              <a:moveTo>
                <a:pt x="0" y="0"/>
              </a:moveTo>
              <a:lnTo>
                <a:pt x="102576" y="0"/>
              </a:lnTo>
              <a:lnTo>
                <a:pt x="102576" y="195458"/>
              </a:lnTo>
              <a:lnTo>
                <a:pt x="205153" y="195458"/>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C0C1D33D-C9D0-4AC5-AC96-D6B96EAB80DF}" type="sibTrans" cxnId="{7AF77D77-01D5-495A-962D-0E58BC0E3D94}">
      <dgm:prSet/>
      <dgm:spPr/>
      <dgm:t>
        <a:bodyPr/>
        <a:lstStyle/>
        <a:p>
          <a:endParaRPr lang="cs-CZ"/>
        </a:p>
      </dgm:t>
    </dgm:pt>
    <dgm:pt modelId="{637C1996-A23F-4FD4-B754-6D3587AB9CC2}">
      <dgm:prSet/>
      <dgm:spPr>
        <a:xfrm>
          <a:off x="4674392" y="3914069"/>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Opatření 3.2.1</a:t>
          </a:r>
        </a:p>
      </dgm:t>
    </dgm:pt>
    <dgm:pt modelId="{87EE537C-2288-4C3C-9E5E-9AE75A0F65F9}" type="parTrans" cxnId="{9D4852D6-2125-4F82-98A0-4362534EA087}">
      <dgm:prSet/>
      <dgm:spPr>
        <a:xfrm>
          <a:off x="4469239" y="4070436"/>
          <a:ext cx="205153" cy="195458"/>
        </a:xfrm>
        <a:custGeom>
          <a:avLst/>
          <a:gdLst/>
          <a:ahLst/>
          <a:cxnLst/>
          <a:rect l="0" t="0" r="0" b="0"/>
          <a:pathLst>
            <a:path>
              <a:moveTo>
                <a:pt x="0" y="195458"/>
              </a:moveTo>
              <a:lnTo>
                <a:pt x="102576" y="195458"/>
              </a:lnTo>
              <a:lnTo>
                <a:pt x="102576" y="0"/>
              </a:lnTo>
              <a:lnTo>
                <a:pt x="205153" y="0"/>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1C8E5059-E5D5-4115-9C36-6AC3C7C4A667}" type="sibTrans" cxnId="{9D4852D6-2125-4F82-98A0-4362534EA087}">
      <dgm:prSet/>
      <dgm:spPr/>
      <dgm:t>
        <a:bodyPr/>
        <a:lstStyle/>
        <a:p>
          <a:endParaRPr lang="cs-CZ"/>
        </a:p>
      </dgm:t>
    </dgm:pt>
    <dgm:pt modelId="{44F52ED3-358B-4860-BF40-48B95D2A4403}">
      <dgm:prSet/>
      <dgm:spPr>
        <a:xfrm>
          <a:off x="4674392" y="4280271"/>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buNone/>
          </a:pPr>
          <a:r>
            <a:rPr lang="cs-CZ" baseline="0">
              <a:solidFill>
                <a:sysClr val="windowText" lastClr="000000"/>
              </a:solidFill>
              <a:latin typeface="Calibri" panose="020F0502020204030204"/>
              <a:ea typeface="+mn-ea"/>
              <a:cs typeface="+mn-cs"/>
            </a:rPr>
            <a:t>Opatření 3.2.2</a:t>
          </a:r>
        </a:p>
      </dgm:t>
    </dgm:pt>
    <dgm:pt modelId="{E8ADD25D-27FF-488C-AA4B-A4A6454EE447}" type="parTrans" cxnId="{A490C81B-EDB4-434B-A9D4-4E045F0288D0}">
      <dgm:prSet/>
      <dgm:spPr>
        <a:xfrm>
          <a:off x="4469239" y="4265894"/>
          <a:ext cx="205153" cy="170742"/>
        </a:xfrm>
        <a:custGeom>
          <a:avLst/>
          <a:gdLst/>
          <a:ahLst/>
          <a:cxnLst/>
          <a:rect l="0" t="0" r="0" b="0"/>
          <a:pathLst>
            <a:path>
              <a:moveTo>
                <a:pt x="0" y="0"/>
              </a:moveTo>
              <a:lnTo>
                <a:pt x="102576" y="0"/>
              </a:lnTo>
              <a:lnTo>
                <a:pt x="102576" y="170742"/>
              </a:lnTo>
              <a:lnTo>
                <a:pt x="205153" y="170742"/>
              </a:lnTo>
            </a:path>
          </a:pathLst>
        </a:custGeom>
        <a:noFill/>
        <a:ln w="12700" cap="flat" cmpd="sng" algn="ctr">
          <a:solidFill>
            <a:scrgbClr r="0" g="0" b="0"/>
          </a:solidFill>
          <a:prstDash val="solid"/>
          <a:miter lim="800000"/>
          <a:headEnd type="triangle"/>
        </a:ln>
        <a:effectLst/>
      </dgm:spPr>
      <dgm:t>
        <a:bodyPr/>
        <a:lstStyle/>
        <a:p>
          <a:pPr>
            <a:buNone/>
          </a:pPr>
          <a:endParaRPr lang="cs-CZ">
            <a:solidFill>
              <a:sysClr val="windowText" lastClr="000000">
                <a:hueOff val="0"/>
                <a:satOff val="0"/>
                <a:lumOff val="0"/>
                <a:alphaOff val="0"/>
              </a:sysClr>
            </a:solidFill>
            <a:latin typeface="Calibri" panose="020F0502020204030204"/>
            <a:ea typeface="+mn-ea"/>
            <a:cs typeface="+mn-cs"/>
          </a:endParaRPr>
        </a:p>
      </dgm:t>
    </dgm:pt>
    <dgm:pt modelId="{9FE4D535-304E-4EAA-BE60-347D5676F7A6}" type="sibTrans" cxnId="{A490C81B-EDB4-434B-A9D4-4E045F0288D0}">
      <dgm:prSet/>
      <dgm:spPr/>
      <dgm:t>
        <a:bodyPr/>
        <a:lstStyle/>
        <a:p>
          <a:endParaRPr lang="cs-CZ"/>
        </a:p>
      </dgm:t>
    </dgm:pt>
    <dgm:pt modelId="{A4965939-71E6-4F26-959E-E40FAED3BE3F}" type="pres">
      <dgm:prSet presAssocID="{0011118D-7546-4ED8-AB60-4058A18D09A0}" presName="Name0" presStyleCnt="0">
        <dgm:presLayoutVars>
          <dgm:chPref val="1"/>
          <dgm:dir/>
          <dgm:animOne val="branch"/>
          <dgm:animLvl val="lvl"/>
          <dgm:resizeHandles val="exact"/>
        </dgm:presLayoutVars>
      </dgm:prSet>
      <dgm:spPr/>
    </dgm:pt>
    <dgm:pt modelId="{0BE815EF-AEC0-4720-AC15-BA9951A67917}" type="pres">
      <dgm:prSet presAssocID="{C0DC9170-8F36-4B79-BB87-448963AE54FC}" presName="root1" presStyleCnt="0"/>
      <dgm:spPr/>
    </dgm:pt>
    <dgm:pt modelId="{E318E994-3372-4149-924B-F6012B03987E}" type="pres">
      <dgm:prSet presAssocID="{C0DC9170-8F36-4B79-BB87-448963AE54FC}" presName="LevelOneTextNode" presStyleLbl="node0" presStyleIdx="0" presStyleCnt="1" custScaleX="112153" custScaleY="188995">
        <dgm:presLayoutVars>
          <dgm:chPref val="3"/>
        </dgm:presLayoutVars>
      </dgm:prSet>
      <dgm:spPr/>
    </dgm:pt>
    <dgm:pt modelId="{9CDA265F-BF2C-4B34-8D30-A438AC082624}" type="pres">
      <dgm:prSet presAssocID="{C0DC9170-8F36-4B79-BB87-448963AE54FC}" presName="level2hierChild" presStyleCnt="0"/>
      <dgm:spPr/>
    </dgm:pt>
    <dgm:pt modelId="{C4A81FB8-CBA4-4578-BA2F-A14083144FB0}" type="pres">
      <dgm:prSet presAssocID="{413F64A9-5D21-4B09-9586-61FA282C9F71}" presName="conn2-1" presStyleLbl="parChTrans1D2" presStyleIdx="0" presStyleCnt="3"/>
      <dgm:spPr/>
    </dgm:pt>
    <dgm:pt modelId="{228E15BC-7E53-4F14-A8E6-53855C698C38}" type="pres">
      <dgm:prSet presAssocID="{413F64A9-5D21-4B09-9586-61FA282C9F71}" presName="connTx" presStyleLbl="parChTrans1D2" presStyleIdx="0" presStyleCnt="3"/>
      <dgm:spPr/>
    </dgm:pt>
    <dgm:pt modelId="{89B16942-F534-4E73-8745-886FC0EB9AFF}" type="pres">
      <dgm:prSet presAssocID="{077E7F10-9F93-42F7-B551-49611E257257}" presName="root2" presStyleCnt="0"/>
      <dgm:spPr/>
    </dgm:pt>
    <dgm:pt modelId="{8F7D88B5-E5AB-49CD-B557-C32C9DB2B7C3}" type="pres">
      <dgm:prSet presAssocID="{077E7F10-9F93-42F7-B551-49611E257257}" presName="LevelTwoTextNode" presStyleLbl="node2" presStyleIdx="0" presStyleCnt="3">
        <dgm:presLayoutVars>
          <dgm:chPref val="3"/>
        </dgm:presLayoutVars>
      </dgm:prSet>
      <dgm:spPr/>
    </dgm:pt>
    <dgm:pt modelId="{CB6889DE-DC2A-402D-B346-CED603259D72}" type="pres">
      <dgm:prSet presAssocID="{077E7F10-9F93-42F7-B551-49611E257257}" presName="level3hierChild" presStyleCnt="0"/>
      <dgm:spPr/>
    </dgm:pt>
    <dgm:pt modelId="{8B63F1D2-9211-4A20-877F-5CA0CE5294A6}" type="pres">
      <dgm:prSet presAssocID="{E62320D0-BD4D-4AEE-8089-78489DB4207A}" presName="conn2-1" presStyleLbl="parChTrans1D3" presStyleIdx="0" presStyleCnt="6"/>
      <dgm:spPr/>
    </dgm:pt>
    <dgm:pt modelId="{B400E007-BFBA-409F-B5DB-378ECD56B607}" type="pres">
      <dgm:prSet presAssocID="{E62320D0-BD4D-4AEE-8089-78489DB4207A}" presName="connTx" presStyleLbl="parChTrans1D3" presStyleIdx="0" presStyleCnt="6"/>
      <dgm:spPr/>
    </dgm:pt>
    <dgm:pt modelId="{2BB1CC93-D05A-4A9C-AF6D-C199B011B58D}" type="pres">
      <dgm:prSet presAssocID="{6374B15B-2C84-4A0E-A2EF-9BE822897845}" presName="root2" presStyleCnt="0"/>
      <dgm:spPr/>
    </dgm:pt>
    <dgm:pt modelId="{EB51B9DF-EC7E-4675-B9E9-197A79AAA01D}" type="pres">
      <dgm:prSet presAssocID="{6374B15B-2C84-4A0E-A2EF-9BE822897845}" presName="LevelTwoTextNode" presStyleLbl="node3" presStyleIdx="0" presStyleCnt="6" custLinFactNeighborY="784">
        <dgm:presLayoutVars>
          <dgm:chPref val="3"/>
        </dgm:presLayoutVars>
      </dgm:prSet>
      <dgm:spPr/>
    </dgm:pt>
    <dgm:pt modelId="{5473FFB4-68A2-4C24-AA72-31E2BC0CD828}" type="pres">
      <dgm:prSet presAssocID="{6374B15B-2C84-4A0E-A2EF-9BE822897845}" presName="level3hierChild" presStyleCnt="0"/>
      <dgm:spPr/>
    </dgm:pt>
    <dgm:pt modelId="{EC68A308-08B0-432A-96B9-8ED11A782E7A}" type="pres">
      <dgm:prSet presAssocID="{C97D5173-39C6-486B-8B5B-07DE9D649660}" presName="conn2-1" presStyleLbl="parChTrans1D4" presStyleIdx="0" presStyleCnt="24"/>
      <dgm:spPr/>
    </dgm:pt>
    <dgm:pt modelId="{6CAFCFD9-CCD5-40D7-A119-010D2E68A261}" type="pres">
      <dgm:prSet presAssocID="{C97D5173-39C6-486B-8B5B-07DE9D649660}" presName="connTx" presStyleLbl="parChTrans1D4" presStyleIdx="0" presStyleCnt="24"/>
      <dgm:spPr/>
    </dgm:pt>
    <dgm:pt modelId="{25509BCF-970E-4245-8D06-1E820476DA30}" type="pres">
      <dgm:prSet presAssocID="{89932BDF-B4D4-46A9-A87C-2258F747B6CE}" presName="root2" presStyleCnt="0"/>
      <dgm:spPr/>
    </dgm:pt>
    <dgm:pt modelId="{B6746584-D071-499D-94EA-DEC4AAD8CFC6}" type="pres">
      <dgm:prSet presAssocID="{89932BDF-B4D4-46A9-A87C-2258F747B6CE}" presName="LevelTwoTextNode" presStyleLbl="node4" presStyleIdx="0" presStyleCnt="24" custLinFactNeighborX="-1666" custLinFactNeighborY="4089">
        <dgm:presLayoutVars>
          <dgm:chPref val="3"/>
        </dgm:presLayoutVars>
      </dgm:prSet>
      <dgm:spPr/>
    </dgm:pt>
    <dgm:pt modelId="{FB7D5C5D-4687-492C-BE84-8B28E27111D8}" type="pres">
      <dgm:prSet presAssocID="{89932BDF-B4D4-46A9-A87C-2258F747B6CE}" presName="level3hierChild" presStyleCnt="0"/>
      <dgm:spPr/>
    </dgm:pt>
    <dgm:pt modelId="{69726E28-4C05-4F4B-85A7-64F63340BF39}" type="pres">
      <dgm:prSet presAssocID="{E5F69BAB-2030-4A51-97A6-AED57E4C5C03}" presName="conn2-1" presStyleLbl="parChTrans1D4" presStyleIdx="1" presStyleCnt="24"/>
      <dgm:spPr/>
    </dgm:pt>
    <dgm:pt modelId="{FAEE600F-2976-4F45-A5A4-3018679FFC7B}" type="pres">
      <dgm:prSet presAssocID="{E5F69BAB-2030-4A51-97A6-AED57E4C5C03}" presName="connTx" presStyleLbl="parChTrans1D4" presStyleIdx="1" presStyleCnt="24"/>
      <dgm:spPr/>
    </dgm:pt>
    <dgm:pt modelId="{2F62B40C-D5B3-41C2-9D36-D6D5FC7499B8}" type="pres">
      <dgm:prSet presAssocID="{A6354AB3-B038-4F3F-8C48-2722C8585607}" presName="root2" presStyleCnt="0"/>
      <dgm:spPr/>
    </dgm:pt>
    <dgm:pt modelId="{0BBF1BEE-6B27-4241-B15B-09A3D8560DDA}" type="pres">
      <dgm:prSet presAssocID="{A6354AB3-B038-4F3F-8C48-2722C8585607}" presName="LevelTwoTextNode" presStyleLbl="node4" presStyleIdx="1" presStyleCnt="24" custLinFactNeighborX="221" custLinFactNeighborY="4157">
        <dgm:presLayoutVars>
          <dgm:chPref val="3"/>
        </dgm:presLayoutVars>
      </dgm:prSet>
      <dgm:spPr/>
    </dgm:pt>
    <dgm:pt modelId="{4958E442-E7FB-4FF7-82ED-758CD7C427A5}" type="pres">
      <dgm:prSet presAssocID="{A6354AB3-B038-4F3F-8C48-2722C8585607}" presName="level3hierChild" presStyleCnt="0"/>
      <dgm:spPr/>
    </dgm:pt>
    <dgm:pt modelId="{6C00A21B-2275-4255-89E0-452D234C4C32}" type="pres">
      <dgm:prSet presAssocID="{FC4C4977-D679-42D7-B753-E6E4AFE0E1B5}" presName="conn2-1" presStyleLbl="parChTrans1D4" presStyleIdx="2" presStyleCnt="24"/>
      <dgm:spPr/>
    </dgm:pt>
    <dgm:pt modelId="{CE60FF66-18CE-4FED-AAD9-FBE58E694D2F}" type="pres">
      <dgm:prSet presAssocID="{FC4C4977-D679-42D7-B753-E6E4AFE0E1B5}" presName="connTx" presStyleLbl="parChTrans1D4" presStyleIdx="2" presStyleCnt="24"/>
      <dgm:spPr/>
    </dgm:pt>
    <dgm:pt modelId="{DAF7BD85-469D-4D25-B0D2-00ED876FC5D4}" type="pres">
      <dgm:prSet presAssocID="{6A4A391C-4C74-4517-B67A-C3BCA0CD8A04}" presName="root2" presStyleCnt="0"/>
      <dgm:spPr/>
    </dgm:pt>
    <dgm:pt modelId="{13CF4074-729E-4570-864A-6539256AAB1A}" type="pres">
      <dgm:prSet presAssocID="{6A4A391C-4C74-4517-B67A-C3BCA0CD8A04}" presName="LevelTwoTextNode" presStyleLbl="node4" presStyleIdx="2" presStyleCnt="24" custLinFactNeighborX="-2409" custLinFactNeighborY="-4484">
        <dgm:presLayoutVars>
          <dgm:chPref val="3"/>
        </dgm:presLayoutVars>
      </dgm:prSet>
      <dgm:spPr/>
    </dgm:pt>
    <dgm:pt modelId="{9C8DB33B-7060-4334-9B4B-F58B785652A7}" type="pres">
      <dgm:prSet presAssocID="{6A4A391C-4C74-4517-B67A-C3BCA0CD8A04}" presName="level3hierChild" presStyleCnt="0"/>
      <dgm:spPr/>
    </dgm:pt>
    <dgm:pt modelId="{3041AECC-CFD4-41E3-85D0-80F048948521}" type="pres">
      <dgm:prSet presAssocID="{ADC2A854-A3A7-4938-AEF4-78C7BC217B9B}" presName="conn2-1" presStyleLbl="parChTrans1D4" presStyleIdx="3" presStyleCnt="24"/>
      <dgm:spPr/>
    </dgm:pt>
    <dgm:pt modelId="{12BB0A13-48F4-4583-8B82-E9268B686C51}" type="pres">
      <dgm:prSet presAssocID="{ADC2A854-A3A7-4938-AEF4-78C7BC217B9B}" presName="connTx" presStyleLbl="parChTrans1D4" presStyleIdx="3" presStyleCnt="24"/>
      <dgm:spPr/>
    </dgm:pt>
    <dgm:pt modelId="{515880D9-B928-4C30-B1DB-94AB5C42BA12}" type="pres">
      <dgm:prSet presAssocID="{D2295F07-D507-488E-A5E1-B57D7755424E}" presName="root2" presStyleCnt="0"/>
      <dgm:spPr/>
    </dgm:pt>
    <dgm:pt modelId="{78C8A119-B5F3-4C65-B9B7-035305285E25}" type="pres">
      <dgm:prSet presAssocID="{D2295F07-D507-488E-A5E1-B57D7755424E}" presName="LevelTwoTextNode" presStyleLbl="node4" presStyleIdx="3" presStyleCnt="24" custLinFactNeighborX="0" custLinFactNeighborY="-4484">
        <dgm:presLayoutVars>
          <dgm:chPref val="3"/>
        </dgm:presLayoutVars>
      </dgm:prSet>
      <dgm:spPr/>
    </dgm:pt>
    <dgm:pt modelId="{0566292E-1305-40F6-B47A-41C1F38A3C5E}" type="pres">
      <dgm:prSet presAssocID="{D2295F07-D507-488E-A5E1-B57D7755424E}" presName="level3hierChild" presStyleCnt="0"/>
      <dgm:spPr/>
    </dgm:pt>
    <dgm:pt modelId="{5C812BCA-7F90-46BE-9246-4824E561B022}" type="pres">
      <dgm:prSet presAssocID="{EA8A0722-BF0B-49A0-852F-39F2903C6BAC}" presName="conn2-1" presStyleLbl="parChTrans1D3" presStyleIdx="1" presStyleCnt="6"/>
      <dgm:spPr/>
    </dgm:pt>
    <dgm:pt modelId="{B85A81DA-514E-4788-B754-C8B59FFBFC53}" type="pres">
      <dgm:prSet presAssocID="{EA8A0722-BF0B-49A0-852F-39F2903C6BAC}" presName="connTx" presStyleLbl="parChTrans1D3" presStyleIdx="1" presStyleCnt="6"/>
      <dgm:spPr/>
    </dgm:pt>
    <dgm:pt modelId="{74C63527-37B5-440A-8045-FC75A721FB41}" type="pres">
      <dgm:prSet presAssocID="{ADE56455-EB56-46FB-8D17-E6BAFB2EEC9A}" presName="root2" presStyleCnt="0"/>
      <dgm:spPr/>
    </dgm:pt>
    <dgm:pt modelId="{C471DE6B-F02A-4A99-A018-75FB76213F2F}" type="pres">
      <dgm:prSet presAssocID="{ADE56455-EB56-46FB-8D17-E6BAFB2EEC9A}" presName="LevelTwoTextNode" presStyleLbl="node3" presStyleIdx="1" presStyleCnt="6" custLinFactNeighborY="784">
        <dgm:presLayoutVars>
          <dgm:chPref val="3"/>
        </dgm:presLayoutVars>
      </dgm:prSet>
      <dgm:spPr/>
    </dgm:pt>
    <dgm:pt modelId="{535245AE-AEE9-45EB-B5F6-4AC96096E858}" type="pres">
      <dgm:prSet presAssocID="{ADE56455-EB56-46FB-8D17-E6BAFB2EEC9A}" presName="level3hierChild" presStyleCnt="0"/>
      <dgm:spPr/>
    </dgm:pt>
    <dgm:pt modelId="{3A5F703A-10DF-45CE-8870-4A23E49942AD}" type="pres">
      <dgm:prSet presAssocID="{66BB0E4E-D091-4B5F-A669-4E9DB1A9DFA6}" presName="conn2-1" presStyleLbl="parChTrans1D4" presStyleIdx="4" presStyleCnt="24"/>
      <dgm:spPr/>
    </dgm:pt>
    <dgm:pt modelId="{065884A3-D1C0-48E7-95DA-B48B13CC376C}" type="pres">
      <dgm:prSet presAssocID="{66BB0E4E-D091-4B5F-A669-4E9DB1A9DFA6}" presName="connTx" presStyleLbl="parChTrans1D4" presStyleIdx="4" presStyleCnt="24"/>
      <dgm:spPr/>
    </dgm:pt>
    <dgm:pt modelId="{E7130C40-F158-4A95-B089-2A19C98F8E15}" type="pres">
      <dgm:prSet presAssocID="{F7A4C6D4-3844-4528-9AB9-C30ED2CBBB7A}" presName="root2" presStyleCnt="0"/>
      <dgm:spPr/>
    </dgm:pt>
    <dgm:pt modelId="{ECF2DC17-67B7-4D1F-9B56-B5750904171E}" type="pres">
      <dgm:prSet presAssocID="{F7A4C6D4-3844-4528-9AB9-C30ED2CBBB7A}" presName="LevelTwoTextNode" presStyleLbl="node4" presStyleIdx="4" presStyleCnt="24" custLinFactNeighborX="-2409" custLinFactNeighborY="-4484">
        <dgm:presLayoutVars>
          <dgm:chPref val="3"/>
        </dgm:presLayoutVars>
      </dgm:prSet>
      <dgm:spPr/>
    </dgm:pt>
    <dgm:pt modelId="{37C52933-633E-42F8-AE08-99A6C43FD841}" type="pres">
      <dgm:prSet presAssocID="{F7A4C6D4-3844-4528-9AB9-C30ED2CBBB7A}" presName="level3hierChild" presStyleCnt="0"/>
      <dgm:spPr/>
    </dgm:pt>
    <dgm:pt modelId="{686AB2E7-AA41-4E35-9413-B61F897B45CD}" type="pres">
      <dgm:prSet presAssocID="{EA5EA040-7980-4BBE-B96E-4B4AF60842DB}" presName="conn2-1" presStyleLbl="parChTrans1D4" presStyleIdx="5" presStyleCnt="24"/>
      <dgm:spPr/>
    </dgm:pt>
    <dgm:pt modelId="{762CB597-2B95-4DC9-A658-87C86605AD75}" type="pres">
      <dgm:prSet presAssocID="{EA5EA040-7980-4BBE-B96E-4B4AF60842DB}" presName="connTx" presStyleLbl="parChTrans1D4" presStyleIdx="5" presStyleCnt="24"/>
      <dgm:spPr/>
    </dgm:pt>
    <dgm:pt modelId="{51277EFB-C011-4FFC-AD56-63422834C532}" type="pres">
      <dgm:prSet presAssocID="{6B988B30-348E-46F3-A948-896A00A090E5}" presName="root2" presStyleCnt="0"/>
      <dgm:spPr/>
    </dgm:pt>
    <dgm:pt modelId="{A9BC5A90-4481-4C0F-9099-B61E32FAFEDE}" type="pres">
      <dgm:prSet presAssocID="{6B988B30-348E-46F3-A948-896A00A090E5}" presName="LevelTwoTextNode" presStyleLbl="node4" presStyleIdx="5" presStyleCnt="24" custLinFactNeighborY="-4484">
        <dgm:presLayoutVars>
          <dgm:chPref val="3"/>
        </dgm:presLayoutVars>
      </dgm:prSet>
      <dgm:spPr/>
    </dgm:pt>
    <dgm:pt modelId="{73A3741B-6764-49C5-A827-EB61712BE7A7}" type="pres">
      <dgm:prSet presAssocID="{6B988B30-348E-46F3-A948-896A00A090E5}" presName="level3hierChild" presStyleCnt="0"/>
      <dgm:spPr/>
    </dgm:pt>
    <dgm:pt modelId="{53DCEDA1-186E-442D-AEBA-371B65F958E1}" type="pres">
      <dgm:prSet presAssocID="{8D5C26FF-D30B-40FA-B497-6F9A2462CEF2}" presName="conn2-1" presStyleLbl="parChTrans1D4" presStyleIdx="6" presStyleCnt="24"/>
      <dgm:spPr/>
    </dgm:pt>
    <dgm:pt modelId="{2BEC02CE-5EE1-46D3-A03F-309C808BB320}" type="pres">
      <dgm:prSet presAssocID="{8D5C26FF-D30B-40FA-B497-6F9A2462CEF2}" presName="connTx" presStyleLbl="parChTrans1D4" presStyleIdx="6" presStyleCnt="24"/>
      <dgm:spPr/>
    </dgm:pt>
    <dgm:pt modelId="{B5E4E58C-D397-4A95-A337-A01A12BC1F7D}" type="pres">
      <dgm:prSet presAssocID="{F51D50B8-1A3D-4F98-9FA5-3AD6FBB97CB5}" presName="root2" presStyleCnt="0"/>
      <dgm:spPr/>
    </dgm:pt>
    <dgm:pt modelId="{A9E8355C-98BB-4466-8E92-BBDBA91C1EE3}" type="pres">
      <dgm:prSet presAssocID="{F51D50B8-1A3D-4F98-9FA5-3AD6FBB97CB5}" presName="LevelTwoTextNode" presStyleLbl="node4" presStyleIdx="6" presStyleCnt="24" custLinFactNeighborX="-2409" custLinFactNeighborY="-4484">
        <dgm:presLayoutVars>
          <dgm:chPref val="3"/>
        </dgm:presLayoutVars>
      </dgm:prSet>
      <dgm:spPr/>
    </dgm:pt>
    <dgm:pt modelId="{5B4C37D3-003C-498D-A7E0-C0E2CC58643E}" type="pres">
      <dgm:prSet presAssocID="{F51D50B8-1A3D-4F98-9FA5-3AD6FBB97CB5}" presName="level3hierChild" presStyleCnt="0"/>
      <dgm:spPr/>
    </dgm:pt>
    <dgm:pt modelId="{1FCDC7E7-127E-4489-9320-227625952BAB}" type="pres">
      <dgm:prSet presAssocID="{51628C19-F86B-4B95-A566-B75B2E96E3B1}" presName="conn2-1" presStyleLbl="parChTrans1D4" presStyleIdx="7" presStyleCnt="24"/>
      <dgm:spPr/>
    </dgm:pt>
    <dgm:pt modelId="{D2846E31-023C-4A67-BA23-AB98C470A8E9}" type="pres">
      <dgm:prSet presAssocID="{51628C19-F86B-4B95-A566-B75B2E96E3B1}" presName="connTx" presStyleLbl="parChTrans1D4" presStyleIdx="7" presStyleCnt="24"/>
      <dgm:spPr/>
    </dgm:pt>
    <dgm:pt modelId="{EDEA7B3A-E17F-47B7-9319-7AAFB8FFDCD9}" type="pres">
      <dgm:prSet presAssocID="{7F77E588-223E-4D70-B9DA-A484D2D3EE48}" presName="root2" presStyleCnt="0"/>
      <dgm:spPr/>
    </dgm:pt>
    <dgm:pt modelId="{6721F16B-0B75-4161-A9A0-DBCFA2B7DA0E}" type="pres">
      <dgm:prSet presAssocID="{7F77E588-223E-4D70-B9DA-A484D2D3EE48}" presName="LevelTwoTextNode" presStyleLbl="node4" presStyleIdx="7" presStyleCnt="24" custLinFactNeighborY="-4484">
        <dgm:presLayoutVars>
          <dgm:chPref val="3"/>
        </dgm:presLayoutVars>
      </dgm:prSet>
      <dgm:spPr/>
    </dgm:pt>
    <dgm:pt modelId="{8FE5E32A-1C67-4455-A6EC-9666156B830E}" type="pres">
      <dgm:prSet presAssocID="{7F77E588-223E-4D70-B9DA-A484D2D3EE48}" presName="level3hierChild" presStyleCnt="0"/>
      <dgm:spPr/>
    </dgm:pt>
    <dgm:pt modelId="{D5B7B54C-95D6-42C4-A8E8-143E173EFD0C}" type="pres">
      <dgm:prSet presAssocID="{F3A63992-D4E4-4B06-B239-3D9B22C7DC53}" presName="conn2-1" presStyleLbl="parChTrans1D2" presStyleIdx="1" presStyleCnt="3"/>
      <dgm:spPr/>
    </dgm:pt>
    <dgm:pt modelId="{B9E4F7DF-5C6B-43D8-AFB4-5E248EAFBC51}" type="pres">
      <dgm:prSet presAssocID="{F3A63992-D4E4-4B06-B239-3D9B22C7DC53}" presName="connTx" presStyleLbl="parChTrans1D2" presStyleIdx="1" presStyleCnt="3"/>
      <dgm:spPr/>
    </dgm:pt>
    <dgm:pt modelId="{2C38DB4E-6CBF-4533-B708-F1A413E30F94}" type="pres">
      <dgm:prSet presAssocID="{7515A0DC-5A9C-4AC2-8771-8F9F09EFC498}" presName="root2" presStyleCnt="0"/>
      <dgm:spPr/>
    </dgm:pt>
    <dgm:pt modelId="{873FB030-50F9-4DFC-A1BA-409512EF3B41}" type="pres">
      <dgm:prSet presAssocID="{7515A0DC-5A9C-4AC2-8771-8F9F09EFC498}" presName="LevelTwoTextNode" presStyleLbl="node2" presStyleIdx="1" presStyleCnt="3">
        <dgm:presLayoutVars>
          <dgm:chPref val="3"/>
        </dgm:presLayoutVars>
      </dgm:prSet>
      <dgm:spPr/>
    </dgm:pt>
    <dgm:pt modelId="{B0F55D80-FE13-487D-BE4B-81BD0DFA3A2E}" type="pres">
      <dgm:prSet presAssocID="{7515A0DC-5A9C-4AC2-8771-8F9F09EFC498}" presName="level3hierChild" presStyleCnt="0"/>
      <dgm:spPr/>
    </dgm:pt>
    <dgm:pt modelId="{9B791EE2-04EC-4B1E-88C1-8423A01CDEDA}" type="pres">
      <dgm:prSet presAssocID="{B25A3A85-0CB1-40E8-8F55-0E927DB3073B}" presName="conn2-1" presStyleLbl="parChTrans1D3" presStyleIdx="2" presStyleCnt="6"/>
      <dgm:spPr/>
    </dgm:pt>
    <dgm:pt modelId="{1E42E501-7BF3-4906-900E-C428DD10E671}" type="pres">
      <dgm:prSet presAssocID="{B25A3A85-0CB1-40E8-8F55-0E927DB3073B}" presName="connTx" presStyleLbl="parChTrans1D3" presStyleIdx="2" presStyleCnt="6"/>
      <dgm:spPr/>
    </dgm:pt>
    <dgm:pt modelId="{D072DF38-14F9-4607-AB89-BFE24FA39C2B}" type="pres">
      <dgm:prSet presAssocID="{FCEA70D9-66A0-402A-94CF-4AE63221705F}" presName="root2" presStyleCnt="0"/>
      <dgm:spPr/>
    </dgm:pt>
    <dgm:pt modelId="{24F994B9-9CA3-46E9-BDDC-ABAC711DD3BA}" type="pres">
      <dgm:prSet presAssocID="{FCEA70D9-66A0-402A-94CF-4AE63221705F}" presName="LevelTwoTextNode" presStyleLbl="node3" presStyleIdx="2" presStyleCnt="6" custLinFactNeighborY="784">
        <dgm:presLayoutVars>
          <dgm:chPref val="3"/>
        </dgm:presLayoutVars>
      </dgm:prSet>
      <dgm:spPr/>
    </dgm:pt>
    <dgm:pt modelId="{201DDAA3-A323-4DFF-B336-82673511AAD7}" type="pres">
      <dgm:prSet presAssocID="{FCEA70D9-66A0-402A-94CF-4AE63221705F}" presName="level3hierChild" presStyleCnt="0"/>
      <dgm:spPr/>
    </dgm:pt>
    <dgm:pt modelId="{92B2060D-BD2E-45E2-A868-C94520B704FE}" type="pres">
      <dgm:prSet presAssocID="{3F353E34-264F-4C4B-AE16-90DD6D3AF7EC}" presName="conn2-1" presStyleLbl="parChTrans1D4" presStyleIdx="8" presStyleCnt="24"/>
      <dgm:spPr/>
    </dgm:pt>
    <dgm:pt modelId="{2B9BB513-218D-400B-896C-9FDB0E244056}" type="pres">
      <dgm:prSet presAssocID="{3F353E34-264F-4C4B-AE16-90DD6D3AF7EC}" presName="connTx" presStyleLbl="parChTrans1D4" presStyleIdx="8" presStyleCnt="24"/>
      <dgm:spPr/>
    </dgm:pt>
    <dgm:pt modelId="{FF6476A2-20D1-4760-A425-F14AA6833577}" type="pres">
      <dgm:prSet presAssocID="{D7F5F864-1C76-487A-9D7C-B1644E238242}" presName="root2" presStyleCnt="0"/>
      <dgm:spPr/>
    </dgm:pt>
    <dgm:pt modelId="{7DA6933F-D901-4CE8-959B-F73E03BE34B9}" type="pres">
      <dgm:prSet presAssocID="{D7F5F864-1C76-487A-9D7C-B1644E238242}" presName="LevelTwoTextNode" presStyleLbl="node4" presStyleIdx="8" presStyleCnt="24" custLinFactNeighborY="784">
        <dgm:presLayoutVars>
          <dgm:chPref val="3"/>
        </dgm:presLayoutVars>
      </dgm:prSet>
      <dgm:spPr/>
    </dgm:pt>
    <dgm:pt modelId="{99FA8295-84A3-4F1E-979B-EDDF50819C55}" type="pres">
      <dgm:prSet presAssocID="{D7F5F864-1C76-487A-9D7C-B1644E238242}" presName="level3hierChild" presStyleCnt="0"/>
      <dgm:spPr/>
    </dgm:pt>
    <dgm:pt modelId="{ECFD9A21-7733-4B56-8894-C8846F9FEF88}" type="pres">
      <dgm:prSet presAssocID="{C5B08D25-AF92-49CD-9DBE-F60C7E7A5E7D}" presName="conn2-1" presStyleLbl="parChTrans1D4" presStyleIdx="9" presStyleCnt="24"/>
      <dgm:spPr/>
    </dgm:pt>
    <dgm:pt modelId="{1E1E1688-3244-4731-801D-3BA471FAA44E}" type="pres">
      <dgm:prSet presAssocID="{C5B08D25-AF92-49CD-9DBE-F60C7E7A5E7D}" presName="connTx" presStyleLbl="parChTrans1D4" presStyleIdx="9" presStyleCnt="24"/>
      <dgm:spPr/>
    </dgm:pt>
    <dgm:pt modelId="{FB23BCBD-59CC-43D6-AE6B-E6FA2AECC367}" type="pres">
      <dgm:prSet presAssocID="{C1FE717B-2BD9-43E3-8A8D-05641CFF5522}" presName="root2" presStyleCnt="0"/>
      <dgm:spPr/>
    </dgm:pt>
    <dgm:pt modelId="{122624F4-0E9B-4A19-ADE2-54F358A926E8}" type="pres">
      <dgm:prSet presAssocID="{C1FE717B-2BD9-43E3-8A8D-05641CFF5522}" presName="LevelTwoTextNode" presStyleLbl="node4" presStyleIdx="9" presStyleCnt="24" custLinFactNeighborY="784">
        <dgm:presLayoutVars>
          <dgm:chPref val="3"/>
        </dgm:presLayoutVars>
      </dgm:prSet>
      <dgm:spPr/>
    </dgm:pt>
    <dgm:pt modelId="{CAF53991-960A-4F9A-918D-07F9AE4DBEFE}" type="pres">
      <dgm:prSet presAssocID="{C1FE717B-2BD9-43E3-8A8D-05641CFF5522}" presName="level3hierChild" presStyleCnt="0"/>
      <dgm:spPr/>
    </dgm:pt>
    <dgm:pt modelId="{179B8070-E261-4AC5-B8F6-36D62BD61810}" type="pres">
      <dgm:prSet presAssocID="{A1C6218B-25E4-495A-B9F9-1C0395CEE8D2}" presName="conn2-1" presStyleLbl="parChTrans1D4" presStyleIdx="10" presStyleCnt="24"/>
      <dgm:spPr/>
    </dgm:pt>
    <dgm:pt modelId="{D6278BF8-7D86-444B-9D94-07F2FB8B627E}" type="pres">
      <dgm:prSet presAssocID="{A1C6218B-25E4-495A-B9F9-1C0395CEE8D2}" presName="connTx" presStyleLbl="parChTrans1D4" presStyleIdx="10" presStyleCnt="24"/>
      <dgm:spPr/>
    </dgm:pt>
    <dgm:pt modelId="{DF150528-8561-478D-95A9-49818ACD3D4C}" type="pres">
      <dgm:prSet presAssocID="{5544AAC8-9ED2-4439-90ED-0C64E5D1A789}" presName="root2" presStyleCnt="0"/>
      <dgm:spPr/>
    </dgm:pt>
    <dgm:pt modelId="{741D751C-633E-4318-8E9B-6F2F45183E4C}" type="pres">
      <dgm:prSet presAssocID="{5544AAC8-9ED2-4439-90ED-0C64E5D1A789}" presName="LevelTwoTextNode" presStyleLbl="node4" presStyleIdx="10" presStyleCnt="24" custLinFactNeighborY="784">
        <dgm:presLayoutVars>
          <dgm:chPref val="3"/>
        </dgm:presLayoutVars>
      </dgm:prSet>
      <dgm:spPr/>
    </dgm:pt>
    <dgm:pt modelId="{77AAB02A-3D30-423C-B0D9-4123F1350846}" type="pres">
      <dgm:prSet presAssocID="{5544AAC8-9ED2-4439-90ED-0C64E5D1A789}" presName="level3hierChild" presStyleCnt="0"/>
      <dgm:spPr/>
    </dgm:pt>
    <dgm:pt modelId="{89A808E8-61B0-4C71-A5B4-7F142BDF1063}" type="pres">
      <dgm:prSet presAssocID="{DF577185-EF0E-4F1C-B05A-EDA1D51FA488}" presName="conn2-1" presStyleLbl="parChTrans1D4" presStyleIdx="11" presStyleCnt="24"/>
      <dgm:spPr/>
    </dgm:pt>
    <dgm:pt modelId="{D91BC970-2868-4E05-B2F8-C925C5C138E7}" type="pres">
      <dgm:prSet presAssocID="{DF577185-EF0E-4F1C-B05A-EDA1D51FA488}" presName="connTx" presStyleLbl="parChTrans1D4" presStyleIdx="11" presStyleCnt="24"/>
      <dgm:spPr/>
    </dgm:pt>
    <dgm:pt modelId="{6AD1EC53-3A41-4A24-B765-E52397B65D98}" type="pres">
      <dgm:prSet presAssocID="{0692D778-0F32-4165-BB4D-D0617F522E15}" presName="root2" presStyleCnt="0"/>
      <dgm:spPr/>
    </dgm:pt>
    <dgm:pt modelId="{5436C630-8B85-4C77-8185-F3816920B186}" type="pres">
      <dgm:prSet presAssocID="{0692D778-0F32-4165-BB4D-D0617F522E15}" presName="LevelTwoTextNode" presStyleLbl="node4" presStyleIdx="11" presStyleCnt="24" custLinFactNeighborY="784">
        <dgm:presLayoutVars>
          <dgm:chPref val="3"/>
        </dgm:presLayoutVars>
      </dgm:prSet>
      <dgm:spPr/>
    </dgm:pt>
    <dgm:pt modelId="{B5E07166-C7CD-47A7-BCB7-CDC2FBA3C2F7}" type="pres">
      <dgm:prSet presAssocID="{0692D778-0F32-4165-BB4D-D0617F522E15}" presName="level3hierChild" presStyleCnt="0"/>
      <dgm:spPr/>
    </dgm:pt>
    <dgm:pt modelId="{0695936E-A78E-4DD9-9EF8-4C05C4C9B051}" type="pres">
      <dgm:prSet presAssocID="{4236090A-2D69-4A64-A7C9-1D43A61EBDDE}" presName="conn2-1" presStyleLbl="parChTrans1D3" presStyleIdx="3" presStyleCnt="6"/>
      <dgm:spPr/>
    </dgm:pt>
    <dgm:pt modelId="{80B22AB3-B827-489A-9AB6-B12DF333C021}" type="pres">
      <dgm:prSet presAssocID="{4236090A-2D69-4A64-A7C9-1D43A61EBDDE}" presName="connTx" presStyleLbl="parChTrans1D3" presStyleIdx="3" presStyleCnt="6"/>
      <dgm:spPr/>
    </dgm:pt>
    <dgm:pt modelId="{53BF0F82-74BC-49B3-ADB2-3242F7877F4C}" type="pres">
      <dgm:prSet presAssocID="{21391115-5D3B-4BBB-870E-24AEAE365C7D}" presName="root2" presStyleCnt="0"/>
      <dgm:spPr/>
    </dgm:pt>
    <dgm:pt modelId="{97CE89E9-DE23-42D0-BAAE-3F6FEA89558E}" type="pres">
      <dgm:prSet presAssocID="{21391115-5D3B-4BBB-870E-24AEAE365C7D}" presName="LevelTwoTextNode" presStyleLbl="node3" presStyleIdx="3" presStyleCnt="6" custLinFactNeighborY="784">
        <dgm:presLayoutVars>
          <dgm:chPref val="3"/>
        </dgm:presLayoutVars>
      </dgm:prSet>
      <dgm:spPr/>
    </dgm:pt>
    <dgm:pt modelId="{4AAA9E02-1070-4C28-8414-2EE88942A974}" type="pres">
      <dgm:prSet presAssocID="{21391115-5D3B-4BBB-870E-24AEAE365C7D}" presName="level3hierChild" presStyleCnt="0"/>
      <dgm:spPr/>
    </dgm:pt>
    <dgm:pt modelId="{D2DD1726-C8EA-4420-8F5A-6B921701F8B5}" type="pres">
      <dgm:prSet presAssocID="{9AB565B0-52EC-400E-9B04-907E106AA7AF}" presName="conn2-1" presStyleLbl="parChTrans1D4" presStyleIdx="12" presStyleCnt="24"/>
      <dgm:spPr/>
    </dgm:pt>
    <dgm:pt modelId="{308E7DD3-493B-4A8B-A9E2-B30BF65EF36C}" type="pres">
      <dgm:prSet presAssocID="{9AB565B0-52EC-400E-9B04-907E106AA7AF}" presName="connTx" presStyleLbl="parChTrans1D4" presStyleIdx="12" presStyleCnt="24"/>
      <dgm:spPr/>
    </dgm:pt>
    <dgm:pt modelId="{23B437F9-D81F-4E61-B59D-44E7D560260B}" type="pres">
      <dgm:prSet presAssocID="{ED5CB04A-E13E-4229-BEA9-AA7F6E84464A}" presName="root2" presStyleCnt="0"/>
      <dgm:spPr/>
    </dgm:pt>
    <dgm:pt modelId="{F02FA44A-2F2C-4B76-81C6-66250C8EE4A8}" type="pres">
      <dgm:prSet presAssocID="{ED5CB04A-E13E-4229-BEA9-AA7F6E84464A}" presName="LevelTwoTextNode" presStyleLbl="node4" presStyleIdx="12" presStyleCnt="24" custLinFactNeighborY="784">
        <dgm:presLayoutVars>
          <dgm:chPref val="3"/>
        </dgm:presLayoutVars>
      </dgm:prSet>
      <dgm:spPr/>
    </dgm:pt>
    <dgm:pt modelId="{17AA8D44-1EB8-4BBF-AF63-0474AA461CCF}" type="pres">
      <dgm:prSet presAssocID="{ED5CB04A-E13E-4229-BEA9-AA7F6E84464A}" presName="level3hierChild" presStyleCnt="0"/>
      <dgm:spPr/>
    </dgm:pt>
    <dgm:pt modelId="{2095B5D1-1D51-496D-AEEA-A68D88A34A2F}" type="pres">
      <dgm:prSet presAssocID="{07CDB11C-BFA8-47B8-90F9-CBA0BFEB0344}" presName="conn2-1" presStyleLbl="parChTrans1D4" presStyleIdx="13" presStyleCnt="24"/>
      <dgm:spPr/>
    </dgm:pt>
    <dgm:pt modelId="{5A57C91F-38E5-4097-8167-BB965BE8D71B}" type="pres">
      <dgm:prSet presAssocID="{07CDB11C-BFA8-47B8-90F9-CBA0BFEB0344}" presName="connTx" presStyleLbl="parChTrans1D4" presStyleIdx="13" presStyleCnt="24"/>
      <dgm:spPr/>
    </dgm:pt>
    <dgm:pt modelId="{DD39214C-1BFB-47A1-924C-A54FA39E333D}" type="pres">
      <dgm:prSet presAssocID="{2064A4A3-37CD-4029-AFAC-40DEAB879D8E}" presName="root2" presStyleCnt="0"/>
      <dgm:spPr/>
    </dgm:pt>
    <dgm:pt modelId="{D8658746-0992-48CB-A120-17715D7EF518}" type="pres">
      <dgm:prSet presAssocID="{2064A4A3-37CD-4029-AFAC-40DEAB879D8E}" presName="LevelTwoTextNode" presStyleLbl="node4" presStyleIdx="13" presStyleCnt="24" custLinFactNeighborY="784">
        <dgm:presLayoutVars>
          <dgm:chPref val="3"/>
        </dgm:presLayoutVars>
      </dgm:prSet>
      <dgm:spPr/>
    </dgm:pt>
    <dgm:pt modelId="{48AA6C96-35F2-4CE3-88D2-BD9ABE23CBAC}" type="pres">
      <dgm:prSet presAssocID="{2064A4A3-37CD-4029-AFAC-40DEAB879D8E}" presName="level3hierChild" presStyleCnt="0"/>
      <dgm:spPr/>
    </dgm:pt>
    <dgm:pt modelId="{3F44F901-8672-4061-A0DA-EA1D4442A139}" type="pres">
      <dgm:prSet presAssocID="{977EBD13-30B5-408B-8020-4C00B3C04E0F}" presName="conn2-1" presStyleLbl="parChTrans1D4" presStyleIdx="14" presStyleCnt="24"/>
      <dgm:spPr/>
    </dgm:pt>
    <dgm:pt modelId="{D03E414F-6851-418B-ADD7-A4DDE112AA3F}" type="pres">
      <dgm:prSet presAssocID="{977EBD13-30B5-408B-8020-4C00B3C04E0F}" presName="connTx" presStyleLbl="parChTrans1D4" presStyleIdx="14" presStyleCnt="24"/>
      <dgm:spPr/>
    </dgm:pt>
    <dgm:pt modelId="{7D6C8FDB-C989-4559-A96B-907806A24050}" type="pres">
      <dgm:prSet presAssocID="{72C8AC1E-9BE5-4353-BA26-CBF18DF2B1E3}" presName="root2" presStyleCnt="0"/>
      <dgm:spPr/>
    </dgm:pt>
    <dgm:pt modelId="{C65D2369-EF25-4BE9-9FCE-BA24FF11255A}" type="pres">
      <dgm:prSet presAssocID="{72C8AC1E-9BE5-4353-BA26-CBF18DF2B1E3}" presName="LevelTwoTextNode" presStyleLbl="node4" presStyleIdx="14" presStyleCnt="24" custLinFactNeighborY="784">
        <dgm:presLayoutVars>
          <dgm:chPref val="3"/>
        </dgm:presLayoutVars>
      </dgm:prSet>
      <dgm:spPr/>
    </dgm:pt>
    <dgm:pt modelId="{D9E2D2AD-D899-4527-BE7E-289D652683A1}" type="pres">
      <dgm:prSet presAssocID="{72C8AC1E-9BE5-4353-BA26-CBF18DF2B1E3}" presName="level3hierChild" presStyleCnt="0"/>
      <dgm:spPr/>
    </dgm:pt>
    <dgm:pt modelId="{7E3849E0-9DC6-4736-90B5-B31C4DB9E23F}" type="pres">
      <dgm:prSet presAssocID="{31760B29-4D77-47AE-AE70-57405F979C6E}" presName="conn2-1" presStyleLbl="parChTrans1D4" presStyleIdx="15" presStyleCnt="24"/>
      <dgm:spPr/>
    </dgm:pt>
    <dgm:pt modelId="{332BFF85-2429-45FF-B509-E0092B39AAB3}" type="pres">
      <dgm:prSet presAssocID="{31760B29-4D77-47AE-AE70-57405F979C6E}" presName="connTx" presStyleLbl="parChTrans1D4" presStyleIdx="15" presStyleCnt="24"/>
      <dgm:spPr/>
    </dgm:pt>
    <dgm:pt modelId="{D3A86EA8-0E3F-4CEF-AB14-7B94A246349D}" type="pres">
      <dgm:prSet presAssocID="{5B40F81D-BB3A-410A-B612-9303712F579F}" presName="root2" presStyleCnt="0"/>
      <dgm:spPr/>
    </dgm:pt>
    <dgm:pt modelId="{849A3DF1-CC55-4B32-8303-569A21C2061D}" type="pres">
      <dgm:prSet presAssocID="{5B40F81D-BB3A-410A-B612-9303712F579F}" presName="LevelTwoTextNode" presStyleLbl="node4" presStyleIdx="15" presStyleCnt="24" custLinFactNeighborY="784">
        <dgm:presLayoutVars>
          <dgm:chPref val="3"/>
        </dgm:presLayoutVars>
      </dgm:prSet>
      <dgm:spPr/>
    </dgm:pt>
    <dgm:pt modelId="{3F692590-448C-4859-802B-0EB8D350B179}" type="pres">
      <dgm:prSet presAssocID="{5B40F81D-BB3A-410A-B612-9303712F579F}" presName="level3hierChild" presStyleCnt="0"/>
      <dgm:spPr/>
    </dgm:pt>
    <dgm:pt modelId="{317CC671-DC2D-45F5-89DD-4B901D9A65F0}" type="pres">
      <dgm:prSet presAssocID="{641E1839-97FE-46FA-A5CF-660A9B7310D7}" presName="conn2-1" presStyleLbl="parChTrans1D2" presStyleIdx="2" presStyleCnt="3"/>
      <dgm:spPr/>
    </dgm:pt>
    <dgm:pt modelId="{AD0B866C-1564-47F3-B409-FEA317D579A1}" type="pres">
      <dgm:prSet presAssocID="{641E1839-97FE-46FA-A5CF-660A9B7310D7}" presName="connTx" presStyleLbl="parChTrans1D2" presStyleIdx="2" presStyleCnt="3"/>
      <dgm:spPr/>
    </dgm:pt>
    <dgm:pt modelId="{5630DDA7-A7B2-4B54-A7C8-77F88C34BA37}" type="pres">
      <dgm:prSet presAssocID="{AE2DB31A-3B06-49B1-B6E4-15CF13C19D91}" presName="root2" presStyleCnt="0"/>
      <dgm:spPr/>
    </dgm:pt>
    <dgm:pt modelId="{0273551D-6C77-48C4-9894-4441013253FD}" type="pres">
      <dgm:prSet presAssocID="{AE2DB31A-3B06-49B1-B6E4-15CF13C19D91}" presName="LevelTwoTextNode" presStyleLbl="node2" presStyleIdx="2" presStyleCnt="3">
        <dgm:presLayoutVars>
          <dgm:chPref val="3"/>
        </dgm:presLayoutVars>
      </dgm:prSet>
      <dgm:spPr/>
    </dgm:pt>
    <dgm:pt modelId="{2CB02B1E-726D-4CF1-9D7E-30F58512D873}" type="pres">
      <dgm:prSet presAssocID="{AE2DB31A-3B06-49B1-B6E4-15CF13C19D91}" presName="level3hierChild" presStyleCnt="0"/>
      <dgm:spPr/>
    </dgm:pt>
    <dgm:pt modelId="{8ADD098A-D10D-4469-8984-9010095A1E81}" type="pres">
      <dgm:prSet presAssocID="{132EB148-92DF-45F0-A3C8-40CABFEAE1A3}" presName="conn2-1" presStyleLbl="parChTrans1D3" presStyleIdx="4" presStyleCnt="6"/>
      <dgm:spPr/>
    </dgm:pt>
    <dgm:pt modelId="{F549CBFB-02BA-4AC9-BA7C-FA1CEE53CC71}" type="pres">
      <dgm:prSet presAssocID="{132EB148-92DF-45F0-A3C8-40CABFEAE1A3}" presName="connTx" presStyleLbl="parChTrans1D3" presStyleIdx="4" presStyleCnt="6"/>
      <dgm:spPr/>
    </dgm:pt>
    <dgm:pt modelId="{0748628E-40BC-4C18-AFA0-095C495D5B31}" type="pres">
      <dgm:prSet presAssocID="{5910CD64-DEB6-41A2-A540-0FAB987844F9}" presName="root2" presStyleCnt="0"/>
      <dgm:spPr/>
    </dgm:pt>
    <dgm:pt modelId="{807FC128-B384-428E-B392-1C46BBA734C3}" type="pres">
      <dgm:prSet presAssocID="{5910CD64-DEB6-41A2-A540-0FAB987844F9}" presName="LevelTwoTextNode" presStyleLbl="node3" presStyleIdx="4" presStyleCnt="6" custLinFactNeighborY="784">
        <dgm:presLayoutVars>
          <dgm:chPref val="3"/>
        </dgm:presLayoutVars>
      </dgm:prSet>
      <dgm:spPr/>
    </dgm:pt>
    <dgm:pt modelId="{DE1C7A9E-4063-4617-9C84-5BC9AA49EE62}" type="pres">
      <dgm:prSet presAssocID="{5910CD64-DEB6-41A2-A540-0FAB987844F9}" presName="level3hierChild" presStyleCnt="0"/>
      <dgm:spPr/>
    </dgm:pt>
    <dgm:pt modelId="{88D233E6-AFDE-4F1C-8D51-3B6C3BBFE60A}" type="pres">
      <dgm:prSet presAssocID="{20E30B86-9026-4063-A926-7D090F43537F}" presName="conn2-1" presStyleLbl="parChTrans1D4" presStyleIdx="16" presStyleCnt="24"/>
      <dgm:spPr/>
    </dgm:pt>
    <dgm:pt modelId="{DC7CFBC0-31EA-451D-8C91-883116376A9D}" type="pres">
      <dgm:prSet presAssocID="{20E30B86-9026-4063-A926-7D090F43537F}" presName="connTx" presStyleLbl="parChTrans1D4" presStyleIdx="16" presStyleCnt="24"/>
      <dgm:spPr/>
    </dgm:pt>
    <dgm:pt modelId="{EADD6047-0890-4AC1-BB4B-CEDB25306009}" type="pres">
      <dgm:prSet presAssocID="{3AD89FD9-9825-432C-9273-D9696A824C92}" presName="root2" presStyleCnt="0"/>
      <dgm:spPr/>
    </dgm:pt>
    <dgm:pt modelId="{29F40378-DB03-4B17-97AB-BCAE2285DBA7}" type="pres">
      <dgm:prSet presAssocID="{3AD89FD9-9825-432C-9273-D9696A824C92}" presName="LevelTwoTextNode" presStyleLbl="node4" presStyleIdx="16" presStyleCnt="24" custLinFactNeighborY="784">
        <dgm:presLayoutVars>
          <dgm:chPref val="3"/>
        </dgm:presLayoutVars>
      </dgm:prSet>
      <dgm:spPr/>
    </dgm:pt>
    <dgm:pt modelId="{CB1355A3-63B9-4716-83E8-59EA1161BDDA}" type="pres">
      <dgm:prSet presAssocID="{3AD89FD9-9825-432C-9273-D9696A824C92}" presName="level3hierChild" presStyleCnt="0"/>
      <dgm:spPr/>
    </dgm:pt>
    <dgm:pt modelId="{838854CF-EE5E-4C5C-9B86-B0624B9F3053}" type="pres">
      <dgm:prSet presAssocID="{4825FC5A-E3A3-45F6-A265-82C97FE7C18B}" presName="conn2-1" presStyleLbl="parChTrans1D4" presStyleIdx="17" presStyleCnt="24"/>
      <dgm:spPr/>
    </dgm:pt>
    <dgm:pt modelId="{66543685-F348-41A6-A424-F5EFF813F73E}" type="pres">
      <dgm:prSet presAssocID="{4825FC5A-E3A3-45F6-A265-82C97FE7C18B}" presName="connTx" presStyleLbl="parChTrans1D4" presStyleIdx="17" presStyleCnt="24"/>
      <dgm:spPr/>
    </dgm:pt>
    <dgm:pt modelId="{81B353D5-1013-4707-A39C-0B4FC26A129B}" type="pres">
      <dgm:prSet presAssocID="{45C43FCA-F3D9-4FD7-B958-842A93815AEA}" presName="root2" presStyleCnt="0"/>
      <dgm:spPr/>
    </dgm:pt>
    <dgm:pt modelId="{FF56C447-1A40-4683-9B7D-3BFD4E575B97}" type="pres">
      <dgm:prSet presAssocID="{45C43FCA-F3D9-4FD7-B958-842A93815AEA}" presName="LevelTwoTextNode" presStyleLbl="node4" presStyleIdx="17" presStyleCnt="24" custLinFactNeighborX="152" custLinFactNeighborY="1568">
        <dgm:presLayoutVars>
          <dgm:chPref val="3"/>
        </dgm:presLayoutVars>
      </dgm:prSet>
      <dgm:spPr/>
    </dgm:pt>
    <dgm:pt modelId="{B8964AEF-BB41-4D81-8409-5CF69190697A}" type="pres">
      <dgm:prSet presAssocID="{45C43FCA-F3D9-4FD7-B958-842A93815AEA}" presName="level3hierChild" presStyleCnt="0"/>
      <dgm:spPr/>
    </dgm:pt>
    <dgm:pt modelId="{EE3D6874-9FCF-4B07-A847-DB7D9C957A8C}" type="pres">
      <dgm:prSet presAssocID="{24A0BD65-5513-44DD-A7AF-303ABB693E70}" presName="conn2-1" presStyleLbl="parChTrans1D4" presStyleIdx="18" presStyleCnt="24"/>
      <dgm:spPr/>
    </dgm:pt>
    <dgm:pt modelId="{F47F7E5C-78A0-43D9-9573-DE875FAD13BB}" type="pres">
      <dgm:prSet presAssocID="{24A0BD65-5513-44DD-A7AF-303ABB693E70}" presName="connTx" presStyleLbl="parChTrans1D4" presStyleIdx="18" presStyleCnt="24"/>
      <dgm:spPr/>
    </dgm:pt>
    <dgm:pt modelId="{FF827A46-46F4-4A23-838A-4B54C4CDD5B0}" type="pres">
      <dgm:prSet presAssocID="{2D1D0124-F11B-4AC4-A8F7-2567EB199D62}" presName="root2" presStyleCnt="0"/>
      <dgm:spPr/>
    </dgm:pt>
    <dgm:pt modelId="{3CD9680C-3252-4378-8A2F-F5C64CF54502}" type="pres">
      <dgm:prSet presAssocID="{2D1D0124-F11B-4AC4-A8F7-2567EB199D62}" presName="LevelTwoTextNode" presStyleLbl="node4" presStyleIdx="18" presStyleCnt="24" custLinFactNeighborY="784">
        <dgm:presLayoutVars>
          <dgm:chPref val="3"/>
        </dgm:presLayoutVars>
      </dgm:prSet>
      <dgm:spPr/>
    </dgm:pt>
    <dgm:pt modelId="{995A50EF-E340-4657-A700-AF6CA0C6A6F4}" type="pres">
      <dgm:prSet presAssocID="{2D1D0124-F11B-4AC4-A8F7-2567EB199D62}" presName="level3hierChild" presStyleCnt="0"/>
      <dgm:spPr/>
    </dgm:pt>
    <dgm:pt modelId="{8A1B0AF3-EBE3-4D1A-9559-C15D24E4EFF3}" type="pres">
      <dgm:prSet presAssocID="{DF1EDD13-516A-4F59-B6CE-B6D185739264}" presName="conn2-1" presStyleLbl="parChTrans1D4" presStyleIdx="19" presStyleCnt="24"/>
      <dgm:spPr/>
    </dgm:pt>
    <dgm:pt modelId="{E8135622-9F7E-4B66-92F0-AC19078B4CFB}" type="pres">
      <dgm:prSet presAssocID="{DF1EDD13-516A-4F59-B6CE-B6D185739264}" presName="connTx" presStyleLbl="parChTrans1D4" presStyleIdx="19" presStyleCnt="24"/>
      <dgm:spPr/>
    </dgm:pt>
    <dgm:pt modelId="{85447CAD-A119-4696-A964-3E9662C67D80}" type="pres">
      <dgm:prSet presAssocID="{E852028A-FD5F-4F0B-8760-9264A722BD48}" presName="root2" presStyleCnt="0"/>
      <dgm:spPr/>
    </dgm:pt>
    <dgm:pt modelId="{E4DD0DB1-214F-43E7-8234-76101D29995A}" type="pres">
      <dgm:prSet presAssocID="{E852028A-FD5F-4F0B-8760-9264A722BD48}" presName="LevelTwoTextNode" presStyleLbl="node4" presStyleIdx="19" presStyleCnt="24" custLinFactNeighborX="152" custLinFactNeighborY="1568">
        <dgm:presLayoutVars>
          <dgm:chPref val="3"/>
        </dgm:presLayoutVars>
      </dgm:prSet>
      <dgm:spPr/>
    </dgm:pt>
    <dgm:pt modelId="{CD485C63-9C6B-482E-A923-3D7855E2F632}" type="pres">
      <dgm:prSet presAssocID="{E852028A-FD5F-4F0B-8760-9264A722BD48}" presName="level3hierChild" presStyleCnt="0"/>
      <dgm:spPr/>
    </dgm:pt>
    <dgm:pt modelId="{9E9966C7-B98D-4E66-B968-B2715CD311D0}" type="pres">
      <dgm:prSet presAssocID="{82F42672-78A7-4C01-9819-269272D69DAD}" presName="conn2-1" presStyleLbl="parChTrans1D3" presStyleIdx="5" presStyleCnt="6"/>
      <dgm:spPr/>
    </dgm:pt>
    <dgm:pt modelId="{C1F1FC28-9883-4D6B-87B5-155EFB646A0C}" type="pres">
      <dgm:prSet presAssocID="{82F42672-78A7-4C01-9819-269272D69DAD}" presName="connTx" presStyleLbl="parChTrans1D3" presStyleIdx="5" presStyleCnt="6"/>
      <dgm:spPr/>
    </dgm:pt>
    <dgm:pt modelId="{0646B20F-3F62-48C8-AA3A-689CED4B7213}" type="pres">
      <dgm:prSet presAssocID="{BFAD6C39-E400-4265-93CA-04560C41404E}" presName="root2" presStyleCnt="0"/>
      <dgm:spPr/>
    </dgm:pt>
    <dgm:pt modelId="{CA914FF1-DA62-475F-89D0-9279F27AB2C5}" type="pres">
      <dgm:prSet presAssocID="{BFAD6C39-E400-4265-93CA-04560C41404E}" presName="LevelTwoTextNode" presStyleLbl="node3" presStyleIdx="5" presStyleCnt="6" custLinFactNeighborY="784">
        <dgm:presLayoutVars>
          <dgm:chPref val="3"/>
        </dgm:presLayoutVars>
      </dgm:prSet>
      <dgm:spPr/>
    </dgm:pt>
    <dgm:pt modelId="{108D1698-4AEB-4C3C-81EB-350FD8156811}" type="pres">
      <dgm:prSet presAssocID="{BFAD6C39-E400-4265-93CA-04560C41404E}" presName="level3hierChild" presStyleCnt="0"/>
      <dgm:spPr/>
    </dgm:pt>
    <dgm:pt modelId="{7330CBB1-5625-47CD-B407-29B1C40917DD}" type="pres">
      <dgm:prSet presAssocID="{87EE537C-2288-4C3C-9E5E-9AE75A0F65F9}" presName="conn2-1" presStyleLbl="parChTrans1D4" presStyleIdx="20" presStyleCnt="24"/>
      <dgm:spPr/>
    </dgm:pt>
    <dgm:pt modelId="{E7D7FEC4-6DC9-4F67-BA7D-1AE168CD5708}" type="pres">
      <dgm:prSet presAssocID="{87EE537C-2288-4C3C-9E5E-9AE75A0F65F9}" presName="connTx" presStyleLbl="parChTrans1D4" presStyleIdx="20" presStyleCnt="24"/>
      <dgm:spPr/>
    </dgm:pt>
    <dgm:pt modelId="{30503AB9-95B4-452B-B0D5-AE363E9C1A06}" type="pres">
      <dgm:prSet presAssocID="{637C1996-A23F-4FD4-B754-6D3587AB9CC2}" presName="root2" presStyleCnt="0"/>
      <dgm:spPr/>
    </dgm:pt>
    <dgm:pt modelId="{B9F2B3B1-3751-49E6-A52D-CA3A200AB719}" type="pres">
      <dgm:prSet presAssocID="{637C1996-A23F-4FD4-B754-6D3587AB9CC2}" presName="LevelTwoTextNode" presStyleLbl="node4" presStyleIdx="20" presStyleCnt="24" custLinFactNeighborY="784">
        <dgm:presLayoutVars>
          <dgm:chPref val="3"/>
        </dgm:presLayoutVars>
      </dgm:prSet>
      <dgm:spPr/>
    </dgm:pt>
    <dgm:pt modelId="{676F41CF-63FF-43D1-9DCE-3B36A1FF533C}" type="pres">
      <dgm:prSet presAssocID="{637C1996-A23F-4FD4-B754-6D3587AB9CC2}" presName="level3hierChild" presStyleCnt="0"/>
      <dgm:spPr/>
    </dgm:pt>
    <dgm:pt modelId="{65B469A7-9474-46A1-9347-523BB19D098F}" type="pres">
      <dgm:prSet presAssocID="{9BED43CC-94D2-4751-B1F1-A25BD3A65EEA}" presName="conn2-1" presStyleLbl="parChTrans1D4" presStyleIdx="21" presStyleCnt="24"/>
      <dgm:spPr/>
    </dgm:pt>
    <dgm:pt modelId="{9B3CFE7D-D83B-4A45-BF29-9D9202182C9A}" type="pres">
      <dgm:prSet presAssocID="{9BED43CC-94D2-4751-B1F1-A25BD3A65EEA}" presName="connTx" presStyleLbl="parChTrans1D4" presStyleIdx="21" presStyleCnt="24"/>
      <dgm:spPr/>
    </dgm:pt>
    <dgm:pt modelId="{2CAF4596-EEBE-42B7-8A22-47C57F651AA1}" type="pres">
      <dgm:prSet presAssocID="{279D325B-A1B3-49A3-8D4C-7B91A95C5CC7}" presName="root2" presStyleCnt="0"/>
      <dgm:spPr/>
    </dgm:pt>
    <dgm:pt modelId="{3BC337E2-7995-49C1-9247-525951396E56}" type="pres">
      <dgm:prSet presAssocID="{279D325B-A1B3-49A3-8D4C-7B91A95C5CC7}" presName="LevelTwoTextNode" presStyleLbl="node4" presStyleIdx="21" presStyleCnt="24" custLinFactNeighborX="152" custLinFactNeighborY="1568">
        <dgm:presLayoutVars>
          <dgm:chPref val="3"/>
        </dgm:presLayoutVars>
      </dgm:prSet>
      <dgm:spPr/>
    </dgm:pt>
    <dgm:pt modelId="{D245B4C7-B48B-464A-9DFE-E90A9DD2BA6B}" type="pres">
      <dgm:prSet presAssocID="{279D325B-A1B3-49A3-8D4C-7B91A95C5CC7}" presName="level3hierChild" presStyleCnt="0"/>
      <dgm:spPr/>
    </dgm:pt>
    <dgm:pt modelId="{2BD2EC1B-E423-41F9-B195-8E98B0099B3B}" type="pres">
      <dgm:prSet presAssocID="{E8ADD25D-27FF-488C-AA4B-A4A6454EE447}" presName="conn2-1" presStyleLbl="parChTrans1D4" presStyleIdx="22" presStyleCnt="24"/>
      <dgm:spPr/>
    </dgm:pt>
    <dgm:pt modelId="{56E9E413-D33C-4AD0-9736-6547D738EBB2}" type="pres">
      <dgm:prSet presAssocID="{E8ADD25D-27FF-488C-AA4B-A4A6454EE447}" presName="connTx" presStyleLbl="parChTrans1D4" presStyleIdx="22" presStyleCnt="24"/>
      <dgm:spPr/>
    </dgm:pt>
    <dgm:pt modelId="{0A7E5FB4-3B85-4EFB-8E0D-6B8251FFD429}" type="pres">
      <dgm:prSet presAssocID="{44F52ED3-358B-4860-BF40-48B95D2A4403}" presName="root2" presStyleCnt="0"/>
      <dgm:spPr/>
    </dgm:pt>
    <dgm:pt modelId="{F4205F1C-37D5-4E8E-8741-AE8C3FCBD5FC}" type="pres">
      <dgm:prSet presAssocID="{44F52ED3-358B-4860-BF40-48B95D2A4403}" presName="LevelTwoTextNode" presStyleLbl="node4" presStyleIdx="22" presStyleCnt="24" custLinFactNeighborY="-7119">
        <dgm:presLayoutVars>
          <dgm:chPref val="3"/>
        </dgm:presLayoutVars>
      </dgm:prSet>
      <dgm:spPr/>
    </dgm:pt>
    <dgm:pt modelId="{F4129F88-F7D4-43CD-80A5-23AEC8C88A4A}" type="pres">
      <dgm:prSet presAssocID="{44F52ED3-358B-4860-BF40-48B95D2A4403}" presName="level3hierChild" presStyleCnt="0"/>
      <dgm:spPr/>
    </dgm:pt>
    <dgm:pt modelId="{11DE5F4F-8A88-4D93-B33D-39AE324571BB}" type="pres">
      <dgm:prSet presAssocID="{656E8767-2CA7-463E-B251-FAB86B864C0B}" presName="conn2-1" presStyleLbl="parChTrans1D4" presStyleIdx="23" presStyleCnt="24"/>
      <dgm:spPr/>
    </dgm:pt>
    <dgm:pt modelId="{2E7C7ECB-9742-4ACC-8D1E-F65849EAD9E1}" type="pres">
      <dgm:prSet presAssocID="{656E8767-2CA7-463E-B251-FAB86B864C0B}" presName="connTx" presStyleLbl="parChTrans1D4" presStyleIdx="23" presStyleCnt="24"/>
      <dgm:spPr/>
    </dgm:pt>
    <dgm:pt modelId="{7B588D59-946F-4BE8-8FB0-FAA2318B54CF}" type="pres">
      <dgm:prSet presAssocID="{504609E6-ABC5-4D74-837E-F1BA5CF4E36E}" presName="root2" presStyleCnt="0"/>
      <dgm:spPr/>
    </dgm:pt>
    <dgm:pt modelId="{136EFCDF-60F6-4AAE-91DE-A801CF6776AE}" type="pres">
      <dgm:prSet presAssocID="{504609E6-ABC5-4D74-837E-F1BA5CF4E36E}" presName="LevelTwoTextNode" presStyleLbl="node4" presStyleIdx="23" presStyleCnt="24" custLinFactNeighborX="152" custLinFactNeighborY="-7119">
        <dgm:presLayoutVars>
          <dgm:chPref val="3"/>
        </dgm:presLayoutVars>
      </dgm:prSet>
      <dgm:spPr/>
    </dgm:pt>
    <dgm:pt modelId="{2D4DC6FA-4FE8-4648-BFA3-A2D9D6A90DD8}" type="pres">
      <dgm:prSet presAssocID="{504609E6-ABC5-4D74-837E-F1BA5CF4E36E}" presName="level3hierChild" presStyleCnt="0"/>
      <dgm:spPr/>
    </dgm:pt>
  </dgm:ptLst>
  <dgm:cxnLst>
    <dgm:cxn modelId="{8A3EB703-73FB-409F-89BA-7C389A66DE6F}" type="presOf" srcId="{F51D50B8-1A3D-4F98-9FA5-3AD6FBB97CB5}" destId="{A9E8355C-98BB-4466-8E92-BBDBA91C1EE3}" srcOrd="0" destOrd="0" presId="urn:microsoft.com/office/officeart/2008/layout/HorizontalMultiLevelHierarchy"/>
    <dgm:cxn modelId="{687A5205-A6D7-4928-95B7-DB5ABF06EA63}" type="presOf" srcId="{E8ADD25D-27FF-488C-AA4B-A4A6454EE447}" destId="{56E9E413-D33C-4AD0-9736-6547D738EBB2}" srcOrd="1" destOrd="0" presId="urn:microsoft.com/office/officeart/2008/layout/HorizontalMultiLevelHierarchy"/>
    <dgm:cxn modelId="{A6F4DD05-B9C6-4297-A73C-E6960DE138FA}" type="presOf" srcId="{A6354AB3-B038-4F3F-8C48-2722C8585607}" destId="{0BBF1BEE-6B27-4241-B15B-09A3D8560DDA}" srcOrd="0" destOrd="0" presId="urn:microsoft.com/office/officeart/2008/layout/HorizontalMultiLevelHierarchy"/>
    <dgm:cxn modelId="{667CE605-BB94-4743-808F-2FBE24352913}" type="presOf" srcId="{0692D778-0F32-4165-BB4D-D0617F522E15}" destId="{5436C630-8B85-4C77-8185-F3816920B186}" srcOrd="0" destOrd="0" presId="urn:microsoft.com/office/officeart/2008/layout/HorizontalMultiLevelHierarchy"/>
    <dgm:cxn modelId="{2D329007-51F3-43B4-8C4F-52D71618D648}" type="presOf" srcId="{82F42672-78A7-4C01-9819-269272D69DAD}" destId="{C1F1FC28-9883-4D6B-87B5-155EFB646A0C}" srcOrd="1" destOrd="0" presId="urn:microsoft.com/office/officeart/2008/layout/HorizontalMultiLevelHierarchy"/>
    <dgm:cxn modelId="{E1A68B0B-6149-4E80-90EC-72E0583208E0}" srcId="{89932BDF-B4D4-46A9-A87C-2258F747B6CE}" destId="{A6354AB3-B038-4F3F-8C48-2722C8585607}" srcOrd="0" destOrd="0" parTransId="{E5F69BAB-2030-4A51-97A6-AED57E4C5C03}" sibTransId="{D2A7CE52-073B-4236-AFB4-08DC78806943}"/>
    <dgm:cxn modelId="{D14DE90C-E1BA-405E-83CB-88BD62DEE443}" srcId="{AE2DB31A-3B06-49B1-B6E4-15CF13C19D91}" destId="{5910CD64-DEB6-41A2-A540-0FAB987844F9}" srcOrd="0" destOrd="0" parTransId="{132EB148-92DF-45F0-A3C8-40CABFEAE1A3}" sibTransId="{EB573AA0-E1C3-4050-8D49-C5F6F37DAB4E}"/>
    <dgm:cxn modelId="{590E030D-77F8-44F0-9C05-44DF009CCF5D}" type="presOf" srcId="{B25A3A85-0CB1-40E8-8F55-0E927DB3073B}" destId="{1E42E501-7BF3-4906-900E-C428DD10E671}" srcOrd="1" destOrd="0" presId="urn:microsoft.com/office/officeart/2008/layout/HorizontalMultiLevelHierarchy"/>
    <dgm:cxn modelId="{26DE0011-1825-43A1-B1AB-FA31874D510D}" type="presOf" srcId="{A1C6218B-25E4-495A-B9F9-1C0395CEE8D2}" destId="{179B8070-E261-4AC5-B8F6-36D62BD61810}" srcOrd="0" destOrd="0" presId="urn:microsoft.com/office/officeart/2008/layout/HorizontalMultiLevelHierarchy"/>
    <dgm:cxn modelId="{3CB7A811-1635-4799-9AA5-4B5A7CB1D788}" type="presOf" srcId="{E852028A-FD5F-4F0B-8760-9264A722BD48}" destId="{E4DD0DB1-214F-43E7-8234-76101D29995A}" srcOrd="0" destOrd="0" presId="urn:microsoft.com/office/officeart/2008/layout/HorizontalMultiLevelHierarchy"/>
    <dgm:cxn modelId="{780ECE12-F272-4B3B-B407-4990CC4A26CD}" type="presOf" srcId="{07CDB11C-BFA8-47B8-90F9-CBA0BFEB0344}" destId="{5A57C91F-38E5-4097-8167-BB965BE8D71B}" srcOrd="1" destOrd="0" presId="urn:microsoft.com/office/officeart/2008/layout/HorizontalMultiLevelHierarchy"/>
    <dgm:cxn modelId="{4E48EB13-0D91-4EEC-A9CC-FBF38583D072}" type="presOf" srcId="{637C1996-A23F-4FD4-B754-6D3587AB9CC2}" destId="{B9F2B3B1-3751-49E6-A52D-CA3A200AB719}" srcOrd="0" destOrd="0" presId="urn:microsoft.com/office/officeart/2008/layout/HorizontalMultiLevelHierarchy"/>
    <dgm:cxn modelId="{77C18514-940E-4A18-AAD1-5956D5445418}" type="presOf" srcId="{C5B08D25-AF92-49CD-9DBE-F60C7E7A5E7D}" destId="{1E1E1688-3244-4731-801D-3BA471FAA44E}" srcOrd="1" destOrd="0" presId="urn:microsoft.com/office/officeart/2008/layout/HorizontalMultiLevelHierarchy"/>
    <dgm:cxn modelId="{814F1817-6375-4194-82CA-06DAC18C23F1}" srcId="{21391115-5D3B-4BBB-870E-24AEAE365C7D}" destId="{ED5CB04A-E13E-4229-BEA9-AA7F6E84464A}" srcOrd="0" destOrd="0" parTransId="{9AB565B0-52EC-400E-9B04-907E106AA7AF}" sibTransId="{10DCFA16-36A1-4DD2-9152-F611E365A982}"/>
    <dgm:cxn modelId="{7B2E6018-E9AB-4AC8-8699-0B1BB63F1545}" srcId="{6374B15B-2C84-4A0E-A2EF-9BE822897845}" destId="{89932BDF-B4D4-46A9-A87C-2258F747B6CE}" srcOrd="0" destOrd="0" parTransId="{C97D5173-39C6-486B-8B5B-07DE9D649660}" sibTransId="{453616C6-78F2-4A4F-983C-A7EB67F8A9E0}"/>
    <dgm:cxn modelId="{0AA97719-C680-4382-A755-3480CDB7A353}" type="presOf" srcId="{C97D5173-39C6-486B-8B5B-07DE9D649660}" destId="{6CAFCFD9-CCD5-40D7-A119-010D2E68A261}" srcOrd="1" destOrd="0" presId="urn:microsoft.com/office/officeart/2008/layout/HorizontalMultiLevelHierarchy"/>
    <dgm:cxn modelId="{A490C81B-EDB4-434B-A9D4-4E045F0288D0}" srcId="{BFAD6C39-E400-4265-93CA-04560C41404E}" destId="{44F52ED3-358B-4860-BF40-48B95D2A4403}" srcOrd="1" destOrd="0" parTransId="{E8ADD25D-27FF-488C-AA4B-A4A6454EE447}" sibTransId="{9FE4D535-304E-4EAA-BE60-347D5676F7A6}"/>
    <dgm:cxn modelId="{88C90B21-A5C2-42B0-8E41-5F591FC6E46C}" type="presOf" srcId="{ADE56455-EB56-46FB-8D17-E6BAFB2EEC9A}" destId="{C471DE6B-F02A-4A99-A018-75FB76213F2F}" srcOrd="0" destOrd="0" presId="urn:microsoft.com/office/officeart/2008/layout/HorizontalMultiLevelHierarchy"/>
    <dgm:cxn modelId="{6C7CD821-0872-45A9-8247-92791F5E65ED}" type="presOf" srcId="{7515A0DC-5A9C-4AC2-8771-8F9F09EFC498}" destId="{873FB030-50F9-4DFC-A1BA-409512EF3B41}" srcOrd="0" destOrd="0" presId="urn:microsoft.com/office/officeart/2008/layout/HorizontalMultiLevelHierarchy"/>
    <dgm:cxn modelId="{1A53DD26-040A-4C37-AE7A-558AC0A76D22}" type="presOf" srcId="{6374B15B-2C84-4A0E-A2EF-9BE822897845}" destId="{EB51B9DF-EC7E-4675-B9E9-197A79AAA01D}" srcOrd="0" destOrd="0" presId="urn:microsoft.com/office/officeart/2008/layout/HorizontalMultiLevelHierarchy"/>
    <dgm:cxn modelId="{EC07DB2A-09D3-4B26-A4EB-F61A593965AB}" type="presOf" srcId="{656E8767-2CA7-463E-B251-FAB86B864C0B}" destId="{2E7C7ECB-9742-4ACC-8D1E-F65849EAD9E1}" srcOrd="1" destOrd="0" presId="urn:microsoft.com/office/officeart/2008/layout/HorizontalMultiLevelHierarchy"/>
    <dgm:cxn modelId="{8351C02B-2038-483F-A1F4-3E271D162C99}" srcId="{C0DC9170-8F36-4B79-BB87-448963AE54FC}" destId="{077E7F10-9F93-42F7-B551-49611E257257}" srcOrd="0" destOrd="0" parTransId="{413F64A9-5D21-4B09-9586-61FA282C9F71}" sibTransId="{2ED9445C-F897-420A-A00D-D315A15956C4}"/>
    <dgm:cxn modelId="{30EBE22E-6C58-4782-A3C2-D4B6F56CDF6C}" type="presOf" srcId="{FC4C4977-D679-42D7-B753-E6E4AFE0E1B5}" destId="{CE60FF66-18CE-4FED-AAD9-FBE58E694D2F}" srcOrd="1" destOrd="0" presId="urn:microsoft.com/office/officeart/2008/layout/HorizontalMultiLevelHierarchy"/>
    <dgm:cxn modelId="{9F85C231-865D-4A44-973E-EF3987B35276}" type="presOf" srcId="{DF1EDD13-516A-4F59-B6CE-B6D185739264}" destId="{8A1B0AF3-EBE3-4D1A-9559-C15D24E4EFF3}" srcOrd="0" destOrd="0" presId="urn:microsoft.com/office/officeart/2008/layout/HorizontalMultiLevelHierarchy"/>
    <dgm:cxn modelId="{55CD8534-1991-4181-9120-5E997ABED58D}" type="presOf" srcId="{C0DC9170-8F36-4B79-BB87-448963AE54FC}" destId="{E318E994-3372-4149-924B-F6012B03987E}" srcOrd="0" destOrd="0" presId="urn:microsoft.com/office/officeart/2008/layout/HorizontalMultiLevelHierarchy"/>
    <dgm:cxn modelId="{B55B1D36-59A2-4C42-8364-8482A39B4384}" srcId="{7515A0DC-5A9C-4AC2-8771-8F9F09EFC498}" destId="{FCEA70D9-66A0-402A-94CF-4AE63221705F}" srcOrd="0" destOrd="0" parTransId="{B25A3A85-0CB1-40E8-8F55-0E927DB3073B}" sibTransId="{38774431-5473-4E26-9DC0-F672394A41F9}"/>
    <dgm:cxn modelId="{29728E38-A84F-41E2-AC0F-F9B653D90572}" type="presOf" srcId="{DF577185-EF0E-4F1C-B05A-EDA1D51FA488}" destId="{D91BC970-2868-4E05-B2F8-C925C5C138E7}" srcOrd="1" destOrd="0" presId="urn:microsoft.com/office/officeart/2008/layout/HorizontalMultiLevelHierarchy"/>
    <dgm:cxn modelId="{CBEC8E38-E245-412E-95D6-F81785DCBAC8}" type="presOf" srcId="{FCEA70D9-66A0-402A-94CF-4AE63221705F}" destId="{24F994B9-9CA3-46E9-BDDC-ABAC711DD3BA}" srcOrd="0" destOrd="0" presId="urn:microsoft.com/office/officeart/2008/layout/HorizontalMultiLevelHierarchy"/>
    <dgm:cxn modelId="{E1F5BC38-4A9A-4044-9C35-188DC1616930}" type="presOf" srcId="{F7A4C6D4-3844-4528-9AB9-C30ED2CBBB7A}" destId="{ECF2DC17-67B7-4D1F-9B56-B5750904171E}" srcOrd="0" destOrd="0" presId="urn:microsoft.com/office/officeart/2008/layout/HorizontalMultiLevelHierarchy"/>
    <dgm:cxn modelId="{8BFB1939-6DD3-41D9-9447-145B405B5CDD}" srcId="{5544AAC8-9ED2-4439-90ED-0C64E5D1A789}" destId="{0692D778-0F32-4165-BB4D-D0617F522E15}" srcOrd="0" destOrd="0" parTransId="{DF577185-EF0E-4F1C-B05A-EDA1D51FA488}" sibTransId="{D995E55A-7653-43B7-902F-9CA79D464172}"/>
    <dgm:cxn modelId="{EAEE923B-D143-4562-AB6F-489006434920}" type="presOf" srcId="{20E30B86-9026-4063-A926-7D090F43537F}" destId="{88D233E6-AFDE-4F1C-8D51-3B6C3BBFE60A}" srcOrd="0" destOrd="0" presId="urn:microsoft.com/office/officeart/2008/layout/HorizontalMultiLevelHierarchy"/>
    <dgm:cxn modelId="{2A89323D-D806-4812-A511-D983ECF19C08}" type="presOf" srcId="{51628C19-F86B-4B95-A566-B75B2E96E3B1}" destId="{D2846E31-023C-4A67-BA23-AB98C470A8E9}" srcOrd="1" destOrd="0" presId="urn:microsoft.com/office/officeart/2008/layout/HorizontalMultiLevelHierarchy"/>
    <dgm:cxn modelId="{40B5C03D-50B9-4710-A373-12AF95CD7CF7}" type="presOf" srcId="{5544AAC8-9ED2-4439-90ED-0C64E5D1A789}" destId="{741D751C-633E-4318-8E9B-6F2F45183E4C}" srcOrd="0" destOrd="0" presId="urn:microsoft.com/office/officeart/2008/layout/HorizontalMultiLevelHierarchy"/>
    <dgm:cxn modelId="{5B100A40-018D-47BD-90A3-19DA8A899AE2}" type="presOf" srcId="{5B40F81D-BB3A-410A-B612-9303712F579F}" destId="{849A3DF1-CC55-4B32-8303-569A21C2061D}" srcOrd="0" destOrd="0" presId="urn:microsoft.com/office/officeart/2008/layout/HorizontalMultiLevelHierarchy"/>
    <dgm:cxn modelId="{A08B8C40-5150-4461-8D16-703FD1F47702}" type="presOf" srcId="{89932BDF-B4D4-46A9-A87C-2258F747B6CE}" destId="{B6746584-D071-499D-94EA-DEC4AAD8CFC6}" srcOrd="0" destOrd="0" presId="urn:microsoft.com/office/officeart/2008/layout/HorizontalMultiLevelHierarchy"/>
    <dgm:cxn modelId="{D8F3115B-121F-45A2-ADEA-F8D62A5D49F7}" type="presOf" srcId="{077E7F10-9F93-42F7-B551-49611E257257}" destId="{8F7D88B5-E5AB-49CD-B557-C32C9DB2B7C3}" srcOrd="0" destOrd="0" presId="urn:microsoft.com/office/officeart/2008/layout/HorizontalMultiLevelHierarchy"/>
    <dgm:cxn modelId="{AD7C0A60-EE6F-40C4-9134-D6E03B6F4C9A}" srcId="{077E7F10-9F93-42F7-B551-49611E257257}" destId="{ADE56455-EB56-46FB-8D17-E6BAFB2EEC9A}" srcOrd="1" destOrd="0" parTransId="{EA8A0722-BF0B-49A0-852F-39F2903C6BAC}" sibTransId="{4F700BF7-242D-4C89-BF15-97E2C44A3E27}"/>
    <dgm:cxn modelId="{6A166160-1C78-4CC3-B8D8-110F8A5BDFD1}" type="presOf" srcId="{FC4C4977-D679-42D7-B753-E6E4AFE0E1B5}" destId="{6C00A21B-2275-4255-89E0-452D234C4C32}" srcOrd="0" destOrd="0" presId="urn:microsoft.com/office/officeart/2008/layout/HorizontalMultiLevelHierarchy"/>
    <dgm:cxn modelId="{D35BD960-7549-4D3B-B859-93D6BBF0A0DC}" type="presOf" srcId="{EA8A0722-BF0B-49A0-852F-39F2903C6BAC}" destId="{B85A81DA-514E-4788-B754-C8B59FFBFC53}" srcOrd="1" destOrd="0" presId="urn:microsoft.com/office/officeart/2008/layout/HorizontalMultiLevelHierarchy"/>
    <dgm:cxn modelId="{44AC6261-4D45-4881-804E-D2062308D46B}" type="presOf" srcId="{B25A3A85-0CB1-40E8-8F55-0E927DB3073B}" destId="{9B791EE2-04EC-4B1E-88C1-8423A01CDEDA}" srcOrd="0" destOrd="0" presId="urn:microsoft.com/office/officeart/2008/layout/HorizontalMultiLevelHierarchy"/>
    <dgm:cxn modelId="{68BF6A62-5316-4856-88DA-608718E7A7CF}" type="presOf" srcId="{656E8767-2CA7-463E-B251-FAB86B864C0B}" destId="{11DE5F4F-8A88-4D93-B33D-39AE324571BB}" srcOrd="0" destOrd="0" presId="urn:microsoft.com/office/officeart/2008/layout/HorizontalMultiLevelHierarchy"/>
    <dgm:cxn modelId="{B4F16743-3AB2-43B6-AB37-CDC45BE10A39}" type="presOf" srcId="{C5B08D25-AF92-49CD-9DBE-F60C7E7A5E7D}" destId="{ECFD9A21-7733-4B56-8894-C8846F9FEF88}" srcOrd="0" destOrd="0" presId="urn:microsoft.com/office/officeart/2008/layout/HorizontalMultiLevelHierarchy"/>
    <dgm:cxn modelId="{8496A444-8B0A-4D55-B1E7-DDDFADE00F94}" type="presOf" srcId="{51628C19-F86B-4B95-A566-B75B2E96E3B1}" destId="{1FCDC7E7-127E-4489-9320-227625952BAB}" srcOrd="0" destOrd="0" presId="urn:microsoft.com/office/officeart/2008/layout/HorizontalMultiLevelHierarchy"/>
    <dgm:cxn modelId="{F71CC264-8ADB-4E57-A4CA-3F84233817D4}" type="presOf" srcId="{31760B29-4D77-47AE-AE70-57405F979C6E}" destId="{7E3849E0-9DC6-4736-90B5-B31C4DB9E23F}" srcOrd="0" destOrd="0" presId="urn:microsoft.com/office/officeart/2008/layout/HorizontalMultiLevelHierarchy"/>
    <dgm:cxn modelId="{99001966-CB3D-4D52-9467-4A875990F27F}" type="presOf" srcId="{D2295F07-D507-488E-A5E1-B57D7755424E}" destId="{78C8A119-B5F3-4C65-B9B7-035305285E25}" srcOrd="0" destOrd="0" presId="urn:microsoft.com/office/officeart/2008/layout/HorizontalMultiLevelHierarchy"/>
    <dgm:cxn modelId="{343F7B66-355D-4B7B-8632-58E4F4312A04}" type="presOf" srcId="{24A0BD65-5513-44DD-A7AF-303ABB693E70}" destId="{F47F7E5C-78A0-43D9-9573-DE875FAD13BB}" srcOrd="1" destOrd="0" presId="urn:microsoft.com/office/officeart/2008/layout/HorizontalMultiLevelHierarchy"/>
    <dgm:cxn modelId="{B32C3768-5EF8-455E-ADDA-7E6115A0A7EB}" srcId="{ADE56455-EB56-46FB-8D17-E6BAFB2EEC9A}" destId="{F7A4C6D4-3844-4528-9AB9-C30ED2CBBB7A}" srcOrd="0" destOrd="0" parTransId="{66BB0E4E-D091-4B5F-A669-4E9DB1A9DFA6}" sibTransId="{93AED325-55FA-47B3-AC48-E0771D7FDF3A}"/>
    <dgm:cxn modelId="{03AF806A-2F4F-4A27-9BFE-D795F3B224CE}" srcId="{0011118D-7546-4ED8-AB60-4058A18D09A0}" destId="{C0DC9170-8F36-4B79-BB87-448963AE54FC}" srcOrd="0" destOrd="0" parTransId="{3D44AABD-2FA4-40A3-AE08-C66256113919}" sibTransId="{522CFC97-9C0C-4D46-B3FF-CF4F8B5ACFEB}"/>
    <dgm:cxn modelId="{90AA224C-6487-4957-A5D0-0018F7114C9C}" type="presOf" srcId="{E5F69BAB-2030-4A51-97A6-AED57E4C5C03}" destId="{FAEE600F-2976-4F45-A5A4-3018679FFC7B}" srcOrd="1" destOrd="0" presId="urn:microsoft.com/office/officeart/2008/layout/HorizontalMultiLevelHierarchy"/>
    <dgm:cxn modelId="{B8EC9B4D-DC28-49AC-9255-24F6F3E955A0}" type="presOf" srcId="{977EBD13-30B5-408B-8020-4C00B3C04E0F}" destId="{3F44F901-8672-4061-A0DA-EA1D4442A139}" srcOrd="0" destOrd="0" presId="urn:microsoft.com/office/officeart/2008/layout/HorizontalMultiLevelHierarchy"/>
    <dgm:cxn modelId="{F188FF6D-FB6A-4DD0-831F-034D589074F7}" srcId="{2D1D0124-F11B-4AC4-A8F7-2567EB199D62}" destId="{E852028A-FD5F-4F0B-8760-9264A722BD48}" srcOrd="0" destOrd="0" parTransId="{DF1EDD13-516A-4F59-B6CE-B6D185739264}" sibTransId="{57A21F51-1737-410C-B1E7-ED51E2EF8921}"/>
    <dgm:cxn modelId="{6DF8A74E-2C95-48BC-91FD-7FB0E68216E4}" srcId="{72C8AC1E-9BE5-4353-BA26-CBF18DF2B1E3}" destId="{5B40F81D-BB3A-410A-B612-9303712F579F}" srcOrd="0" destOrd="0" parTransId="{31760B29-4D77-47AE-AE70-57405F979C6E}" sibTransId="{4DF027D2-6D41-4EE8-B1EC-77BD3AE789DF}"/>
    <dgm:cxn modelId="{9B31F06E-8485-46C2-87D1-44E109A477B6}" type="presOf" srcId="{9AB565B0-52EC-400E-9B04-907E106AA7AF}" destId="{308E7DD3-493B-4A8B-A9E2-B30BF65EF36C}" srcOrd="1" destOrd="0" presId="urn:microsoft.com/office/officeart/2008/layout/HorizontalMultiLevelHierarchy"/>
    <dgm:cxn modelId="{11A8446F-AAF3-49DF-B792-DBAE40D3C101}" srcId="{FCEA70D9-66A0-402A-94CF-4AE63221705F}" destId="{D7F5F864-1C76-487A-9D7C-B1644E238242}" srcOrd="0" destOrd="0" parTransId="{3F353E34-264F-4C4B-AE16-90DD6D3AF7EC}" sibTransId="{82F00048-C3DC-498E-AD09-1EAF402BDF65}"/>
    <dgm:cxn modelId="{3E5EC270-DE9E-46F0-A69D-83A7CBE1FAD9}" type="presOf" srcId="{EA5EA040-7980-4BBE-B96E-4B4AF60842DB}" destId="{762CB597-2B95-4DC9-A658-87C86605AD75}" srcOrd="1" destOrd="0" presId="urn:microsoft.com/office/officeart/2008/layout/HorizontalMultiLevelHierarchy"/>
    <dgm:cxn modelId="{E51F4651-72C4-4E6B-B3B2-9997ACA4FEAB}" type="presOf" srcId="{3F353E34-264F-4C4B-AE16-90DD6D3AF7EC}" destId="{92B2060D-BD2E-45E2-A868-C94520B704FE}" srcOrd="0" destOrd="0" presId="urn:microsoft.com/office/officeart/2008/layout/HorizontalMultiLevelHierarchy"/>
    <dgm:cxn modelId="{FD146F51-BCA4-4A0E-B150-B02806027D4E}" type="presOf" srcId="{3AD89FD9-9825-432C-9273-D9696A824C92}" destId="{29F40378-DB03-4B17-97AB-BCAE2285DBA7}" srcOrd="0" destOrd="0" presId="urn:microsoft.com/office/officeart/2008/layout/HorizontalMultiLevelHierarchy"/>
    <dgm:cxn modelId="{BFFD0B73-620D-4C4A-9A8C-C2312A89B845}" type="presOf" srcId="{641E1839-97FE-46FA-A5CF-660A9B7310D7}" destId="{AD0B866C-1564-47F3-B409-FEA317D579A1}" srcOrd="1" destOrd="0" presId="urn:microsoft.com/office/officeart/2008/layout/HorizontalMultiLevelHierarchy"/>
    <dgm:cxn modelId="{7B8C9E73-F695-4C3A-84E1-F0A4C368F9E7}" type="presOf" srcId="{66BB0E4E-D091-4B5F-A669-4E9DB1A9DFA6}" destId="{065884A3-D1C0-48E7-95DA-B48B13CC376C}" srcOrd="1" destOrd="0" presId="urn:microsoft.com/office/officeart/2008/layout/HorizontalMultiLevelHierarchy"/>
    <dgm:cxn modelId="{54831F74-8889-4A43-BC63-CA6CC9A9FF1C}" type="presOf" srcId="{DF577185-EF0E-4F1C-B05A-EDA1D51FA488}" destId="{89A808E8-61B0-4C71-A5B4-7F142BDF1063}" srcOrd="0" destOrd="0" presId="urn:microsoft.com/office/officeart/2008/layout/HorizontalMultiLevelHierarchy"/>
    <dgm:cxn modelId="{3E41C055-6C05-4BB0-9998-64153965543F}" srcId="{44F52ED3-358B-4860-BF40-48B95D2A4403}" destId="{504609E6-ABC5-4D74-837E-F1BA5CF4E36E}" srcOrd="0" destOrd="0" parTransId="{656E8767-2CA7-463E-B251-FAB86B864C0B}" sibTransId="{D29DBCBF-A903-4A63-9343-D2342938B3EA}"/>
    <dgm:cxn modelId="{FF92C675-8A4E-4A27-82CE-B08D5DF79FE9}" srcId="{6A4A391C-4C74-4517-B67A-C3BCA0CD8A04}" destId="{D2295F07-D507-488E-A5E1-B57D7755424E}" srcOrd="0" destOrd="0" parTransId="{ADC2A854-A3A7-4938-AEF4-78C7BC217B9B}" sibTransId="{8117A2A2-55EC-4FEB-A697-843DB93B1DB0}"/>
    <dgm:cxn modelId="{51F8F776-D38F-4F89-A03C-186EDC9B0959}" type="presOf" srcId="{413F64A9-5D21-4B09-9586-61FA282C9F71}" destId="{C4A81FB8-CBA4-4578-BA2F-A14083144FB0}" srcOrd="0" destOrd="0" presId="urn:microsoft.com/office/officeart/2008/layout/HorizontalMultiLevelHierarchy"/>
    <dgm:cxn modelId="{94BF5077-986A-4F58-8FAF-A23F37AE0B7E}" srcId="{F51D50B8-1A3D-4F98-9FA5-3AD6FBB97CB5}" destId="{7F77E588-223E-4D70-B9DA-A484D2D3EE48}" srcOrd="0" destOrd="0" parTransId="{51628C19-F86B-4B95-A566-B75B2E96E3B1}" sibTransId="{8FB79C97-6AF8-48B8-96F2-992F0E1AC06B}"/>
    <dgm:cxn modelId="{FC7D5657-8470-40C3-B4B4-A93B5AD194CA}" type="presOf" srcId="{ED5CB04A-E13E-4229-BEA9-AA7F6E84464A}" destId="{F02FA44A-2F2C-4B76-81C6-66250C8EE4A8}" srcOrd="0" destOrd="0" presId="urn:microsoft.com/office/officeart/2008/layout/HorizontalMultiLevelHierarchy"/>
    <dgm:cxn modelId="{7AF77D77-01D5-495A-962D-0E58BC0E3D94}" srcId="{5910CD64-DEB6-41A2-A540-0FAB987844F9}" destId="{2D1D0124-F11B-4AC4-A8F7-2567EB199D62}" srcOrd="1" destOrd="0" parTransId="{24A0BD65-5513-44DD-A7AF-303ABB693E70}" sibTransId="{C0C1D33D-C9D0-4AC5-AC96-D6B96EAB80DF}"/>
    <dgm:cxn modelId="{851FA977-A8F5-4F3A-A550-30A8DDE90B2C}" srcId="{21391115-5D3B-4BBB-870E-24AEAE365C7D}" destId="{72C8AC1E-9BE5-4353-BA26-CBF18DF2B1E3}" srcOrd="1" destOrd="0" parTransId="{977EBD13-30B5-408B-8020-4C00B3C04E0F}" sibTransId="{DDE2D603-70CB-4171-BF39-C3301621C5E7}"/>
    <dgm:cxn modelId="{A1AD5D58-875C-46B1-99FB-5484E4A44D8D}" type="presOf" srcId="{E8ADD25D-27FF-488C-AA4B-A4A6454EE447}" destId="{2BD2EC1B-E423-41F9-B195-8E98B0099B3B}" srcOrd="0" destOrd="0" presId="urn:microsoft.com/office/officeart/2008/layout/HorizontalMultiLevelHierarchy"/>
    <dgm:cxn modelId="{8B48147B-F95A-4197-961C-A48D11D3A60B}" type="presOf" srcId="{E5F69BAB-2030-4A51-97A6-AED57E4C5C03}" destId="{69726E28-4C05-4F4B-85A7-64F63340BF39}" srcOrd="0" destOrd="0" presId="urn:microsoft.com/office/officeart/2008/layout/HorizontalMultiLevelHierarchy"/>
    <dgm:cxn modelId="{CB4FB07D-EA90-4CF2-B353-95FD25998AEB}" type="presOf" srcId="{2D1D0124-F11B-4AC4-A8F7-2567EB199D62}" destId="{3CD9680C-3252-4378-8A2F-F5C64CF54502}" srcOrd="0" destOrd="0" presId="urn:microsoft.com/office/officeart/2008/layout/HorizontalMultiLevelHierarchy"/>
    <dgm:cxn modelId="{C24CEE81-AC06-4C8B-A968-1619C0E254DB}" type="presOf" srcId="{3F353E34-264F-4C4B-AE16-90DD6D3AF7EC}" destId="{2B9BB513-218D-400B-896C-9FDB0E244056}" srcOrd="1" destOrd="0" presId="urn:microsoft.com/office/officeart/2008/layout/HorizontalMultiLevelHierarchy"/>
    <dgm:cxn modelId="{A6A71786-F163-4D09-A85F-AF40CF65B307}" type="presOf" srcId="{4236090A-2D69-4A64-A7C9-1D43A61EBDDE}" destId="{80B22AB3-B827-489A-9AB6-B12DF333C021}" srcOrd="1" destOrd="0" presId="urn:microsoft.com/office/officeart/2008/layout/HorizontalMultiLevelHierarchy"/>
    <dgm:cxn modelId="{4A175786-E441-4019-9C5A-1C1DBB44AF0D}" type="presOf" srcId="{F3A63992-D4E4-4B06-B239-3D9B22C7DC53}" destId="{D5B7B54C-95D6-42C4-A8E8-143E173EFD0C}" srcOrd="0" destOrd="0" presId="urn:microsoft.com/office/officeart/2008/layout/HorizontalMultiLevelHierarchy"/>
    <dgm:cxn modelId="{FE619D86-1F9B-41F0-B573-081000EA490E}" type="presOf" srcId="{132EB148-92DF-45F0-A3C8-40CABFEAE1A3}" destId="{F549CBFB-02BA-4AC9-BA7C-FA1CEE53CC71}" srcOrd="1" destOrd="0" presId="urn:microsoft.com/office/officeart/2008/layout/HorizontalMultiLevelHierarchy"/>
    <dgm:cxn modelId="{DB096189-7664-4743-A6F3-9E2D9991D19F}" type="presOf" srcId="{21391115-5D3B-4BBB-870E-24AEAE365C7D}" destId="{97CE89E9-DE23-42D0-BAAE-3F6FEA89558E}" srcOrd="0" destOrd="0" presId="urn:microsoft.com/office/officeart/2008/layout/HorizontalMultiLevelHierarchy"/>
    <dgm:cxn modelId="{1D5D268A-7D06-4364-A639-0C583B8CFDC9}" type="presOf" srcId="{8D5C26FF-D30B-40FA-B497-6F9A2462CEF2}" destId="{53DCEDA1-186E-442D-AEBA-371B65F958E1}" srcOrd="0" destOrd="0" presId="urn:microsoft.com/office/officeart/2008/layout/HorizontalMultiLevelHierarchy"/>
    <dgm:cxn modelId="{B224228D-F12E-49C8-A1B6-E95D097EE596}" type="presOf" srcId="{4825FC5A-E3A3-45F6-A265-82C97FE7C18B}" destId="{66543685-F348-41A6-A424-F5EFF813F73E}" srcOrd="1" destOrd="0" presId="urn:microsoft.com/office/officeart/2008/layout/HorizontalMultiLevelHierarchy"/>
    <dgm:cxn modelId="{CC9FC88F-C18B-4865-B332-B6A7424A2290}" type="presOf" srcId="{C97D5173-39C6-486B-8B5B-07DE9D649660}" destId="{EC68A308-08B0-432A-96B9-8ED11A782E7A}" srcOrd="0" destOrd="0" presId="urn:microsoft.com/office/officeart/2008/layout/HorizontalMultiLevelHierarchy"/>
    <dgm:cxn modelId="{4D6DAD90-6229-4388-A2BE-75C0E0D696D0}" type="presOf" srcId="{5910CD64-DEB6-41A2-A540-0FAB987844F9}" destId="{807FC128-B384-428E-B392-1C46BBA734C3}" srcOrd="0" destOrd="0" presId="urn:microsoft.com/office/officeart/2008/layout/HorizontalMultiLevelHierarchy"/>
    <dgm:cxn modelId="{48EA0191-0AED-460A-BE26-B12EDDFB31C0}" type="presOf" srcId="{AE2DB31A-3B06-49B1-B6E4-15CF13C19D91}" destId="{0273551D-6C77-48C4-9894-4441013253FD}" srcOrd="0" destOrd="0" presId="urn:microsoft.com/office/officeart/2008/layout/HorizontalMultiLevelHierarchy"/>
    <dgm:cxn modelId="{F1F55692-403A-43D8-B1CD-CF96345F565D}" type="presOf" srcId="{6A4A391C-4C74-4517-B67A-C3BCA0CD8A04}" destId="{13CF4074-729E-4570-864A-6539256AAB1A}" srcOrd="0" destOrd="0" presId="urn:microsoft.com/office/officeart/2008/layout/HorizontalMultiLevelHierarchy"/>
    <dgm:cxn modelId="{23FF8193-6793-474E-83C1-AB22366F0EEA}" type="presOf" srcId="{F3A63992-D4E4-4B06-B239-3D9B22C7DC53}" destId="{B9E4F7DF-5C6B-43D8-AFB4-5E248EAFBC51}" srcOrd="1" destOrd="0" presId="urn:microsoft.com/office/officeart/2008/layout/HorizontalMultiLevelHierarchy"/>
    <dgm:cxn modelId="{233AF793-F805-4B19-B384-CB404B465DB6}" type="presOf" srcId="{EA8A0722-BF0B-49A0-852F-39F2903C6BAC}" destId="{5C812BCA-7F90-46BE-9246-4824E561B022}" srcOrd="0" destOrd="0" presId="urn:microsoft.com/office/officeart/2008/layout/HorizontalMultiLevelHierarchy"/>
    <dgm:cxn modelId="{BAE5AD9D-5D94-45EB-A3CF-6530170DBD1D}" type="presOf" srcId="{0011118D-7546-4ED8-AB60-4058A18D09A0}" destId="{A4965939-71E6-4F26-959E-E40FAED3BE3F}" srcOrd="0" destOrd="0" presId="urn:microsoft.com/office/officeart/2008/layout/HorizontalMultiLevelHierarchy"/>
    <dgm:cxn modelId="{86C639A0-1505-4202-A912-F1433D53A27B}" type="presOf" srcId="{D7F5F864-1C76-487A-9D7C-B1644E238242}" destId="{7DA6933F-D901-4CE8-959B-F73E03BE34B9}" srcOrd="0" destOrd="0" presId="urn:microsoft.com/office/officeart/2008/layout/HorizontalMultiLevelHierarchy"/>
    <dgm:cxn modelId="{2C4243A0-5D59-4105-A1CF-DB3F842980C5}" srcId="{AE2DB31A-3B06-49B1-B6E4-15CF13C19D91}" destId="{BFAD6C39-E400-4265-93CA-04560C41404E}" srcOrd="1" destOrd="0" parTransId="{82F42672-78A7-4C01-9819-269272D69DAD}" sibTransId="{C0BF7FC3-5F69-42EA-A733-7208766FFD5B}"/>
    <dgm:cxn modelId="{113CDFA1-2A02-4A45-A6DB-5F4A1495C11B}" srcId="{637C1996-A23F-4FD4-B754-6D3587AB9CC2}" destId="{279D325B-A1B3-49A3-8D4C-7B91A95C5CC7}" srcOrd="0" destOrd="0" parTransId="{9BED43CC-94D2-4751-B1F1-A25BD3A65EEA}" sibTransId="{47E700D3-55E1-4858-9C14-A14498E3F3AB}"/>
    <dgm:cxn modelId="{0917ACA6-7EDA-41CB-AD4E-6F201D5461DE}" type="presOf" srcId="{7F77E588-223E-4D70-B9DA-A484D2D3EE48}" destId="{6721F16B-0B75-4161-A9A0-DBCFA2B7DA0E}" srcOrd="0" destOrd="0" presId="urn:microsoft.com/office/officeart/2008/layout/HorizontalMultiLevelHierarchy"/>
    <dgm:cxn modelId="{250D1EA8-ECE0-48A5-9021-96B87413AF8E}" type="presOf" srcId="{ADC2A854-A3A7-4938-AEF4-78C7BC217B9B}" destId="{3041AECC-CFD4-41E3-85D0-80F048948521}" srcOrd="0" destOrd="0" presId="urn:microsoft.com/office/officeart/2008/layout/HorizontalMultiLevelHierarchy"/>
    <dgm:cxn modelId="{CD7BE9AA-ADBC-4CB4-A776-65B0FE6FF359}" type="presOf" srcId="{9BED43CC-94D2-4751-B1F1-A25BD3A65EEA}" destId="{65B469A7-9474-46A1-9347-523BB19D098F}" srcOrd="0" destOrd="0" presId="urn:microsoft.com/office/officeart/2008/layout/HorizontalMultiLevelHierarchy"/>
    <dgm:cxn modelId="{E97A89B0-9F45-4497-A044-8E7AEF56CADD}" type="presOf" srcId="{DF1EDD13-516A-4F59-B6CE-B6D185739264}" destId="{E8135622-9F7E-4B66-92F0-AC19078B4CFB}" srcOrd="1" destOrd="0" presId="urn:microsoft.com/office/officeart/2008/layout/HorizontalMultiLevelHierarchy"/>
    <dgm:cxn modelId="{2D5B41B4-4423-496D-9111-90286191817F}" type="presOf" srcId="{8D5C26FF-D30B-40FA-B497-6F9A2462CEF2}" destId="{2BEC02CE-5EE1-46D3-A03F-309C808BB320}" srcOrd="1" destOrd="0" presId="urn:microsoft.com/office/officeart/2008/layout/HorizontalMultiLevelHierarchy"/>
    <dgm:cxn modelId="{8D2318B5-E616-465C-A1FF-6F3B36A05136}" type="presOf" srcId="{87EE537C-2288-4C3C-9E5E-9AE75A0F65F9}" destId="{E7D7FEC4-6DC9-4F67-BA7D-1AE168CD5708}" srcOrd="1" destOrd="0" presId="urn:microsoft.com/office/officeart/2008/layout/HorizontalMultiLevelHierarchy"/>
    <dgm:cxn modelId="{E379B5B5-8875-4DB2-BFE4-8E8F8D8E1727}" type="presOf" srcId="{2064A4A3-37CD-4029-AFAC-40DEAB879D8E}" destId="{D8658746-0992-48CB-A120-17715D7EF518}" srcOrd="0" destOrd="0" presId="urn:microsoft.com/office/officeart/2008/layout/HorizontalMultiLevelHierarchy"/>
    <dgm:cxn modelId="{E7545CB7-9EA7-47E5-A9A5-6575A691D99B}" type="presOf" srcId="{20E30B86-9026-4063-A926-7D090F43537F}" destId="{DC7CFBC0-31EA-451D-8C91-883116376A9D}" srcOrd="1" destOrd="0" presId="urn:microsoft.com/office/officeart/2008/layout/HorizontalMultiLevelHierarchy"/>
    <dgm:cxn modelId="{2DFBDBBA-42D5-48FB-B95C-6D632871D41E}" type="presOf" srcId="{82F42672-78A7-4C01-9819-269272D69DAD}" destId="{9E9966C7-B98D-4E66-B968-B2715CD311D0}" srcOrd="0" destOrd="0" presId="urn:microsoft.com/office/officeart/2008/layout/HorizontalMultiLevelHierarchy"/>
    <dgm:cxn modelId="{AF4EEDBC-B53A-40F9-BBED-EC07EA5E3313}" srcId="{C0DC9170-8F36-4B79-BB87-448963AE54FC}" destId="{7515A0DC-5A9C-4AC2-8771-8F9F09EFC498}" srcOrd="1" destOrd="0" parTransId="{F3A63992-D4E4-4B06-B239-3D9B22C7DC53}" sibTransId="{E9D6F673-4F04-4807-8CC4-982390416951}"/>
    <dgm:cxn modelId="{190506BE-3847-4311-A4BC-68780FBB9F34}" type="presOf" srcId="{24A0BD65-5513-44DD-A7AF-303ABB693E70}" destId="{EE3D6874-9FCF-4B07-A847-DB7D9C957A8C}" srcOrd="0" destOrd="0" presId="urn:microsoft.com/office/officeart/2008/layout/HorizontalMultiLevelHierarchy"/>
    <dgm:cxn modelId="{D0228AC4-669B-4E84-BAFB-7E4D19462F30}" type="presOf" srcId="{44F52ED3-358B-4860-BF40-48B95D2A4403}" destId="{F4205F1C-37D5-4E8E-8741-AE8C3FCBD5FC}" srcOrd="0" destOrd="0" presId="urn:microsoft.com/office/officeart/2008/layout/HorizontalMultiLevelHierarchy"/>
    <dgm:cxn modelId="{5DBE91C6-3E75-4933-B171-81F81449E8DF}" srcId="{F7A4C6D4-3844-4528-9AB9-C30ED2CBBB7A}" destId="{6B988B30-348E-46F3-A948-896A00A090E5}" srcOrd="0" destOrd="0" parTransId="{EA5EA040-7980-4BBE-B96E-4B4AF60842DB}" sibTransId="{9B3609AD-6D81-4A3B-97C5-FB7BDD3C8682}"/>
    <dgm:cxn modelId="{0FB9ABC8-8C56-4F03-BADF-DC6339DAE4AA}" type="presOf" srcId="{E62320D0-BD4D-4AEE-8089-78489DB4207A}" destId="{8B63F1D2-9211-4A20-877F-5CA0CE5294A6}" srcOrd="0" destOrd="0" presId="urn:microsoft.com/office/officeart/2008/layout/HorizontalMultiLevelHierarchy"/>
    <dgm:cxn modelId="{E9E8FDCB-F563-48AC-B835-D544B0646FB1}" type="presOf" srcId="{66BB0E4E-D091-4B5F-A669-4E9DB1A9DFA6}" destId="{3A5F703A-10DF-45CE-8870-4A23E49942AD}" srcOrd="0" destOrd="0" presId="urn:microsoft.com/office/officeart/2008/layout/HorizontalMultiLevelHierarchy"/>
    <dgm:cxn modelId="{53DCE3CC-1F2D-4A8E-9106-1D72F8661ADA}" srcId="{FCEA70D9-66A0-402A-94CF-4AE63221705F}" destId="{5544AAC8-9ED2-4439-90ED-0C64E5D1A789}" srcOrd="1" destOrd="0" parTransId="{A1C6218B-25E4-495A-B9F9-1C0395CEE8D2}" sibTransId="{928DFBBA-BAF5-4F5B-AFFF-C99067087792}"/>
    <dgm:cxn modelId="{97274CCD-4A70-4604-A680-7333DD61EF1D}" srcId="{6374B15B-2C84-4A0E-A2EF-9BE822897845}" destId="{6A4A391C-4C74-4517-B67A-C3BCA0CD8A04}" srcOrd="1" destOrd="0" parTransId="{FC4C4977-D679-42D7-B753-E6E4AFE0E1B5}" sibTransId="{73C1B80D-DAF6-4D3A-9BBD-CB4DEB5722EF}"/>
    <dgm:cxn modelId="{815B91D1-CF24-4275-8D1E-273EDA3B408A}" type="presOf" srcId="{4825FC5A-E3A3-45F6-A265-82C97FE7C18B}" destId="{838854CF-EE5E-4C5C-9B86-B0624B9F3053}" srcOrd="0" destOrd="0" presId="urn:microsoft.com/office/officeart/2008/layout/HorizontalMultiLevelHierarchy"/>
    <dgm:cxn modelId="{AF7EA1D3-3118-4809-B7AC-FE4E43C87D00}" type="presOf" srcId="{07CDB11C-BFA8-47B8-90F9-CBA0BFEB0344}" destId="{2095B5D1-1D51-496D-AEEA-A68D88A34A2F}" srcOrd="0" destOrd="0" presId="urn:microsoft.com/office/officeart/2008/layout/HorizontalMultiLevelHierarchy"/>
    <dgm:cxn modelId="{208CCAD3-F5ED-4F14-9C40-4DAB535409A6}" type="presOf" srcId="{EA5EA040-7980-4BBE-B96E-4B4AF60842DB}" destId="{686AB2E7-AA41-4E35-9413-B61F897B45CD}" srcOrd="0" destOrd="0" presId="urn:microsoft.com/office/officeart/2008/layout/HorizontalMultiLevelHierarchy"/>
    <dgm:cxn modelId="{DA63FBD3-0510-4634-9A63-251DED5192B1}" srcId="{3AD89FD9-9825-432C-9273-D9696A824C92}" destId="{45C43FCA-F3D9-4FD7-B958-842A93815AEA}" srcOrd="0" destOrd="0" parTransId="{4825FC5A-E3A3-45F6-A265-82C97FE7C18B}" sibTransId="{07FAA064-4127-413B-85A6-35010E4EA3AC}"/>
    <dgm:cxn modelId="{9C47F1D4-1718-471B-BF5D-467FA1AE7D9E}" type="presOf" srcId="{413F64A9-5D21-4B09-9586-61FA282C9F71}" destId="{228E15BC-7E53-4F14-A8E6-53855C698C38}" srcOrd="1" destOrd="0" presId="urn:microsoft.com/office/officeart/2008/layout/HorizontalMultiLevelHierarchy"/>
    <dgm:cxn modelId="{9D4852D6-2125-4F82-98A0-4362534EA087}" srcId="{BFAD6C39-E400-4265-93CA-04560C41404E}" destId="{637C1996-A23F-4FD4-B754-6D3587AB9CC2}" srcOrd="0" destOrd="0" parTransId="{87EE537C-2288-4C3C-9E5E-9AE75A0F65F9}" sibTransId="{1C8E5059-E5D5-4115-9C36-6AC3C7C4A667}"/>
    <dgm:cxn modelId="{74F6AAD8-368E-40D6-B20E-BD5572526E35}" srcId="{ADE56455-EB56-46FB-8D17-E6BAFB2EEC9A}" destId="{F51D50B8-1A3D-4F98-9FA5-3AD6FBB97CB5}" srcOrd="1" destOrd="0" parTransId="{8D5C26FF-D30B-40FA-B497-6F9A2462CEF2}" sibTransId="{CCED6703-8BA9-4F44-A5B0-8AC9FF4B3BAD}"/>
    <dgm:cxn modelId="{1842FED8-D533-40D1-8E73-A7873E5A3D1F}" type="presOf" srcId="{9BED43CC-94D2-4751-B1F1-A25BD3A65EEA}" destId="{9B3CFE7D-D83B-4A45-BF29-9D9202182C9A}" srcOrd="1" destOrd="0" presId="urn:microsoft.com/office/officeart/2008/layout/HorizontalMultiLevelHierarchy"/>
    <dgm:cxn modelId="{F2902ADB-AA2B-4DB2-810B-DDE49F957901}" srcId="{077E7F10-9F93-42F7-B551-49611E257257}" destId="{6374B15B-2C84-4A0E-A2EF-9BE822897845}" srcOrd="0" destOrd="0" parTransId="{E62320D0-BD4D-4AEE-8089-78489DB4207A}" sibTransId="{D9793319-D74C-4FEE-9CCE-873FC47FF680}"/>
    <dgm:cxn modelId="{96D6DFDF-947D-4524-B891-3BAEC466F8EC}" srcId="{D7F5F864-1C76-487A-9D7C-B1644E238242}" destId="{C1FE717B-2BD9-43E3-8A8D-05641CFF5522}" srcOrd="0" destOrd="0" parTransId="{C5B08D25-AF92-49CD-9DBE-F60C7E7A5E7D}" sibTransId="{82F279E1-6E85-45D4-AA6B-33D02F2F66AC}"/>
    <dgm:cxn modelId="{56F93DE2-A902-48A2-A046-72D566312BFF}" srcId="{ED5CB04A-E13E-4229-BEA9-AA7F6E84464A}" destId="{2064A4A3-37CD-4029-AFAC-40DEAB879D8E}" srcOrd="0" destOrd="0" parTransId="{07CDB11C-BFA8-47B8-90F9-CBA0BFEB0344}" sibTransId="{5505CC9C-AFA0-480C-BD42-05F56B2100E2}"/>
    <dgm:cxn modelId="{15DD8CE3-7174-493F-9A4B-5E2E2644665D}" type="presOf" srcId="{ADC2A854-A3A7-4938-AEF4-78C7BC217B9B}" destId="{12BB0A13-48F4-4583-8B82-E9268B686C51}" srcOrd="1" destOrd="0" presId="urn:microsoft.com/office/officeart/2008/layout/HorizontalMultiLevelHierarchy"/>
    <dgm:cxn modelId="{B91343E5-2CFF-4C66-9C71-8103B137A0FD}" type="presOf" srcId="{31760B29-4D77-47AE-AE70-57405F979C6E}" destId="{332BFF85-2429-45FF-B509-E0092B39AAB3}" srcOrd="1" destOrd="0" presId="urn:microsoft.com/office/officeart/2008/layout/HorizontalMultiLevelHierarchy"/>
    <dgm:cxn modelId="{4B49AEE6-5FC9-49A0-BC8D-74A630F09EA1}" type="presOf" srcId="{87EE537C-2288-4C3C-9E5E-9AE75A0F65F9}" destId="{7330CBB1-5625-47CD-B407-29B1C40917DD}" srcOrd="0" destOrd="0" presId="urn:microsoft.com/office/officeart/2008/layout/HorizontalMultiLevelHierarchy"/>
    <dgm:cxn modelId="{55E5F3E7-200B-4C89-B341-25C267757205}" srcId="{C0DC9170-8F36-4B79-BB87-448963AE54FC}" destId="{AE2DB31A-3B06-49B1-B6E4-15CF13C19D91}" srcOrd="2" destOrd="0" parTransId="{641E1839-97FE-46FA-A5CF-660A9B7310D7}" sibTransId="{2B5E3ADE-490D-45D4-A328-36BD49C209B1}"/>
    <dgm:cxn modelId="{EBF5DAEE-65C0-43D5-A960-68BB7AC5E09D}" type="presOf" srcId="{A1C6218B-25E4-495A-B9F9-1C0395CEE8D2}" destId="{D6278BF8-7D86-444B-9D94-07F2FB8B627E}" srcOrd="1" destOrd="0" presId="urn:microsoft.com/office/officeart/2008/layout/HorizontalMultiLevelHierarchy"/>
    <dgm:cxn modelId="{E0F569EF-62E4-4C61-BC94-C5B7DA0959E6}" type="presOf" srcId="{72C8AC1E-9BE5-4353-BA26-CBF18DF2B1E3}" destId="{C65D2369-EF25-4BE9-9FCE-BA24FF11255A}" srcOrd="0" destOrd="0" presId="urn:microsoft.com/office/officeart/2008/layout/HorizontalMultiLevelHierarchy"/>
    <dgm:cxn modelId="{3C3C9BEF-53F6-4C5F-9906-07DC53DA54EA}" srcId="{5910CD64-DEB6-41A2-A540-0FAB987844F9}" destId="{3AD89FD9-9825-432C-9273-D9696A824C92}" srcOrd="0" destOrd="0" parTransId="{20E30B86-9026-4063-A926-7D090F43537F}" sibTransId="{7D9E68D7-43B1-4F66-A7C2-BE517C436DA1}"/>
    <dgm:cxn modelId="{E5B953F3-592A-49B1-8CBD-EF4C1EC4E131}" type="presOf" srcId="{45C43FCA-F3D9-4FD7-B958-842A93815AEA}" destId="{FF56C447-1A40-4683-9B7D-3BFD4E575B97}" srcOrd="0" destOrd="0" presId="urn:microsoft.com/office/officeart/2008/layout/HorizontalMultiLevelHierarchy"/>
    <dgm:cxn modelId="{194069F4-F503-4831-BAB7-4A68BE942A6A}" type="presOf" srcId="{977EBD13-30B5-408B-8020-4C00B3C04E0F}" destId="{D03E414F-6851-418B-ADD7-A4DDE112AA3F}" srcOrd="1" destOrd="0" presId="urn:microsoft.com/office/officeart/2008/layout/HorizontalMultiLevelHierarchy"/>
    <dgm:cxn modelId="{7C7C16F5-87DC-43EB-B938-6982C3FE989C}" type="presOf" srcId="{504609E6-ABC5-4D74-837E-F1BA5CF4E36E}" destId="{136EFCDF-60F6-4AAE-91DE-A801CF6776AE}" srcOrd="0" destOrd="0" presId="urn:microsoft.com/office/officeart/2008/layout/HorizontalMultiLevelHierarchy"/>
    <dgm:cxn modelId="{006D8CF5-BE2F-4B2D-9BBC-D15027ACDFAA}" type="presOf" srcId="{641E1839-97FE-46FA-A5CF-660A9B7310D7}" destId="{317CC671-DC2D-45F5-89DD-4B901D9A65F0}" srcOrd="0" destOrd="0" presId="urn:microsoft.com/office/officeart/2008/layout/HorizontalMultiLevelHierarchy"/>
    <dgm:cxn modelId="{8BB299F7-E866-45B8-8D15-CBDC7BC63CF3}" type="presOf" srcId="{E62320D0-BD4D-4AEE-8089-78489DB4207A}" destId="{B400E007-BFBA-409F-B5DB-378ECD56B607}" srcOrd="1" destOrd="0" presId="urn:microsoft.com/office/officeart/2008/layout/HorizontalMultiLevelHierarchy"/>
    <dgm:cxn modelId="{F93F10F9-69CD-440F-80E9-B2CBBE83942B}" type="presOf" srcId="{279D325B-A1B3-49A3-8D4C-7B91A95C5CC7}" destId="{3BC337E2-7995-49C1-9247-525951396E56}" srcOrd="0" destOrd="0" presId="urn:microsoft.com/office/officeart/2008/layout/HorizontalMultiLevelHierarchy"/>
    <dgm:cxn modelId="{E3724AF9-FBE5-4B70-8627-FA441973771B}" type="presOf" srcId="{C1FE717B-2BD9-43E3-8A8D-05641CFF5522}" destId="{122624F4-0E9B-4A19-ADE2-54F358A926E8}" srcOrd="0" destOrd="0" presId="urn:microsoft.com/office/officeart/2008/layout/HorizontalMultiLevelHierarchy"/>
    <dgm:cxn modelId="{D87FACF9-BF8D-4A95-9E84-73D1443827F6}" type="presOf" srcId="{4236090A-2D69-4A64-A7C9-1D43A61EBDDE}" destId="{0695936E-A78E-4DD9-9EF8-4C05C4C9B051}" srcOrd="0" destOrd="0" presId="urn:microsoft.com/office/officeart/2008/layout/HorizontalMultiLevelHierarchy"/>
    <dgm:cxn modelId="{2E56F3F9-EC03-45E8-BE6D-BC39D9E18838}" type="presOf" srcId="{BFAD6C39-E400-4265-93CA-04560C41404E}" destId="{CA914FF1-DA62-475F-89D0-9279F27AB2C5}" srcOrd="0" destOrd="0" presId="urn:microsoft.com/office/officeart/2008/layout/HorizontalMultiLevelHierarchy"/>
    <dgm:cxn modelId="{09AA97FD-2626-41AB-8E4E-62AECD006328}" type="presOf" srcId="{132EB148-92DF-45F0-A3C8-40CABFEAE1A3}" destId="{8ADD098A-D10D-4469-8984-9010095A1E81}" srcOrd="0" destOrd="0" presId="urn:microsoft.com/office/officeart/2008/layout/HorizontalMultiLevelHierarchy"/>
    <dgm:cxn modelId="{EA28C4FD-2F43-47BF-8509-7682C71D414C}" srcId="{7515A0DC-5A9C-4AC2-8771-8F9F09EFC498}" destId="{21391115-5D3B-4BBB-870E-24AEAE365C7D}" srcOrd="1" destOrd="0" parTransId="{4236090A-2D69-4A64-A7C9-1D43A61EBDDE}" sibTransId="{E2F9E790-4A20-447E-8527-56EE9146F152}"/>
    <dgm:cxn modelId="{5CCFF5FE-8FBB-40BA-B0B6-DFB0EE42DCCA}" type="presOf" srcId="{6B988B30-348E-46F3-A948-896A00A090E5}" destId="{A9BC5A90-4481-4C0F-9099-B61E32FAFEDE}" srcOrd="0" destOrd="0" presId="urn:microsoft.com/office/officeart/2008/layout/HorizontalMultiLevelHierarchy"/>
    <dgm:cxn modelId="{B1D2CCFF-9B1B-4346-9634-8D00B977928B}" type="presOf" srcId="{9AB565B0-52EC-400E-9B04-907E106AA7AF}" destId="{D2DD1726-C8EA-4420-8F5A-6B921701F8B5}" srcOrd="0" destOrd="0" presId="urn:microsoft.com/office/officeart/2008/layout/HorizontalMultiLevelHierarchy"/>
    <dgm:cxn modelId="{57BA4F91-F8D5-4B79-9C8D-2168CCF806D9}" type="presParOf" srcId="{A4965939-71E6-4F26-959E-E40FAED3BE3F}" destId="{0BE815EF-AEC0-4720-AC15-BA9951A67917}" srcOrd="0" destOrd="0" presId="urn:microsoft.com/office/officeart/2008/layout/HorizontalMultiLevelHierarchy"/>
    <dgm:cxn modelId="{B036ECCF-706B-4E9E-98F8-F298233A42A9}" type="presParOf" srcId="{0BE815EF-AEC0-4720-AC15-BA9951A67917}" destId="{E318E994-3372-4149-924B-F6012B03987E}" srcOrd="0" destOrd="0" presId="urn:microsoft.com/office/officeart/2008/layout/HorizontalMultiLevelHierarchy"/>
    <dgm:cxn modelId="{F7E54C37-E366-474B-B490-D89FC0400413}" type="presParOf" srcId="{0BE815EF-AEC0-4720-AC15-BA9951A67917}" destId="{9CDA265F-BF2C-4B34-8D30-A438AC082624}" srcOrd="1" destOrd="0" presId="urn:microsoft.com/office/officeart/2008/layout/HorizontalMultiLevelHierarchy"/>
    <dgm:cxn modelId="{3F33F1B5-9208-4FF4-A0E5-C6292AAF462E}" type="presParOf" srcId="{9CDA265F-BF2C-4B34-8D30-A438AC082624}" destId="{C4A81FB8-CBA4-4578-BA2F-A14083144FB0}" srcOrd="0" destOrd="0" presId="urn:microsoft.com/office/officeart/2008/layout/HorizontalMultiLevelHierarchy"/>
    <dgm:cxn modelId="{6793462B-8998-4BE4-8984-0063436C7B12}" type="presParOf" srcId="{C4A81FB8-CBA4-4578-BA2F-A14083144FB0}" destId="{228E15BC-7E53-4F14-A8E6-53855C698C38}" srcOrd="0" destOrd="0" presId="urn:microsoft.com/office/officeart/2008/layout/HorizontalMultiLevelHierarchy"/>
    <dgm:cxn modelId="{B2D1FE74-49F7-4EA0-A699-0A88E941DBD9}" type="presParOf" srcId="{9CDA265F-BF2C-4B34-8D30-A438AC082624}" destId="{89B16942-F534-4E73-8745-886FC0EB9AFF}" srcOrd="1" destOrd="0" presId="urn:microsoft.com/office/officeart/2008/layout/HorizontalMultiLevelHierarchy"/>
    <dgm:cxn modelId="{51E44E05-7AC8-417F-81D9-F02E4A666841}" type="presParOf" srcId="{89B16942-F534-4E73-8745-886FC0EB9AFF}" destId="{8F7D88B5-E5AB-49CD-B557-C32C9DB2B7C3}" srcOrd="0" destOrd="0" presId="urn:microsoft.com/office/officeart/2008/layout/HorizontalMultiLevelHierarchy"/>
    <dgm:cxn modelId="{D6C44BE1-29E2-4FF1-803D-3822E87A011D}" type="presParOf" srcId="{89B16942-F534-4E73-8745-886FC0EB9AFF}" destId="{CB6889DE-DC2A-402D-B346-CED603259D72}" srcOrd="1" destOrd="0" presId="urn:microsoft.com/office/officeart/2008/layout/HorizontalMultiLevelHierarchy"/>
    <dgm:cxn modelId="{868E7D73-5220-4AE4-837B-FCEC9CF3C375}" type="presParOf" srcId="{CB6889DE-DC2A-402D-B346-CED603259D72}" destId="{8B63F1D2-9211-4A20-877F-5CA0CE5294A6}" srcOrd="0" destOrd="0" presId="urn:microsoft.com/office/officeart/2008/layout/HorizontalMultiLevelHierarchy"/>
    <dgm:cxn modelId="{74138DE7-07AF-43CA-BC8C-A527E0BAB00D}" type="presParOf" srcId="{8B63F1D2-9211-4A20-877F-5CA0CE5294A6}" destId="{B400E007-BFBA-409F-B5DB-378ECD56B607}" srcOrd="0" destOrd="0" presId="urn:microsoft.com/office/officeart/2008/layout/HorizontalMultiLevelHierarchy"/>
    <dgm:cxn modelId="{7A80A243-CCEE-4488-ADCF-11129343ADE3}" type="presParOf" srcId="{CB6889DE-DC2A-402D-B346-CED603259D72}" destId="{2BB1CC93-D05A-4A9C-AF6D-C199B011B58D}" srcOrd="1" destOrd="0" presId="urn:microsoft.com/office/officeart/2008/layout/HorizontalMultiLevelHierarchy"/>
    <dgm:cxn modelId="{BC8C4910-211B-4947-B519-BAD93CA9FED5}" type="presParOf" srcId="{2BB1CC93-D05A-4A9C-AF6D-C199B011B58D}" destId="{EB51B9DF-EC7E-4675-B9E9-197A79AAA01D}" srcOrd="0" destOrd="0" presId="urn:microsoft.com/office/officeart/2008/layout/HorizontalMultiLevelHierarchy"/>
    <dgm:cxn modelId="{04885FB5-411D-450E-870F-99495C8F5396}" type="presParOf" srcId="{2BB1CC93-D05A-4A9C-AF6D-C199B011B58D}" destId="{5473FFB4-68A2-4C24-AA72-31E2BC0CD828}" srcOrd="1" destOrd="0" presId="urn:microsoft.com/office/officeart/2008/layout/HorizontalMultiLevelHierarchy"/>
    <dgm:cxn modelId="{59355239-B78B-470D-A320-47B8B1726C5A}" type="presParOf" srcId="{5473FFB4-68A2-4C24-AA72-31E2BC0CD828}" destId="{EC68A308-08B0-432A-96B9-8ED11A782E7A}" srcOrd="0" destOrd="0" presId="urn:microsoft.com/office/officeart/2008/layout/HorizontalMultiLevelHierarchy"/>
    <dgm:cxn modelId="{7D323F76-0C0C-49BD-9B23-1C0EDB7BE712}" type="presParOf" srcId="{EC68A308-08B0-432A-96B9-8ED11A782E7A}" destId="{6CAFCFD9-CCD5-40D7-A119-010D2E68A261}" srcOrd="0" destOrd="0" presId="urn:microsoft.com/office/officeart/2008/layout/HorizontalMultiLevelHierarchy"/>
    <dgm:cxn modelId="{3CF423AE-ECAC-4CB2-90FC-9436BE956D1E}" type="presParOf" srcId="{5473FFB4-68A2-4C24-AA72-31E2BC0CD828}" destId="{25509BCF-970E-4245-8D06-1E820476DA30}" srcOrd="1" destOrd="0" presId="urn:microsoft.com/office/officeart/2008/layout/HorizontalMultiLevelHierarchy"/>
    <dgm:cxn modelId="{1C89DF6D-A181-4DA6-B483-2BE69619F73A}" type="presParOf" srcId="{25509BCF-970E-4245-8D06-1E820476DA30}" destId="{B6746584-D071-499D-94EA-DEC4AAD8CFC6}" srcOrd="0" destOrd="0" presId="urn:microsoft.com/office/officeart/2008/layout/HorizontalMultiLevelHierarchy"/>
    <dgm:cxn modelId="{B83B245C-8B3C-4C05-B241-B9D1A155ACC2}" type="presParOf" srcId="{25509BCF-970E-4245-8D06-1E820476DA30}" destId="{FB7D5C5D-4687-492C-BE84-8B28E27111D8}" srcOrd="1" destOrd="0" presId="urn:microsoft.com/office/officeart/2008/layout/HorizontalMultiLevelHierarchy"/>
    <dgm:cxn modelId="{8C33C93F-1163-4E94-B03C-1616607C0F2A}" type="presParOf" srcId="{FB7D5C5D-4687-492C-BE84-8B28E27111D8}" destId="{69726E28-4C05-4F4B-85A7-64F63340BF39}" srcOrd="0" destOrd="0" presId="urn:microsoft.com/office/officeart/2008/layout/HorizontalMultiLevelHierarchy"/>
    <dgm:cxn modelId="{E8AA70D8-C1C5-4382-B0F6-E88E62AF6EC2}" type="presParOf" srcId="{69726E28-4C05-4F4B-85A7-64F63340BF39}" destId="{FAEE600F-2976-4F45-A5A4-3018679FFC7B}" srcOrd="0" destOrd="0" presId="urn:microsoft.com/office/officeart/2008/layout/HorizontalMultiLevelHierarchy"/>
    <dgm:cxn modelId="{2794C984-49C6-47F9-B2E4-E4EE35FCF719}" type="presParOf" srcId="{FB7D5C5D-4687-492C-BE84-8B28E27111D8}" destId="{2F62B40C-D5B3-41C2-9D36-D6D5FC7499B8}" srcOrd="1" destOrd="0" presId="urn:microsoft.com/office/officeart/2008/layout/HorizontalMultiLevelHierarchy"/>
    <dgm:cxn modelId="{C4FD0CC7-4B80-4C7A-AA0E-7721D42711DB}" type="presParOf" srcId="{2F62B40C-D5B3-41C2-9D36-D6D5FC7499B8}" destId="{0BBF1BEE-6B27-4241-B15B-09A3D8560DDA}" srcOrd="0" destOrd="0" presId="urn:microsoft.com/office/officeart/2008/layout/HorizontalMultiLevelHierarchy"/>
    <dgm:cxn modelId="{9922BB40-ED3E-44B3-A97C-8DB686599703}" type="presParOf" srcId="{2F62B40C-D5B3-41C2-9D36-D6D5FC7499B8}" destId="{4958E442-E7FB-4FF7-82ED-758CD7C427A5}" srcOrd="1" destOrd="0" presId="urn:microsoft.com/office/officeart/2008/layout/HorizontalMultiLevelHierarchy"/>
    <dgm:cxn modelId="{7B9DF810-5BEE-4C76-89F4-1B09CBC5F20D}" type="presParOf" srcId="{5473FFB4-68A2-4C24-AA72-31E2BC0CD828}" destId="{6C00A21B-2275-4255-89E0-452D234C4C32}" srcOrd="2" destOrd="0" presId="urn:microsoft.com/office/officeart/2008/layout/HorizontalMultiLevelHierarchy"/>
    <dgm:cxn modelId="{76F882D4-6522-43CA-8E91-364E12839B4F}" type="presParOf" srcId="{6C00A21B-2275-4255-89E0-452D234C4C32}" destId="{CE60FF66-18CE-4FED-AAD9-FBE58E694D2F}" srcOrd="0" destOrd="0" presId="urn:microsoft.com/office/officeart/2008/layout/HorizontalMultiLevelHierarchy"/>
    <dgm:cxn modelId="{109754D0-3954-4881-B343-0306FEF245A0}" type="presParOf" srcId="{5473FFB4-68A2-4C24-AA72-31E2BC0CD828}" destId="{DAF7BD85-469D-4D25-B0D2-00ED876FC5D4}" srcOrd="3" destOrd="0" presId="urn:microsoft.com/office/officeart/2008/layout/HorizontalMultiLevelHierarchy"/>
    <dgm:cxn modelId="{E8A6313E-5A25-44BF-B73C-415E468A9DD8}" type="presParOf" srcId="{DAF7BD85-469D-4D25-B0D2-00ED876FC5D4}" destId="{13CF4074-729E-4570-864A-6539256AAB1A}" srcOrd="0" destOrd="0" presId="urn:microsoft.com/office/officeart/2008/layout/HorizontalMultiLevelHierarchy"/>
    <dgm:cxn modelId="{565CFDBB-56CB-4F51-B241-5D788D1C81CA}" type="presParOf" srcId="{DAF7BD85-469D-4D25-B0D2-00ED876FC5D4}" destId="{9C8DB33B-7060-4334-9B4B-F58B785652A7}" srcOrd="1" destOrd="0" presId="urn:microsoft.com/office/officeart/2008/layout/HorizontalMultiLevelHierarchy"/>
    <dgm:cxn modelId="{84E744C3-4BD0-46F6-A4F2-7771835C749E}" type="presParOf" srcId="{9C8DB33B-7060-4334-9B4B-F58B785652A7}" destId="{3041AECC-CFD4-41E3-85D0-80F048948521}" srcOrd="0" destOrd="0" presId="urn:microsoft.com/office/officeart/2008/layout/HorizontalMultiLevelHierarchy"/>
    <dgm:cxn modelId="{E22CF964-8473-4FCF-80C1-4699BBD2A569}" type="presParOf" srcId="{3041AECC-CFD4-41E3-85D0-80F048948521}" destId="{12BB0A13-48F4-4583-8B82-E9268B686C51}" srcOrd="0" destOrd="0" presId="urn:microsoft.com/office/officeart/2008/layout/HorizontalMultiLevelHierarchy"/>
    <dgm:cxn modelId="{40BAEC06-E16A-469A-877A-F39F99380CCE}" type="presParOf" srcId="{9C8DB33B-7060-4334-9B4B-F58B785652A7}" destId="{515880D9-B928-4C30-B1DB-94AB5C42BA12}" srcOrd="1" destOrd="0" presId="urn:microsoft.com/office/officeart/2008/layout/HorizontalMultiLevelHierarchy"/>
    <dgm:cxn modelId="{DB96EB7C-8E67-41BD-A7FC-B1261D28D88A}" type="presParOf" srcId="{515880D9-B928-4C30-B1DB-94AB5C42BA12}" destId="{78C8A119-B5F3-4C65-B9B7-035305285E25}" srcOrd="0" destOrd="0" presId="urn:microsoft.com/office/officeart/2008/layout/HorizontalMultiLevelHierarchy"/>
    <dgm:cxn modelId="{50298EFF-DDAE-4A40-B955-CB247162BE8C}" type="presParOf" srcId="{515880D9-B928-4C30-B1DB-94AB5C42BA12}" destId="{0566292E-1305-40F6-B47A-41C1F38A3C5E}" srcOrd="1" destOrd="0" presId="urn:microsoft.com/office/officeart/2008/layout/HorizontalMultiLevelHierarchy"/>
    <dgm:cxn modelId="{CFF0B26E-AB95-4D45-B026-9F79A399ADD9}" type="presParOf" srcId="{CB6889DE-DC2A-402D-B346-CED603259D72}" destId="{5C812BCA-7F90-46BE-9246-4824E561B022}" srcOrd="2" destOrd="0" presId="urn:microsoft.com/office/officeart/2008/layout/HorizontalMultiLevelHierarchy"/>
    <dgm:cxn modelId="{7CE95DE9-E10B-442F-B47B-B1ADB4B99238}" type="presParOf" srcId="{5C812BCA-7F90-46BE-9246-4824E561B022}" destId="{B85A81DA-514E-4788-B754-C8B59FFBFC53}" srcOrd="0" destOrd="0" presId="urn:microsoft.com/office/officeart/2008/layout/HorizontalMultiLevelHierarchy"/>
    <dgm:cxn modelId="{DF3A057C-4A9E-49FD-B7C9-5BBCB59011DD}" type="presParOf" srcId="{CB6889DE-DC2A-402D-B346-CED603259D72}" destId="{74C63527-37B5-440A-8045-FC75A721FB41}" srcOrd="3" destOrd="0" presId="urn:microsoft.com/office/officeart/2008/layout/HorizontalMultiLevelHierarchy"/>
    <dgm:cxn modelId="{93275D6F-1B36-4148-8133-F9B3FB90BAC4}" type="presParOf" srcId="{74C63527-37B5-440A-8045-FC75A721FB41}" destId="{C471DE6B-F02A-4A99-A018-75FB76213F2F}" srcOrd="0" destOrd="0" presId="urn:microsoft.com/office/officeart/2008/layout/HorizontalMultiLevelHierarchy"/>
    <dgm:cxn modelId="{C07DAF51-B97F-4CA2-86AC-6A60B8F41EA8}" type="presParOf" srcId="{74C63527-37B5-440A-8045-FC75A721FB41}" destId="{535245AE-AEE9-45EB-B5F6-4AC96096E858}" srcOrd="1" destOrd="0" presId="urn:microsoft.com/office/officeart/2008/layout/HorizontalMultiLevelHierarchy"/>
    <dgm:cxn modelId="{CFA6DA1E-345D-4069-98C2-5866175E3A8E}" type="presParOf" srcId="{535245AE-AEE9-45EB-B5F6-4AC96096E858}" destId="{3A5F703A-10DF-45CE-8870-4A23E49942AD}" srcOrd="0" destOrd="0" presId="urn:microsoft.com/office/officeart/2008/layout/HorizontalMultiLevelHierarchy"/>
    <dgm:cxn modelId="{C7F00544-6B91-4F5A-912A-9C304B6F7D47}" type="presParOf" srcId="{3A5F703A-10DF-45CE-8870-4A23E49942AD}" destId="{065884A3-D1C0-48E7-95DA-B48B13CC376C}" srcOrd="0" destOrd="0" presId="urn:microsoft.com/office/officeart/2008/layout/HorizontalMultiLevelHierarchy"/>
    <dgm:cxn modelId="{0D1D0295-7FD7-4F06-BDD3-696FCC2E88A1}" type="presParOf" srcId="{535245AE-AEE9-45EB-B5F6-4AC96096E858}" destId="{E7130C40-F158-4A95-B089-2A19C98F8E15}" srcOrd="1" destOrd="0" presId="urn:microsoft.com/office/officeart/2008/layout/HorizontalMultiLevelHierarchy"/>
    <dgm:cxn modelId="{80C4037F-A399-45BD-AE81-E9E8763B148C}" type="presParOf" srcId="{E7130C40-F158-4A95-B089-2A19C98F8E15}" destId="{ECF2DC17-67B7-4D1F-9B56-B5750904171E}" srcOrd="0" destOrd="0" presId="urn:microsoft.com/office/officeart/2008/layout/HorizontalMultiLevelHierarchy"/>
    <dgm:cxn modelId="{EB1D0D5C-B683-4ACB-9BBC-2B275ED0749D}" type="presParOf" srcId="{E7130C40-F158-4A95-B089-2A19C98F8E15}" destId="{37C52933-633E-42F8-AE08-99A6C43FD841}" srcOrd="1" destOrd="0" presId="urn:microsoft.com/office/officeart/2008/layout/HorizontalMultiLevelHierarchy"/>
    <dgm:cxn modelId="{6BB58756-5EE4-4C48-97A2-EC3F8EF9958F}" type="presParOf" srcId="{37C52933-633E-42F8-AE08-99A6C43FD841}" destId="{686AB2E7-AA41-4E35-9413-B61F897B45CD}" srcOrd="0" destOrd="0" presId="urn:microsoft.com/office/officeart/2008/layout/HorizontalMultiLevelHierarchy"/>
    <dgm:cxn modelId="{302FF773-544D-4360-BA43-524F6616B946}" type="presParOf" srcId="{686AB2E7-AA41-4E35-9413-B61F897B45CD}" destId="{762CB597-2B95-4DC9-A658-87C86605AD75}" srcOrd="0" destOrd="0" presId="urn:microsoft.com/office/officeart/2008/layout/HorizontalMultiLevelHierarchy"/>
    <dgm:cxn modelId="{C721C8DB-8BC5-418B-8EDC-C4B4F77E5CF9}" type="presParOf" srcId="{37C52933-633E-42F8-AE08-99A6C43FD841}" destId="{51277EFB-C011-4FFC-AD56-63422834C532}" srcOrd="1" destOrd="0" presId="urn:microsoft.com/office/officeart/2008/layout/HorizontalMultiLevelHierarchy"/>
    <dgm:cxn modelId="{B90CD415-D0DE-47A2-B9DC-2FC796BA3F6C}" type="presParOf" srcId="{51277EFB-C011-4FFC-AD56-63422834C532}" destId="{A9BC5A90-4481-4C0F-9099-B61E32FAFEDE}" srcOrd="0" destOrd="0" presId="urn:microsoft.com/office/officeart/2008/layout/HorizontalMultiLevelHierarchy"/>
    <dgm:cxn modelId="{B6937717-FC8C-483D-8CD1-9D4AAF756818}" type="presParOf" srcId="{51277EFB-C011-4FFC-AD56-63422834C532}" destId="{73A3741B-6764-49C5-A827-EB61712BE7A7}" srcOrd="1" destOrd="0" presId="urn:microsoft.com/office/officeart/2008/layout/HorizontalMultiLevelHierarchy"/>
    <dgm:cxn modelId="{D808B1AA-4C07-4950-98BC-A0A23F8C8DF9}" type="presParOf" srcId="{535245AE-AEE9-45EB-B5F6-4AC96096E858}" destId="{53DCEDA1-186E-442D-AEBA-371B65F958E1}" srcOrd="2" destOrd="0" presId="urn:microsoft.com/office/officeart/2008/layout/HorizontalMultiLevelHierarchy"/>
    <dgm:cxn modelId="{9FCBFCA1-7782-4FB7-87C4-61260648DAE1}" type="presParOf" srcId="{53DCEDA1-186E-442D-AEBA-371B65F958E1}" destId="{2BEC02CE-5EE1-46D3-A03F-309C808BB320}" srcOrd="0" destOrd="0" presId="urn:microsoft.com/office/officeart/2008/layout/HorizontalMultiLevelHierarchy"/>
    <dgm:cxn modelId="{D5589C89-8458-4197-88CD-64CA9DA02086}" type="presParOf" srcId="{535245AE-AEE9-45EB-B5F6-4AC96096E858}" destId="{B5E4E58C-D397-4A95-A337-A01A12BC1F7D}" srcOrd="3" destOrd="0" presId="urn:microsoft.com/office/officeart/2008/layout/HorizontalMultiLevelHierarchy"/>
    <dgm:cxn modelId="{A49E52AD-7F56-42BE-A3C6-635921551BD6}" type="presParOf" srcId="{B5E4E58C-D397-4A95-A337-A01A12BC1F7D}" destId="{A9E8355C-98BB-4466-8E92-BBDBA91C1EE3}" srcOrd="0" destOrd="0" presId="urn:microsoft.com/office/officeart/2008/layout/HorizontalMultiLevelHierarchy"/>
    <dgm:cxn modelId="{775D20EB-285E-4FF0-A746-06AF5A2DF156}" type="presParOf" srcId="{B5E4E58C-D397-4A95-A337-A01A12BC1F7D}" destId="{5B4C37D3-003C-498D-A7E0-C0E2CC58643E}" srcOrd="1" destOrd="0" presId="urn:microsoft.com/office/officeart/2008/layout/HorizontalMultiLevelHierarchy"/>
    <dgm:cxn modelId="{33C02223-2CE6-4413-B9B7-52A06528D49E}" type="presParOf" srcId="{5B4C37D3-003C-498D-A7E0-C0E2CC58643E}" destId="{1FCDC7E7-127E-4489-9320-227625952BAB}" srcOrd="0" destOrd="0" presId="urn:microsoft.com/office/officeart/2008/layout/HorizontalMultiLevelHierarchy"/>
    <dgm:cxn modelId="{75935F18-7F59-4452-BBB3-54B27B74B20F}" type="presParOf" srcId="{1FCDC7E7-127E-4489-9320-227625952BAB}" destId="{D2846E31-023C-4A67-BA23-AB98C470A8E9}" srcOrd="0" destOrd="0" presId="urn:microsoft.com/office/officeart/2008/layout/HorizontalMultiLevelHierarchy"/>
    <dgm:cxn modelId="{E7B26250-81CE-4D23-A4A0-220486DC554B}" type="presParOf" srcId="{5B4C37D3-003C-498D-A7E0-C0E2CC58643E}" destId="{EDEA7B3A-E17F-47B7-9319-7AAFB8FFDCD9}" srcOrd="1" destOrd="0" presId="urn:microsoft.com/office/officeart/2008/layout/HorizontalMultiLevelHierarchy"/>
    <dgm:cxn modelId="{61BE7193-330C-4FCB-9E6C-0D3E3AF0F6F6}" type="presParOf" srcId="{EDEA7B3A-E17F-47B7-9319-7AAFB8FFDCD9}" destId="{6721F16B-0B75-4161-A9A0-DBCFA2B7DA0E}" srcOrd="0" destOrd="0" presId="urn:microsoft.com/office/officeart/2008/layout/HorizontalMultiLevelHierarchy"/>
    <dgm:cxn modelId="{2C2EE1C5-4313-49B2-8A68-A613DFE6725C}" type="presParOf" srcId="{EDEA7B3A-E17F-47B7-9319-7AAFB8FFDCD9}" destId="{8FE5E32A-1C67-4455-A6EC-9666156B830E}" srcOrd="1" destOrd="0" presId="urn:microsoft.com/office/officeart/2008/layout/HorizontalMultiLevelHierarchy"/>
    <dgm:cxn modelId="{7F944C71-E0E3-4D07-A845-EB64944A0997}" type="presParOf" srcId="{9CDA265F-BF2C-4B34-8D30-A438AC082624}" destId="{D5B7B54C-95D6-42C4-A8E8-143E173EFD0C}" srcOrd="2" destOrd="0" presId="urn:microsoft.com/office/officeart/2008/layout/HorizontalMultiLevelHierarchy"/>
    <dgm:cxn modelId="{771A3E39-2539-4059-90A8-C6825B0C0D44}" type="presParOf" srcId="{D5B7B54C-95D6-42C4-A8E8-143E173EFD0C}" destId="{B9E4F7DF-5C6B-43D8-AFB4-5E248EAFBC51}" srcOrd="0" destOrd="0" presId="urn:microsoft.com/office/officeart/2008/layout/HorizontalMultiLevelHierarchy"/>
    <dgm:cxn modelId="{DF769760-6462-48E6-8625-00C2822BE23E}" type="presParOf" srcId="{9CDA265F-BF2C-4B34-8D30-A438AC082624}" destId="{2C38DB4E-6CBF-4533-B708-F1A413E30F94}" srcOrd="3" destOrd="0" presId="urn:microsoft.com/office/officeart/2008/layout/HorizontalMultiLevelHierarchy"/>
    <dgm:cxn modelId="{83561C3D-B207-4B72-BD9F-4B4EEC42EB1C}" type="presParOf" srcId="{2C38DB4E-6CBF-4533-B708-F1A413E30F94}" destId="{873FB030-50F9-4DFC-A1BA-409512EF3B41}" srcOrd="0" destOrd="0" presId="urn:microsoft.com/office/officeart/2008/layout/HorizontalMultiLevelHierarchy"/>
    <dgm:cxn modelId="{A313FD75-D29F-4838-90EA-D00AF9B3EA49}" type="presParOf" srcId="{2C38DB4E-6CBF-4533-B708-F1A413E30F94}" destId="{B0F55D80-FE13-487D-BE4B-81BD0DFA3A2E}" srcOrd="1" destOrd="0" presId="urn:microsoft.com/office/officeart/2008/layout/HorizontalMultiLevelHierarchy"/>
    <dgm:cxn modelId="{9FEC7773-302F-444C-82D3-4AFB5E04330C}" type="presParOf" srcId="{B0F55D80-FE13-487D-BE4B-81BD0DFA3A2E}" destId="{9B791EE2-04EC-4B1E-88C1-8423A01CDEDA}" srcOrd="0" destOrd="0" presId="urn:microsoft.com/office/officeart/2008/layout/HorizontalMultiLevelHierarchy"/>
    <dgm:cxn modelId="{7D732325-0297-4786-B261-648F51328BF7}" type="presParOf" srcId="{9B791EE2-04EC-4B1E-88C1-8423A01CDEDA}" destId="{1E42E501-7BF3-4906-900E-C428DD10E671}" srcOrd="0" destOrd="0" presId="urn:microsoft.com/office/officeart/2008/layout/HorizontalMultiLevelHierarchy"/>
    <dgm:cxn modelId="{38BF029D-ABED-45CB-898B-D819E2C31E15}" type="presParOf" srcId="{B0F55D80-FE13-487D-BE4B-81BD0DFA3A2E}" destId="{D072DF38-14F9-4607-AB89-BFE24FA39C2B}" srcOrd="1" destOrd="0" presId="urn:microsoft.com/office/officeart/2008/layout/HorizontalMultiLevelHierarchy"/>
    <dgm:cxn modelId="{06B88C0F-88C6-4E96-B9C5-D3AF4E0D7995}" type="presParOf" srcId="{D072DF38-14F9-4607-AB89-BFE24FA39C2B}" destId="{24F994B9-9CA3-46E9-BDDC-ABAC711DD3BA}" srcOrd="0" destOrd="0" presId="urn:microsoft.com/office/officeart/2008/layout/HorizontalMultiLevelHierarchy"/>
    <dgm:cxn modelId="{4F414F4A-3BF5-4600-82C3-DA32B8DE9C0A}" type="presParOf" srcId="{D072DF38-14F9-4607-AB89-BFE24FA39C2B}" destId="{201DDAA3-A323-4DFF-B336-82673511AAD7}" srcOrd="1" destOrd="0" presId="urn:microsoft.com/office/officeart/2008/layout/HorizontalMultiLevelHierarchy"/>
    <dgm:cxn modelId="{52FE36C1-8CE4-408F-8C1F-1E48C490545D}" type="presParOf" srcId="{201DDAA3-A323-4DFF-B336-82673511AAD7}" destId="{92B2060D-BD2E-45E2-A868-C94520B704FE}" srcOrd="0" destOrd="0" presId="urn:microsoft.com/office/officeart/2008/layout/HorizontalMultiLevelHierarchy"/>
    <dgm:cxn modelId="{C169D828-C3E1-4178-BBC7-BFFE563E2461}" type="presParOf" srcId="{92B2060D-BD2E-45E2-A868-C94520B704FE}" destId="{2B9BB513-218D-400B-896C-9FDB0E244056}" srcOrd="0" destOrd="0" presId="urn:microsoft.com/office/officeart/2008/layout/HorizontalMultiLevelHierarchy"/>
    <dgm:cxn modelId="{E0A2D874-97E2-42E7-83FD-1E0C9CF7B6EE}" type="presParOf" srcId="{201DDAA3-A323-4DFF-B336-82673511AAD7}" destId="{FF6476A2-20D1-4760-A425-F14AA6833577}" srcOrd="1" destOrd="0" presId="urn:microsoft.com/office/officeart/2008/layout/HorizontalMultiLevelHierarchy"/>
    <dgm:cxn modelId="{1A16F409-0E07-4998-913E-979C69811D95}" type="presParOf" srcId="{FF6476A2-20D1-4760-A425-F14AA6833577}" destId="{7DA6933F-D901-4CE8-959B-F73E03BE34B9}" srcOrd="0" destOrd="0" presId="urn:microsoft.com/office/officeart/2008/layout/HorizontalMultiLevelHierarchy"/>
    <dgm:cxn modelId="{BBA48A21-B5F5-4504-BDD4-3FF3C6293C81}" type="presParOf" srcId="{FF6476A2-20D1-4760-A425-F14AA6833577}" destId="{99FA8295-84A3-4F1E-979B-EDDF50819C55}" srcOrd="1" destOrd="0" presId="urn:microsoft.com/office/officeart/2008/layout/HorizontalMultiLevelHierarchy"/>
    <dgm:cxn modelId="{35FC0414-D00F-4F45-89C5-99C440941AC5}" type="presParOf" srcId="{99FA8295-84A3-4F1E-979B-EDDF50819C55}" destId="{ECFD9A21-7733-4B56-8894-C8846F9FEF88}" srcOrd="0" destOrd="0" presId="urn:microsoft.com/office/officeart/2008/layout/HorizontalMultiLevelHierarchy"/>
    <dgm:cxn modelId="{689D84E6-2374-434E-9CCA-5D3AF4E736C4}" type="presParOf" srcId="{ECFD9A21-7733-4B56-8894-C8846F9FEF88}" destId="{1E1E1688-3244-4731-801D-3BA471FAA44E}" srcOrd="0" destOrd="0" presId="urn:microsoft.com/office/officeart/2008/layout/HorizontalMultiLevelHierarchy"/>
    <dgm:cxn modelId="{75427AFB-EA19-4224-9B65-D1A5CF13AB54}" type="presParOf" srcId="{99FA8295-84A3-4F1E-979B-EDDF50819C55}" destId="{FB23BCBD-59CC-43D6-AE6B-E6FA2AECC367}" srcOrd="1" destOrd="0" presId="urn:microsoft.com/office/officeart/2008/layout/HorizontalMultiLevelHierarchy"/>
    <dgm:cxn modelId="{0ABA45E2-8BE1-46FF-A6A6-BB69E7A4F2D1}" type="presParOf" srcId="{FB23BCBD-59CC-43D6-AE6B-E6FA2AECC367}" destId="{122624F4-0E9B-4A19-ADE2-54F358A926E8}" srcOrd="0" destOrd="0" presId="urn:microsoft.com/office/officeart/2008/layout/HorizontalMultiLevelHierarchy"/>
    <dgm:cxn modelId="{642D53F9-E42F-437A-8CA0-13A95B559F36}" type="presParOf" srcId="{FB23BCBD-59CC-43D6-AE6B-E6FA2AECC367}" destId="{CAF53991-960A-4F9A-918D-07F9AE4DBEFE}" srcOrd="1" destOrd="0" presId="urn:microsoft.com/office/officeart/2008/layout/HorizontalMultiLevelHierarchy"/>
    <dgm:cxn modelId="{8BB8FB3A-6394-482B-8CC0-997F1A857F6D}" type="presParOf" srcId="{201DDAA3-A323-4DFF-B336-82673511AAD7}" destId="{179B8070-E261-4AC5-B8F6-36D62BD61810}" srcOrd="2" destOrd="0" presId="urn:microsoft.com/office/officeart/2008/layout/HorizontalMultiLevelHierarchy"/>
    <dgm:cxn modelId="{662CA23B-679B-4407-8D4D-26663A48D244}" type="presParOf" srcId="{179B8070-E261-4AC5-B8F6-36D62BD61810}" destId="{D6278BF8-7D86-444B-9D94-07F2FB8B627E}" srcOrd="0" destOrd="0" presId="urn:microsoft.com/office/officeart/2008/layout/HorizontalMultiLevelHierarchy"/>
    <dgm:cxn modelId="{40715918-60FF-471F-9042-1612795B613C}" type="presParOf" srcId="{201DDAA3-A323-4DFF-B336-82673511AAD7}" destId="{DF150528-8561-478D-95A9-49818ACD3D4C}" srcOrd="3" destOrd="0" presId="urn:microsoft.com/office/officeart/2008/layout/HorizontalMultiLevelHierarchy"/>
    <dgm:cxn modelId="{999D3C19-E4CD-41E6-966B-C3E0B58C9DA2}" type="presParOf" srcId="{DF150528-8561-478D-95A9-49818ACD3D4C}" destId="{741D751C-633E-4318-8E9B-6F2F45183E4C}" srcOrd="0" destOrd="0" presId="urn:microsoft.com/office/officeart/2008/layout/HorizontalMultiLevelHierarchy"/>
    <dgm:cxn modelId="{7FBECAA3-C079-476B-A4A0-707F73A66925}" type="presParOf" srcId="{DF150528-8561-478D-95A9-49818ACD3D4C}" destId="{77AAB02A-3D30-423C-B0D9-4123F1350846}" srcOrd="1" destOrd="0" presId="urn:microsoft.com/office/officeart/2008/layout/HorizontalMultiLevelHierarchy"/>
    <dgm:cxn modelId="{40ECB4EB-B414-4DFC-8694-C9B513D76F9D}" type="presParOf" srcId="{77AAB02A-3D30-423C-B0D9-4123F1350846}" destId="{89A808E8-61B0-4C71-A5B4-7F142BDF1063}" srcOrd="0" destOrd="0" presId="urn:microsoft.com/office/officeart/2008/layout/HorizontalMultiLevelHierarchy"/>
    <dgm:cxn modelId="{9E50C716-4977-47DB-B0A6-F3EBD395272F}" type="presParOf" srcId="{89A808E8-61B0-4C71-A5B4-7F142BDF1063}" destId="{D91BC970-2868-4E05-B2F8-C925C5C138E7}" srcOrd="0" destOrd="0" presId="urn:microsoft.com/office/officeart/2008/layout/HorizontalMultiLevelHierarchy"/>
    <dgm:cxn modelId="{96455EA7-1AF7-4204-99CE-7CA4E1911CE9}" type="presParOf" srcId="{77AAB02A-3D30-423C-B0D9-4123F1350846}" destId="{6AD1EC53-3A41-4A24-B765-E52397B65D98}" srcOrd="1" destOrd="0" presId="urn:microsoft.com/office/officeart/2008/layout/HorizontalMultiLevelHierarchy"/>
    <dgm:cxn modelId="{EAA3E740-CBDC-4596-89A4-FD7AC4F63656}" type="presParOf" srcId="{6AD1EC53-3A41-4A24-B765-E52397B65D98}" destId="{5436C630-8B85-4C77-8185-F3816920B186}" srcOrd="0" destOrd="0" presId="urn:microsoft.com/office/officeart/2008/layout/HorizontalMultiLevelHierarchy"/>
    <dgm:cxn modelId="{5937E774-830C-4EBF-89BE-8697F932D841}" type="presParOf" srcId="{6AD1EC53-3A41-4A24-B765-E52397B65D98}" destId="{B5E07166-C7CD-47A7-BCB7-CDC2FBA3C2F7}" srcOrd="1" destOrd="0" presId="urn:microsoft.com/office/officeart/2008/layout/HorizontalMultiLevelHierarchy"/>
    <dgm:cxn modelId="{80847130-344B-4D8C-8C21-2730B0C25E0B}" type="presParOf" srcId="{B0F55D80-FE13-487D-BE4B-81BD0DFA3A2E}" destId="{0695936E-A78E-4DD9-9EF8-4C05C4C9B051}" srcOrd="2" destOrd="0" presId="urn:microsoft.com/office/officeart/2008/layout/HorizontalMultiLevelHierarchy"/>
    <dgm:cxn modelId="{6EDB0154-E59F-49B7-A7F2-6CCEF13721BD}" type="presParOf" srcId="{0695936E-A78E-4DD9-9EF8-4C05C4C9B051}" destId="{80B22AB3-B827-489A-9AB6-B12DF333C021}" srcOrd="0" destOrd="0" presId="urn:microsoft.com/office/officeart/2008/layout/HorizontalMultiLevelHierarchy"/>
    <dgm:cxn modelId="{8FA72438-8EA4-4FF8-9C06-3C7B051EF2F8}" type="presParOf" srcId="{B0F55D80-FE13-487D-BE4B-81BD0DFA3A2E}" destId="{53BF0F82-74BC-49B3-ADB2-3242F7877F4C}" srcOrd="3" destOrd="0" presId="urn:microsoft.com/office/officeart/2008/layout/HorizontalMultiLevelHierarchy"/>
    <dgm:cxn modelId="{EB6D7C37-84E7-4983-B0F8-5C5AF222FA39}" type="presParOf" srcId="{53BF0F82-74BC-49B3-ADB2-3242F7877F4C}" destId="{97CE89E9-DE23-42D0-BAAE-3F6FEA89558E}" srcOrd="0" destOrd="0" presId="urn:microsoft.com/office/officeart/2008/layout/HorizontalMultiLevelHierarchy"/>
    <dgm:cxn modelId="{75A7B836-DB35-439B-8B53-84A2B2B689B6}" type="presParOf" srcId="{53BF0F82-74BC-49B3-ADB2-3242F7877F4C}" destId="{4AAA9E02-1070-4C28-8414-2EE88942A974}" srcOrd="1" destOrd="0" presId="urn:microsoft.com/office/officeart/2008/layout/HorizontalMultiLevelHierarchy"/>
    <dgm:cxn modelId="{0D6864F0-4949-4A6A-BEB3-57D41F5D4D2A}" type="presParOf" srcId="{4AAA9E02-1070-4C28-8414-2EE88942A974}" destId="{D2DD1726-C8EA-4420-8F5A-6B921701F8B5}" srcOrd="0" destOrd="0" presId="urn:microsoft.com/office/officeart/2008/layout/HorizontalMultiLevelHierarchy"/>
    <dgm:cxn modelId="{2D9181B2-66B4-4292-B372-E724D8A18677}" type="presParOf" srcId="{D2DD1726-C8EA-4420-8F5A-6B921701F8B5}" destId="{308E7DD3-493B-4A8B-A9E2-B30BF65EF36C}" srcOrd="0" destOrd="0" presId="urn:microsoft.com/office/officeart/2008/layout/HorizontalMultiLevelHierarchy"/>
    <dgm:cxn modelId="{F217A6DE-E7B2-40EB-8221-91768AA637EA}" type="presParOf" srcId="{4AAA9E02-1070-4C28-8414-2EE88942A974}" destId="{23B437F9-D81F-4E61-B59D-44E7D560260B}" srcOrd="1" destOrd="0" presId="urn:microsoft.com/office/officeart/2008/layout/HorizontalMultiLevelHierarchy"/>
    <dgm:cxn modelId="{5A2811BC-39EB-42A6-BF22-E3ADFA91AAFA}" type="presParOf" srcId="{23B437F9-D81F-4E61-B59D-44E7D560260B}" destId="{F02FA44A-2F2C-4B76-81C6-66250C8EE4A8}" srcOrd="0" destOrd="0" presId="urn:microsoft.com/office/officeart/2008/layout/HorizontalMultiLevelHierarchy"/>
    <dgm:cxn modelId="{EA87E717-9A63-44D5-B447-19FF7C6973B3}" type="presParOf" srcId="{23B437F9-D81F-4E61-B59D-44E7D560260B}" destId="{17AA8D44-1EB8-4BBF-AF63-0474AA461CCF}" srcOrd="1" destOrd="0" presId="urn:microsoft.com/office/officeart/2008/layout/HorizontalMultiLevelHierarchy"/>
    <dgm:cxn modelId="{EEB52436-2193-413C-BBC8-9DBF84F1AE2F}" type="presParOf" srcId="{17AA8D44-1EB8-4BBF-AF63-0474AA461CCF}" destId="{2095B5D1-1D51-496D-AEEA-A68D88A34A2F}" srcOrd="0" destOrd="0" presId="urn:microsoft.com/office/officeart/2008/layout/HorizontalMultiLevelHierarchy"/>
    <dgm:cxn modelId="{2F874D27-D01C-44A9-BF98-2EA8C541437F}" type="presParOf" srcId="{2095B5D1-1D51-496D-AEEA-A68D88A34A2F}" destId="{5A57C91F-38E5-4097-8167-BB965BE8D71B}" srcOrd="0" destOrd="0" presId="urn:microsoft.com/office/officeart/2008/layout/HorizontalMultiLevelHierarchy"/>
    <dgm:cxn modelId="{D89F3587-3E8D-4085-96F2-B1FCB6D17545}" type="presParOf" srcId="{17AA8D44-1EB8-4BBF-AF63-0474AA461CCF}" destId="{DD39214C-1BFB-47A1-924C-A54FA39E333D}" srcOrd="1" destOrd="0" presId="urn:microsoft.com/office/officeart/2008/layout/HorizontalMultiLevelHierarchy"/>
    <dgm:cxn modelId="{1F0A0B07-AB6B-4705-B884-CAB1735DC183}" type="presParOf" srcId="{DD39214C-1BFB-47A1-924C-A54FA39E333D}" destId="{D8658746-0992-48CB-A120-17715D7EF518}" srcOrd="0" destOrd="0" presId="urn:microsoft.com/office/officeart/2008/layout/HorizontalMultiLevelHierarchy"/>
    <dgm:cxn modelId="{FE12199D-4639-4B64-89B3-311997F123D4}" type="presParOf" srcId="{DD39214C-1BFB-47A1-924C-A54FA39E333D}" destId="{48AA6C96-35F2-4CE3-88D2-BD9ABE23CBAC}" srcOrd="1" destOrd="0" presId="urn:microsoft.com/office/officeart/2008/layout/HorizontalMultiLevelHierarchy"/>
    <dgm:cxn modelId="{48B1572D-079C-4B4D-91C2-D1605A1CD22A}" type="presParOf" srcId="{4AAA9E02-1070-4C28-8414-2EE88942A974}" destId="{3F44F901-8672-4061-A0DA-EA1D4442A139}" srcOrd="2" destOrd="0" presId="urn:microsoft.com/office/officeart/2008/layout/HorizontalMultiLevelHierarchy"/>
    <dgm:cxn modelId="{D37688F7-FD97-41B7-A124-E1E241FDC272}" type="presParOf" srcId="{3F44F901-8672-4061-A0DA-EA1D4442A139}" destId="{D03E414F-6851-418B-ADD7-A4DDE112AA3F}" srcOrd="0" destOrd="0" presId="urn:microsoft.com/office/officeart/2008/layout/HorizontalMultiLevelHierarchy"/>
    <dgm:cxn modelId="{5E7B90EF-7652-463E-A875-A9B3ABC8B114}" type="presParOf" srcId="{4AAA9E02-1070-4C28-8414-2EE88942A974}" destId="{7D6C8FDB-C989-4559-A96B-907806A24050}" srcOrd="3" destOrd="0" presId="urn:microsoft.com/office/officeart/2008/layout/HorizontalMultiLevelHierarchy"/>
    <dgm:cxn modelId="{743BBAFB-7E57-4C85-95C3-443B1DC7EFE9}" type="presParOf" srcId="{7D6C8FDB-C989-4559-A96B-907806A24050}" destId="{C65D2369-EF25-4BE9-9FCE-BA24FF11255A}" srcOrd="0" destOrd="0" presId="urn:microsoft.com/office/officeart/2008/layout/HorizontalMultiLevelHierarchy"/>
    <dgm:cxn modelId="{9A3B1440-D620-4D39-99AD-AF78C993C339}" type="presParOf" srcId="{7D6C8FDB-C989-4559-A96B-907806A24050}" destId="{D9E2D2AD-D899-4527-BE7E-289D652683A1}" srcOrd="1" destOrd="0" presId="urn:microsoft.com/office/officeart/2008/layout/HorizontalMultiLevelHierarchy"/>
    <dgm:cxn modelId="{6577CE8F-4E09-4C2A-A51E-A835137B3BDC}" type="presParOf" srcId="{D9E2D2AD-D899-4527-BE7E-289D652683A1}" destId="{7E3849E0-9DC6-4736-90B5-B31C4DB9E23F}" srcOrd="0" destOrd="0" presId="urn:microsoft.com/office/officeart/2008/layout/HorizontalMultiLevelHierarchy"/>
    <dgm:cxn modelId="{878B1D4E-4ABC-4D6E-BC2F-01C3E10F2D45}" type="presParOf" srcId="{7E3849E0-9DC6-4736-90B5-B31C4DB9E23F}" destId="{332BFF85-2429-45FF-B509-E0092B39AAB3}" srcOrd="0" destOrd="0" presId="urn:microsoft.com/office/officeart/2008/layout/HorizontalMultiLevelHierarchy"/>
    <dgm:cxn modelId="{71B35CA7-B7EC-47D0-A49D-AFC8D51C0587}" type="presParOf" srcId="{D9E2D2AD-D899-4527-BE7E-289D652683A1}" destId="{D3A86EA8-0E3F-4CEF-AB14-7B94A246349D}" srcOrd="1" destOrd="0" presId="urn:microsoft.com/office/officeart/2008/layout/HorizontalMultiLevelHierarchy"/>
    <dgm:cxn modelId="{3EEF256A-6A61-4599-BE2A-F2F1678654AD}" type="presParOf" srcId="{D3A86EA8-0E3F-4CEF-AB14-7B94A246349D}" destId="{849A3DF1-CC55-4B32-8303-569A21C2061D}" srcOrd="0" destOrd="0" presId="urn:microsoft.com/office/officeart/2008/layout/HorizontalMultiLevelHierarchy"/>
    <dgm:cxn modelId="{D03754A9-937C-415A-A058-14AB71CE79BD}" type="presParOf" srcId="{D3A86EA8-0E3F-4CEF-AB14-7B94A246349D}" destId="{3F692590-448C-4859-802B-0EB8D350B179}" srcOrd="1" destOrd="0" presId="urn:microsoft.com/office/officeart/2008/layout/HorizontalMultiLevelHierarchy"/>
    <dgm:cxn modelId="{A4CF5ED2-784C-4A84-978A-E506B523E1F8}" type="presParOf" srcId="{9CDA265F-BF2C-4B34-8D30-A438AC082624}" destId="{317CC671-DC2D-45F5-89DD-4B901D9A65F0}" srcOrd="4" destOrd="0" presId="urn:microsoft.com/office/officeart/2008/layout/HorizontalMultiLevelHierarchy"/>
    <dgm:cxn modelId="{CCB7ED79-56FF-4BF4-A67A-AFF84B80F9DB}" type="presParOf" srcId="{317CC671-DC2D-45F5-89DD-4B901D9A65F0}" destId="{AD0B866C-1564-47F3-B409-FEA317D579A1}" srcOrd="0" destOrd="0" presId="urn:microsoft.com/office/officeart/2008/layout/HorizontalMultiLevelHierarchy"/>
    <dgm:cxn modelId="{4495D8E1-411C-49E3-AF7D-F4E7F5DD6CC2}" type="presParOf" srcId="{9CDA265F-BF2C-4B34-8D30-A438AC082624}" destId="{5630DDA7-A7B2-4B54-A7C8-77F88C34BA37}" srcOrd="5" destOrd="0" presId="urn:microsoft.com/office/officeart/2008/layout/HorizontalMultiLevelHierarchy"/>
    <dgm:cxn modelId="{ABBDAE89-03A7-433E-996F-F5E59D6235F8}" type="presParOf" srcId="{5630DDA7-A7B2-4B54-A7C8-77F88C34BA37}" destId="{0273551D-6C77-48C4-9894-4441013253FD}" srcOrd="0" destOrd="0" presId="urn:microsoft.com/office/officeart/2008/layout/HorizontalMultiLevelHierarchy"/>
    <dgm:cxn modelId="{25F12535-589A-4982-8A46-6659A325C0E3}" type="presParOf" srcId="{5630DDA7-A7B2-4B54-A7C8-77F88C34BA37}" destId="{2CB02B1E-726D-4CF1-9D7E-30F58512D873}" srcOrd="1" destOrd="0" presId="urn:microsoft.com/office/officeart/2008/layout/HorizontalMultiLevelHierarchy"/>
    <dgm:cxn modelId="{8BBCC524-E6C6-4471-BEA9-F9461D95803B}" type="presParOf" srcId="{2CB02B1E-726D-4CF1-9D7E-30F58512D873}" destId="{8ADD098A-D10D-4469-8984-9010095A1E81}" srcOrd="0" destOrd="0" presId="urn:microsoft.com/office/officeart/2008/layout/HorizontalMultiLevelHierarchy"/>
    <dgm:cxn modelId="{5100E2A7-D3DB-4901-BBEB-DB828CC7D8E0}" type="presParOf" srcId="{8ADD098A-D10D-4469-8984-9010095A1E81}" destId="{F549CBFB-02BA-4AC9-BA7C-FA1CEE53CC71}" srcOrd="0" destOrd="0" presId="urn:microsoft.com/office/officeart/2008/layout/HorizontalMultiLevelHierarchy"/>
    <dgm:cxn modelId="{09ACC1E4-E763-45B7-BB6E-971CC97699FD}" type="presParOf" srcId="{2CB02B1E-726D-4CF1-9D7E-30F58512D873}" destId="{0748628E-40BC-4C18-AFA0-095C495D5B31}" srcOrd="1" destOrd="0" presId="urn:microsoft.com/office/officeart/2008/layout/HorizontalMultiLevelHierarchy"/>
    <dgm:cxn modelId="{0CF3F42F-5EC6-4B62-A259-A42A641A8398}" type="presParOf" srcId="{0748628E-40BC-4C18-AFA0-095C495D5B31}" destId="{807FC128-B384-428E-B392-1C46BBA734C3}" srcOrd="0" destOrd="0" presId="urn:microsoft.com/office/officeart/2008/layout/HorizontalMultiLevelHierarchy"/>
    <dgm:cxn modelId="{505AF2C4-D27C-4E33-B0CA-3D1B6D52B21B}" type="presParOf" srcId="{0748628E-40BC-4C18-AFA0-095C495D5B31}" destId="{DE1C7A9E-4063-4617-9C84-5BC9AA49EE62}" srcOrd="1" destOrd="0" presId="urn:microsoft.com/office/officeart/2008/layout/HorizontalMultiLevelHierarchy"/>
    <dgm:cxn modelId="{515F0AED-B922-4CFB-A3D5-19C144369894}" type="presParOf" srcId="{DE1C7A9E-4063-4617-9C84-5BC9AA49EE62}" destId="{88D233E6-AFDE-4F1C-8D51-3B6C3BBFE60A}" srcOrd="0" destOrd="0" presId="urn:microsoft.com/office/officeart/2008/layout/HorizontalMultiLevelHierarchy"/>
    <dgm:cxn modelId="{89373622-3DFF-4E40-9CB3-0584D149A496}" type="presParOf" srcId="{88D233E6-AFDE-4F1C-8D51-3B6C3BBFE60A}" destId="{DC7CFBC0-31EA-451D-8C91-883116376A9D}" srcOrd="0" destOrd="0" presId="urn:microsoft.com/office/officeart/2008/layout/HorizontalMultiLevelHierarchy"/>
    <dgm:cxn modelId="{02D98EFB-21D8-4F5E-88E3-B9F9F6BD7007}" type="presParOf" srcId="{DE1C7A9E-4063-4617-9C84-5BC9AA49EE62}" destId="{EADD6047-0890-4AC1-BB4B-CEDB25306009}" srcOrd="1" destOrd="0" presId="urn:microsoft.com/office/officeart/2008/layout/HorizontalMultiLevelHierarchy"/>
    <dgm:cxn modelId="{83772173-77D4-4281-8C6F-99B2A300DB0E}" type="presParOf" srcId="{EADD6047-0890-4AC1-BB4B-CEDB25306009}" destId="{29F40378-DB03-4B17-97AB-BCAE2285DBA7}" srcOrd="0" destOrd="0" presId="urn:microsoft.com/office/officeart/2008/layout/HorizontalMultiLevelHierarchy"/>
    <dgm:cxn modelId="{7B9DC62A-5EDB-4033-8A9F-B535741DAE97}" type="presParOf" srcId="{EADD6047-0890-4AC1-BB4B-CEDB25306009}" destId="{CB1355A3-63B9-4716-83E8-59EA1161BDDA}" srcOrd="1" destOrd="0" presId="urn:microsoft.com/office/officeart/2008/layout/HorizontalMultiLevelHierarchy"/>
    <dgm:cxn modelId="{0261A06D-E92F-4D8D-91FB-C89D103F0580}" type="presParOf" srcId="{CB1355A3-63B9-4716-83E8-59EA1161BDDA}" destId="{838854CF-EE5E-4C5C-9B86-B0624B9F3053}" srcOrd="0" destOrd="0" presId="urn:microsoft.com/office/officeart/2008/layout/HorizontalMultiLevelHierarchy"/>
    <dgm:cxn modelId="{352A0A5A-4D1B-496E-8539-7004699B436F}" type="presParOf" srcId="{838854CF-EE5E-4C5C-9B86-B0624B9F3053}" destId="{66543685-F348-41A6-A424-F5EFF813F73E}" srcOrd="0" destOrd="0" presId="urn:microsoft.com/office/officeart/2008/layout/HorizontalMultiLevelHierarchy"/>
    <dgm:cxn modelId="{F58E9074-DF37-46FD-8BA6-4CCF63837E4B}" type="presParOf" srcId="{CB1355A3-63B9-4716-83E8-59EA1161BDDA}" destId="{81B353D5-1013-4707-A39C-0B4FC26A129B}" srcOrd="1" destOrd="0" presId="urn:microsoft.com/office/officeart/2008/layout/HorizontalMultiLevelHierarchy"/>
    <dgm:cxn modelId="{5B48ADA9-C63E-42E0-94EB-5F121980FB25}" type="presParOf" srcId="{81B353D5-1013-4707-A39C-0B4FC26A129B}" destId="{FF56C447-1A40-4683-9B7D-3BFD4E575B97}" srcOrd="0" destOrd="0" presId="urn:microsoft.com/office/officeart/2008/layout/HorizontalMultiLevelHierarchy"/>
    <dgm:cxn modelId="{F6D8BD15-DF37-4552-8929-97B7775A120C}" type="presParOf" srcId="{81B353D5-1013-4707-A39C-0B4FC26A129B}" destId="{B8964AEF-BB41-4D81-8409-5CF69190697A}" srcOrd="1" destOrd="0" presId="urn:microsoft.com/office/officeart/2008/layout/HorizontalMultiLevelHierarchy"/>
    <dgm:cxn modelId="{8F17BEC0-3E48-413B-9DC5-294CEF15C41A}" type="presParOf" srcId="{DE1C7A9E-4063-4617-9C84-5BC9AA49EE62}" destId="{EE3D6874-9FCF-4B07-A847-DB7D9C957A8C}" srcOrd="2" destOrd="0" presId="urn:microsoft.com/office/officeart/2008/layout/HorizontalMultiLevelHierarchy"/>
    <dgm:cxn modelId="{FBEC15D3-78F2-412C-9FF7-90E3F4B6939B}" type="presParOf" srcId="{EE3D6874-9FCF-4B07-A847-DB7D9C957A8C}" destId="{F47F7E5C-78A0-43D9-9573-DE875FAD13BB}" srcOrd="0" destOrd="0" presId="urn:microsoft.com/office/officeart/2008/layout/HorizontalMultiLevelHierarchy"/>
    <dgm:cxn modelId="{4C13A038-EBA7-40EE-8647-ED8970571ACD}" type="presParOf" srcId="{DE1C7A9E-4063-4617-9C84-5BC9AA49EE62}" destId="{FF827A46-46F4-4A23-838A-4B54C4CDD5B0}" srcOrd="3" destOrd="0" presId="urn:microsoft.com/office/officeart/2008/layout/HorizontalMultiLevelHierarchy"/>
    <dgm:cxn modelId="{11B06FE1-9AFD-462E-BB13-8E40EE98D10C}" type="presParOf" srcId="{FF827A46-46F4-4A23-838A-4B54C4CDD5B0}" destId="{3CD9680C-3252-4378-8A2F-F5C64CF54502}" srcOrd="0" destOrd="0" presId="urn:microsoft.com/office/officeart/2008/layout/HorizontalMultiLevelHierarchy"/>
    <dgm:cxn modelId="{31DA3629-5106-46E6-A13E-C8F2176B040C}" type="presParOf" srcId="{FF827A46-46F4-4A23-838A-4B54C4CDD5B0}" destId="{995A50EF-E340-4657-A700-AF6CA0C6A6F4}" srcOrd="1" destOrd="0" presId="urn:microsoft.com/office/officeart/2008/layout/HorizontalMultiLevelHierarchy"/>
    <dgm:cxn modelId="{E6AE0898-4B49-47F3-AD3A-3CD75FD28471}" type="presParOf" srcId="{995A50EF-E340-4657-A700-AF6CA0C6A6F4}" destId="{8A1B0AF3-EBE3-4D1A-9559-C15D24E4EFF3}" srcOrd="0" destOrd="0" presId="urn:microsoft.com/office/officeart/2008/layout/HorizontalMultiLevelHierarchy"/>
    <dgm:cxn modelId="{0118D6F4-9AC8-4A45-B762-5535B90850B8}" type="presParOf" srcId="{8A1B0AF3-EBE3-4D1A-9559-C15D24E4EFF3}" destId="{E8135622-9F7E-4B66-92F0-AC19078B4CFB}" srcOrd="0" destOrd="0" presId="urn:microsoft.com/office/officeart/2008/layout/HorizontalMultiLevelHierarchy"/>
    <dgm:cxn modelId="{EE94FEBE-F0C0-4787-8151-48EE0AF536AC}" type="presParOf" srcId="{995A50EF-E340-4657-A700-AF6CA0C6A6F4}" destId="{85447CAD-A119-4696-A964-3E9662C67D80}" srcOrd="1" destOrd="0" presId="urn:microsoft.com/office/officeart/2008/layout/HorizontalMultiLevelHierarchy"/>
    <dgm:cxn modelId="{74D7F675-18B9-424A-B2E7-21AAC4EE46C0}" type="presParOf" srcId="{85447CAD-A119-4696-A964-3E9662C67D80}" destId="{E4DD0DB1-214F-43E7-8234-76101D29995A}" srcOrd="0" destOrd="0" presId="urn:microsoft.com/office/officeart/2008/layout/HorizontalMultiLevelHierarchy"/>
    <dgm:cxn modelId="{657C7C6E-E181-41E7-9160-F64E8A5217DE}" type="presParOf" srcId="{85447CAD-A119-4696-A964-3E9662C67D80}" destId="{CD485C63-9C6B-482E-A923-3D7855E2F632}" srcOrd="1" destOrd="0" presId="urn:microsoft.com/office/officeart/2008/layout/HorizontalMultiLevelHierarchy"/>
    <dgm:cxn modelId="{26B24EA7-6019-4843-9E6B-8EE6332FEA4B}" type="presParOf" srcId="{2CB02B1E-726D-4CF1-9D7E-30F58512D873}" destId="{9E9966C7-B98D-4E66-B968-B2715CD311D0}" srcOrd="2" destOrd="0" presId="urn:microsoft.com/office/officeart/2008/layout/HorizontalMultiLevelHierarchy"/>
    <dgm:cxn modelId="{42CDACCE-0DBB-4351-82A4-8D3641CD96FB}" type="presParOf" srcId="{9E9966C7-B98D-4E66-B968-B2715CD311D0}" destId="{C1F1FC28-9883-4D6B-87B5-155EFB646A0C}" srcOrd="0" destOrd="0" presId="urn:microsoft.com/office/officeart/2008/layout/HorizontalMultiLevelHierarchy"/>
    <dgm:cxn modelId="{69226054-418F-4AEA-B4F9-E9B93379A927}" type="presParOf" srcId="{2CB02B1E-726D-4CF1-9D7E-30F58512D873}" destId="{0646B20F-3F62-48C8-AA3A-689CED4B7213}" srcOrd="3" destOrd="0" presId="urn:microsoft.com/office/officeart/2008/layout/HorizontalMultiLevelHierarchy"/>
    <dgm:cxn modelId="{E7D64E26-AF45-4052-A9A8-32C488223F60}" type="presParOf" srcId="{0646B20F-3F62-48C8-AA3A-689CED4B7213}" destId="{CA914FF1-DA62-475F-89D0-9279F27AB2C5}" srcOrd="0" destOrd="0" presId="urn:microsoft.com/office/officeart/2008/layout/HorizontalMultiLevelHierarchy"/>
    <dgm:cxn modelId="{E0AD4413-F892-4166-91EE-02BCB00E1470}" type="presParOf" srcId="{0646B20F-3F62-48C8-AA3A-689CED4B7213}" destId="{108D1698-4AEB-4C3C-81EB-350FD8156811}" srcOrd="1" destOrd="0" presId="urn:microsoft.com/office/officeart/2008/layout/HorizontalMultiLevelHierarchy"/>
    <dgm:cxn modelId="{7918385B-77FB-4E3C-8240-B8F3C8D3FA69}" type="presParOf" srcId="{108D1698-4AEB-4C3C-81EB-350FD8156811}" destId="{7330CBB1-5625-47CD-B407-29B1C40917DD}" srcOrd="0" destOrd="0" presId="urn:microsoft.com/office/officeart/2008/layout/HorizontalMultiLevelHierarchy"/>
    <dgm:cxn modelId="{A78E93D2-605C-4BE3-8011-3A6976A8FDD1}" type="presParOf" srcId="{7330CBB1-5625-47CD-B407-29B1C40917DD}" destId="{E7D7FEC4-6DC9-4F67-BA7D-1AE168CD5708}" srcOrd="0" destOrd="0" presId="urn:microsoft.com/office/officeart/2008/layout/HorizontalMultiLevelHierarchy"/>
    <dgm:cxn modelId="{8792B54B-8F96-4C58-A3CC-D5E710181DB0}" type="presParOf" srcId="{108D1698-4AEB-4C3C-81EB-350FD8156811}" destId="{30503AB9-95B4-452B-B0D5-AE363E9C1A06}" srcOrd="1" destOrd="0" presId="urn:microsoft.com/office/officeart/2008/layout/HorizontalMultiLevelHierarchy"/>
    <dgm:cxn modelId="{93C6184C-BA38-4A0A-8C85-5B40B6C30BEE}" type="presParOf" srcId="{30503AB9-95B4-452B-B0D5-AE363E9C1A06}" destId="{B9F2B3B1-3751-49E6-A52D-CA3A200AB719}" srcOrd="0" destOrd="0" presId="urn:microsoft.com/office/officeart/2008/layout/HorizontalMultiLevelHierarchy"/>
    <dgm:cxn modelId="{74C7D208-8773-48FB-A48B-6725270D288F}" type="presParOf" srcId="{30503AB9-95B4-452B-B0D5-AE363E9C1A06}" destId="{676F41CF-63FF-43D1-9DCE-3B36A1FF533C}" srcOrd="1" destOrd="0" presId="urn:microsoft.com/office/officeart/2008/layout/HorizontalMultiLevelHierarchy"/>
    <dgm:cxn modelId="{E7146B31-4090-486C-9595-050A556D4691}" type="presParOf" srcId="{676F41CF-63FF-43D1-9DCE-3B36A1FF533C}" destId="{65B469A7-9474-46A1-9347-523BB19D098F}" srcOrd="0" destOrd="0" presId="urn:microsoft.com/office/officeart/2008/layout/HorizontalMultiLevelHierarchy"/>
    <dgm:cxn modelId="{473475DF-0441-4362-A2FB-4C8EC4915522}" type="presParOf" srcId="{65B469A7-9474-46A1-9347-523BB19D098F}" destId="{9B3CFE7D-D83B-4A45-BF29-9D9202182C9A}" srcOrd="0" destOrd="0" presId="urn:microsoft.com/office/officeart/2008/layout/HorizontalMultiLevelHierarchy"/>
    <dgm:cxn modelId="{01E80AA6-E0DE-488E-9AF8-AAC7A2973A07}" type="presParOf" srcId="{676F41CF-63FF-43D1-9DCE-3B36A1FF533C}" destId="{2CAF4596-EEBE-42B7-8A22-47C57F651AA1}" srcOrd="1" destOrd="0" presId="urn:microsoft.com/office/officeart/2008/layout/HorizontalMultiLevelHierarchy"/>
    <dgm:cxn modelId="{73E98B7D-8C70-4496-B196-5B84ADB6C21B}" type="presParOf" srcId="{2CAF4596-EEBE-42B7-8A22-47C57F651AA1}" destId="{3BC337E2-7995-49C1-9247-525951396E56}" srcOrd="0" destOrd="0" presId="urn:microsoft.com/office/officeart/2008/layout/HorizontalMultiLevelHierarchy"/>
    <dgm:cxn modelId="{E5BD8B59-AFA8-4088-84D5-82A47758FB7B}" type="presParOf" srcId="{2CAF4596-EEBE-42B7-8A22-47C57F651AA1}" destId="{D245B4C7-B48B-464A-9DFE-E90A9DD2BA6B}" srcOrd="1" destOrd="0" presId="urn:microsoft.com/office/officeart/2008/layout/HorizontalMultiLevelHierarchy"/>
    <dgm:cxn modelId="{A49A4091-A02F-448B-8AEA-460C9559F1BC}" type="presParOf" srcId="{108D1698-4AEB-4C3C-81EB-350FD8156811}" destId="{2BD2EC1B-E423-41F9-B195-8E98B0099B3B}" srcOrd="2" destOrd="0" presId="urn:microsoft.com/office/officeart/2008/layout/HorizontalMultiLevelHierarchy"/>
    <dgm:cxn modelId="{91E12425-0376-4C37-8111-67BE39E0DB99}" type="presParOf" srcId="{2BD2EC1B-E423-41F9-B195-8E98B0099B3B}" destId="{56E9E413-D33C-4AD0-9736-6547D738EBB2}" srcOrd="0" destOrd="0" presId="urn:microsoft.com/office/officeart/2008/layout/HorizontalMultiLevelHierarchy"/>
    <dgm:cxn modelId="{0CE11B77-E79F-414F-AE6D-F393DCCA79E9}" type="presParOf" srcId="{108D1698-4AEB-4C3C-81EB-350FD8156811}" destId="{0A7E5FB4-3B85-4EFB-8E0D-6B8251FFD429}" srcOrd="3" destOrd="0" presId="urn:microsoft.com/office/officeart/2008/layout/HorizontalMultiLevelHierarchy"/>
    <dgm:cxn modelId="{0C9262F1-56EE-483B-8A26-D2AA8A34B5EB}" type="presParOf" srcId="{0A7E5FB4-3B85-4EFB-8E0D-6B8251FFD429}" destId="{F4205F1C-37D5-4E8E-8741-AE8C3FCBD5FC}" srcOrd="0" destOrd="0" presId="urn:microsoft.com/office/officeart/2008/layout/HorizontalMultiLevelHierarchy"/>
    <dgm:cxn modelId="{22720647-9CFC-4FCA-A33F-5316D8159A63}" type="presParOf" srcId="{0A7E5FB4-3B85-4EFB-8E0D-6B8251FFD429}" destId="{F4129F88-F7D4-43CD-80A5-23AEC8C88A4A}" srcOrd="1" destOrd="0" presId="urn:microsoft.com/office/officeart/2008/layout/HorizontalMultiLevelHierarchy"/>
    <dgm:cxn modelId="{2F80BE03-9125-4FD1-B28E-3741538AEC38}" type="presParOf" srcId="{F4129F88-F7D4-43CD-80A5-23AEC8C88A4A}" destId="{11DE5F4F-8A88-4D93-B33D-39AE324571BB}" srcOrd="0" destOrd="0" presId="urn:microsoft.com/office/officeart/2008/layout/HorizontalMultiLevelHierarchy"/>
    <dgm:cxn modelId="{F41CA1E3-9E22-43D7-9C1F-186853FDC2B9}" type="presParOf" srcId="{11DE5F4F-8A88-4D93-B33D-39AE324571BB}" destId="{2E7C7ECB-9742-4ACC-8D1E-F65849EAD9E1}" srcOrd="0" destOrd="0" presId="urn:microsoft.com/office/officeart/2008/layout/HorizontalMultiLevelHierarchy"/>
    <dgm:cxn modelId="{100EC786-AE51-4ABC-B33D-7104F9E0CF47}" type="presParOf" srcId="{F4129F88-F7D4-43CD-80A5-23AEC8C88A4A}" destId="{7B588D59-946F-4BE8-8FB0-FAA2318B54CF}" srcOrd="1" destOrd="0" presId="urn:microsoft.com/office/officeart/2008/layout/HorizontalMultiLevelHierarchy"/>
    <dgm:cxn modelId="{11BEE464-CE0C-474C-AFDA-5073C78F5612}" type="presParOf" srcId="{7B588D59-946F-4BE8-8FB0-FAA2318B54CF}" destId="{136EFCDF-60F6-4AAE-91DE-A801CF6776AE}" srcOrd="0" destOrd="0" presId="urn:microsoft.com/office/officeart/2008/layout/HorizontalMultiLevelHierarchy"/>
    <dgm:cxn modelId="{AF24EA8B-F64D-4035-98C7-6ABC2FA51BB8}" type="presParOf" srcId="{7B588D59-946F-4BE8-8FB0-FAA2318B54CF}" destId="{2D4DC6FA-4FE8-4648-BFA3-A2D9D6A90DD8}" srcOrd="1" destOrd="0" presId="urn:microsoft.com/office/officeart/2008/layout/HorizontalMultiLevelHierarchy"/>
  </dgm:cxnLst>
  <dgm:bg/>
  <dgm:whole>
    <a:ln w="9525" cap="flat" cmpd="sng" algn="ct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shape">
          <a:fillToRect l="50000" t="50000" r="50000" b="50000"/>
        </a:path>
        <a:tileRect/>
      </a:gradFill>
      <a:prstDash val="solid"/>
      <a:round/>
      <a:headEnd type="none" w="med" len="med"/>
      <a:tailEnd type="none" w="med" len="med"/>
    </a:ln>
  </dgm:whole>
  <dgm:extLst>
    <a:ext uri="http://schemas.microsoft.com/office/drawing/2008/diagram">
      <dsp:dataModelExt xmlns:dsp="http://schemas.microsoft.com/office/drawing/2008/diagram" relId="rId1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939374-EEE9-4965-9872-33F17AE331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D961D356-C423-4930-9CD4-5641A753DEE6}">
      <dgm:prSet phldrT="[Text]" custT="1"/>
      <dgm:spPr>
        <a:xfrm>
          <a:off x="1373929" y="1518"/>
          <a:ext cx="5989031" cy="681354"/>
        </a:xfrm>
        <a:prstGeom prst="rect">
          <a:avLst/>
        </a:prstGeom>
        <a:solidFill>
          <a:sysClr val="window" lastClr="FFFFFF">
            <a:lumMod val="65000"/>
          </a:sysClr>
        </a:solidFill>
        <a:ln w="12700" cap="flat" cmpd="sng" algn="ctr">
          <a:solidFill>
            <a:sysClr val="windowText" lastClr="000000"/>
          </a:solidFill>
          <a:prstDash val="solid"/>
          <a:miter lim="800000"/>
        </a:ln>
        <a:effectLst/>
      </dgm:spPr>
      <dgm:t>
        <a:bodyPr/>
        <a:lstStyle/>
        <a:p>
          <a:pPr algn="ctr">
            <a:buNone/>
          </a:pPr>
          <a:r>
            <a:rPr lang="cs-CZ" sz="1400" b="1" u="none">
              <a:solidFill>
                <a:sysClr val="windowText" lastClr="000000"/>
              </a:solidFill>
              <a:latin typeface="Calibri" panose="020F0502020204030204"/>
              <a:ea typeface="+mn-ea"/>
              <a:cs typeface="+mn-cs"/>
            </a:rPr>
            <a:t>INFRASTRUKTURA</a:t>
          </a:r>
        </a:p>
      </dgm:t>
    </dgm:pt>
    <dgm:pt modelId="{DBB362DF-C898-48A7-B307-A03E8070FDA0}" type="parTrans" cxnId="{31E0B0EE-D7F8-4D44-9150-3E1051E73523}">
      <dgm:prSet/>
      <dgm:spPr/>
      <dgm:t>
        <a:bodyPr/>
        <a:lstStyle/>
        <a:p>
          <a:pPr algn="ctr"/>
          <a:endParaRPr lang="cs-CZ" sz="900" u="none">
            <a:solidFill>
              <a:sysClr val="windowText" lastClr="000000"/>
            </a:solidFill>
          </a:endParaRPr>
        </a:p>
      </dgm:t>
    </dgm:pt>
    <dgm:pt modelId="{9A6C63E8-7BB7-4F8D-8A9B-21B04795D8EA}" type="sibTrans" cxnId="{31E0B0EE-D7F8-4D44-9150-3E1051E73523}">
      <dgm:prSet/>
      <dgm:spPr/>
      <dgm:t>
        <a:bodyPr/>
        <a:lstStyle/>
        <a:p>
          <a:pPr algn="ctr"/>
          <a:endParaRPr lang="cs-CZ" sz="900" u="none">
            <a:solidFill>
              <a:sysClr val="windowText" lastClr="000000"/>
            </a:solidFill>
          </a:endParaRPr>
        </a:p>
      </dgm:t>
    </dgm:pt>
    <dgm:pt modelId="{3F267390-0E50-4CCC-B005-BC11673CF2A3}">
      <dgm:prSet custT="1"/>
      <dgm:spPr>
        <a:xfrm>
          <a:off x="2973346" y="852425"/>
          <a:ext cx="2780697" cy="606257"/>
        </a:xfrm>
        <a:prstGeom prst="rect">
          <a:avLst/>
        </a:prstGeom>
        <a:solidFill>
          <a:sysClr val="window" lastClr="FFFFFF">
            <a:lumMod val="75000"/>
          </a:sysClr>
        </a:solidFill>
        <a:ln w="12700" cap="flat" cmpd="sng" algn="ctr">
          <a:solidFill>
            <a:sysClr val="windowText" lastClr="000000"/>
          </a:solidFill>
          <a:prstDash val="solid"/>
          <a:miter lim="800000"/>
        </a:ln>
        <a:effectLst/>
      </dgm:spPr>
      <dgm:t>
        <a:bodyPr/>
        <a:lstStyle/>
        <a:p>
          <a:pPr algn="ctr">
            <a:buNone/>
          </a:pPr>
          <a:r>
            <a:rPr lang="cs-CZ" sz="900" b="1" u="none" baseline="0">
              <a:solidFill>
                <a:sysClr val="windowText" lastClr="000000"/>
              </a:solidFill>
              <a:latin typeface="Calibri" panose="020F0502020204030204"/>
              <a:ea typeface="+mn-ea"/>
              <a:cs typeface="+mn-cs"/>
            </a:rPr>
            <a:t>Strategický cíl 1.2</a:t>
          </a:r>
        </a:p>
        <a:p>
          <a:pPr algn="ctr">
            <a:buNone/>
          </a:pPr>
          <a:r>
            <a:rPr lang="cs-CZ" sz="900" b="1" u="none">
              <a:solidFill>
                <a:sysClr val="windowText" lastClr="000000"/>
              </a:solidFill>
              <a:latin typeface="Calibri" panose="020F0502020204030204"/>
              <a:ea typeface="+mn-ea"/>
              <a:cs typeface="+mn-cs"/>
            </a:rPr>
            <a:t>Podporovat rozvoj technické a bezpečnostní infrastruktury</a:t>
          </a:r>
          <a:endParaRPr lang="cs-CZ" sz="900" u="none" baseline="0">
            <a:solidFill>
              <a:sysClr val="windowText" lastClr="000000"/>
            </a:solidFill>
            <a:latin typeface="Calibri" panose="020F0502020204030204"/>
            <a:ea typeface="+mn-ea"/>
            <a:cs typeface="+mn-cs"/>
          </a:endParaRPr>
        </a:p>
      </dgm:t>
    </dgm:pt>
    <dgm:pt modelId="{C87D0185-A927-4A83-A9D0-EE494B38E8D3}" type="parTrans" cxnId="{BF446902-A788-4248-AFA7-5F00A5A149D3}">
      <dgm:prSet>
        <dgm:style>
          <a:lnRef idx="1">
            <a:schemeClr val="accent6"/>
          </a:lnRef>
          <a:fillRef idx="0">
            <a:schemeClr val="accent6"/>
          </a:fillRef>
          <a:effectRef idx="0">
            <a:schemeClr val="accent6"/>
          </a:effectRef>
          <a:fontRef idx="minor">
            <a:schemeClr val="tx1"/>
          </a:fontRef>
        </dgm:style>
      </dgm:prSet>
      <dgm:spPr>
        <a:xfrm>
          <a:off x="4317974" y="682872"/>
          <a:ext cx="91440" cy="169553"/>
        </a:xfrm>
        <a:custGeom>
          <a:avLst/>
          <a:gdLst/>
          <a:ahLst/>
          <a:cxnLst/>
          <a:rect l="0" t="0" r="0" b="0"/>
          <a:pathLst>
            <a:path>
              <a:moveTo>
                <a:pt x="50470" y="0"/>
              </a:moveTo>
              <a:lnTo>
                <a:pt x="50470" y="129025"/>
              </a:lnTo>
              <a:lnTo>
                <a:pt x="45720" y="129025"/>
              </a:lnTo>
              <a:lnTo>
                <a:pt x="45720" y="169553"/>
              </a:lnTo>
            </a:path>
          </a:pathLst>
        </a:custGeom>
        <a:noFill/>
        <a:ln w="28575"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89CED27D-AA41-49C3-9031-B02447B40CB9}" type="sibTrans" cxnId="{BF446902-A788-4248-AFA7-5F00A5A149D3}">
      <dgm:prSet/>
      <dgm:spPr/>
      <dgm:t>
        <a:bodyPr/>
        <a:lstStyle/>
        <a:p>
          <a:pPr algn="ctr"/>
          <a:endParaRPr lang="cs-CZ" sz="900" u="none">
            <a:solidFill>
              <a:sysClr val="windowText" lastClr="000000"/>
            </a:solidFill>
          </a:endParaRPr>
        </a:p>
      </dgm:t>
    </dgm:pt>
    <dgm:pt modelId="{A24439C4-6CC3-4F0B-AB37-B5F48C404637}">
      <dgm:prSet custT="1"/>
      <dgm:spPr>
        <a:xfrm>
          <a:off x="2992530" y="1611160"/>
          <a:ext cx="1334135" cy="715160"/>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lgn="ctr">
            <a:buNone/>
          </a:pPr>
          <a:r>
            <a:rPr lang="cs-CZ" sz="900" b="1" u="none">
              <a:solidFill>
                <a:sysClr val="windowText" lastClr="000000"/>
              </a:solidFill>
              <a:latin typeface="Calibri" panose="020F0502020204030204"/>
              <a:ea typeface="+mn-ea"/>
              <a:cs typeface="+mn-cs"/>
            </a:rPr>
            <a:t>Posílit bezpečnost </a:t>
          </a:r>
          <a:br>
            <a:rPr lang="cs-CZ" sz="900" b="1" u="none">
              <a:solidFill>
                <a:sysClr val="windowText" lastClr="000000"/>
              </a:solidFill>
              <a:latin typeface="Calibri" panose="020F0502020204030204"/>
              <a:ea typeface="+mn-ea"/>
              <a:cs typeface="+mn-cs"/>
            </a:rPr>
          </a:br>
          <a:r>
            <a:rPr lang="cs-CZ" sz="900" b="1" u="none">
              <a:solidFill>
                <a:sysClr val="windowText" lastClr="000000"/>
              </a:solidFill>
              <a:latin typeface="Calibri" panose="020F0502020204030204"/>
              <a:ea typeface="+mn-ea"/>
              <a:cs typeface="+mn-cs"/>
            </a:rPr>
            <a:t>související s dopravou</a:t>
          </a:r>
        </a:p>
      </dgm:t>
    </dgm:pt>
    <dgm:pt modelId="{38F80706-2567-419D-9FB1-EDDA9BE3B306}" type="parTrans" cxnId="{64316D1E-6B17-488A-8E67-C32DE24B7B9A}">
      <dgm:prSet>
        <dgm:style>
          <a:lnRef idx="1">
            <a:schemeClr val="accent6"/>
          </a:lnRef>
          <a:fillRef idx="0">
            <a:schemeClr val="accent6"/>
          </a:fillRef>
          <a:effectRef idx="0">
            <a:schemeClr val="accent6"/>
          </a:effectRef>
          <a:fontRef idx="minor">
            <a:schemeClr val="tx1"/>
          </a:fontRef>
        </dgm:style>
      </dgm:prSet>
      <dgm:spPr>
        <a:xfrm>
          <a:off x="3659598" y="1458683"/>
          <a:ext cx="704096" cy="152477"/>
        </a:xfrm>
        <a:custGeom>
          <a:avLst/>
          <a:gdLst/>
          <a:ahLst/>
          <a:cxnLst/>
          <a:rect l="0" t="0" r="0" b="0"/>
          <a:pathLst>
            <a:path>
              <a:moveTo>
                <a:pt x="704096" y="0"/>
              </a:moveTo>
              <a:lnTo>
                <a:pt x="704096" y="111950"/>
              </a:lnTo>
              <a:lnTo>
                <a:pt x="0" y="111950"/>
              </a:lnTo>
              <a:lnTo>
                <a:pt x="0" y="152477"/>
              </a:lnTo>
            </a:path>
          </a:pathLst>
        </a:custGeom>
        <a:noFill/>
        <a:ln w="1905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6542A0B3-61CB-4ADB-AD7B-BEF5804B85CE}" type="sibTrans" cxnId="{64316D1E-6B17-488A-8E67-C32DE24B7B9A}">
      <dgm:prSet/>
      <dgm:spPr/>
      <dgm:t>
        <a:bodyPr/>
        <a:lstStyle/>
        <a:p>
          <a:pPr algn="ctr"/>
          <a:endParaRPr lang="cs-CZ" sz="900" u="none">
            <a:solidFill>
              <a:sysClr val="windowText" lastClr="000000"/>
            </a:solidFill>
          </a:endParaRPr>
        </a:p>
      </dgm:t>
    </dgm:pt>
    <dgm:pt modelId="{0E4D8AFF-591B-460C-A4C9-67F2C9857CC4}">
      <dgm:prSet custT="1"/>
      <dgm:spPr>
        <a:xfrm>
          <a:off x="6016869" y="854222"/>
          <a:ext cx="2829951" cy="606257"/>
        </a:xfrm>
        <a:prstGeom prst="rect">
          <a:avLst/>
        </a:prstGeom>
        <a:solidFill>
          <a:sysClr val="window" lastClr="FFFFFF">
            <a:lumMod val="75000"/>
          </a:sysClr>
        </a:solidFill>
        <a:ln w="12700" cap="flat" cmpd="sng" algn="ctr">
          <a:solidFill>
            <a:sysClr val="windowText" lastClr="000000"/>
          </a:solidFill>
          <a:prstDash val="solid"/>
          <a:miter lim="800000"/>
        </a:ln>
        <a:effectLst/>
      </dgm:spPr>
      <dgm:t>
        <a:bodyPr/>
        <a:lstStyle/>
        <a:p>
          <a:pPr algn="ctr">
            <a:spcAft>
              <a:spcPct val="35000"/>
            </a:spcAft>
            <a:buNone/>
          </a:pPr>
          <a:r>
            <a:rPr lang="cs-CZ" sz="900" b="1" u="none" baseline="0">
              <a:solidFill>
                <a:sysClr val="windowText" lastClr="000000"/>
              </a:solidFill>
              <a:latin typeface="Calibri" panose="020F0502020204030204"/>
              <a:ea typeface="+mn-ea"/>
              <a:cs typeface="+mn-cs"/>
            </a:rPr>
            <a:t>Strategický cíl 1.3</a:t>
          </a:r>
        </a:p>
        <a:p>
          <a:pPr algn="ctr">
            <a:spcAft>
              <a:spcPts val="0"/>
            </a:spcAft>
            <a:buNone/>
          </a:pPr>
          <a:r>
            <a:rPr lang="cs-CZ" sz="900" b="1" u="none">
              <a:solidFill>
                <a:sysClr val="windowText" lastClr="000000"/>
              </a:solidFill>
              <a:latin typeface="Calibri" panose="020F0502020204030204"/>
              <a:ea typeface="+mn-ea"/>
              <a:cs typeface="+mn-cs"/>
            </a:rPr>
            <a:t>Zlepšit stav budov a vytipovaných ploch ve vlastnictví obce </a:t>
          </a:r>
          <a:br>
            <a:rPr lang="cs-CZ" sz="900" b="1" u="none">
              <a:solidFill>
                <a:sysClr val="windowText" lastClr="000000"/>
              </a:solidFill>
              <a:latin typeface="Calibri" panose="020F0502020204030204"/>
              <a:ea typeface="+mn-ea"/>
              <a:cs typeface="+mn-cs"/>
            </a:rPr>
          </a:br>
          <a:r>
            <a:rPr lang="cs-CZ" sz="900" b="1" u="none">
              <a:solidFill>
                <a:sysClr val="windowText" lastClr="000000"/>
              </a:solidFill>
              <a:latin typeface="Calibri" panose="020F0502020204030204"/>
              <a:ea typeface="+mn-ea"/>
              <a:cs typeface="+mn-cs"/>
            </a:rPr>
            <a:t>či majících charakter veřejné infrastruktury</a:t>
          </a:r>
          <a:endParaRPr lang="cs-CZ" sz="900" b="1" u="none" baseline="0">
            <a:solidFill>
              <a:sysClr val="windowText" lastClr="000000"/>
            </a:solidFill>
            <a:latin typeface="Calibri" panose="020F0502020204030204"/>
            <a:ea typeface="+mn-ea"/>
            <a:cs typeface="+mn-cs"/>
          </a:endParaRPr>
        </a:p>
      </dgm:t>
    </dgm:pt>
    <dgm:pt modelId="{9E4631D8-E89E-4DB4-8066-89781B490F94}" type="parTrans" cxnId="{A3FD8F07-BEEF-47C1-8923-33A582476DE5}">
      <dgm:prSet>
        <dgm:style>
          <a:lnRef idx="1">
            <a:schemeClr val="accent6"/>
          </a:lnRef>
          <a:fillRef idx="0">
            <a:schemeClr val="accent6"/>
          </a:fillRef>
          <a:effectRef idx="0">
            <a:schemeClr val="accent6"/>
          </a:effectRef>
          <a:fontRef idx="minor">
            <a:schemeClr val="tx1"/>
          </a:fontRef>
        </dgm:style>
      </dgm:prSet>
      <dgm:spPr>
        <a:xfrm>
          <a:off x="4368444" y="682872"/>
          <a:ext cx="3063399" cy="171349"/>
        </a:xfrm>
        <a:custGeom>
          <a:avLst/>
          <a:gdLst/>
          <a:ahLst/>
          <a:cxnLst/>
          <a:rect l="0" t="0" r="0" b="0"/>
          <a:pathLst>
            <a:path>
              <a:moveTo>
                <a:pt x="0" y="0"/>
              </a:moveTo>
              <a:lnTo>
                <a:pt x="0" y="130822"/>
              </a:lnTo>
              <a:lnTo>
                <a:pt x="3063399" y="130822"/>
              </a:lnTo>
              <a:lnTo>
                <a:pt x="3063399" y="171349"/>
              </a:lnTo>
            </a:path>
          </a:pathLst>
        </a:custGeom>
        <a:noFill/>
        <a:ln w="28575"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8C01E186-6DB0-42DA-B57A-39F6EFD0ADF3}" type="sibTrans" cxnId="{A3FD8F07-BEEF-47C1-8923-33A582476DE5}">
      <dgm:prSet/>
      <dgm:spPr/>
      <dgm:t>
        <a:bodyPr/>
        <a:lstStyle/>
        <a:p>
          <a:pPr algn="ctr"/>
          <a:endParaRPr lang="cs-CZ" sz="900" u="none">
            <a:solidFill>
              <a:sysClr val="windowText" lastClr="000000"/>
            </a:solidFill>
          </a:endParaRPr>
        </a:p>
      </dgm:t>
    </dgm:pt>
    <dgm:pt modelId="{867D776B-245D-467F-BD3F-2554245F80B0}">
      <dgm:prSet custT="1"/>
      <dgm:spPr>
        <a:xfrm>
          <a:off x="4409932" y="1611301"/>
          <a:ext cx="1396890" cy="715160"/>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lgn="ctr">
            <a:spcAft>
              <a:spcPts val="0"/>
            </a:spcAft>
            <a:buNone/>
          </a:pPr>
          <a:r>
            <a:rPr lang="cs-CZ" sz="900" b="1" u="none">
              <a:solidFill>
                <a:sysClr val="windowText" lastClr="000000"/>
              </a:solidFill>
              <a:latin typeface="Calibri" panose="020F0502020204030204"/>
              <a:ea typeface="+mn-ea"/>
              <a:cs typeface="+mn-cs"/>
            </a:rPr>
            <a:t>Rozšířit a posilovat sítě technické infrastruktury</a:t>
          </a:r>
        </a:p>
      </dgm:t>
    </dgm:pt>
    <dgm:pt modelId="{16985E1B-552B-41C6-B98C-79FB3D6DAF1D}" type="parTrans" cxnId="{BFA6FBEA-097F-4F69-A032-91D5CDA6D401}">
      <dgm:prSet>
        <dgm:style>
          <a:lnRef idx="1">
            <a:schemeClr val="accent6"/>
          </a:lnRef>
          <a:fillRef idx="0">
            <a:schemeClr val="accent6"/>
          </a:fillRef>
          <a:effectRef idx="0">
            <a:schemeClr val="accent6"/>
          </a:effectRef>
          <a:fontRef idx="minor">
            <a:schemeClr val="tx1"/>
          </a:fontRef>
        </dgm:style>
      </dgm:prSet>
      <dgm:spPr>
        <a:xfrm>
          <a:off x="4363694" y="1458683"/>
          <a:ext cx="744683" cy="152618"/>
        </a:xfrm>
        <a:custGeom>
          <a:avLst/>
          <a:gdLst/>
          <a:ahLst/>
          <a:cxnLst/>
          <a:rect l="0" t="0" r="0" b="0"/>
          <a:pathLst>
            <a:path>
              <a:moveTo>
                <a:pt x="0" y="0"/>
              </a:moveTo>
              <a:lnTo>
                <a:pt x="0" y="112091"/>
              </a:lnTo>
              <a:lnTo>
                <a:pt x="744683" y="112091"/>
              </a:lnTo>
              <a:lnTo>
                <a:pt x="744683" y="152618"/>
              </a:lnTo>
            </a:path>
          </a:pathLst>
        </a:custGeom>
        <a:noFill/>
        <a:ln w="1905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B879EDBD-BCCE-43FC-B2B4-7057DB0EA39D}" type="sibTrans" cxnId="{BFA6FBEA-097F-4F69-A032-91D5CDA6D401}">
      <dgm:prSet/>
      <dgm:spPr/>
      <dgm:t>
        <a:bodyPr/>
        <a:lstStyle/>
        <a:p>
          <a:pPr algn="ctr"/>
          <a:endParaRPr lang="cs-CZ" sz="900" u="none">
            <a:solidFill>
              <a:sysClr val="windowText" lastClr="000000"/>
            </a:solidFill>
          </a:endParaRPr>
        </a:p>
      </dgm:t>
    </dgm:pt>
    <dgm:pt modelId="{60C487F2-55E9-4051-B835-0507B34F4BF2}">
      <dgm:prSet custT="1"/>
      <dgm:spPr>
        <a:xfrm>
          <a:off x="6157385" y="1629295"/>
          <a:ext cx="1181945" cy="715160"/>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lgn="ctr">
            <a:spcAft>
              <a:spcPts val="0"/>
            </a:spcAft>
            <a:buNone/>
          </a:pPr>
          <a:r>
            <a:rPr lang="cs-CZ" sz="900" b="1" u="none">
              <a:solidFill>
                <a:sysClr val="windowText" lastClr="000000"/>
              </a:solidFill>
              <a:latin typeface="Calibri" panose="020F0502020204030204"/>
              <a:ea typeface="+mn-ea"/>
              <a:cs typeface="+mn-cs"/>
            </a:rPr>
            <a:t>Zkvalitnit stav budov </a:t>
          </a:r>
          <a:br>
            <a:rPr lang="cs-CZ" sz="900" b="1" u="none">
              <a:solidFill>
                <a:sysClr val="windowText" lastClr="000000"/>
              </a:solidFill>
              <a:latin typeface="Calibri" panose="020F0502020204030204"/>
              <a:ea typeface="+mn-ea"/>
              <a:cs typeface="+mn-cs"/>
            </a:rPr>
          </a:br>
          <a:r>
            <a:rPr lang="cs-CZ" sz="900" b="1" u="none">
              <a:solidFill>
                <a:sysClr val="windowText" lastClr="000000"/>
              </a:solidFill>
              <a:latin typeface="Calibri" panose="020F0502020204030204"/>
              <a:ea typeface="+mn-ea"/>
              <a:cs typeface="+mn-cs"/>
            </a:rPr>
            <a:t>ve vlastnictví obce</a:t>
          </a:r>
        </a:p>
      </dgm:t>
    </dgm:pt>
    <dgm:pt modelId="{C7369B69-F6D1-4824-ACA2-6A155304198B}" type="parTrans" cxnId="{7D569DE1-C48F-4B28-97BE-F8601175CA8B}">
      <dgm:prSet>
        <dgm:style>
          <a:lnRef idx="1">
            <a:schemeClr val="accent6"/>
          </a:lnRef>
          <a:fillRef idx="0">
            <a:schemeClr val="accent6"/>
          </a:fillRef>
          <a:effectRef idx="0">
            <a:schemeClr val="accent6"/>
          </a:effectRef>
          <a:fontRef idx="minor">
            <a:schemeClr val="tx1"/>
          </a:fontRef>
        </dgm:style>
      </dgm:prSet>
      <dgm:spPr>
        <a:xfrm>
          <a:off x="6748357" y="1460479"/>
          <a:ext cx="683486" cy="168815"/>
        </a:xfrm>
        <a:custGeom>
          <a:avLst/>
          <a:gdLst/>
          <a:ahLst/>
          <a:cxnLst/>
          <a:rect l="0" t="0" r="0" b="0"/>
          <a:pathLst>
            <a:path>
              <a:moveTo>
                <a:pt x="683486" y="0"/>
              </a:moveTo>
              <a:lnTo>
                <a:pt x="683486" y="128288"/>
              </a:lnTo>
              <a:lnTo>
                <a:pt x="0" y="128288"/>
              </a:lnTo>
              <a:lnTo>
                <a:pt x="0" y="168815"/>
              </a:lnTo>
            </a:path>
          </a:pathLst>
        </a:custGeom>
        <a:noFill/>
        <a:ln w="1905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25667E21-E78C-427C-98F4-2950EC6F251B}" type="sibTrans" cxnId="{7D569DE1-C48F-4B28-97BE-F8601175CA8B}">
      <dgm:prSet/>
      <dgm:spPr/>
      <dgm:t>
        <a:bodyPr/>
        <a:lstStyle/>
        <a:p>
          <a:pPr algn="ctr"/>
          <a:endParaRPr lang="cs-CZ" sz="900" u="none">
            <a:solidFill>
              <a:sysClr val="windowText" lastClr="000000"/>
            </a:solidFill>
          </a:endParaRPr>
        </a:p>
      </dgm:t>
    </dgm:pt>
    <dgm:pt modelId="{3F8741FC-51E3-4D2D-A1AA-77211F7A629A}">
      <dgm:prSet custT="1"/>
      <dgm:spPr>
        <a:xfrm>
          <a:off x="3204413" y="2390444"/>
          <a:ext cx="1120733" cy="573725"/>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spcAft>
              <a:spcPts val="0"/>
            </a:spcAft>
            <a:buNone/>
          </a:pPr>
          <a:r>
            <a:rPr lang="cs-CZ" sz="900" u="none">
              <a:solidFill>
                <a:sysClr val="windowText" lastClr="000000"/>
              </a:solidFill>
              <a:latin typeface="Calibri" panose="020F0502020204030204"/>
              <a:ea typeface="+mn-ea"/>
              <a:cs typeface="+mn-cs"/>
            </a:rPr>
            <a:t>Usilovat o zvýšení množství bezpečnostních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prvků v obci</a:t>
          </a:r>
          <a:endParaRPr lang="cs-CZ" sz="900" u="none" baseline="0">
            <a:solidFill>
              <a:sysClr val="windowText" lastClr="000000"/>
            </a:solidFill>
            <a:latin typeface="Calibri" panose="020F0502020204030204"/>
            <a:ea typeface="+mn-ea"/>
            <a:cs typeface="+mn-cs"/>
          </a:endParaRPr>
        </a:p>
      </dgm:t>
    </dgm:pt>
    <dgm:pt modelId="{08944449-A2FB-48A9-8E2C-8F48303B840F}" type="parTrans" cxnId="{35C4601B-5FF2-43B9-8EE6-382520504A3B}">
      <dgm:prSet>
        <dgm:style>
          <a:lnRef idx="1">
            <a:schemeClr val="accent6"/>
          </a:lnRef>
          <a:fillRef idx="0">
            <a:schemeClr val="accent6"/>
          </a:fillRef>
          <a:effectRef idx="0">
            <a:schemeClr val="accent6"/>
          </a:effectRef>
          <a:fontRef idx="minor">
            <a:schemeClr val="tx1"/>
          </a:fontRef>
        </dgm:style>
      </dgm:prSet>
      <dgm:spPr>
        <a:xfrm>
          <a:off x="3080224" y="2326320"/>
          <a:ext cx="91440" cy="350986"/>
        </a:xfrm>
        <a:custGeom>
          <a:avLst/>
          <a:gdLst/>
          <a:ahLst/>
          <a:cxnLst/>
          <a:rect l="0" t="0" r="0" b="0"/>
          <a:pathLst>
            <a:path>
              <a:moveTo>
                <a:pt x="45720" y="0"/>
              </a:moveTo>
              <a:lnTo>
                <a:pt x="45720" y="350986"/>
              </a:lnTo>
              <a:lnTo>
                <a:pt x="124188" y="350986"/>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27E1A2B5-4C63-44F7-B837-2FBCA93C4E71}" type="sibTrans" cxnId="{35C4601B-5FF2-43B9-8EE6-382520504A3B}">
      <dgm:prSet/>
      <dgm:spPr/>
      <dgm:t>
        <a:bodyPr/>
        <a:lstStyle/>
        <a:p>
          <a:pPr algn="ctr"/>
          <a:endParaRPr lang="cs-CZ" sz="900" u="none">
            <a:solidFill>
              <a:sysClr val="windowText" lastClr="000000"/>
            </a:solidFill>
          </a:endParaRPr>
        </a:p>
      </dgm:t>
    </dgm:pt>
    <dgm:pt modelId="{5B723C34-F36C-4732-92C1-91E6EAE3A72F}">
      <dgm:prSet custT="1"/>
      <dgm:spPr>
        <a:xfrm>
          <a:off x="4643181" y="2408954"/>
          <a:ext cx="1163638" cy="438685"/>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Řešit tématiku vodovodu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a vodovodní sítě</a:t>
          </a:r>
        </a:p>
      </dgm:t>
    </dgm:pt>
    <dgm:pt modelId="{1687D952-81D6-4A0A-A5F4-229A6C5523F0}" type="parTrans" cxnId="{B4355960-2FF1-473B-BEFC-443072D76791}">
      <dgm:prSet>
        <dgm:style>
          <a:lnRef idx="1">
            <a:schemeClr val="accent6"/>
          </a:lnRef>
          <a:fillRef idx="0">
            <a:schemeClr val="accent6"/>
          </a:fillRef>
          <a:effectRef idx="0">
            <a:schemeClr val="accent6"/>
          </a:effectRef>
          <a:fontRef idx="minor">
            <a:schemeClr val="tx1"/>
          </a:fontRef>
        </dgm:style>
      </dgm:prSet>
      <dgm:spPr>
        <a:xfrm>
          <a:off x="4549621" y="2326461"/>
          <a:ext cx="93559" cy="301835"/>
        </a:xfrm>
        <a:custGeom>
          <a:avLst/>
          <a:gdLst/>
          <a:ahLst/>
          <a:cxnLst/>
          <a:rect l="0" t="0" r="0" b="0"/>
          <a:pathLst>
            <a:path>
              <a:moveTo>
                <a:pt x="0" y="0"/>
              </a:moveTo>
              <a:lnTo>
                <a:pt x="0" y="301835"/>
              </a:lnTo>
              <a:lnTo>
                <a:pt x="93559" y="301835"/>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5C1DAF2D-98AC-496B-85D7-AAD460C1A3D6}" type="sibTrans" cxnId="{B4355960-2FF1-473B-BEFC-443072D76791}">
      <dgm:prSet/>
      <dgm:spPr/>
      <dgm:t>
        <a:bodyPr/>
        <a:lstStyle/>
        <a:p>
          <a:pPr algn="ctr"/>
          <a:endParaRPr lang="cs-CZ" sz="900" u="none">
            <a:solidFill>
              <a:sysClr val="windowText" lastClr="000000"/>
            </a:solidFill>
          </a:endParaRPr>
        </a:p>
      </dgm:t>
    </dgm:pt>
    <dgm:pt modelId="{05354665-5CC3-42E3-84BB-CCE5C773D2E5}">
      <dgm:prSet custT="1"/>
      <dgm:spPr>
        <a:xfrm>
          <a:off x="3209596" y="3036839"/>
          <a:ext cx="1120733" cy="497292"/>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spcAft>
              <a:spcPts val="0"/>
            </a:spcAft>
            <a:buNone/>
          </a:pPr>
          <a:r>
            <a:rPr lang="cs-CZ" sz="900" u="none">
              <a:solidFill>
                <a:sysClr val="windowText" lastClr="000000"/>
              </a:solidFill>
              <a:latin typeface="Calibri" panose="020F0502020204030204"/>
              <a:ea typeface="+mn-ea"/>
              <a:cs typeface="+mn-cs"/>
            </a:rPr>
            <a:t>Vybudovat chodník v žádoucích místech v centru obce</a:t>
          </a:r>
        </a:p>
      </dgm:t>
    </dgm:pt>
    <dgm:pt modelId="{1D1B4510-CC78-4E88-B3F5-4C9F656F5F83}" type="parTrans" cxnId="{A9BE14CC-454E-4F18-90F4-853029FEBCD1}">
      <dgm:prSet>
        <dgm:style>
          <a:lnRef idx="1">
            <a:schemeClr val="accent6"/>
          </a:lnRef>
          <a:fillRef idx="0">
            <a:schemeClr val="accent6"/>
          </a:fillRef>
          <a:effectRef idx="0">
            <a:schemeClr val="accent6"/>
          </a:effectRef>
          <a:fontRef idx="minor">
            <a:schemeClr val="tx1"/>
          </a:fontRef>
        </dgm:style>
      </dgm:prSet>
      <dgm:spPr>
        <a:xfrm>
          <a:off x="3080224" y="2326320"/>
          <a:ext cx="91440" cy="959164"/>
        </a:xfrm>
        <a:custGeom>
          <a:avLst/>
          <a:gdLst/>
          <a:ahLst/>
          <a:cxnLst/>
          <a:rect l="0" t="0" r="0" b="0"/>
          <a:pathLst>
            <a:path>
              <a:moveTo>
                <a:pt x="45720" y="0"/>
              </a:moveTo>
              <a:lnTo>
                <a:pt x="45720" y="959164"/>
              </a:lnTo>
              <a:lnTo>
                <a:pt x="129372" y="959164"/>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1D98A327-A3A2-4012-97E3-DB9D4D66FFF4}" type="sibTrans" cxnId="{A9BE14CC-454E-4F18-90F4-853029FEBCD1}">
      <dgm:prSet/>
      <dgm:spPr/>
      <dgm:t>
        <a:bodyPr/>
        <a:lstStyle/>
        <a:p>
          <a:pPr algn="ctr"/>
          <a:endParaRPr lang="cs-CZ" sz="900" u="none">
            <a:solidFill>
              <a:sysClr val="windowText" lastClr="000000"/>
            </a:solidFill>
          </a:endParaRPr>
        </a:p>
      </dgm:t>
    </dgm:pt>
    <dgm:pt modelId="{9A9C6070-9D06-4645-844F-813850F3679E}">
      <dgm:prSet custT="1"/>
      <dgm:spPr>
        <a:xfrm>
          <a:off x="6363796" y="2420002"/>
          <a:ext cx="997336" cy="495229"/>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Zajistit komplexní rekonstrukci budovy s č. p. 50</a:t>
          </a:r>
        </a:p>
      </dgm:t>
    </dgm:pt>
    <dgm:pt modelId="{201A60C5-138F-48B4-B6ED-01B7380B861F}" type="parTrans" cxnId="{857B4076-BD6D-4543-B3ED-3D32F0FF12C4}">
      <dgm:prSet>
        <dgm:style>
          <a:lnRef idx="1">
            <a:schemeClr val="accent6"/>
          </a:lnRef>
          <a:fillRef idx="0">
            <a:schemeClr val="accent6"/>
          </a:fillRef>
          <a:effectRef idx="0">
            <a:schemeClr val="accent6"/>
          </a:effectRef>
          <a:fontRef idx="minor">
            <a:schemeClr val="tx1"/>
          </a:fontRef>
        </dgm:style>
      </dgm:prSet>
      <dgm:spPr>
        <a:xfrm>
          <a:off x="6229859" y="2344455"/>
          <a:ext cx="91440" cy="323161"/>
        </a:xfrm>
        <a:custGeom>
          <a:avLst/>
          <a:gdLst/>
          <a:ahLst/>
          <a:cxnLst/>
          <a:rect l="0" t="0" r="0" b="0"/>
          <a:pathLst>
            <a:path>
              <a:moveTo>
                <a:pt x="45720" y="0"/>
              </a:moveTo>
              <a:lnTo>
                <a:pt x="45720" y="323161"/>
              </a:lnTo>
              <a:lnTo>
                <a:pt x="133936" y="323161"/>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C72B786A-B412-4341-9F41-BA328FBEDF45}" type="sibTrans" cxnId="{857B4076-BD6D-4543-B3ED-3D32F0FF12C4}">
      <dgm:prSet/>
      <dgm:spPr/>
      <dgm:t>
        <a:bodyPr/>
        <a:lstStyle/>
        <a:p>
          <a:pPr algn="ctr"/>
          <a:endParaRPr lang="cs-CZ" sz="900" u="none">
            <a:solidFill>
              <a:sysClr val="windowText" lastClr="000000"/>
            </a:solidFill>
          </a:endParaRPr>
        </a:p>
      </dgm:t>
    </dgm:pt>
    <dgm:pt modelId="{41B0165B-41A6-4671-882F-3EEB4528E43B}">
      <dgm:prSet custT="1"/>
      <dgm:spPr>
        <a:xfrm>
          <a:off x="4644200" y="2927303"/>
          <a:ext cx="1164761" cy="514788"/>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spcAft>
              <a:spcPts val="0"/>
            </a:spcAft>
            <a:buNone/>
          </a:pPr>
          <a:r>
            <a:rPr lang="cs-CZ" sz="900" u="none">
              <a:solidFill>
                <a:sysClr val="windowText" lastClr="000000"/>
              </a:solidFill>
              <a:latin typeface="Calibri" panose="020F0502020204030204"/>
              <a:ea typeface="+mn-ea"/>
              <a:cs typeface="+mn-cs"/>
            </a:rPr>
            <a:t>Řešit problematiku kanalizace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a kanalizační sítě</a:t>
          </a:r>
        </a:p>
      </dgm:t>
    </dgm:pt>
    <dgm:pt modelId="{D921CA20-754A-48DB-BCF2-999640E4A922}" type="parTrans" cxnId="{FDF5816F-97D4-46D8-A5D0-2F255454B231}">
      <dgm:prSet>
        <dgm:style>
          <a:lnRef idx="1">
            <a:schemeClr val="accent6"/>
          </a:lnRef>
          <a:fillRef idx="0">
            <a:schemeClr val="accent6"/>
          </a:fillRef>
          <a:effectRef idx="0">
            <a:schemeClr val="accent6"/>
          </a:effectRef>
          <a:fontRef idx="minor">
            <a:schemeClr val="tx1"/>
          </a:fontRef>
        </dgm:style>
      </dgm:prSet>
      <dgm:spPr>
        <a:xfrm>
          <a:off x="4549621" y="2326461"/>
          <a:ext cx="94578" cy="858236"/>
        </a:xfrm>
        <a:custGeom>
          <a:avLst/>
          <a:gdLst/>
          <a:ahLst/>
          <a:cxnLst/>
          <a:rect l="0" t="0" r="0" b="0"/>
          <a:pathLst>
            <a:path>
              <a:moveTo>
                <a:pt x="0" y="0"/>
              </a:moveTo>
              <a:lnTo>
                <a:pt x="0" y="858236"/>
              </a:lnTo>
              <a:lnTo>
                <a:pt x="94578" y="858236"/>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6793B451-425F-4EE7-82B2-CCD82A23244F}" type="sibTrans" cxnId="{FDF5816F-97D4-46D8-A5D0-2F255454B231}">
      <dgm:prSet/>
      <dgm:spPr/>
      <dgm:t>
        <a:bodyPr/>
        <a:lstStyle/>
        <a:p>
          <a:pPr algn="ctr"/>
          <a:endParaRPr lang="cs-CZ" sz="900" u="none">
            <a:solidFill>
              <a:sysClr val="windowText" lastClr="000000"/>
            </a:solidFill>
          </a:endParaRPr>
        </a:p>
      </dgm:t>
    </dgm:pt>
    <dgm:pt modelId="{A81493B1-BE53-415D-A24D-05EA356E222B}">
      <dgm:prSet custT="1"/>
      <dgm:spPr>
        <a:xfrm>
          <a:off x="6362537" y="2988613"/>
          <a:ext cx="997336" cy="488320"/>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spcAft>
              <a:spcPts val="0"/>
            </a:spcAft>
            <a:buNone/>
          </a:pPr>
          <a:r>
            <a:rPr lang="cs-CZ" sz="900" u="none">
              <a:solidFill>
                <a:sysClr val="windowText" lastClr="000000"/>
              </a:solidFill>
              <a:latin typeface="Calibri" panose="020F0502020204030204"/>
              <a:ea typeface="+mn-ea"/>
              <a:cs typeface="+mn-cs"/>
            </a:rPr>
            <a:t>Rekonstruovat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domek hrobníka</a:t>
          </a:r>
        </a:p>
      </dgm:t>
    </dgm:pt>
    <dgm:pt modelId="{B3075BB4-777D-40C5-97DF-46CB7917B14E}" type="parTrans" cxnId="{727E73DF-2F32-400D-B552-70083D50D421}">
      <dgm:prSet>
        <dgm:style>
          <a:lnRef idx="1">
            <a:schemeClr val="accent6"/>
          </a:lnRef>
          <a:fillRef idx="0">
            <a:schemeClr val="accent6"/>
          </a:fillRef>
          <a:effectRef idx="0">
            <a:schemeClr val="accent6"/>
          </a:effectRef>
          <a:fontRef idx="minor">
            <a:schemeClr val="tx1"/>
          </a:fontRef>
        </dgm:style>
      </dgm:prSet>
      <dgm:spPr>
        <a:xfrm>
          <a:off x="6229859" y="2344455"/>
          <a:ext cx="91440" cy="888318"/>
        </a:xfrm>
        <a:custGeom>
          <a:avLst/>
          <a:gdLst/>
          <a:ahLst/>
          <a:cxnLst/>
          <a:rect l="0" t="0" r="0" b="0"/>
          <a:pathLst>
            <a:path>
              <a:moveTo>
                <a:pt x="45720" y="0"/>
              </a:moveTo>
              <a:lnTo>
                <a:pt x="45720" y="888318"/>
              </a:lnTo>
              <a:lnTo>
                <a:pt x="132678" y="888318"/>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39DFE241-DF40-4142-AA86-0C3BA0A332BD}" type="sibTrans" cxnId="{727E73DF-2F32-400D-B552-70083D50D421}">
      <dgm:prSet/>
      <dgm:spPr/>
      <dgm:t>
        <a:bodyPr/>
        <a:lstStyle/>
        <a:p>
          <a:pPr algn="ctr"/>
          <a:endParaRPr lang="cs-CZ" sz="900" u="none">
            <a:solidFill>
              <a:sysClr val="windowText" lastClr="000000"/>
            </a:solidFill>
          </a:endParaRPr>
        </a:p>
      </dgm:t>
    </dgm:pt>
    <dgm:pt modelId="{32E729DA-CEC1-4BB0-849D-135300C81244}">
      <dgm:prSet custT="1"/>
      <dgm:spPr>
        <a:xfrm>
          <a:off x="7536586" y="1630943"/>
          <a:ext cx="1369289" cy="715160"/>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lgn="ctr">
            <a:spcAft>
              <a:spcPts val="0"/>
            </a:spcAft>
            <a:buNone/>
          </a:pPr>
          <a:r>
            <a:rPr lang="cs-CZ" sz="900" b="1" u="none">
              <a:solidFill>
                <a:sysClr val="windowText" lastClr="000000"/>
              </a:solidFill>
              <a:latin typeface="Calibri" panose="020F0502020204030204"/>
              <a:ea typeface="+mn-ea"/>
              <a:cs typeface="+mn-cs"/>
            </a:rPr>
            <a:t>Usilovat o zlepšení stavu staveb a ploch majících charakter veřejné infrastruktury</a:t>
          </a:r>
        </a:p>
      </dgm:t>
    </dgm:pt>
    <dgm:pt modelId="{91FEEABB-DBB4-4847-9263-A7C1CC5180DD}" type="parTrans" cxnId="{114FB4A8-E3A1-4C63-BCD9-750683D0E0A4}">
      <dgm:prSet>
        <dgm:style>
          <a:lnRef idx="1">
            <a:schemeClr val="accent6"/>
          </a:lnRef>
          <a:fillRef idx="0">
            <a:schemeClr val="accent6"/>
          </a:fillRef>
          <a:effectRef idx="0">
            <a:schemeClr val="accent6"/>
          </a:effectRef>
          <a:fontRef idx="minor">
            <a:schemeClr val="tx1"/>
          </a:fontRef>
        </dgm:style>
      </dgm:prSet>
      <dgm:spPr>
        <a:xfrm>
          <a:off x="7431844" y="1460479"/>
          <a:ext cx="789386" cy="170464"/>
        </a:xfrm>
        <a:custGeom>
          <a:avLst/>
          <a:gdLst/>
          <a:ahLst/>
          <a:cxnLst/>
          <a:rect l="0" t="0" r="0" b="0"/>
          <a:pathLst>
            <a:path>
              <a:moveTo>
                <a:pt x="0" y="0"/>
              </a:moveTo>
              <a:lnTo>
                <a:pt x="0" y="129936"/>
              </a:lnTo>
              <a:lnTo>
                <a:pt x="789386" y="129936"/>
              </a:lnTo>
              <a:lnTo>
                <a:pt x="789386" y="170464"/>
              </a:lnTo>
            </a:path>
          </a:pathLst>
        </a:custGeom>
        <a:noFill/>
        <a:ln w="1905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DFDE75F2-14D1-4932-90EC-DE1B47BE6212}" type="sibTrans" cxnId="{114FB4A8-E3A1-4C63-BCD9-750683D0E0A4}">
      <dgm:prSet/>
      <dgm:spPr/>
      <dgm:t>
        <a:bodyPr/>
        <a:lstStyle/>
        <a:p>
          <a:pPr algn="ctr"/>
          <a:endParaRPr lang="cs-CZ" sz="900" u="none">
            <a:solidFill>
              <a:sysClr val="windowText" lastClr="000000"/>
            </a:solidFill>
          </a:endParaRPr>
        </a:p>
      </dgm:t>
    </dgm:pt>
    <dgm:pt modelId="{6BF80D2A-3003-4519-969E-53AA167DCEE6}">
      <dgm:prSet custT="1"/>
      <dgm:spPr>
        <a:xfrm>
          <a:off x="7736318" y="2418611"/>
          <a:ext cx="1168675" cy="523996"/>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Zlepšit stav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autobusových zastávek</a:t>
          </a:r>
        </a:p>
      </dgm:t>
    </dgm:pt>
    <dgm:pt modelId="{305F5364-7F0D-4C6F-B565-5C9833C77CC5}" type="parTrans" cxnId="{550662B6-604F-41A2-AA7D-706AA36166F7}">
      <dgm:prSet>
        <dgm:style>
          <a:lnRef idx="1">
            <a:schemeClr val="accent6"/>
          </a:lnRef>
          <a:fillRef idx="0">
            <a:schemeClr val="accent6"/>
          </a:fillRef>
          <a:effectRef idx="0">
            <a:schemeClr val="accent6"/>
          </a:effectRef>
          <a:fontRef idx="minor">
            <a:schemeClr val="tx1"/>
          </a:fontRef>
        </dgm:style>
      </dgm:prSet>
      <dgm:spPr>
        <a:xfrm>
          <a:off x="7627795" y="2346103"/>
          <a:ext cx="91440" cy="334505"/>
        </a:xfrm>
        <a:custGeom>
          <a:avLst/>
          <a:gdLst/>
          <a:ahLst/>
          <a:cxnLst/>
          <a:rect l="0" t="0" r="0" b="0"/>
          <a:pathLst>
            <a:path>
              <a:moveTo>
                <a:pt x="45720" y="0"/>
              </a:moveTo>
              <a:lnTo>
                <a:pt x="45720" y="334505"/>
              </a:lnTo>
              <a:lnTo>
                <a:pt x="108522" y="334505"/>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5F35A76F-9CFE-498E-8C47-FBBE1BB3E15B}" type="sibTrans" cxnId="{550662B6-604F-41A2-AA7D-706AA36166F7}">
      <dgm:prSet/>
      <dgm:spPr/>
      <dgm:t>
        <a:bodyPr/>
        <a:lstStyle/>
        <a:p>
          <a:pPr algn="ctr"/>
          <a:endParaRPr lang="cs-CZ" sz="900" u="none">
            <a:solidFill>
              <a:sysClr val="windowText" lastClr="000000"/>
            </a:solidFill>
          </a:endParaRPr>
        </a:p>
      </dgm:t>
    </dgm:pt>
    <dgm:pt modelId="{4CAFF5B8-B9C9-47F2-900A-8462E0C40682}">
      <dgm:prSet custT="1"/>
      <dgm:spPr>
        <a:xfrm>
          <a:off x="7738487" y="3022550"/>
          <a:ext cx="1169292" cy="629355"/>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Opravit schody nacházející se poblíž sochy sv. Jana Nepomuckého</a:t>
          </a:r>
        </a:p>
      </dgm:t>
    </dgm:pt>
    <dgm:pt modelId="{22C5A9FE-45C8-483E-8D7E-F72C2005FD6A}" type="parTrans" cxnId="{6A2DDDB7-670E-4A84-89BC-52BD14FBB7DA}">
      <dgm:prSet/>
      <dgm:spPr>
        <a:xfrm>
          <a:off x="7627795" y="2346103"/>
          <a:ext cx="91440" cy="991124"/>
        </a:xfrm>
        <a:custGeom>
          <a:avLst/>
          <a:gdLst/>
          <a:ahLst/>
          <a:cxnLst/>
          <a:rect l="0" t="0" r="0" b="0"/>
          <a:pathLst>
            <a:path>
              <a:moveTo>
                <a:pt x="45720" y="0"/>
              </a:moveTo>
              <a:lnTo>
                <a:pt x="45720" y="991124"/>
              </a:lnTo>
              <a:lnTo>
                <a:pt x="110691" y="991124"/>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FC9877AC-ECC5-4AF0-844F-25E8664288A5}" type="sibTrans" cxnId="{6A2DDDB7-670E-4A84-89BC-52BD14FBB7DA}">
      <dgm:prSet/>
      <dgm:spPr/>
      <dgm:t>
        <a:bodyPr/>
        <a:lstStyle/>
        <a:p>
          <a:pPr algn="ctr"/>
          <a:endParaRPr lang="cs-CZ" sz="900" u="none">
            <a:solidFill>
              <a:sysClr val="windowText" lastClr="000000"/>
            </a:solidFill>
          </a:endParaRPr>
        </a:p>
      </dgm:t>
    </dgm:pt>
    <dgm:pt modelId="{F2D435C7-7B62-44AE-9C4C-A8A6A7D411D3}">
      <dgm:prSet custT="1"/>
      <dgm:spPr>
        <a:xfrm>
          <a:off x="168280" y="847964"/>
          <a:ext cx="2538192" cy="606257"/>
        </a:xfrm>
        <a:prstGeom prst="rect">
          <a:avLst/>
        </a:prstGeom>
        <a:solidFill>
          <a:sysClr val="window" lastClr="FFFFFF">
            <a:lumMod val="75000"/>
          </a:sysClr>
        </a:solidFill>
        <a:ln w="12700" cap="flat" cmpd="sng" algn="ctr">
          <a:solidFill>
            <a:sysClr val="windowText" lastClr="000000"/>
          </a:solidFill>
          <a:prstDash val="solid"/>
          <a:miter lim="800000"/>
        </a:ln>
        <a:effectLst/>
      </dgm:spPr>
      <dgm:t>
        <a:bodyPr/>
        <a:lstStyle/>
        <a:p>
          <a:pPr algn="ctr">
            <a:buNone/>
          </a:pPr>
          <a:r>
            <a:rPr lang="cs-CZ" sz="900" b="1" u="none" baseline="0">
              <a:solidFill>
                <a:sysClr val="windowText" lastClr="000000"/>
              </a:solidFill>
              <a:latin typeface="Calibri" panose="020F0502020204030204"/>
              <a:ea typeface="+mn-ea"/>
              <a:cs typeface="+mn-cs"/>
            </a:rPr>
            <a:t>Strategický cíl 1.1</a:t>
          </a:r>
        </a:p>
        <a:p>
          <a:pPr algn="ctr">
            <a:buNone/>
          </a:pPr>
          <a:r>
            <a:rPr lang="cs-CZ" sz="900" b="1" u="none">
              <a:solidFill>
                <a:sysClr val="windowText" lastClr="000000"/>
              </a:solidFill>
              <a:latin typeface="Calibri" panose="020F0502020204030204"/>
              <a:ea typeface="+mn-ea"/>
              <a:cs typeface="+mn-cs"/>
            </a:rPr>
            <a:t>Postupně zlepšovat stav dopravní infrastruktury</a:t>
          </a:r>
          <a:endParaRPr lang="cs-CZ" sz="900" u="none">
            <a:solidFill>
              <a:sysClr val="windowText" lastClr="000000"/>
            </a:solidFill>
            <a:latin typeface="Calibri" panose="020F0502020204030204"/>
            <a:ea typeface="+mn-ea"/>
            <a:cs typeface="+mn-cs"/>
          </a:endParaRPr>
        </a:p>
      </dgm:t>
    </dgm:pt>
    <dgm:pt modelId="{8FF0E5E4-0B37-45D2-BCDD-161AC305E7A1}" type="parTrans" cxnId="{039FAF2A-7BD7-42E4-AAF4-4B3A426A4AA7}">
      <dgm:prSet/>
      <dgm:spPr>
        <a:xfrm>
          <a:off x="1437376" y="682872"/>
          <a:ext cx="2931068" cy="165091"/>
        </a:xfrm>
        <a:custGeom>
          <a:avLst/>
          <a:gdLst/>
          <a:ahLst/>
          <a:cxnLst/>
          <a:rect l="0" t="0" r="0" b="0"/>
          <a:pathLst>
            <a:path>
              <a:moveTo>
                <a:pt x="2931068" y="0"/>
              </a:moveTo>
              <a:lnTo>
                <a:pt x="2931068" y="124563"/>
              </a:lnTo>
              <a:lnTo>
                <a:pt x="0" y="124563"/>
              </a:lnTo>
              <a:lnTo>
                <a:pt x="0" y="165091"/>
              </a:lnTo>
            </a:path>
          </a:pathLst>
        </a:custGeom>
        <a:noFill/>
        <a:ln w="28575"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B466181B-C350-4123-BB97-DAD7F2BB1880}" type="sibTrans" cxnId="{039FAF2A-7BD7-42E4-AAF4-4B3A426A4AA7}">
      <dgm:prSet/>
      <dgm:spPr/>
      <dgm:t>
        <a:bodyPr/>
        <a:lstStyle/>
        <a:p>
          <a:pPr algn="ctr"/>
          <a:endParaRPr lang="cs-CZ" sz="900" u="none">
            <a:solidFill>
              <a:sysClr val="windowText" lastClr="000000"/>
            </a:solidFill>
          </a:endParaRPr>
        </a:p>
      </dgm:t>
    </dgm:pt>
    <dgm:pt modelId="{7ECE0D00-5FF8-4FC9-A18E-BD73AFA50EBC}">
      <dgm:prSet custT="1"/>
      <dgm:spPr>
        <a:xfrm rot="10800000" flipV="1">
          <a:off x="206657" y="1601216"/>
          <a:ext cx="1235503" cy="714940"/>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lgn="ctr">
            <a:buNone/>
          </a:pPr>
          <a:r>
            <a:rPr lang="cs-CZ" sz="900" b="1" u="none">
              <a:solidFill>
                <a:sysClr val="windowText" lastClr="000000"/>
              </a:solidFill>
              <a:latin typeface="Calibri" panose="020F0502020204030204"/>
              <a:ea typeface="+mn-ea"/>
              <a:cs typeface="+mn-cs"/>
            </a:rPr>
            <a:t>Usilovat o zlepšení stavu místních a účelových komunikací</a:t>
          </a:r>
          <a:endParaRPr lang="cs-CZ" sz="900" u="none">
            <a:solidFill>
              <a:sysClr val="windowText" lastClr="000000"/>
            </a:solidFill>
            <a:latin typeface="Calibri" panose="020F0502020204030204"/>
            <a:ea typeface="+mn-ea"/>
            <a:cs typeface="+mn-cs"/>
          </a:endParaRPr>
        </a:p>
      </dgm:t>
    </dgm:pt>
    <dgm:pt modelId="{097724E7-8DD8-4059-8D79-86F960544173}" type="parTrans" cxnId="{F14CE6BF-832B-4A3E-843A-CFF82C244620}">
      <dgm:prSet/>
      <dgm:spPr>
        <a:xfrm>
          <a:off x="824409" y="1454221"/>
          <a:ext cx="612967" cy="146994"/>
        </a:xfrm>
        <a:custGeom>
          <a:avLst/>
          <a:gdLst/>
          <a:ahLst/>
          <a:cxnLst/>
          <a:rect l="0" t="0" r="0" b="0"/>
          <a:pathLst>
            <a:path>
              <a:moveTo>
                <a:pt x="612967" y="0"/>
              </a:moveTo>
              <a:lnTo>
                <a:pt x="612967" y="106467"/>
              </a:lnTo>
              <a:lnTo>
                <a:pt x="0" y="106467"/>
              </a:lnTo>
              <a:lnTo>
                <a:pt x="0" y="146994"/>
              </a:lnTo>
            </a:path>
          </a:pathLst>
        </a:custGeom>
        <a:noFill/>
        <a:ln w="1905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BE1E7920-381C-4BAF-B699-4127F18DF6BC}" type="sibTrans" cxnId="{F14CE6BF-832B-4A3E-843A-CFF82C244620}">
      <dgm:prSet/>
      <dgm:spPr/>
      <dgm:t>
        <a:bodyPr/>
        <a:lstStyle/>
        <a:p>
          <a:pPr algn="ctr"/>
          <a:endParaRPr lang="cs-CZ" sz="900" u="none">
            <a:solidFill>
              <a:sysClr val="windowText" lastClr="000000"/>
            </a:solidFill>
          </a:endParaRPr>
        </a:p>
      </dgm:t>
    </dgm:pt>
    <dgm:pt modelId="{1166AF32-0F15-49BE-A527-44BF102A5F42}">
      <dgm:prSet custT="1"/>
      <dgm:spPr>
        <a:xfrm>
          <a:off x="1551955" y="1600073"/>
          <a:ext cx="1285189" cy="715160"/>
        </a:xfrm>
        <a:prstGeom prst="rect">
          <a:avLst/>
        </a:prstGeom>
        <a:solidFill>
          <a:sysClr val="window" lastClr="FFFFFF">
            <a:lumMod val="85000"/>
          </a:sysClr>
        </a:solidFill>
        <a:ln w="12700" cap="flat" cmpd="sng" algn="ctr">
          <a:solidFill>
            <a:sysClr val="windowText" lastClr="000000"/>
          </a:solidFill>
          <a:prstDash val="solid"/>
          <a:miter lim="800000"/>
        </a:ln>
        <a:effectLst/>
      </dgm:spPr>
      <dgm:t>
        <a:bodyPr/>
        <a:lstStyle/>
        <a:p>
          <a:pPr algn="ctr">
            <a:buNone/>
          </a:pPr>
          <a:r>
            <a:rPr lang="cs-CZ" sz="900" b="1" u="none">
              <a:solidFill>
                <a:sysClr val="windowText" lastClr="000000"/>
              </a:solidFill>
              <a:latin typeface="Calibri" panose="020F0502020204030204"/>
              <a:ea typeface="+mn-ea"/>
              <a:cs typeface="+mn-cs"/>
            </a:rPr>
            <a:t>Usilovat o realizaci dalších aktivit souvisejících s dopravní infrastrukturou pro motorová vozidla</a:t>
          </a:r>
          <a:endParaRPr lang="cs-CZ" sz="900" u="none">
            <a:solidFill>
              <a:sysClr val="windowText" lastClr="000000"/>
            </a:solidFill>
            <a:latin typeface="Calibri" panose="020F0502020204030204"/>
            <a:ea typeface="+mn-ea"/>
            <a:cs typeface="+mn-cs"/>
          </a:endParaRPr>
        </a:p>
      </dgm:t>
    </dgm:pt>
    <dgm:pt modelId="{AA59950B-DBCA-4304-872E-48194044E7B0}" type="parTrans" cxnId="{4153056A-694D-47C1-AA2E-D7D72FAC6F98}">
      <dgm:prSet/>
      <dgm:spPr>
        <a:xfrm>
          <a:off x="1437376" y="1454221"/>
          <a:ext cx="757173" cy="145852"/>
        </a:xfrm>
        <a:custGeom>
          <a:avLst/>
          <a:gdLst/>
          <a:ahLst/>
          <a:cxnLst/>
          <a:rect l="0" t="0" r="0" b="0"/>
          <a:pathLst>
            <a:path>
              <a:moveTo>
                <a:pt x="0" y="0"/>
              </a:moveTo>
              <a:lnTo>
                <a:pt x="0" y="105324"/>
              </a:lnTo>
              <a:lnTo>
                <a:pt x="757173" y="105324"/>
              </a:lnTo>
              <a:lnTo>
                <a:pt x="757173" y="145852"/>
              </a:lnTo>
            </a:path>
          </a:pathLst>
        </a:custGeom>
        <a:noFill/>
        <a:ln w="1905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B3CA9052-F6AC-40E2-BFBA-C54B25256C05}" type="sibTrans" cxnId="{4153056A-694D-47C1-AA2E-D7D72FAC6F98}">
      <dgm:prSet/>
      <dgm:spPr/>
      <dgm:t>
        <a:bodyPr/>
        <a:lstStyle/>
        <a:p>
          <a:pPr algn="ctr"/>
          <a:endParaRPr lang="cs-CZ" sz="900" u="none">
            <a:solidFill>
              <a:sysClr val="windowText" lastClr="000000"/>
            </a:solidFill>
          </a:endParaRPr>
        </a:p>
      </dgm:t>
    </dgm:pt>
    <dgm:pt modelId="{F360A459-0493-45A0-BE09-9CB397E4C5EC}">
      <dgm:prSet custT="1"/>
      <dgm:spPr>
        <a:xfrm>
          <a:off x="1742287" y="2366286"/>
          <a:ext cx="1095255" cy="459206"/>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Usilovat o opravu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mostu v Dolních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Starých Bukách</a:t>
          </a:r>
        </a:p>
      </dgm:t>
    </dgm:pt>
    <dgm:pt modelId="{1F314DFF-E2D0-4418-AF4C-F93D09148349}" type="parTrans" cxnId="{B0C03208-F5F3-42FE-829E-4E905E65E149}">
      <dgm:prSet/>
      <dgm:spPr>
        <a:xfrm>
          <a:off x="1634754" y="2315233"/>
          <a:ext cx="91440" cy="280656"/>
        </a:xfrm>
        <a:custGeom>
          <a:avLst/>
          <a:gdLst/>
          <a:ahLst/>
          <a:cxnLst/>
          <a:rect l="0" t="0" r="0" b="0"/>
          <a:pathLst>
            <a:path>
              <a:moveTo>
                <a:pt x="45720" y="0"/>
              </a:moveTo>
              <a:lnTo>
                <a:pt x="45720" y="280656"/>
              </a:lnTo>
              <a:lnTo>
                <a:pt x="107533" y="280656"/>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658E617B-3163-4A00-8A0F-68A9CF4FA65B}" type="sibTrans" cxnId="{B0C03208-F5F3-42FE-829E-4E905E65E149}">
      <dgm:prSet/>
      <dgm:spPr/>
      <dgm:t>
        <a:bodyPr/>
        <a:lstStyle/>
        <a:p>
          <a:pPr algn="ctr"/>
          <a:endParaRPr lang="cs-CZ" sz="900" u="none">
            <a:solidFill>
              <a:sysClr val="windowText" lastClr="000000"/>
            </a:solidFill>
          </a:endParaRPr>
        </a:p>
      </dgm:t>
    </dgm:pt>
    <dgm:pt modelId="{6C88C8AE-CFC2-457C-8CD9-41A57B9E70B8}">
      <dgm:prSet custT="1"/>
      <dgm:spPr>
        <a:xfrm>
          <a:off x="1748602" y="2880658"/>
          <a:ext cx="1094980" cy="629544"/>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Usilovat o omezení rychlosti jedoucích vozidel a o zklidnění provozu v lokalitě Dolníky</a:t>
          </a:r>
        </a:p>
      </dgm:t>
    </dgm:pt>
    <dgm:pt modelId="{1A39C80B-73FB-411F-BD4A-249868550A51}" type="parTrans" cxnId="{5042EC1D-1B9A-4A18-84F3-31A89DBDBB11}">
      <dgm:prSet/>
      <dgm:spPr>
        <a:xfrm>
          <a:off x="1634754" y="2315233"/>
          <a:ext cx="91440" cy="880197"/>
        </a:xfrm>
        <a:custGeom>
          <a:avLst/>
          <a:gdLst/>
          <a:ahLst/>
          <a:cxnLst/>
          <a:rect l="0" t="0" r="0" b="0"/>
          <a:pathLst>
            <a:path>
              <a:moveTo>
                <a:pt x="45720" y="0"/>
              </a:moveTo>
              <a:lnTo>
                <a:pt x="45720" y="880197"/>
              </a:lnTo>
              <a:lnTo>
                <a:pt x="113847" y="880197"/>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35E85830-E0CA-4999-8B52-6EB91019E152}" type="sibTrans" cxnId="{5042EC1D-1B9A-4A18-84F3-31A89DBDBB11}">
      <dgm:prSet/>
      <dgm:spPr/>
      <dgm:t>
        <a:bodyPr/>
        <a:lstStyle/>
        <a:p>
          <a:pPr algn="ctr"/>
          <a:endParaRPr lang="cs-CZ" sz="900" u="none">
            <a:solidFill>
              <a:sysClr val="windowText" lastClr="000000"/>
            </a:solidFill>
          </a:endParaRPr>
        </a:p>
      </dgm:t>
    </dgm:pt>
    <dgm:pt modelId="{4432A52E-D9D2-4556-852B-42671DA95ABF}">
      <dgm:prSet custT="1"/>
      <dgm:spPr>
        <a:xfrm>
          <a:off x="408950" y="2371910"/>
          <a:ext cx="1026265" cy="711118"/>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Rekonstruovat komunikaci propojující Staré Buky a Nový Rokytník</a:t>
          </a:r>
        </a:p>
      </dgm:t>
    </dgm:pt>
    <dgm:pt modelId="{D39309F4-2A30-4E7B-8131-898F2002A885}" type="parTrans" cxnId="{0696D26D-B420-4F77-9029-9C466F0027FE}">
      <dgm:prSet/>
      <dgm:spPr>
        <a:xfrm>
          <a:off x="284488" y="2316156"/>
          <a:ext cx="91440" cy="411313"/>
        </a:xfrm>
        <a:custGeom>
          <a:avLst/>
          <a:gdLst/>
          <a:ahLst/>
          <a:cxnLst/>
          <a:rect l="0" t="0" r="0" b="0"/>
          <a:pathLst>
            <a:path>
              <a:moveTo>
                <a:pt x="45720" y="0"/>
              </a:moveTo>
              <a:lnTo>
                <a:pt x="45720" y="411313"/>
              </a:lnTo>
              <a:lnTo>
                <a:pt x="124462" y="411313"/>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87887281-CEAA-4894-8D7F-7EB573988221}" type="sibTrans" cxnId="{0696D26D-B420-4F77-9029-9C466F0027FE}">
      <dgm:prSet/>
      <dgm:spPr/>
      <dgm:t>
        <a:bodyPr/>
        <a:lstStyle/>
        <a:p>
          <a:pPr algn="ctr"/>
          <a:endParaRPr lang="cs-CZ" sz="900" u="none">
            <a:solidFill>
              <a:sysClr val="windowText" lastClr="000000"/>
            </a:solidFill>
          </a:endParaRPr>
        </a:p>
      </dgm:t>
    </dgm:pt>
    <dgm:pt modelId="{7BC3BF3B-6057-4C20-A2B3-8CE35DD05FE4}">
      <dgm:prSet custT="1"/>
      <dgm:spPr>
        <a:xfrm>
          <a:off x="409162" y="3149642"/>
          <a:ext cx="1025999" cy="503688"/>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Řešit stav příjezdové komunikace do lokality Dolníky</a:t>
          </a:r>
        </a:p>
      </dgm:t>
    </dgm:pt>
    <dgm:pt modelId="{D0356A9C-608C-4C78-A2E5-7810B71934A7}" type="parTrans" cxnId="{D3289FD9-C809-47B9-B11D-406575366CCE}">
      <dgm:prSet/>
      <dgm:spPr>
        <a:xfrm>
          <a:off x="284488" y="2316156"/>
          <a:ext cx="91440" cy="1085330"/>
        </a:xfrm>
        <a:custGeom>
          <a:avLst/>
          <a:gdLst/>
          <a:ahLst/>
          <a:cxnLst/>
          <a:rect l="0" t="0" r="0" b="0"/>
          <a:pathLst>
            <a:path>
              <a:moveTo>
                <a:pt x="45720" y="0"/>
              </a:moveTo>
              <a:lnTo>
                <a:pt x="45720" y="1085330"/>
              </a:lnTo>
              <a:lnTo>
                <a:pt x="124674" y="1085330"/>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0B8D8286-9509-4010-8D1E-3F73DB57622D}" type="sibTrans" cxnId="{D3289FD9-C809-47B9-B11D-406575366CCE}">
      <dgm:prSet/>
      <dgm:spPr/>
      <dgm:t>
        <a:bodyPr/>
        <a:lstStyle/>
        <a:p>
          <a:pPr algn="ctr"/>
          <a:endParaRPr lang="cs-CZ" sz="900" u="none">
            <a:solidFill>
              <a:sysClr val="windowText" lastClr="000000"/>
            </a:solidFill>
          </a:endParaRPr>
        </a:p>
      </dgm:t>
    </dgm:pt>
    <dgm:pt modelId="{EE2EDF37-688B-4FD0-A3FB-102928A9F920}">
      <dgm:prSet custT="1"/>
      <dgm:spPr>
        <a:xfrm>
          <a:off x="408267" y="3711933"/>
          <a:ext cx="1025999" cy="728896"/>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Usilovat o úpravu komunikace v okolí autobusové zastávky „Staré Buky, Horní Staré Buky, točna“</a:t>
          </a:r>
        </a:p>
      </dgm:t>
    </dgm:pt>
    <dgm:pt modelId="{6BD5E1AC-0E8F-4628-89F0-780B1B1C928F}" type="parTrans" cxnId="{9BB215D3-A1E0-4192-A8C0-EE2EFD9E6767}">
      <dgm:prSet/>
      <dgm:spPr>
        <a:xfrm>
          <a:off x="284488" y="2316156"/>
          <a:ext cx="91440" cy="1760225"/>
        </a:xfrm>
        <a:custGeom>
          <a:avLst/>
          <a:gdLst/>
          <a:ahLst/>
          <a:cxnLst/>
          <a:rect l="0" t="0" r="0" b="0"/>
          <a:pathLst>
            <a:path>
              <a:moveTo>
                <a:pt x="45720" y="0"/>
              </a:moveTo>
              <a:lnTo>
                <a:pt x="45720" y="1760225"/>
              </a:lnTo>
              <a:lnTo>
                <a:pt x="123779" y="1760225"/>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B4703708-24D6-49DD-BAFE-062A2564E2E5}" type="sibTrans" cxnId="{9BB215D3-A1E0-4192-A8C0-EE2EFD9E6767}">
      <dgm:prSet/>
      <dgm:spPr/>
      <dgm:t>
        <a:bodyPr/>
        <a:lstStyle/>
        <a:p>
          <a:pPr algn="ctr"/>
          <a:endParaRPr lang="cs-CZ" sz="900" u="none">
            <a:solidFill>
              <a:sysClr val="windowText" lastClr="000000"/>
            </a:solidFill>
          </a:endParaRPr>
        </a:p>
      </dgm:t>
    </dgm:pt>
    <dgm:pt modelId="{5FC2C784-8617-4403-809A-E1B9E38E6497}">
      <dgm:prSet custT="1"/>
      <dgm:spPr>
        <a:xfrm>
          <a:off x="411509" y="4516491"/>
          <a:ext cx="1025999" cy="525032"/>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Podle potřeby řešit opravu dalších místních a účelových komunikací</a:t>
          </a:r>
        </a:p>
      </dgm:t>
    </dgm:pt>
    <dgm:pt modelId="{3DF58710-C58C-498C-BE92-4F361C109A65}" type="parTrans" cxnId="{99EE3678-E56D-4939-93C2-64B50B3E4ADD}">
      <dgm:prSet/>
      <dgm:spPr>
        <a:xfrm>
          <a:off x="284488" y="2316156"/>
          <a:ext cx="91440" cy="2462851"/>
        </a:xfrm>
        <a:custGeom>
          <a:avLst/>
          <a:gdLst/>
          <a:ahLst/>
          <a:cxnLst/>
          <a:rect l="0" t="0" r="0" b="0"/>
          <a:pathLst>
            <a:path>
              <a:moveTo>
                <a:pt x="45720" y="0"/>
              </a:moveTo>
              <a:lnTo>
                <a:pt x="45720" y="2462851"/>
              </a:lnTo>
              <a:lnTo>
                <a:pt x="127021" y="2462851"/>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D77ACEF4-A56F-4F63-81DE-231F551C11D1}" type="sibTrans" cxnId="{99EE3678-E56D-4939-93C2-64B50B3E4ADD}">
      <dgm:prSet/>
      <dgm:spPr/>
      <dgm:t>
        <a:bodyPr/>
        <a:lstStyle/>
        <a:p>
          <a:pPr algn="ctr"/>
          <a:endParaRPr lang="cs-CZ" sz="900" u="none">
            <a:solidFill>
              <a:sysClr val="windowText" lastClr="000000"/>
            </a:solidFill>
          </a:endParaRPr>
        </a:p>
      </dgm:t>
    </dgm:pt>
    <dgm:pt modelId="{64FD1BA2-9B87-4505-88F8-2ECC75962081}">
      <dgm:prSet custT="1"/>
      <dgm:spPr>
        <a:xfrm>
          <a:off x="1742283" y="3566293"/>
          <a:ext cx="1094980" cy="634313"/>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Zahájit jednání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s vlastníky komunikací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u tzv. „Holandských domků“</a:t>
          </a:r>
        </a:p>
      </dgm:t>
    </dgm:pt>
    <dgm:pt modelId="{652769C8-4847-4AD6-B528-ABBC34C26B5D}" type="parTrans" cxnId="{D840C875-3509-4D40-9BCD-28C3523FB08C}">
      <dgm:prSet/>
      <dgm:spPr>
        <a:xfrm>
          <a:off x="1634754" y="2315233"/>
          <a:ext cx="91440" cy="1568216"/>
        </a:xfrm>
        <a:custGeom>
          <a:avLst/>
          <a:gdLst/>
          <a:ahLst/>
          <a:cxnLst/>
          <a:rect l="0" t="0" r="0" b="0"/>
          <a:pathLst>
            <a:path>
              <a:moveTo>
                <a:pt x="45720" y="0"/>
              </a:moveTo>
              <a:lnTo>
                <a:pt x="45720" y="1568216"/>
              </a:lnTo>
              <a:lnTo>
                <a:pt x="107529" y="1568216"/>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82C60C18-E68C-4213-A48A-038070423061}" type="sibTrans" cxnId="{D840C875-3509-4D40-9BCD-28C3523FB08C}">
      <dgm:prSet/>
      <dgm:spPr/>
      <dgm:t>
        <a:bodyPr/>
        <a:lstStyle/>
        <a:p>
          <a:pPr algn="ctr"/>
          <a:endParaRPr lang="cs-CZ" sz="900" u="none">
            <a:solidFill>
              <a:sysClr val="windowText" lastClr="000000"/>
            </a:solidFill>
          </a:endParaRPr>
        </a:p>
      </dgm:t>
    </dgm:pt>
    <dgm:pt modelId="{AD4A1B9D-D59B-4884-BF1C-76B0DF222B7F}">
      <dgm:prSet custT="1"/>
      <dgm:spPr>
        <a:xfrm>
          <a:off x="3209596" y="3604389"/>
          <a:ext cx="1120733" cy="573470"/>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Zpevnit cestu vedoucí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ze Starých Buků přes rekreační areál Dolce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do Trutnova</a:t>
          </a:r>
        </a:p>
      </dgm:t>
    </dgm:pt>
    <dgm:pt modelId="{4C708C60-FCE8-4523-A072-6310161B433E}" type="parTrans" cxnId="{787843EE-86AA-4931-A7D4-63ED1A70CB75}">
      <dgm:prSet/>
      <dgm:spPr>
        <a:xfrm>
          <a:off x="3080224" y="2326320"/>
          <a:ext cx="91440" cy="1564803"/>
        </a:xfrm>
        <a:custGeom>
          <a:avLst/>
          <a:gdLst/>
          <a:ahLst/>
          <a:cxnLst/>
          <a:rect l="0" t="0" r="0" b="0"/>
          <a:pathLst>
            <a:path>
              <a:moveTo>
                <a:pt x="45720" y="0"/>
              </a:moveTo>
              <a:lnTo>
                <a:pt x="45720" y="1564803"/>
              </a:lnTo>
              <a:lnTo>
                <a:pt x="129372" y="1564803"/>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2EE846E0-71BC-49C2-964D-B1805BB147FD}" type="sibTrans" cxnId="{787843EE-86AA-4931-A7D4-63ED1A70CB75}">
      <dgm:prSet/>
      <dgm:spPr/>
      <dgm:t>
        <a:bodyPr/>
        <a:lstStyle/>
        <a:p>
          <a:pPr algn="ctr"/>
          <a:endParaRPr lang="cs-CZ" sz="900" u="none">
            <a:solidFill>
              <a:sysClr val="windowText" lastClr="000000"/>
            </a:solidFill>
          </a:endParaRPr>
        </a:p>
      </dgm:t>
    </dgm:pt>
    <dgm:pt modelId="{A29D78EA-EACC-4D0A-B7AD-F70145C829A2}">
      <dgm:prSet custT="1"/>
      <dgm:spPr>
        <a:xfrm>
          <a:off x="4650213" y="3523280"/>
          <a:ext cx="1164761" cy="452720"/>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Vybudovat varovný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a vyrozumívací systém</a:t>
          </a:r>
        </a:p>
      </dgm:t>
    </dgm:pt>
    <dgm:pt modelId="{DBCB58F9-2E0A-4046-B208-1A56DFAFB064}" type="parTrans" cxnId="{37870DA6-DB9C-4D6B-91E2-3674BF93CBC4}">
      <dgm:prSet/>
      <dgm:spPr>
        <a:xfrm>
          <a:off x="4549621" y="2326461"/>
          <a:ext cx="100592" cy="1423178"/>
        </a:xfrm>
        <a:custGeom>
          <a:avLst/>
          <a:gdLst/>
          <a:ahLst/>
          <a:cxnLst/>
          <a:rect l="0" t="0" r="0" b="0"/>
          <a:pathLst>
            <a:path>
              <a:moveTo>
                <a:pt x="0" y="0"/>
              </a:moveTo>
              <a:lnTo>
                <a:pt x="0" y="1423178"/>
              </a:lnTo>
              <a:lnTo>
                <a:pt x="100592" y="1423178"/>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CF0A83AE-B385-4350-BC4A-782B72712A2B}" type="sibTrans" cxnId="{37870DA6-DB9C-4D6B-91E2-3674BF93CBC4}">
      <dgm:prSet/>
      <dgm:spPr/>
      <dgm:t>
        <a:bodyPr/>
        <a:lstStyle/>
        <a:p>
          <a:pPr algn="ctr"/>
          <a:endParaRPr lang="cs-CZ" sz="900" u="none">
            <a:solidFill>
              <a:sysClr val="windowText" lastClr="000000"/>
            </a:solidFill>
          </a:endParaRPr>
        </a:p>
      </dgm:t>
    </dgm:pt>
    <dgm:pt modelId="{87E1F9D4-E14C-4665-9255-211BBC2DEB2C}">
      <dgm:prSet custT="1"/>
      <dgm:spPr>
        <a:xfrm>
          <a:off x="6358960" y="3545815"/>
          <a:ext cx="997336" cy="496325"/>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Zlepšit stav interiéru Kostela sv. Anny</a:t>
          </a:r>
        </a:p>
      </dgm:t>
    </dgm:pt>
    <dgm:pt modelId="{CC6307AB-AF08-4FAB-9F22-2A19E759600B}" type="parTrans" cxnId="{8E262B20-C0E2-410E-9F08-73AA782CA1E3}">
      <dgm:prSet/>
      <dgm:spPr>
        <a:xfrm>
          <a:off x="6229859" y="2344455"/>
          <a:ext cx="91440" cy="1449522"/>
        </a:xfrm>
        <a:custGeom>
          <a:avLst/>
          <a:gdLst/>
          <a:ahLst/>
          <a:cxnLst/>
          <a:rect l="0" t="0" r="0" b="0"/>
          <a:pathLst>
            <a:path>
              <a:moveTo>
                <a:pt x="45720" y="0"/>
              </a:moveTo>
              <a:lnTo>
                <a:pt x="45720" y="1449522"/>
              </a:lnTo>
              <a:lnTo>
                <a:pt x="129100" y="1449522"/>
              </a:lnTo>
            </a:path>
          </a:pathLst>
        </a:custGeom>
        <a:noFill/>
        <a:ln w="12700" cap="flat" cmpd="sng" algn="ctr">
          <a:solidFill>
            <a:sysClr val="window" lastClr="FFFFFF">
              <a:lumMod val="75000"/>
            </a:sysClr>
          </a:solidFill>
          <a:prstDash val="solid"/>
          <a:miter lim="800000"/>
        </a:ln>
        <a:effectLst/>
      </dgm:spPr>
      <dgm:t>
        <a:bodyPr/>
        <a:lstStyle/>
        <a:p>
          <a:pPr algn="ctr"/>
          <a:endParaRPr lang="cs-CZ" sz="900" u="none">
            <a:solidFill>
              <a:sysClr val="windowText" lastClr="000000"/>
            </a:solidFill>
          </a:endParaRPr>
        </a:p>
      </dgm:t>
    </dgm:pt>
    <dgm:pt modelId="{0BB02AAC-3401-4DC2-970B-210542A852D9}" type="sibTrans" cxnId="{8E262B20-C0E2-410E-9F08-73AA782CA1E3}">
      <dgm:prSet/>
      <dgm:spPr/>
      <dgm:t>
        <a:bodyPr/>
        <a:lstStyle/>
        <a:p>
          <a:pPr algn="ctr"/>
          <a:endParaRPr lang="cs-CZ" sz="900" u="none">
            <a:solidFill>
              <a:sysClr val="windowText" lastClr="000000"/>
            </a:solidFill>
          </a:endParaRPr>
        </a:p>
      </dgm:t>
    </dgm:pt>
    <dgm:pt modelId="{2D0ADCA3-58DB-45DD-951D-7E2ADF39E394}">
      <dgm:prSet custT="1"/>
      <dgm:spPr>
        <a:xfrm>
          <a:off x="1742283" y="4243930"/>
          <a:ext cx="1094980" cy="489943"/>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buNone/>
          </a:pPr>
          <a:r>
            <a:rPr lang="cs-CZ" sz="900">
              <a:solidFill>
                <a:sysClr val="windowText" lastClr="000000"/>
              </a:solidFill>
              <a:latin typeface="Calibri" panose="020F0502020204030204"/>
              <a:ea typeface="+mn-ea"/>
              <a:cs typeface="+mn-cs"/>
            </a:rPr>
            <a:t>Řešit přístupovou komunikaci </a:t>
          </a:r>
          <a:br>
            <a:rPr lang="cs-CZ" sz="900">
              <a:solidFill>
                <a:sysClr val="windowText" lastClr="000000"/>
              </a:solidFill>
              <a:latin typeface="Calibri" panose="020F0502020204030204"/>
              <a:ea typeface="+mn-ea"/>
              <a:cs typeface="+mn-cs"/>
            </a:rPr>
          </a:br>
          <a:r>
            <a:rPr lang="cs-CZ" sz="900">
              <a:solidFill>
                <a:sysClr val="windowText" lastClr="000000"/>
              </a:solidFill>
              <a:latin typeface="Calibri" panose="020F0502020204030204"/>
              <a:ea typeface="+mn-ea"/>
              <a:cs typeface="+mn-cs"/>
            </a:rPr>
            <a:t>ke Kostelu sv. Anny</a:t>
          </a:r>
          <a:endParaRPr lang="cs-CZ" sz="900" u="none">
            <a:solidFill>
              <a:sysClr val="windowText" lastClr="000000"/>
            </a:solidFill>
            <a:latin typeface="Calibri" panose="020F0502020204030204"/>
            <a:ea typeface="+mn-ea"/>
            <a:cs typeface="+mn-cs"/>
          </a:endParaRPr>
        </a:p>
      </dgm:t>
    </dgm:pt>
    <dgm:pt modelId="{44BDB308-3BC8-4562-B9F9-3434491487E0}" type="parTrans" cxnId="{F4D33767-CEFF-4DEE-9EF9-283F8A816C6A}">
      <dgm:prSet/>
      <dgm:spPr>
        <a:xfrm>
          <a:off x="1634754" y="2315233"/>
          <a:ext cx="91440" cy="2173668"/>
        </a:xfrm>
        <a:custGeom>
          <a:avLst/>
          <a:gdLst/>
          <a:ahLst/>
          <a:cxnLst/>
          <a:rect l="0" t="0" r="0" b="0"/>
          <a:pathLst>
            <a:path>
              <a:moveTo>
                <a:pt x="45720" y="0"/>
              </a:moveTo>
              <a:lnTo>
                <a:pt x="45720" y="2173668"/>
              </a:lnTo>
              <a:lnTo>
                <a:pt x="107529" y="2173668"/>
              </a:lnTo>
            </a:path>
          </a:pathLst>
        </a:custGeom>
        <a:noFill/>
        <a:ln w="12700" cap="flat" cmpd="sng" algn="ctr">
          <a:solidFill>
            <a:sysClr val="window" lastClr="FFFFFF">
              <a:lumMod val="75000"/>
            </a:sysClr>
          </a:solidFill>
          <a:prstDash val="solid"/>
          <a:miter lim="800000"/>
        </a:ln>
        <a:effectLst/>
      </dgm:spPr>
      <dgm:t>
        <a:bodyPr/>
        <a:lstStyle/>
        <a:p>
          <a:endParaRPr lang="cs-CZ"/>
        </a:p>
      </dgm:t>
    </dgm:pt>
    <dgm:pt modelId="{637799F6-3B61-4B81-9895-52966A3D5895}" type="sibTrans" cxnId="{F4D33767-CEFF-4DEE-9EF9-283F8A816C6A}">
      <dgm:prSet/>
      <dgm:spPr/>
      <dgm:t>
        <a:bodyPr/>
        <a:lstStyle/>
        <a:p>
          <a:endParaRPr lang="cs-CZ"/>
        </a:p>
      </dgm:t>
    </dgm:pt>
    <dgm:pt modelId="{CB682309-B7D9-4B69-93C4-B31D4588278D}">
      <dgm:prSet custT="1"/>
      <dgm:spPr>
        <a:xfrm>
          <a:off x="3209596" y="4258914"/>
          <a:ext cx="1120733" cy="573470"/>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Řešit lepší zpřístupnění pro cyklisty a pěší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ve směru na Pilníkov</a:t>
          </a:r>
        </a:p>
      </dgm:t>
    </dgm:pt>
    <dgm:pt modelId="{28DF024B-A89A-410D-A001-E67A34DC7BDE}" type="parTrans" cxnId="{F0955042-39F3-4BD0-AD17-1F3ED08F1FB6}">
      <dgm:prSet/>
      <dgm:spPr>
        <a:xfrm>
          <a:off x="3080224" y="2326320"/>
          <a:ext cx="91440" cy="2219328"/>
        </a:xfrm>
        <a:custGeom>
          <a:avLst/>
          <a:gdLst/>
          <a:ahLst/>
          <a:cxnLst/>
          <a:rect l="0" t="0" r="0" b="0"/>
          <a:pathLst>
            <a:path>
              <a:moveTo>
                <a:pt x="45720" y="0"/>
              </a:moveTo>
              <a:lnTo>
                <a:pt x="45720" y="2219328"/>
              </a:lnTo>
              <a:lnTo>
                <a:pt x="129372" y="2219328"/>
              </a:lnTo>
            </a:path>
          </a:pathLst>
        </a:custGeom>
        <a:noFill/>
        <a:ln w="12700" cap="flat" cmpd="sng" algn="ctr">
          <a:solidFill>
            <a:sysClr val="window" lastClr="FFFFFF">
              <a:lumMod val="75000"/>
            </a:sysClr>
          </a:solidFill>
          <a:prstDash val="solid"/>
          <a:miter lim="800000"/>
        </a:ln>
        <a:effectLst/>
      </dgm:spPr>
      <dgm:t>
        <a:bodyPr/>
        <a:lstStyle/>
        <a:p>
          <a:endParaRPr lang="cs-CZ"/>
        </a:p>
      </dgm:t>
    </dgm:pt>
    <dgm:pt modelId="{36D62970-7D68-4BF2-9D98-E19B2D3B0972}" type="sibTrans" cxnId="{F0955042-39F3-4BD0-AD17-1F3ED08F1FB6}">
      <dgm:prSet/>
      <dgm:spPr/>
      <dgm:t>
        <a:bodyPr/>
        <a:lstStyle/>
        <a:p>
          <a:endParaRPr lang="cs-CZ"/>
        </a:p>
      </dgm:t>
    </dgm:pt>
    <dgm:pt modelId="{62CE1EB7-0778-4390-8208-387455E58A48}">
      <dgm:prSet custT="1"/>
      <dgm:spPr>
        <a:xfrm>
          <a:off x="1742283" y="4787787"/>
          <a:ext cx="1094980" cy="489943"/>
        </a:xfrm>
        <a:prstGeom prst="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Usilovat o propojení Dolníků a Prostředních Starých Buků komunikací</a:t>
          </a:r>
        </a:p>
      </dgm:t>
    </dgm:pt>
    <dgm:pt modelId="{9F901148-05B1-4AD4-B764-1428D86FDE9B}" type="parTrans" cxnId="{C517FDAB-D12E-4160-B323-6AF156855E9C}">
      <dgm:prSet/>
      <dgm:spPr>
        <a:xfrm>
          <a:off x="1634754" y="2315233"/>
          <a:ext cx="91440" cy="2717525"/>
        </a:xfrm>
        <a:custGeom>
          <a:avLst/>
          <a:gdLst/>
          <a:ahLst/>
          <a:cxnLst/>
          <a:rect l="0" t="0" r="0" b="0"/>
          <a:pathLst>
            <a:path>
              <a:moveTo>
                <a:pt x="45720" y="0"/>
              </a:moveTo>
              <a:lnTo>
                <a:pt x="45720" y="2717525"/>
              </a:lnTo>
              <a:lnTo>
                <a:pt x="107529" y="2717525"/>
              </a:lnTo>
            </a:path>
          </a:pathLst>
        </a:custGeom>
        <a:noFill/>
        <a:ln w="12700" cap="flat" cmpd="sng" algn="ctr">
          <a:solidFill>
            <a:sysClr val="window" lastClr="FFFFFF">
              <a:lumMod val="65000"/>
            </a:sysClr>
          </a:solidFill>
          <a:prstDash val="solid"/>
          <a:miter lim="800000"/>
        </a:ln>
        <a:effectLst/>
      </dgm:spPr>
      <dgm:t>
        <a:bodyPr/>
        <a:lstStyle/>
        <a:p>
          <a:endParaRPr lang="cs-CZ"/>
        </a:p>
      </dgm:t>
    </dgm:pt>
    <dgm:pt modelId="{C0691F11-6C2B-480B-AC60-E3BB03CC68B4}" type="sibTrans" cxnId="{C517FDAB-D12E-4160-B323-6AF156855E9C}">
      <dgm:prSet/>
      <dgm:spPr/>
      <dgm:t>
        <a:bodyPr/>
        <a:lstStyle/>
        <a:p>
          <a:endParaRPr lang="cs-CZ"/>
        </a:p>
      </dgm:t>
    </dgm:pt>
    <dgm:pt modelId="{B042746A-114F-4FF4-83E0-41B4AE1F0D78}" type="pres">
      <dgm:prSet presAssocID="{2A939374-EEE9-4965-9872-33F17AE331AA}" presName="hierChild1" presStyleCnt="0">
        <dgm:presLayoutVars>
          <dgm:orgChart val="1"/>
          <dgm:chPref val="1"/>
          <dgm:dir/>
          <dgm:animOne val="branch"/>
          <dgm:animLvl val="lvl"/>
          <dgm:resizeHandles/>
        </dgm:presLayoutVars>
      </dgm:prSet>
      <dgm:spPr/>
    </dgm:pt>
    <dgm:pt modelId="{8A3164A8-D9A4-41C5-A925-70BDD77D91AC}" type="pres">
      <dgm:prSet presAssocID="{D961D356-C423-4930-9CD4-5641A753DEE6}" presName="hierRoot1" presStyleCnt="0">
        <dgm:presLayoutVars>
          <dgm:hierBranch val="init"/>
        </dgm:presLayoutVars>
      </dgm:prSet>
      <dgm:spPr/>
    </dgm:pt>
    <dgm:pt modelId="{7149557C-E372-4D7C-B8FF-1973C176CB0B}" type="pres">
      <dgm:prSet presAssocID="{D961D356-C423-4930-9CD4-5641A753DEE6}" presName="rootComposite1" presStyleCnt="0"/>
      <dgm:spPr/>
    </dgm:pt>
    <dgm:pt modelId="{D5C976BE-90F4-430A-A970-6B4381FC975B}" type="pres">
      <dgm:prSet presAssocID="{D961D356-C423-4930-9CD4-5641A753DEE6}" presName="rootText1" presStyleLbl="node0" presStyleIdx="0" presStyleCnt="1" custScaleX="1551662" custScaleY="353056" custLinFactNeighborX="-24568" custLinFactNeighborY="-1170">
        <dgm:presLayoutVars>
          <dgm:chPref val="3"/>
        </dgm:presLayoutVars>
      </dgm:prSet>
      <dgm:spPr/>
    </dgm:pt>
    <dgm:pt modelId="{F2E8EDC4-B0CD-4FDB-8B13-077E8993B6AD}" type="pres">
      <dgm:prSet presAssocID="{D961D356-C423-4930-9CD4-5641A753DEE6}" presName="rootConnector1" presStyleLbl="node1" presStyleIdx="0" presStyleCnt="0"/>
      <dgm:spPr/>
    </dgm:pt>
    <dgm:pt modelId="{2B5D1BC1-5CC4-4765-BF27-D7FFF2FEC7D8}" type="pres">
      <dgm:prSet presAssocID="{D961D356-C423-4930-9CD4-5641A753DEE6}" presName="hierChild2" presStyleCnt="0"/>
      <dgm:spPr/>
    </dgm:pt>
    <dgm:pt modelId="{C893A817-868A-42D6-91D8-C39472590CC2}" type="pres">
      <dgm:prSet presAssocID="{8FF0E5E4-0B37-45D2-BCDD-161AC305E7A1}" presName="Name37" presStyleLbl="parChTrans1D2" presStyleIdx="0" presStyleCnt="3"/>
      <dgm:spPr/>
    </dgm:pt>
    <dgm:pt modelId="{61962F7F-F225-4FBB-8AED-9876DD1699B6}" type="pres">
      <dgm:prSet presAssocID="{F2D435C7-7B62-44AE-9C4C-A8A6A7D411D3}" presName="hierRoot2" presStyleCnt="0">
        <dgm:presLayoutVars>
          <dgm:hierBranch val="init"/>
        </dgm:presLayoutVars>
      </dgm:prSet>
      <dgm:spPr/>
    </dgm:pt>
    <dgm:pt modelId="{77E8DEAC-90AC-4321-BD14-5FE24A87A639}" type="pres">
      <dgm:prSet presAssocID="{F2D435C7-7B62-44AE-9C4C-A8A6A7D411D3}" presName="rootComposite" presStyleCnt="0"/>
      <dgm:spPr/>
    </dgm:pt>
    <dgm:pt modelId="{87D9F988-83C6-418A-A953-4DBA108E893C}" type="pres">
      <dgm:prSet presAssocID="{F2D435C7-7B62-44AE-9C4C-A8A6A7D411D3}" presName="rootText" presStyleLbl="node2" presStyleIdx="0" presStyleCnt="3" custScaleX="657605" custScaleY="314143" custLinFactNeighborX="-29997" custLinFactNeighborY="42375">
        <dgm:presLayoutVars>
          <dgm:chPref val="3"/>
        </dgm:presLayoutVars>
      </dgm:prSet>
      <dgm:spPr/>
    </dgm:pt>
    <dgm:pt modelId="{7406D7BA-634E-43ED-BABB-840ED6680B26}" type="pres">
      <dgm:prSet presAssocID="{F2D435C7-7B62-44AE-9C4C-A8A6A7D411D3}" presName="rootConnector" presStyleLbl="node2" presStyleIdx="0" presStyleCnt="3"/>
      <dgm:spPr/>
    </dgm:pt>
    <dgm:pt modelId="{15AE9F4B-B0C5-4299-8818-5CD00F8820F0}" type="pres">
      <dgm:prSet presAssocID="{F2D435C7-7B62-44AE-9C4C-A8A6A7D411D3}" presName="hierChild4" presStyleCnt="0"/>
      <dgm:spPr/>
    </dgm:pt>
    <dgm:pt modelId="{B26F875D-1D26-46AD-8FC8-DEC1F42F67CD}" type="pres">
      <dgm:prSet presAssocID="{097724E7-8DD8-4059-8D79-86F960544173}" presName="Name37" presStyleLbl="parChTrans1D3" presStyleIdx="0" presStyleCnt="6"/>
      <dgm:spPr/>
    </dgm:pt>
    <dgm:pt modelId="{7BC1CA5E-676F-4A01-91A8-7C5E83283D33}" type="pres">
      <dgm:prSet presAssocID="{7ECE0D00-5FF8-4FC9-A18E-BD73AFA50EBC}" presName="hierRoot2" presStyleCnt="0">
        <dgm:presLayoutVars>
          <dgm:hierBranch val="init"/>
        </dgm:presLayoutVars>
      </dgm:prSet>
      <dgm:spPr/>
    </dgm:pt>
    <dgm:pt modelId="{9AE612D4-6B0C-4BAD-8192-3B2856DDC0F4}" type="pres">
      <dgm:prSet presAssocID="{7ECE0D00-5FF8-4FC9-A18E-BD73AFA50EBC}" presName="rootComposite" presStyleCnt="0"/>
      <dgm:spPr/>
    </dgm:pt>
    <dgm:pt modelId="{16797997-7266-46B4-9CB4-0FC279F486EA}" type="pres">
      <dgm:prSet presAssocID="{7ECE0D00-5FF8-4FC9-A18E-BD73AFA50EBC}" presName="rootText" presStyleLbl="node3" presStyleIdx="0" presStyleCnt="6" custAng="10800000" custFlipVert="1" custScaleX="320099" custScaleY="370459" custLinFactNeighborX="-11821" custLinFactNeighborY="76543">
        <dgm:presLayoutVars>
          <dgm:chPref val="3"/>
        </dgm:presLayoutVars>
      </dgm:prSet>
      <dgm:spPr/>
    </dgm:pt>
    <dgm:pt modelId="{F137DA07-46A7-4D16-8613-D5AFB94C406C}" type="pres">
      <dgm:prSet presAssocID="{7ECE0D00-5FF8-4FC9-A18E-BD73AFA50EBC}" presName="rootConnector" presStyleLbl="node3" presStyleIdx="0" presStyleCnt="6"/>
      <dgm:spPr/>
    </dgm:pt>
    <dgm:pt modelId="{71589DB5-B51A-44E0-AE0B-7846494FFA41}" type="pres">
      <dgm:prSet presAssocID="{7ECE0D00-5FF8-4FC9-A18E-BD73AFA50EBC}" presName="hierChild4" presStyleCnt="0"/>
      <dgm:spPr/>
    </dgm:pt>
    <dgm:pt modelId="{4177E1FB-1880-49C5-98C6-780ACA90E1B0}" type="pres">
      <dgm:prSet presAssocID="{D39309F4-2A30-4E7B-8131-898F2002A885}" presName="Name37" presStyleLbl="parChTrans1D4" presStyleIdx="0" presStyleCnt="21"/>
      <dgm:spPr/>
    </dgm:pt>
    <dgm:pt modelId="{0EF0A2AF-8205-46E0-9F81-35EF45779776}" type="pres">
      <dgm:prSet presAssocID="{4432A52E-D9D2-4556-852B-42671DA95ABF}" presName="hierRoot2" presStyleCnt="0">
        <dgm:presLayoutVars>
          <dgm:hierBranch val="init"/>
        </dgm:presLayoutVars>
      </dgm:prSet>
      <dgm:spPr/>
    </dgm:pt>
    <dgm:pt modelId="{9F5F353D-6866-4BD5-B251-0331051E0E03}" type="pres">
      <dgm:prSet presAssocID="{4432A52E-D9D2-4556-852B-42671DA95ABF}" presName="rootComposite" presStyleCnt="0"/>
      <dgm:spPr/>
    </dgm:pt>
    <dgm:pt modelId="{C314E26F-6362-4AA6-AC20-89CF8A23170C}" type="pres">
      <dgm:prSet presAssocID="{4432A52E-D9D2-4556-852B-42671DA95ABF}" presName="rootText" presStyleLbl="node4" presStyleIdx="0" presStyleCnt="21" custScaleX="265889" custScaleY="368479" custLinFactNeighborX="-39435" custLinFactNeighborY="63433">
        <dgm:presLayoutVars>
          <dgm:chPref val="3"/>
        </dgm:presLayoutVars>
      </dgm:prSet>
      <dgm:spPr/>
    </dgm:pt>
    <dgm:pt modelId="{A3FA1DC9-AE88-4487-B093-E7AF94AD100C}" type="pres">
      <dgm:prSet presAssocID="{4432A52E-D9D2-4556-852B-42671DA95ABF}" presName="rootConnector" presStyleLbl="node4" presStyleIdx="0" presStyleCnt="21"/>
      <dgm:spPr/>
    </dgm:pt>
    <dgm:pt modelId="{C4BFA207-9003-40D4-B517-774A24491CEB}" type="pres">
      <dgm:prSet presAssocID="{4432A52E-D9D2-4556-852B-42671DA95ABF}" presName="hierChild4" presStyleCnt="0"/>
      <dgm:spPr/>
    </dgm:pt>
    <dgm:pt modelId="{27843B41-D2C9-4158-B5F8-624C966D26A3}" type="pres">
      <dgm:prSet presAssocID="{4432A52E-D9D2-4556-852B-42671DA95ABF}" presName="hierChild5" presStyleCnt="0"/>
      <dgm:spPr/>
    </dgm:pt>
    <dgm:pt modelId="{DA554E03-40BD-44CF-8790-7AA329C45E42}" type="pres">
      <dgm:prSet presAssocID="{D0356A9C-608C-4C78-A2E5-7810B71934A7}" presName="Name37" presStyleLbl="parChTrans1D4" presStyleIdx="1" presStyleCnt="21"/>
      <dgm:spPr/>
    </dgm:pt>
    <dgm:pt modelId="{598B6BF8-736B-4CEB-AA19-C5923B2A174C}" type="pres">
      <dgm:prSet presAssocID="{7BC3BF3B-6057-4C20-A2B3-8CE35DD05FE4}" presName="hierRoot2" presStyleCnt="0">
        <dgm:presLayoutVars>
          <dgm:hierBranch val="init"/>
        </dgm:presLayoutVars>
      </dgm:prSet>
      <dgm:spPr/>
    </dgm:pt>
    <dgm:pt modelId="{96555ED0-7E77-4EED-B081-5F0DA1BF5CE0}" type="pres">
      <dgm:prSet presAssocID="{7BC3BF3B-6057-4C20-A2B3-8CE35DD05FE4}" presName="rootComposite" presStyleCnt="0"/>
      <dgm:spPr/>
    </dgm:pt>
    <dgm:pt modelId="{A9077D6F-A0BD-4C1E-90C6-11C4BD3509B0}" type="pres">
      <dgm:prSet presAssocID="{7BC3BF3B-6057-4C20-A2B3-8CE35DD05FE4}" presName="rootText" presStyleLbl="node4" presStyleIdx="1" presStyleCnt="21" custScaleX="265820" custScaleY="260995" custLinFactNeighborX="-39380" custLinFactNeighborY="55950">
        <dgm:presLayoutVars>
          <dgm:chPref val="3"/>
        </dgm:presLayoutVars>
      </dgm:prSet>
      <dgm:spPr/>
    </dgm:pt>
    <dgm:pt modelId="{A5234D8F-9E3C-461D-892A-43794FAED207}" type="pres">
      <dgm:prSet presAssocID="{7BC3BF3B-6057-4C20-A2B3-8CE35DD05FE4}" presName="rootConnector" presStyleLbl="node4" presStyleIdx="1" presStyleCnt="21"/>
      <dgm:spPr/>
    </dgm:pt>
    <dgm:pt modelId="{44D5C491-B503-45D4-983F-871B2FB85CB9}" type="pres">
      <dgm:prSet presAssocID="{7BC3BF3B-6057-4C20-A2B3-8CE35DD05FE4}" presName="hierChild4" presStyleCnt="0"/>
      <dgm:spPr/>
    </dgm:pt>
    <dgm:pt modelId="{010B88C1-0A65-449C-AB6D-CD5A38E7937F}" type="pres">
      <dgm:prSet presAssocID="{7BC3BF3B-6057-4C20-A2B3-8CE35DD05FE4}" presName="hierChild5" presStyleCnt="0"/>
      <dgm:spPr/>
    </dgm:pt>
    <dgm:pt modelId="{2E8A66D7-765C-4F9D-A32F-D35362EDA44B}" type="pres">
      <dgm:prSet presAssocID="{6BD5E1AC-0E8F-4628-89F0-780B1B1C928F}" presName="Name37" presStyleLbl="parChTrans1D4" presStyleIdx="2" presStyleCnt="21"/>
      <dgm:spPr/>
    </dgm:pt>
    <dgm:pt modelId="{31CEB6AE-1798-40C6-B020-8D0C49D064B4}" type="pres">
      <dgm:prSet presAssocID="{EE2EDF37-688B-4FD0-A3FB-102928A9F920}" presName="hierRoot2" presStyleCnt="0">
        <dgm:presLayoutVars>
          <dgm:hierBranch val="init"/>
        </dgm:presLayoutVars>
      </dgm:prSet>
      <dgm:spPr/>
    </dgm:pt>
    <dgm:pt modelId="{845068C8-888A-4A03-862E-79C1B1B9A780}" type="pres">
      <dgm:prSet presAssocID="{EE2EDF37-688B-4FD0-A3FB-102928A9F920}" presName="rootComposite" presStyleCnt="0"/>
      <dgm:spPr/>
    </dgm:pt>
    <dgm:pt modelId="{57D27527-8CC6-49AA-B356-7BC3CEB693FF}" type="pres">
      <dgm:prSet presAssocID="{EE2EDF37-688B-4FD0-A3FB-102928A9F920}" presName="rootText" presStyleLbl="node4" presStyleIdx="2" presStyleCnt="21" custScaleX="265820" custScaleY="377691" custLinFactNeighborX="-39612" custLinFactNeighborY="44316">
        <dgm:presLayoutVars>
          <dgm:chPref val="3"/>
        </dgm:presLayoutVars>
      </dgm:prSet>
      <dgm:spPr/>
    </dgm:pt>
    <dgm:pt modelId="{8DC1BEF0-D93E-43FF-8B64-2EDB5EDF1243}" type="pres">
      <dgm:prSet presAssocID="{EE2EDF37-688B-4FD0-A3FB-102928A9F920}" presName="rootConnector" presStyleLbl="node4" presStyleIdx="2" presStyleCnt="21"/>
      <dgm:spPr/>
    </dgm:pt>
    <dgm:pt modelId="{62C3559E-F8BD-489D-97B1-3FCF4D3BEC51}" type="pres">
      <dgm:prSet presAssocID="{EE2EDF37-688B-4FD0-A3FB-102928A9F920}" presName="hierChild4" presStyleCnt="0"/>
      <dgm:spPr/>
    </dgm:pt>
    <dgm:pt modelId="{C506A52C-6BA8-46FD-BBC5-029081FB2FA2}" type="pres">
      <dgm:prSet presAssocID="{EE2EDF37-688B-4FD0-A3FB-102928A9F920}" presName="hierChild5" presStyleCnt="0"/>
      <dgm:spPr/>
    </dgm:pt>
    <dgm:pt modelId="{2F4B0A22-16F7-4E00-8287-00234A1E7146}" type="pres">
      <dgm:prSet presAssocID="{3DF58710-C58C-498C-BE92-4F361C109A65}" presName="Name37" presStyleLbl="parChTrans1D4" presStyleIdx="3" presStyleCnt="21"/>
      <dgm:spPr/>
    </dgm:pt>
    <dgm:pt modelId="{F1E35D4F-235B-413E-8EBD-8157FB525CBB}" type="pres">
      <dgm:prSet presAssocID="{5FC2C784-8617-4403-809A-E1B9E38E6497}" presName="hierRoot2" presStyleCnt="0">
        <dgm:presLayoutVars>
          <dgm:hierBranch val="init"/>
        </dgm:presLayoutVars>
      </dgm:prSet>
      <dgm:spPr/>
    </dgm:pt>
    <dgm:pt modelId="{5881B13F-157A-43C5-8D44-0E0EBA5EC0D7}" type="pres">
      <dgm:prSet presAssocID="{5FC2C784-8617-4403-809A-E1B9E38E6497}" presName="rootComposite" presStyleCnt="0"/>
      <dgm:spPr/>
    </dgm:pt>
    <dgm:pt modelId="{A65527EB-BCD5-4927-A0F1-AF198A01ED8B}" type="pres">
      <dgm:prSet presAssocID="{5FC2C784-8617-4403-809A-E1B9E38E6497}" presName="rootText" presStyleLbl="node4" presStyleIdx="3" presStyleCnt="21" custScaleX="265820" custScaleY="272055" custLinFactNeighborX="-38772" custLinFactNeighborY="41521">
        <dgm:presLayoutVars>
          <dgm:chPref val="3"/>
        </dgm:presLayoutVars>
      </dgm:prSet>
      <dgm:spPr/>
    </dgm:pt>
    <dgm:pt modelId="{9F667E83-693A-4C97-B1B1-9572235E1869}" type="pres">
      <dgm:prSet presAssocID="{5FC2C784-8617-4403-809A-E1B9E38E6497}" presName="rootConnector" presStyleLbl="node4" presStyleIdx="3" presStyleCnt="21"/>
      <dgm:spPr/>
    </dgm:pt>
    <dgm:pt modelId="{B7808451-5C9E-4D42-B959-2364D404DCEE}" type="pres">
      <dgm:prSet presAssocID="{5FC2C784-8617-4403-809A-E1B9E38E6497}" presName="hierChild4" presStyleCnt="0"/>
      <dgm:spPr/>
    </dgm:pt>
    <dgm:pt modelId="{B205A397-5A8F-4B9A-8C88-D01DDCA63202}" type="pres">
      <dgm:prSet presAssocID="{5FC2C784-8617-4403-809A-E1B9E38E6497}" presName="hierChild5" presStyleCnt="0"/>
      <dgm:spPr/>
    </dgm:pt>
    <dgm:pt modelId="{1A5A1CF1-FD66-425C-98A2-B428465B161B}" type="pres">
      <dgm:prSet presAssocID="{7ECE0D00-5FF8-4FC9-A18E-BD73AFA50EBC}" presName="hierChild5" presStyleCnt="0"/>
      <dgm:spPr/>
    </dgm:pt>
    <dgm:pt modelId="{9C23DC9A-B1F3-4AD3-A3CF-BA7738EFE431}" type="pres">
      <dgm:prSet presAssocID="{AA59950B-DBCA-4304-872E-48194044E7B0}" presName="Name37" presStyleLbl="parChTrans1D3" presStyleIdx="1" presStyleCnt="6"/>
      <dgm:spPr/>
    </dgm:pt>
    <dgm:pt modelId="{ED93661A-5C12-4D7F-A326-6502AC104EBB}" type="pres">
      <dgm:prSet presAssocID="{1166AF32-0F15-49BE-A527-44BF102A5F42}" presName="hierRoot2" presStyleCnt="0">
        <dgm:presLayoutVars>
          <dgm:hierBranch val="init"/>
        </dgm:presLayoutVars>
      </dgm:prSet>
      <dgm:spPr/>
    </dgm:pt>
    <dgm:pt modelId="{F0692296-B77B-4BD9-9894-775DBF7A27DD}" type="pres">
      <dgm:prSet presAssocID="{1166AF32-0F15-49BE-A527-44BF102A5F42}" presName="rootComposite" presStyleCnt="0"/>
      <dgm:spPr/>
    </dgm:pt>
    <dgm:pt modelId="{ADF3D91C-C56F-4101-A65E-88579DC63B73}" type="pres">
      <dgm:prSet presAssocID="{1166AF32-0F15-49BE-A527-44BF102A5F42}" presName="rootText" presStyleLbl="node3" presStyleIdx="1" presStyleCnt="6" custScaleX="332972" custScaleY="370573" custLinFactNeighborX="-4375" custLinFactNeighborY="75951">
        <dgm:presLayoutVars>
          <dgm:chPref val="3"/>
        </dgm:presLayoutVars>
      </dgm:prSet>
      <dgm:spPr/>
    </dgm:pt>
    <dgm:pt modelId="{06238041-F4AF-40D9-9C60-6DF44F50767C}" type="pres">
      <dgm:prSet presAssocID="{1166AF32-0F15-49BE-A527-44BF102A5F42}" presName="rootConnector" presStyleLbl="node3" presStyleIdx="1" presStyleCnt="6"/>
      <dgm:spPr/>
    </dgm:pt>
    <dgm:pt modelId="{3CF116C4-F031-4A9A-AF9D-85E1A823795D}" type="pres">
      <dgm:prSet presAssocID="{1166AF32-0F15-49BE-A527-44BF102A5F42}" presName="hierChild4" presStyleCnt="0"/>
      <dgm:spPr/>
    </dgm:pt>
    <dgm:pt modelId="{6ED7D0B0-AE7C-48F0-932A-CF7756D1D965}" type="pres">
      <dgm:prSet presAssocID="{1F314DFF-E2D0-4418-AF4C-F93D09148349}" presName="Name37" presStyleLbl="parChTrans1D4" presStyleIdx="4" presStyleCnt="21"/>
      <dgm:spPr/>
    </dgm:pt>
    <dgm:pt modelId="{5D1AA017-1B74-449F-9DAA-44493D95D7FA}" type="pres">
      <dgm:prSet presAssocID="{F360A459-0493-45A0-BE09-9CB397E4C5EC}" presName="hierRoot2" presStyleCnt="0">
        <dgm:presLayoutVars>
          <dgm:hierBranch val="init"/>
        </dgm:presLayoutVars>
      </dgm:prSet>
      <dgm:spPr/>
    </dgm:pt>
    <dgm:pt modelId="{B3288C67-BF6E-4921-B1BE-489913E4DED8}" type="pres">
      <dgm:prSet presAssocID="{F360A459-0493-45A0-BE09-9CB397E4C5EC}" presName="rootComposite" presStyleCnt="0"/>
      <dgm:spPr/>
    </dgm:pt>
    <dgm:pt modelId="{ADE861E2-A031-4E11-A772-B1FAF95DDD31}" type="pres">
      <dgm:prSet presAssocID="{F360A459-0493-45A0-BE09-9CB397E4C5EC}" presName="rootText" presStyleLbl="node4" presStyleIdx="4" presStyleCnt="21" custScaleX="283763" custScaleY="237946" custLinFactNeighborX="-38306" custLinFactNeighborY="60405">
        <dgm:presLayoutVars>
          <dgm:chPref val="3"/>
        </dgm:presLayoutVars>
      </dgm:prSet>
      <dgm:spPr/>
    </dgm:pt>
    <dgm:pt modelId="{117150F1-77AC-487B-B5D6-79D824341F8A}" type="pres">
      <dgm:prSet presAssocID="{F360A459-0493-45A0-BE09-9CB397E4C5EC}" presName="rootConnector" presStyleLbl="node4" presStyleIdx="4" presStyleCnt="21"/>
      <dgm:spPr/>
    </dgm:pt>
    <dgm:pt modelId="{5D1CF707-5B08-4A11-9AD9-79AA86B3EBB0}" type="pres">
      <dgm:prSet presAssocID="{F360A459-0493-45A0-BE09-9CB397E4C5EC}" presName="hierChild4" presStyleCnt="0"/>
      <dgm:spPr/>
    </dgm:pt>
    <dgm:pt modelId="{AD3DED53-CD59-410C-9CFD-C81B8034B7A0}" type="pres">
      <dgm:prSet presAssocID="{F360A459-0493-45A0-BE09-9CB397E4C5EC}" presName="hierChild5" presStyleCnt="0"/>
      <dgm:spPr/>
    </dgm:pt>
    <dgm:pt modelId="{647C1275-7891-413D-A763-CEF1DB279D94}" type="pres">
      <dgm:prSet presAssocID="{1A39C80B-73FB-411F-BD4A-249868550A51}" presName="Name37" presStyleLbl="parChTrans1D4" presStyleIdx="5" presStyleCnt="21"/>
      <dgm:spPr/>
    </dgm:pt>
    <dgm:pt modelId="{EDAB69C0-1BFC-47AB-A2B6-91BC8B826606}" type="pres">
      <dgm:prSet presAssocID="{6C88C8AE-CFC2-457C-8CD9-41A57B9E70B8}" presName="hierRoot2" presStyleCnt="0">
        <dgm:presLayoutVars>
          <dgm:hierBranch val="init"/>
        </dgm:presLayoutVars>
      </dgm:prSet>
      <dgm:spPr/>
    </dgm:pt>
    <dgm:pt modelId="{8F5CD488-7A31-4531-9A43-3E33C4BF7326}" type="pres">
      <dgm:prSet presAssocID="{6C88C8AE-CFC2-457C-8CD9-41A57B9E70B8}" presName="rootComposite" presStyleCnt="0"/>
      <dgm:spPr/>
    </dgm:pt>
    <dgm:pt modelId="{35C0DAD1-66C3-4740-98A1-00A4BD0A4564}" type="pres">
      <dgm:prSet presAssocID="{6C88C8AE-CFC2-457C-8CD9-41A57B9E70B8}" presName="rootText" presStyleLbl="node4" presStyleIdx="5" presStyleCnt="21" custScaleX="283692" custScaleY="326210" custLinFactNeighborX="-36670" custLinFactNeighborY="46990">
        <dgm:presLayoutVars>
          <dgm:chPref val="3"/>
        </dgm:presLayoutVars>
      </dgm:prSet>
      <dgm:spPr/>
    </dgm:pt>
    <dgm:pt modelId="{F8D66CDC-2FB9-4C20-9813-1874695C90F4}" type="pres">
      <dgm:prSet presAssocID="{6C88C8AE-CFC2-457C-8CD9-41A57B9E70B8}" presName="rootConnector" presStyleLbl="node4" presStyleIdx="5" presStyleCnt="21"/>
      <dgm:spPr/>
    </dgm:pt>
    <dgm:pt modelId="{DFFEADA8-8E2D-4BF3-A372-880B713F23C2}" type="pres">
      <dgm:prSet presAssocID="{6C88C8AE-CFC2-457C-8CD9-41A57B9E70B8}" presName="hierChild4" presStyleCnt="0"/>
      <dgm:spPr/>
    </dgm:pt>
    <dgm:pt modelId="{3EB286FB-9E50-4F22-AEBC-68CDB7F9F8B3}" type="pres">
      <dgm:prSet presAssocID="{6C88C8AE-CFC2-457C-8CD9-41A57B9E70B8}" presName="hierChild5" presStyleCnt="0"/>
      <dgm:spPr/>
    </dgm:pt>
    <dgm:pt modelId="{4F9D070C-D865-4053-A12F-C0B37C81DA63}" type="pres">
      <dgm:prSet presAssocID="{652769C8-4847-4AD6-B528-ABBC34C26B5D}" presName="Name37" presStyleLbl="parChTrans1D4" presStyleIdx="6" presStyleCnt="21"/>
      <dgm:spPr/>
    </dgm:pt>
    <dgm:pt modelId="{0618C1DD-6BFD-4643-95CF-2F6B482CB2A5}" type="pres">
      <dgm:prSet presAssocID="{64FD1BA2-9B87-4505-88F8-2ECC75962081}" presName="hierRoot2" presStyleCnt="0">
        <dgm:presLayoutVars>
          <dgm:hierBranch val="init"/>
        </dgm:presLayoutVars>
      </dgm:prSet>
      <dgm:spPr/>
    </dgm:pt>
    <dgm:pt modelId="{D9DBFBDF-A22B-4257-B21F-ABF39A08AD7C}" type="pres">
      <dgm:prSet presAssocID="{64FD1BA2-9B87-4505-88F8-2ECC75962081}" presName="rootComposite" presStyleCnt="0"/>
      <dgm:spPr/>
    </dgm:pt>
    <dgm:pt modelId="{922D5BB0-A7A7-4DDF-B4F5-8A65C41B5FE6}" type="pres">
      <dgm:prSet presAssocID="{64FD1BA2-9B87-4505-88F8-2ECC75962081}" presName="rootText" presStyleLbl="node4" presStyleIdx="6" presStyleCnt="21" custScaleX="283692" custScaleY="328681" custLinFactNeighborX="-38307" custLinFactNeighborY="34054">
        <dgm:presLayoutVars>
          <dgm:chPref val="3"/>
        </dgm:presLayoutVars>
      </dgm:prSet>
      <dgm:spPr/>
    </dgm:pt>
    <dgm:pt modelId="{0FD672B8-73E7-46AD-8909-2400DC508BD7}" type="pres">
      <dgm:prSet presAssocID="{64FD1BA2-9B87-4505-88F8-2ECC75962081}" presName="rootConnector" presStyleLbl="node4" presStyleIdx="6" presStyleCnt="21"/>
      <dgm:spPr/>
    </dgm:pt>
    <dgm:pt modelId="{5348456B-10FD-4FD9-9F8C-6B2F5DA1D686}" type="pres">
      <dgm:prSet presAssocID="{64FD1BA2-9B87-4505-88F8-2ECC75962081}" presName="hierChild4" presStyleCnt="0"/>
      <dgm:spPr/>
    </dgm:pt>
    <dgm:pt modelId="{A100AFB8-C31D-4A68-9F9D-751882DD5F90}" type="pres">
      <dgm:prSet presAssocID="{64FD1BA2-9B87-4505-88F8-2ECC75962081}" presName="hierChild5" presStyleCnt="0"/>
      <dgm:spPr/>
    </dgm:pt>
    <dgm:pt modelId="{7AE119CB-2864-43D4-9339-45C4F173DDDC}" type="pres">
      <dgm:prSet presAssocID="{44BDB308-3BC8-4562-B9F9-3434491487E0}" presName="Name37" presStyleLbl="parChTrans1D4" presStyleIdx="7" presStyleCnt="21"/>
      <dgm:spPr/>
    </dgm:pt>
    <dgm:pt modelId="{4705688E-ED5C-4F63-82B1-B9FAE77DEBE2}" type="pres">
      <dgm:prSet presAssocID="{2D0ADCA3-58DB-45DD-951D-7E2ADF39E394}" presName="hierRoot2" presStyleCnt="0">
        <dgm:presLayoutVars>
          <dgm:hierBranch val="init"/>
        </dgm:presLayoutVars>
      </dgm:prSet>
      <dgm:spPr/>
    </dgm:pt>
    <dgm:pt modelId="{92ABBE37-D2DE-464B-A0D6-7706FCF46DA3}" type="pres">
      <dgm:prSet presAssocID="{2D0ADCA3-58DB-45DD-951D-7E2ADF39E394}" presName="rootComposite" presStyleCnt="0"/>
      <dgm:spPr/>
    </dgm:pt>
    <dgm:pt modelId="{A27CF9BD-C5B2-4BED-9B73-42F45FA6625F}" type="pres">
      <dgm:prSet presAssocID="{2D0ADCA3-58DB-45DD-951D-7E2ADF39E394}" presName="rootText" presStyleLbl="node4" presStyleIdx="7" presStyleCnt="21" custScaleX="283692" custScaleY="253873" custLinFactNeighborX="-38307" custLinFactNeighborY="14503">
        <dgm:presLayoutVars>
          <dgm:chPref val="3"/>
        </dgm:presLayoutVars>
      </dgm:prSet>
      <dgm:spPr/>
    </dgm:pt>
    <dgm:pt modelId="{D1E9EF65-7FF6-42FA-95B0-6E2BCC0DA87A}" type="pres">
      <dgm:prSet presAssocID="{2D0ADCA3-58DB-45DD-951D-7E2ADF39E394}" presName="rootConnector" presStyleLbl="node4" presStyleIdx="7" presStyleCnt="21"/>
      <dgm:spPr/>
    </dgm:pt>
    <dgm:pt modelId="{950DFF84-DA37-47EA-9147-1F7D0D5AB201}" type="pres">
      <dgm:prSet presAssocID="{2D0ADCA3-58DB-45DD-951D-7E2ADF39E394}" presName="hierChild4" presStyleCnt="0"/>
      <dgm:spPr/>
    </dgm:pt>
    <dgm:pt modelId="{3456762E-9B1D-46F9-98EE-5634A165D404}" type="pres">
      <dgm:prSet presAssocID="{2D0ADCA3-58DB-45DD-951D-7E2ADF39E394}" presName="hierChild5" presStyleCnt="0"/>
      <dgm:spPr/>
    </dgm:pt>
    <dgm:pt modelId="{126A9A2C-DC36-49E3-BD2D-F41BC52F96EE}" type="pres">
      <dgm:prSet presAssocID="{9F901148-05B1-4AD4-B764-1428D86FDE9B}" presName="Name37" presStyleLbl="parChTrans1D4" presStyleIdx="8" presStyleCnt="21"/>
      <dgm:spPr/>
    </dgm:pt>
    <dgm:pt modelId="{0A5688A7-1FD0-4ADF-A2A5-350A8799747F}" type="pres">
      <dgm:prSet presAssocID="{62CE1EB7-0778-4390-8208-387455E58A48}" presName="hierRoot2" presStyleCnt="0">
        <dgm:presLayoutVars>
          <dgm:hierBranch val="init"/>
        </dgm:presLayoutVars>
      </dgm:prSet>
      <dgm:spPr/>
    </dgm:pt>
    <dgm:pt modelId="{7D5BA301-7753-4C84-8629-24DEFE512C69}" type="pres">
      <dgm:prSet presAssocID="{62CE1EB7-0778-4390-8208-387455E58A48}" presName="rootComposite" presStyleCnt="0"/>
      <dgm:spPr/>
    </dgm:pt>
    <dgm:pt modelId="{4496A48D-AE96-4407-95BC-8B309974DBB2}" type="pres">
      <dgm:prSet presAssocID="{62CE1EB7-0778-4390-8208-387455E58A48}" presName="rootText" presStyleLbl="node4" presStyleIdx="8" presStyleCnt="21" custScaleX="283692" custScaleY="253873" custLinFactNeighborX="-38307" custLinFactNeighborY="439">
        <dgm:presLayoutVars>
          <dgm:chPref val="3"/>
        </dgm:presLayoutVars>
      </dgm:prSet>
      <dgm:spPr/>
    </dgm:pt>
    <dgm:pt modelId="{1E606958-E510-4439-A206-1222759E11AB}" type="pres">
      <dgm:prSet presAssocID="{62CE1EB7-0778-4390-8208-387455E58A48}" presName="rootConnector" presStyleLbl="node4" presStyleIdx="8" presStyleCnt="21"/>
      <dgm:spPr/>
    </dgm:pt>
    <dgm:pt modelId="{8E3CF9E0-4EF7-4FDF-A66F-F27C556A6672}" type="pres">
      <dgm:prSet presAssocID="{62CE1EB7-0778-4390-8208-387455E58A48}" presName="hierChild4" presStyleCnt="0"/>
      <dgm:spPr/>
    </dgm:pt>
    <dgm:pt modelId="{0B4F5C5B-2EFA-46F6-94F0-F278D1249A73}" type="pres">
      <dgm:prSet presAssocID="{62CE1EB7-0778-4390-8208-387455E58A48}" presName="hierChild5" presStyleCnt="0"/>
      <dgm:spPr/>
    </dgm:pt>
    <dgm:pt modelId="{BBE22042-6906-4393-9531-D27D8370A218}" type="pres">
      <dgm:prSet presAssocID="{1166AF32-0F15-49BE-A527-44BF102A5F42}" presName="hierChild5" presStyleCnt="0"/>
      <dgm:spPr/>
    </dgm:pt>
    <dgm:pt modelId="{247D9EFE-18C9-48C1-B53C-6C0BDE370A74}" type="pres">
      <dgm:prSet presAssocID="{F2D435C7-7B62-44AE-9C4C-A8A6A7D411D3}" presName="hierChild5" presStyleCnt="0"/>
      <dgm:spPr/>
    </dgm:pt>
    <dgm:pt modelId="{F75DC991-44CE-406B-BD99-E05CBFC3597C}" type="pres">
      <dgm:prSet presAssocID="{C87D0185-A927-4A83-A9D0-EE494B38E8D3}" presName="Name37" presStyleLbl="parChTrans1D2" presStyleIdx="1" presStyleCnt="3"/>
      <dgm:spPr/>
    </dgm:pt>
    <dgm:pt modelId="{1281182B-B909-4DE9-BF81-6A0B9F505676}" type="pres">
      <dgm:prSet presAssocID="{3F267390-0E50-4CCC-B005-BC11673CF2A3}" presName="hierRoot2" presStyleCnt="0">
        <dgm:presLayoutVars>
          <dgm:hierBranch val="init"/>
        </dgm:presLayoutVars>
      </dgm:prSet>
      <dgm:spPr/>
    </dgm:pt>
    <dgm:pt modelId="{40EF262E-AA9C-47B0-BAEF-A0718B2FE6E2}" type="pres">
      <dgm:prSet presAssocID="{3F267390-0E50-4CCC-B005-BC11673CF2A3}" presName="rootComposite" presStyleCnt="0"/>
      <dgm:spPr/>
    </dgm:pt>
    <dgm:pt modelId="{A9634FF6-2749-44C9-B7B1-E1619ED40DAC}" type="pres">
      <dgm:prSet presAssocID="{3F267390-0E50-4CCC-B005-BC11673CF2A3}" presName="rootText" presStyleLbl="node2" presStyleIdx="1" presStyleCnt="3" custScaleX="720434" custScaleY="314143" custLinFactNeighborX="5847" custLinFactNeighborY="44687">
        <dgm:presLayoutVars>
          <dgm:chPref val="3"/>
        </dgm:presLayoutVars>
      </dgm:prSet>
      <dgm:spPr/>
    </dgm:pt>
    <dgm:pt modelId="{620CD522-B0E9-4FD9-842A-2B74F50428F0}" type="pres">
      <dgm:prSet presAssocID="{3F267390-0E50-4CCC-B005-BC11673CF2A3}" presName="rootConnector" presStyleLbl="node2" presStyleIdx="1" presStyleCnt="3"/>
      <dgm:spPr/>
    </dgm:pt>
    <dgm:pt modelId="{1EDC6B36-E10C-4486-A610-F902600CF3F9}" type="pres">
      <dgm:prSet presAssocID="{3F267390-0E50-4CCC-B005-BC11673CF2A3}" presName="hierChild4" presStyleCnt="0"/>
      <dgm:spPr/>
    </dgm:pt>
    <dgm:pt modelId="{F69CB23E-FA84-42DB-B08B-A21A8DFD06A1}" type="pres">
      <dgm:prSet presAssocID="{38F80706-2567-419D-9FB1-EDDA9BE3B306}" presName="Name37" presStyleLbl="parChTrans1D3" presStyleIdx="2" presStyleCnt="6"/>
      <dgm:spPr/>
    </dgm:pt>
    <dgm:pt modelId="{67DFB851-6E13-4513-915A-581E4051B9C5}" type="pres">
      <dgm:prSet presAssocID="{A24439C4-6CC3-4F0B-AB37-B5F48C404637}" presName="hierRoot2" presStyleCnt="0">
        <dgm:presLayoutVars>
          <dgm:hierBranch val="init"/>
        </dgm:presLayoutVars>
      </dgm:prSet>
      <dgm:spPr/>
    </dgm:pt>
    <dgm:pt modelId="{5A463CB9-B709-4AAC-BF31-E2F9C7719A0C}" type="pres">
      <dgm:prSet presAssocID="{A24439C4-6CC3-4F0B-AB37-B5F48C404637}" presName="rootComposite" presStyleCnt="0"/>
      <dgm:spPr/>
    </dgm:pt>
    <dgm:pt modelId="{C0E5A178-5117-4E98-BB64-AD9E497BE4C4}" type="pres">
      <dgm:prSet presAssocID="{A24439C4-6CC3-4F0B-AB37-B5F48C404637}" presName="rootText" presStyleLbl="node3" presStyleIdx="2" presStyleCnt="6" custScaleX="345653" custScaleY="370573" custLinFactNeighborX="14883" custLinFactNeighborY="81696">
        <dgm:presLayoutVars>
          <dgm:chPref val="3"/>
        </dgm:presLayoutVars>
      </dgm:prSet>
      <dgm:spPr/>
    </dgm:pt>
    <dgm:pt modelId="{7043DE05-9A49-4A04-AEC9-CBECD2CF24F0}" type="pres">
      <dgm:prSet presAssocID="{A24439C4-6CC3-4F0B-AB37-B5F48C404637}" presName="rootConnector" presStyleLbl="node3" presStyleIdx="2" presStyleCnt="6"/>
      <dgm:spPr/>
    </dgm:pt>
    <dgm:pt modelId="{0B36FBB8-856C-4E39-B81C-05FBC969231D}" type="pres">
      <dgm:prSet presAssocID="{A24439C4-6CC3-4F0B-AB37-B5F48C404637}" presName="hierChild4" presStyleCnt="0"/>
      <dgm:spPr/>
    </dgm:pt>
    <dgm:pt modelId="{A90D7EAC-CA92-46B8-8137-9F6451FED97E}" type="pres">
      <dgm:prSet presAssocID="{08944449-A2FB-48A9-8E2C-8F48303B840F}" presName="Name37" presStyleLbl="parChTrans1D4" presStyleIdx="9" presStyleCnt="21"/>
      <dgm:spPr/>
    </dgm:pt>
    <dgm:pt modelId="{6098E0A0-92FA-4ADE-8F9F-D92213B741DB}" type="pres">
      <dgm:prSet presAssocID="{3F8741FC-51E3-4D2D-A1AA-77211F7A629A}" presName="hierRoot2" presStyleCnt="0">
        <dgm:presLayoutVars>
          <dgm:hierBranch val="init"/>
        </dgm:presLayoutVars>
      </dgm:prSet>
      <dgm:spPr/>
    </dgm:pt>
    <dgm:pt modelId="{88F56A3D-4391-4781-847C-D4948CB70BFC}" type="pres">
      <dgm:prSet presAssocID="{3F8741FC-51E3-4D2D-A1AA-77211F7A629A}" presName="rootComposite" presStyleCnt="0"/>
      <dgm:spPr/>
    </dgm:pt>
    <dgm:pt modelId="{F24B21A5-C4F5-4DDF-95CB-8BAE3C275280}" type="pres">
      <dgm:prSet presAssocID="{3F8741FC-51E3-4D2D-A1AA-77211F7A629A}" presName="rootText" presStyleLbl="node4" presStyleIdx="9" presStyleCnt="21" custScaleX="290364" custScaleY="297286" custLinFactNeighborX="-16635" custLinFactNeighborY="72923">
        <dgm:presLayoutVars>
          <dgm:chPref val="3"/>
        </dgm:presLayoutVars>
      </dgm:prSet>
      <dgm:spPr/>
    </dgm:pt>
    <dgm:pt modelId="{ADB9A74E-2ADE-421F-A303-46AEE8DD20FC}" type="pres">
      <dgm:prSet presAssocID="{3F8741FC-51E3-4D2D-A1AA-77211F7A629A}" presName="rootConnector" presStyleLbl="node4" presStyleIdx="9" presStyleCnt="21"/>
      <dgm:spPr/>
    </dgm:pt>
    <dgm:pt modelId="{5DB71849-9697-4AF5-86D0-F94B61C60A1B}" type="pres">
      <dgm:prSet presAssocID="{3F8741FC-51E3-4D2D-A1AA-77211F7A629A}" presName="hierChild4" presStyleCnt="0"/>
      <dgm:spPr/>
    </dgm:pt>
    <dgm:pt modelId="{082CE84F-ED96-46F4-B50A-28AC951C8FB2}" type="pres">
      <dgm:prSet presAssocID="{3F8741FC-51E3-4D2D-A1AA-77211F7A629A}" presName="hierChild5" presStyleCnt="0"/>
      <dgm:spPr/>
    </dgm:pt>
    <dgm:pt modelId="{07CCB45D-67CF-40AE-8F50-27292F870F1E}" type="pres">
      <dgm:prSet presAssocID="{1D1B4510-CC78-4E88-B3F5-4C9F656F5F83}" presName="Name37" presStyleLbl="parChTrans1D4" presStyleIdx="10" presStyleCnt="21"/>
      <dgm:spPr/>
    </dgm:pt>
    <dgm:pt modelId="{F272ABEF-C00B-4F20-949B-C3ED86640CC3}" type="pres">
      <dgm:prSet presAssocID="{05354665-5CC3-42E3-84BB-CCE5C773D2E5}" presName="hierRoot2" presStyleCnt="0">
        <dgm:presLayoutVars>
          <dgm:hierBranch val="init"/>
        </dgm:presLayoutVars>
      </dgm:prSet>
      <dgm:spPr/>
    </dgm:pt>
    <dgm:pt modelId="{34C68C69-8B6F-42C8-A25A-95E000D588C2}" type="pres">
      <dgm:prSet presAssocID="{05354665-5CC3-42E3-84BB-CCE5C773D2E5}" presName="rootComposite" presStyleCnt="0"/>
      <dgm:spPr/>
    </dgm:pt>
    <dgm:pt modelId="{CDD83C32-7E8A-49F2-902B-DC628C163915}" type="pres">
      <dgm:prSet presAssocID="{05354665-5CC3-42E3-84BB-CCE5C773D2E5}" presName="rootText" presStyleLbl="node4" presStyleIdx="10" presStyleCnt="21" custScaleX="290364" custScaleY="257681" custLinFactNeighborX="-15292" custLinFactNeighborY="68578">
        <dgm:presLayoutVars>
          <dgm:chPref val="3"/>
        </dgm:presLayoutVars>
      </dgm:prSet>
      <dgm:spPr/>
    </dgm:pt>
    <dgm:pt modelId="{1AA55B47-FD6D-401A-B1D0-C895BA2CA4F4}" type="pres">
      <dgm:prSet presAssocID="{05354665-5CC3-42E3-84BB-CCE5C773D2E5}" presName="rootConnector" presStyleLbl="node4" presStyleIdx="10" presStyleCnt="21"/>
      <dgm:spPr/>
    </dgm:pt>
    <dgm:pt modelId="{FE192F33-5E11-436A-A29C-3628DDE2ACD4}" type="pres">
      <dgm:prSet presAssocID="{05354665-5CC3-42E3-84BB-CCE5C773D2E5}" presName="hierChild4" presStyleCnt="0"/>
      <dgm:spPr/>
    </dgm:pt>
    <dgm:pt modelId="{2389919D-64DE-4770-8F37-853E3F702F42}" type="pres">
      <dgm:prSet presAssocID="{05354665-5CC3-42E3-84BB-CCE5C773D2E5}" presName="hierChild5" presStyleCnt="0"/>
      <dgm:spPr/>
    </dgm:pt>
    <dgm:pt modelId="{E3744603-9B52-4E13-9810-F633262CB01C}" type="pres">
      <dgm:prSet presAssocID="{4C708C60-FCE8-4523-A072-6310161B433E}" presName="Name37" presStyleLbl="parChTrans1D4" presStyleIdx="11" presStyleCnt="21"/>
      <dgm:spPr/>
    </dgm:pt>
    <dgm:pt modelId="{B8A92A3F-C75E-481A-8813-FD658328180B}" type="pres">
      <dgm:prSet presAssocID="{AD4A1B9D-D59B-4884-BF1C-76B0DF222B7F}" presName="hierRoot2" presStyleCnt="0">
        <dgm:presLayoutVars>
          <dgm:hierBranch val="init"/>
        </dgm:presLayoutVars>
      </dgm:prSet>
      <dgm:spPr/>
    </dgm:pt>
    <dgm:pt modelId="{D32ABAF2-5603-4DFA-82C9-D85E393CC3B4}" type="pres">
      <dgm:prSet presAssocID="{AD4A1B9D-D59B-4884-BF1C-76B0DF222B7F}" presName="rootComposite" presStyleCnt="0"/>
      <dgm:spPr/>
    </dgm:pt>
    <dgm:pt modelId="{A23FE01C-F4FF-4CAC-96BD-BC041F74F53F}" type="pres">
      <dgm:prSet presAssocID="{AD4A1B9D-D59B-4884-BF1C-76B0DF222B7F}" presName="rootText" presStyleLbl="node4" presStyleIdx="11" presStyleCnt="21" custScaleX="290364" custScaleY="297154" custLinFactNeighborX="-15292" custLinFactNeighborY="62983">
        <dgm:presLayoutVars>
          <dgm:chPref val="3"/>
        </dgm:presLayoutVars>
      </dgm:prSet>
      <dgm:spPr/>
    </dgm:pt>
    <dgm:pt modelId="{DF9F0C84-570E-41A3-8FCF-F58533551E9C}" type="pres">
      <dgm:prSet presAssocID="{AD4A1B9D-D59B-4884-BF1C-76B0DF222B7F}" presName="rootConnector" presStyleLbl="node4" presStyleIdx="11" presStyleCnt="21"/>
      <dgm:spPr/>
    </dgm:pt>
    <dgm:pt modelId="{ADDC27D1-0130-4CC0-BED3-748FB03B0683}" type="pres">
      <dgm:prSet presAssocID="{AD4A1B9D-D59B-4884-BF1C-76B0DF222B7F}" presName="hierChild4" presStyleCnt="0"/>
      <dgm:spPr/>
    </dgm:pt>
    <dgm:pt modelId="{CE275EE9-5C9C-466F-AAAD-339374A1D480}" type="pres">
      <dgm:prSet presAssocID="{AD4A1B9D-D59B-4884-BF1C-76B0DF222B7F}" presName="hierChild5" presStyleCnt="0"/>
      <dgm:spPr/>
    </dgm:pt>
    <dgm:pt modelId="{4547EAB5-B758-425C-AE9F-E8BF0B28EA24}" type="pres">
      <dgm:prSet presAssocID="{28DF024B-A89A-410D-A001-E67A34DC7BDE}" presName="Name37" presStyleLbl="parChTrans1D4" presStyleIdx="12" presStyleCnt="21"/>
      <dgm:spPr/>
    </dgm:pt>
    <dgm:pt modelId="{AADFF672-1E5F-4323-B832-97337211B202}" type="pres">
      <dgm:prSet presAssocID="{CB682309-B7D9-4B69-93C4-B31D4588278D}" presName="hierRoot2" presStyleCnt="0">
        <dgm:presLayoutVars>
          <dgm:hierBranch val="init"/>
        </dgm:presLayoutVars>
      </dgm:prSet>
      <dgm:spPr/>
    </dgm:pt>
    <dgm:pt modelId="{EDCAF3FA-BD16-418C-9A9C-9666EED8E5E8}" type="pres">
      <dgm:prSet presAssocID="{CB682309-B7D9-4B69-93C4-B31D4588278D}" presName="rootComposite" presStyleCnt="0"/>
      <dgm:spPr/>
    </dgm:pt>
    <dgm:pt modelId="{3067C7C0-505D-49D0-B144-2E0D8EBE3D09}" type="pres">
      <dgm:prSet presAssocID="{CB682309-B7D9-4B69-93C4-B31D4588278D}" presName="rootText" presStyleLbl="node4" presStyleIdx="12" presStyleCnt="21" custScaleX="290364" custScaleY="297154" custLinFactNeighborX="-15292" custLinFactNeighborY="62983">
        <dgm:presLayoutVars>
          <dgm:chPref val="3"/>
        </dgm:presLayoutVars>
      </dgm:prSet>
      <dgm:spPr/>
    </dgm:pt>
    <dgm:pt modelId="{D62C438B-9C84-4123-8129-B01AE7B80628}" type="pres">
      <dgm:prSet presAssocID="{CB682309-B7D9-4B69-93C4-B31D4588278D}" presName="rootConnector" presStyleLbl="node4" presStyleIdx="12" presStyleCnt="21"/>
      <dgm:spPr/>
    </dgm:pt>
    <dgm:pt modelId="{2252A995-4701-4203-AEF6-052154190CDC}" type="pres">
      <dgm:prSet presAssocID="{CB682309-B7D9-4B69-93C4-B31D4588278D}" presName="hierChild4" presStyleCnt="0"/>
      <dgm:spPr/>
    </dgm:pt>
    <dgm:pt modelId="{B5A023E0-1732-4180-8272-8A12E19B5887}" type="pres">
      <dgm:prSet presAssocID="{CB682309-B7D9-4B69-93C4-B31D4588278D}" presName="hierChild5" presStyleCnt="0"/>
      <dgm:spPr/>
    </dgm:pt>
    <dgm:pt modelId="{5A940879-13C3-4295-9FF0-3A668E7444DE}" type="pres">
      <dgm:prSet presAssocID="{A24439C4-6CC3-4F0B-AB37-B5F48C404637}" presName="hierChild5" presStyleCnt="0"/>
      <dgm:spPr/>
    </dgm:pt>
    <dgm:pt modelId="{BEF2EAC9-F187-4EDC-9AEA-E5AABEC0EB1E}" type="pres">
      <dgm:prSet presAssocID="{16985E1B-552B-41C6-B98C-79FB3D6DAF1D}" presName="Name37" presStyleLbl="parChTrans1D3" presStyleIdx="3" presStyleCnt="6"/>
      <dgm:spPr/>
    </dgm:pt>
    <dgm:pt modelId="{23216D17-3777-49B2-ADBF-3BE880D7CD8F}" type="pres">
      <dgm:prSet presAssocID="{867D776B-245D-467F-BD3F-2554245F80B0}" presName="hierRoot2" presStyleCnt="0">
        <dgm:presLayoutVars>
          <dgm:hierBranch val="init"/>
        </dgm:presLayoutVars>
      </dgm:prSet>
      <dgm:spPr/>
    </dgm:pt>
    <dgm:pt modelId="{2A60CCEB-D855-487C-9FD6-8A1DED0A2450}" type="pres">
      <dgm:prSet presAssocID="{867D776B-245D-467F-BD3F-2554245F80B0}" presName="rootComposite" presStyleCnt="0"/>
      <dgm:spPr/>
    </dgm:pt>
    <dgm:pt modelId="{708737BF-934E-4C35-91CE-60FA57408673}" type="pres">
      <dgm:prSet presAssocID="{867D776B-245D-467F-BD3F-2554245F80B0}" presName="rootText" presStyleLbl="node3" presStyleIdx="3" presStyleCnt="6" custScaleX="361912" custScaleY="370573" custLinFactNeighborX="15456" custLinFactNeighborY="81769">
        <dgm:presLayoutVars>
          <dgm:chPref val="3"/>
        </dgm:presLayoutVars>
      </dgm:prSet>
      <dgm:spPr/>
    </dgm:pt>
    <dgm:pt modelId="{D4AB2E4D-56B9-42A2-9876-8BED88792A88}" type="pres">
      <dgm:prSet presAssocID="{867D776B-245D-467F-BD3F-2554245F80B0}" presName="rootConnector" presStyleLbl="node3" presStyleIdx="3" presStyleCnt="6"/>
      <dgm:spPr/>
    </dgm:pt>
    <dgm:pt modelId="{765F6CBD-E008-4327-A671-BF4CFD49F52A}" type="pres">
      <dgm:prSet presAssocID="{867D776B-245D-467F-BD3F-2554245F80B0}" presName="hierChild4" presStyleCnt="0"/>
      <dgm:spPr/>
    </dgm:pt>
    <dgm:pt modelId="{790AED7A-811E-4494-8491-C39EF35ED672}" type="pres">
      <dgm:prSet presAssocID="{1687D952-81D6-4A0A-A5F4-229A6C5523F0}" presName="Name37" presStyleLbl="parChTrans1D4" presStyleIdx="13" presStyleCnt="21"/>
      <dgm:spPr/>
    </dgm:pt>
    <dgm:pt modelId="{7DF4FA8C-AE53-4F12-A14B-117392B81135}" type="pres">
      <dgm:prSet presAssocID="{5B723C34-F36C-4732-92C1-91E6EAE3A72F}" presName="hierRoot2" presStyleCnt="0">
        <dgm:presLayoutVars>
          <dgm:hierBranch val="init"/>
        </dgm:presLayoutVars>
      </dgm:prSet>
      <dgm:spPr/>
    </dgm:pt>
    <dgm:pt modelId="{76E19975-A72F-4C8E-8584-849203BDFBF4}" type="pres">
      <dgm:prSet presAssocID="{5B723C34-F36C-4732-92C1-91E6EAE3A72F}" presName="rootComposite" presStyleCnt="0"/>
      <dgm:spPr/>
    </dgm:pt>
    <dgm:pt modelId="{24F24141-DE10-4AF5-9484-A1735AD8434B}" type="pres">
      <dgm:prSet presAssocID="{5B723C34-F36C-4732-92C1-91E6EAE3A72F}" presName="rootText" presStyleLbl="node4" presStyleIdx="13" presStyleCnt="21" custScaleX="301480" custScaleY="227313" custLinFactNeighborX="-14591" custLinFactNeighborY="82514">
        <dgm:presLayoutVars>
          <dgm:chPref val="3"/>
        </dgm:presLayoutVars>
      </dgm:prSet>
      <dgm:spPr/>
    </dgm:pt>
    <dgm:pt modelId="{A9FFCD47-CBD9-47B4-979F-D71031D197C1}" type="pres">
      <dgm:prSet presAssocID="{5B723C34-F36C-4732-92C1-91E6EAE3A72F}" presName="rootConnector" presStyleLbl="node4" presStyleIdx="13" presStyleCnt="21"/>
      <dgm:spPr/>
    </dgm:pt>
    <dgm:pt modelId="{4BC6B5E0-4E9D-441D-BDEF-201F8CBD7287}" type="pres">
      <dgm:prSet presAssocID="{5B723C34-F36C-4732-92C1-91E6EAE3A72F}" presName="hierChild4" presStyleCnt="0"/>
      <dgm:spPr/>
    </dgm:pt>
    <dgm:pt modelId="{9C183D66-CAD1-43A4-8369-09091F954776}" type="pres">
      <dgm:prSet presAssocID="{5B723C34-F36C-4732-92C1-91E6EAE3A72F}" presName="hierChild5" presStyleCnt="0"/>
      <dgm:spPr/>
    </dgm:pt>
    <dgm:pt modelId="{8F79E931-D75A-4D4F-8EF9-58DAB1F40195}" type="pres">
      <dgm:prSet presAssocID="{D921CA20-754A-48DB-BCF2-999640E4A922}" presName="Name37" presStyleLbl="parChTrans1D4" presStyleIdx="14" presStyleCnt="21"/>
      <dgm:spPr/>
    </dgm:pt>
    <dgm:pt modelId="{51ECB85A-D80D-4DD3-9E67-EDAD305FE3D2}" type="pres">
      <dgm:prSet presAssocID="{41B0165B-41A6-4671-882F-3EEB4528E43B}" presName="hierRoot2" presStyleCnt="0">
        <dgm:presLayoutVars>
          <dgm:hierBranch val="init"/>
        </dgm:presLayoutVars>
      </dgm:prSet>
      <dgm:spPr/>
    </dgm:pt>
    <dgm:pt modelId="{47E7BB14-4C2C-462F-8DA3-9F54D44C4E13}" type="pres">
      <dgm:prSet presAssocID="{41B0165B-41A6-4671-882F-3EEB4528E43B}" presName="rootComposite" presStyleCnt="0"/>
      <dgm:spPr/>
    </dgm:pt>
    <dgm:pt modelId="{EFA1F3BC-09CC-4868-8853-ECA0AED36E7D}" type="pres">
      <dgm:prSet presAssocID="{41B0165B-41A6-4671-882F-3EEB4528E43B}" presName="rootText" presStyleLbl="node4" presStyleIdx="14" presStyleCnt="21" custScaleX="301771" custScaleY="266747" custLinFactNeighborX="-14327" custLinFactNeighborY="81793">
        <dgm:presLayoutVars>
          <dgm:chPref val="3"/>
        </dgm:presLayoutVars>
      </dgm:prSet>
      <dgm:spPr/>
    </dgm:pt>
    <dgm:pt modelId="{35A08AD2-E758-4E5C-B9D8-58D6CEA0EBC1}" type="pres">
      <dgm:prSet presAssocID="{41B0165B-41A6-4671-882F-3EEB4528E43B}" presName="rootConnector" presStyleLbl="node4" presStyleIdx="14" presStyleCnt="21"/>
      <dgm:spPr/>
    </dgm:pt>
    <dgm:pt modelId="{18D69920-E703-4C88-9374-F733B60158B8}" type="pres">
      <dgm:prSet presAssocID="{41B0165B-41A6-4671-882F-3EEB4528E43B}" presName="hierChild4" presStyleCnt="0"/>
      <dgm:spPr/>
    </dgm:pt>
    <dgm:pt modelId="{E17C7049-6D7F-43B6-8839-23A23C5F510B}" type="pres">
      <dgm:prSet presAssocID="{41B0165B-41A6-4671-882F-3EEB4528E43B}" presName="hierChild5" presStyleCnt="0"/>
      <dgm:spPr/>
    </dgm:pt>
    <dgm:pt modelId="{08020C02-9C7F-41FF-849B-6327EA92921E}" type="pres">
      <dgm:prSet presAssocID="{DBCB58F9-2E0A-4046-B208-1A56DFAFB064}" presName="Name37" presStyleLbl="parChTrans1D4" presStyleIdx="15" presStyleCnt="21"/>
      <dgm:spPr/>
    </dgm:pt>
    <dgm:pt modelId="{27EB09AE-9E72-4000-AE22-917A1A6C8930}" type="pres">
      <dgm:prSet presAssocID="{A29D78EA-EACC-4D0A-B7AD-F70145C829A2}" presName="hierRoot2" presStyleCnt="0">
        <dgm:presLayoutVars>
          <dgm:hierBranch val="init"/>
        </dgm:presLayoutVars>
      </dgm:prSet>
      <dgm:spPr/>
    </dgm:pt>
    <dgm:pt modelId="{E52B7CD5-BFD1-4689-B783-E31C24C091C1}" type="pres">
      <dgm:prSet presAssocID="{A29D78EA-EACC-4D0A-B7AD-F70145C829A2}" presName="rootComposite" presStyleCnt="0"/>
      <dgm:spPr/>
    </dgm:pt>
    <dgm:pt modelId="{9C592066-61CB-4BED-83F3-FBEBFEA862AE}" type="pres">
      <dgm:prSet presAssocID="{A29D78EA-EACC-4D0A-B7AD-F70145C829A2}" presName="rootText" presStyleLbl="node4" presStyleIdx="15" presStyleCnt="21" custScaleX="301771" custScaleY="234585" custLinFactNeighborX="-12769" custLinFactNeighborY="81862">
        <dgm:presLayoutVars>
          <dgm:chPref val="3"/>
        </dgm:presLayoutVars>
      </dgm:prSet>
      <dgm:spPr/>
    </dgm:pt>
    <dgm:pt modelId="{29ECC640-2AFE-480C-9597-112D3F0E0AE1}" type="pres">
      <dgm:prSet presAssocID="{A29D78EA-EACC-4D0A-B7AD-F70145C829A2}" presName="rootConnector" presStyleLbl="node4" presStyleIdx="15" presStyleCnt="21"/>
      <dgm:spPr/>
    </dgm:pt>
    <dgm:pt modelId="{42D04521-36FE-4F72-80C6-BAE944BF990C}" type="pres">
      <dgm:prSet presAssocID="{A29D78EA-EACC-4D0A-B7AD-F70145C829A2}" presName="hierChild4" presStyleCnt="0"/>
      <dgm:spPr/>
    </dgm:pt>
    <dgm:pt modelId="{20E38A68-1AD0-44EA-8751-BCFCED263F10}" type="pres">
      <dgm:prSet presAssocID="{A29D78EA-EACC-4D0A-B7AD-F70145C829A2}" presName="hierChild5" presStyleCnt="0"/>
      <dgm:spPr/>
    </dgm:pt>
    <dgm:pt modelId="{7F49EC79-8752-4ADB-BDB4-13D555077E64}" type="pres">
      <dgm:prSet presAssocID="{867D776B-245D-467F-BD3F-2554245F80B0}" presName="hierChild5" presStyleCnt="0"/>
      <dgm:spPr/>
    </dgm:pt>
    <dgm:pt modelId="{E6524B58-73C3-401A-AC6C-60E20A8B6211}" type="pres">
      <dgm:prSet presAssocID="{3F267390-0E50-4CCC-B005-BC11673CF2A3}" presName="hierChild5" presStyleCnt="0"/>
      <dgm:spPr/>
    </dgm:pt>
    <dgm:pt modelId="{84F32059-3046-49B2-A372-EF6EF86439AC}" type="pres">
      <dgm:prSet presAssocID="{9E4631D8-E89E-4DB4-8066-89781B490F94}" presName="Name37" presStyleLbl="parChTrans1D2" presStyleIdx="2" presStyleCnt="3"/>
      <dgm:spPr/>
    </dgm:pt>
    <dgm:pt modelId="{3A58DFE0-8B37-42AE-B37D-AF1A2A9F8C20}" type="pres">
      <dgm:prSet presAssocID="{0E4D8AFF-591B-460C-A4C9-67F2C9857CC4}" presName="hierRoot2" presStyleCnt="0">
        <dgm:presLayoutVars>
          <dgm:hierBranch val="init"/>
        </dgm:presLayoutVars>
      </dgm:prSet>
      <dgm:spPr/>
    </dgm:pt>
    <dgm:pt modelId="{C597C812-8A95-4308-8916-DF720047DE09}" type="pres">
      <dgm:prSet presAssocID="{0E4D8AFF-591B-460C-A4C9-67F2C9857CC4}" presName="rootComposite" presStyleCnt="0"/>
      <dgm:spPr/>
    </dgm:pt>
    <dgm:pt modelId="{4A23F757-1AAE-41A0-9F49-1D8ECD8B9F2C}" type="pres">
      <dgm:prSet presAssocID="{0E4D8AFF-591B-460C-A4C9-67F2C9857CC4}" presName="rootText" presStyleLbl="node2" presStyleIdx="2" presStyleCnt="3" custScaleX="733195" custScaleY="314143" custLinFactNeighborX="52941" custLinFactNeighborY="45618">
        <dgm:presLayoutVars>
          <dgm:chPref val="3"/>
        </dgm:presLayoutVars>
      </dgm:prSet>
      <dgm:spPr/>
    </dgm:pt>
    <dgm:pt modelId="{9F2D6968-14C5-4EF2-8304-BD7B347B8A20}" type="pres">
      <dgm:prSet presAssocID="{0E4D8AFF-591B-460C-A4C9-67F2C9857CC4}" presName="rootConnector" presStyleLbl="node2" presStyleIdx="2" presStyleCnt="3"/>
      <dgm:spPr/>
    </dgm:pt>
    <dgm:pt modelId="{994766E5-87BD-4906-9DD0-0C0006570390}" type="pres">
      <dgm:prSet presAssocID="{0E4D8AFF-591B-460C-A4C9-67F2C9857CC4}" presName="hierChild4" presStyleCnt="0"/>
      <dgm:spPr/>
    </dgm:pt>
    <dgm:pt modelId="{373BB783-128C-4A5F-B09F-2C6B132A3CA3}" type="pres">
      <dgm:prSet presAssocID="{C7369B69-F6D1-4824-ACA2-6A155304198B}" presName="Name37" presStyleLbl="parChTrans1D3" presStyleIdx="4" presStyleCnt="6"/>
      <dgm:spPr/>
    </dgm:pt>
    <dgm:pt modelId="{E5B0D4B9-A118-487E-85C9-7CB2C89FBB20}" type="pres">
      <dgm:prSet presAssocID="{60C487F2-55E9-4051-B835-0507B34F4BF2}" presName="hierRoot2" presStyleCnt="0">
        <dgm:presLayoutVars>
          <dgm:hierBranch val="init"/>
        </dgm:presLayoutVars>
      </dgm:prSet>
      <dgm:spPr/>
    </dgm:pt>
    <dgm:pt modelId="{4EE006F1-417C-4E8F-9F05-91FD30CBD070}" type="pres">
      <dgm:prSet presAssocID="{60C487F2-55E9-4051-B835-0507B34F4BF2}" presName="rootComposite" presStyleCnt="0"/>
      <dgm:spPr/>
    </dgm:pt>
    <dgm:pt modelId="{3BF94813-5A36-4666-8B08-54E226EBAE21}" type="pres">
      <dgm:prSet presAssocID="{60C487F2-55E9-4051-B835-0507B34F4BF2}" presName="rootText" presStyleLbl="node3" presStyleIdx="4" presStyleCnt="6" custScaleX="306223" custScaleY="370573" custLinFactNeighborX="63741" custLinFactNeighborY="91093">
        <dgm:presLayoutVars>
          <dgm:chPref val="3"/>
        </dgm:presLayoutVars>
      </dgm:prSet>
      <dgm:spPr/>
    </dgm:pt>
    <dgm:pt modelId="{047B165C-EC46-4E7C-B2C5-5C99D519DB62}" type="pres">
      <dgm:prSet presAssocID="{60C487F2-55E9-4051-B835-0507B34F4BF2}" presName="rootConnector" presStyleLbl="node3" presStyleIdx="4" presStyleCnt="6"/>
      <dgm:spPr/>
    </dgm:pt>
    <dgm:pt modelId="{3D4B2032-8BE0-4AC7-9D7C-B77B076C4672}" type="pres">
      <dgm:prSet presAssocID="{60C487F2-55E9-4051-B835-0507B34F4BF2}" presName="hierChild4" presStyleCnt="0"/>
      <dgm:spPr/>
    </dgm:pt>
    <dgm:pt modelId="{6BC52012-2DCA-4E5D-97ED-4A23D2EB49C6}" type="pres">
      <dgm:prSet presAssocID="{201A60C5-138F-48B4-B6ED-01B7380B861F}" presName="Name37" presStyleLbl="parChTrans1D4" presStyleIdx="16" presStyleCnt="21"/>
      <dgm:spPr/>
    </dgm:pt>
    <dgm:pt modelId="{5329EF6B-8DDE-4DB4-8B1F-33A3D1B902EC}" type="pres">
      <dgm:prSet presAssocID="{9A9C6070-9D06-4645-844F-813850F3679E}" presName="hierRoot2" presStyleCnt="0">
        <dgm:presLayoutVars>
          <dgm:hierBranch val="init"/>
        </dgm:presLayoutVars>
      </dgm:prSet>
      <dgm:spPr/>
    </dgm:pt>
    <dgm:pt modelId="{26B0FC0C-4BAA-41A3-958D-D52CBA5458EA}" type="pres">
      <dgm:prSet presAssocID="{9A9C6070-9D06-4645-844F-813850F3679E}" presName="rootComposite" presStyleCnt="0"/>
      <dgm:spPr/>
    </dgm:pt>
    <dgm:pt modelId="{2DD99029-3C21-4E6E-A9F8-65F189509F28}" type="pres">
      <dgm:prSet presAssocID="{9A9C6070-9D06-4645-844F-813850F3679E}" presName="rootText" presStyleLbl="node4" presStyleIdx="16" presStyleCnt="21" custScaleX="258394" custScaleY="256612" custLinFactNeighborX="40663" custLinFactNeighborY="88239">
        <dgm:presLayoutVars>
          <dgm:chPref val="3"/>
        </dgm:presLayoutVars>
      </dgm:prSet>
      <dgm:spPr/>
    </dgm:pt>
    <dgm:pt modelId="{E5AE67EA-DD41-469C-A41E-4F70B641E098}" type="pres">
      <dgm:prSet presAssocID="{9A9C6070-9D06-4645-844F-813850F3679E}" presName="rootConnector" presStyleLbl="node4" presStyleIdx="16" presStyleCnt="21"/>
      <dgm:spPr/>
    </dgm:pt>
    <dgm:pt modelId="{003E9498-0B8F-4AEF-B9C0-92EA53F90D97}" type="pres">
      <dgm:prSet presAssocID="{9A9C6070-9D06-4645-844F-813850F3679E}" presName="hierChild4" presStyleCnt="0"/>
      <dgm:spPr/>
    </dgm:pt>
    <dgm:pt modelId="{03614CD7-4F42-4265-96B7-551796CF1C82}" type="pres">
      <dgm:prSet presAssocID="{9A9C6070-9D06-4645-844F-813850F3679E}" presName="hierChild5" presStyleCnt="0"/>
      <dgm:spPr/>
    </dgm:pt>
    <dgm:pt modelId="{D30D98CE-B0C1-4E31-A71A-6392EC97D530}" type="pres">
      <dgm:prSet presAssocID="{B3075BB4-777D-40C5-97DF-46CB7917B14E}" presName="Name37" presStyleLbl="parChTrans1D4" presStyleIdx="17" presStyleCnt="21"/>
      <dgm:spPr/>
    </dgm:pt>
    <dgm:pt modelId="{54455209-79BC-44E4-A7F2-85A00D34DFF2}" type="pres">
      <dgm:prSet presAssocID="{A81493B1-BE53-415D-A24D-05EA356E222B}" presName="hierRoot2" presStyleCnt="0">
        <dgm:presLayoutVars>
          <dgm:hierBranch val="init"/>
        </dgm:presLayoutVars>
      </dgm:prSet>
      <dgm:spPr/>
    </dgm:pt>
    <dgm:pt modelId="{D3FE98E7-AB92-4CF6-A7DF-8759280F5CB8}" type="pres">
      <dgm:prSet presAssocID="{A81493B1-BE53-415D-A24D-05EA356E222B}" presName="rootComposite" presStyleCnt="0"/>
      <dgm:spPr/>
    </dgm:pt>
    <dgm:pt modelId="{112C79E5-1495-4DCF-88AA-D43981363B1C}" type="pres">
      <dgm:prSet presAssocID="{A81493B1-BE53-415D-A24D-05EA356E222B}" presName="rootText" presStyleLbl="node4" presStyleIdx="17" presStyleCnt="21" custScaleX="258394" custScaleY="253032" custLinFactNeighborX="40337" custLinFactNeighborY="84263">
        <dgm:presLayoutVars>
          <dgm:chPref val="3"/>
        </dgm:presLayoutVars>
      </dgm:prSet>
      <dgm:spPr/>
    </dgm:pt>
    <dgm:pt modelId="{92C253F6-BED0-4709-A8D1-DFD4EEC13341}" type="pres">
      <dgm:prSet presAssocID="{A81493B1-BE53-415D-A24D-05EA356E222B}" presName="rootConnector" presStyleLbl="node4" presStyleIdx="17" presStyleCnt="21"/>
      <dgm:spPr/>
    </dgm:pt>
    <dgm:pt modelId="{10F03AE4-4896-4A1D-B7BD-58F07458375B}" type="pres">
      <dgm:prSet presAssocID="{A81493B1-BE53-415D-A24D-05EA356E222B}" presName="hierChild4" presStyleCnt="0"/>
      <dgm:spPr/>
    </dgm:pt>
    <dgm:pt modelId="{F4F5A581-5824-4AF5-88FB-8AA67103AFD7}" type="pres">
      <dgm:prSet presAssocID="{A81493B1-BE53-415D-A24D-05EA356E222B}" presName="hierChild5" presStyleCnt="0"/>
      <dgm:spPr/>
    </dgm:pt>
    <dgm:pt modelId="{17CE2F9B-DF96-4CF8-8289-1791B7CC5B0D}" type="pres">
      <dgm:prSet presAssocID="{CC6307AB-AF08-4FAB-9F22-2A19E759600B}" presName="Name37" presStyleLbl="parChTrans1D4" presStyleIdx="18" presStyleCnt="21"/>
      <dgm:spPr/>
    </dgm:pt>
    <dgm:pt modelId="{A785657D-180B-4F56-B784-EE24FBE8802F}" type="pres">
      <dgm:prSet presAssocID="{87E1F9D4-E14C-4665-9255-211BBC2DEB2C}" presName="hierRoot2" presStyleCnt="0">
        <dgm:presLayoutVars>
          <dgm:hierBranch val="init"/>
        </dgm:presLayoutVars>
      </dgm:prSet>
      <dgm:spPr/>
    </dgm:pt>
    <dgm:pt modelId="{321D5D02-7E12-4A30-BA8A-997A60E8CC9F}" type="pres">
      <dgm:prSet presAssocID="{87E1F9D4-E14C-4665-9255-211BBC2DEB2C}" presName="rootComposite" presStyleCnt="0"/>
      <dgm:spPr/>
    </dgm:pt>
    <dgm:pt modelId="{9EB7B49E-8D9E-4AD2-9A4E-ED383079A315}" type="pres">
      <dgm:prSet presAssocID="{87E1F9D4-E14C-4665-9255-211BBC2DEB2C}" presName="rootText" presStyleLbl="node4" presStyleIdx="18" presStyleCnt="21" custScaleX="258394" custScaleY="257180" custLinFactNeighborX="39410" custLinFactNeighborY="77955">
        <dgm:presLayoutVars>
          <dgm:chPref val="3"/>
        </dgm:presLayoutVars>
      </dgm:prSet>
      <dgm:spPr/>
    </dgm:pt>
    <dgm:pt modelId="{060E45BC-2D97-4D0B-9BD1-0C11F43D9493}" type="pres">
      <dgm:prSet presAssocID="{87E1F9D4-E14C-4665-9255-211BBC2DEB2C}" presName="rootConnector" presStyleLbl="node4" presStyleIdx="18" presStyleCnt="21"/>
      <dgm:spPr/>
    </dgm:pt>
    <dgm:pt modelId="{2FA3021B-1D03-43AC-BB55-2632578961C9}" type="pres">
      <dgm:prSet presAssocID="{87E1F9D4-E14C-4665-9255-211BBC2DEB2C}" presName="hierChild4" presStyleCnt="0"/>
      <dgm:spPr/>
    </dgm:pt>
    <dgm:pt modelId="{B1B3538E-05B5-4E9D-AF6E-17D4F40C4FD7}" type="pres">
      <dgm:prSet presAssocID="{87E1F9D4-E14C-4665-9255-211BBC2DEB2C}" presName="hierChild5" presStyleCnt="0"/>
      <dgm:spPr/>
    </dgm:pt>
    <dgm:pt modelId="{9845DD14-3D79-4533-B854-F6CF13CCB4E9}" type="pres">
      <dgm:prSet presAssocID="{60C487F2-55E9-4051-B835-0507B34F4BF2}" presName="hierChild5" presStyleCnt="0"/>
      <dgm:spPr/>
    </dgm:pt>
    <dgm:pt modelId="{17A3FD81-5A2B-4F95-9673-FF298F7075E3}" type="pres">
      <dgm:prSet presAssocID="{91FEEABB-DBB4-4847-9263-A7C1CC5180DD}" presName="Name37" presStyleLbl="parChTrans1D3" presStyleIdx="5" presStyleCnt="6"/>
      <dgm:spPr/>
    </dgm:pt>
    <dgm:pt modelId="{4110CEA1-2AC1-43ED-A0C3-F8850AE01FEA}" type="pres">
      <dgm:prSet presAssocID="{32E729DA-CEC1-4BB0-849D-135300C81244}" presName="hierRoot2" presStyleCnt="0">
        <dgm:presLayoutVars>
          <dgm:hierBranch val="init"/>
        </dgm:presLayoutVars>
      </dgm:prSet>
      <dgm:spPr/>
    </dgm:pt>
    <dgm:pt modelId="{D74166A1-7715-4528-96EB-82F04ECB8A3F}" type="pres">
      <dgm:prSet presAssocID="{32E729DA-CEC1-4BB0-849D-135300C81244}" presName="rootComposite" presStyleCnt="0"/>
      <dgm:spPr/>
    </dgm:pt>
    <dgm:pt modelId="{75EF16CF-B452-4115-959B-09C378F8DCE5}" type="pres">
      <dgm:prSet presAssocID="{32E729DA-CEC1-4BB0-849D-135300C81244}" presName="rootText" presStyleLbl="node3" presStyleIdx="5" presStyleCnt="6" custScaleX="354761" custScaleY="370573" custLinFactNeighborX="93847" custLinFactNeighborY="91947">
        <dgm:presLayoutVars>
          <dgm:chPref val="3"/>
        </dgm:presLayoutVars>
      </dgm:prSet>
      <dgm:spPr/>
    </dgm:pt>
    <dgm:pt modelId="{9F74311A-9B95-4565-878B-F6EDC0B45604}" type="pres">
      <dgm:prSet presAssocID="{32E729DA-CEC1-4BB0-849D-135300C81244}" presName="rootConnector" presStyleLbl="node3" presStyleIdx="5" presStyleCnt="6"/>
      <dgm:spPr/>
    </dgm:pt>
    <dgm:pt modelId="{E29E4F80-0F54-4AE8-874C-AD0546A20516}" type="pres">
      <dgm:prSet presAssocID="{32E729DA-CEC1-4BB0-849D-135300C81244}" presName="hierChild4" presStyleCnt="0"/>
      <dgm:spPr/>
    </dgm:pt>
    <dgm:pt modelId="{F37535CB-5028-4158-B8BB-B599F370A339}" type="pres">
      <dgm:prSet presAssocID="{305F5364-7F0D-4C6F-B565-5C9833C77CC5}" presName="Name37" presStyleLbl="parChTrans1D4" presStyleIdx="19" presStyleCnt="21"/>
      <dgm:spPr/>
    </dgm:pt>
    <dgm:pt modelId="{34B9CEB7-E4FD-405A-B5BE-4EF017A7DB10}" type="pres">
      <dgm:prSet presAssocID="{6BF80D2A-3003-4519-969E-53AA167DCEE6}" presName="hierRoot2" presStyleCnt="0">
        <dgm:presLayoutVars>
          <dgm:hierBranch val="init"/>
        </dgm:presLayoutVars>
      </dgm:prSet>
      <dgm:spPr/>
    </dgm:pt>
    <dgm:pt modelId="{08DCBB0E-099B-4ED6-B3BC-FE4A49FE5EE0}" type="pres">
      <dgm:prSet presAssocID="{6BF80D2A-3003-4519-969E-53AA167DCEE6}" presName="rootComposite" presStyleCnt="0"/>
      <dgm:spPr/>
    </dgm:pt>
    <dgm:pt modelId="{A0A4BFA2-A2D5-4A25-B2FE-25BFDD94CA11}" type="pres">
      <dgm:prSet presAssocID="{6BF80D2A-3003-4519-969E-53AA167DCEE6}" presName="rootText" presStyleLbl="node4" presStyleIdx="19" presStyleCnt="21" custScaleX="302785" custScaleY="271518" custLinFactNeighborX="56904" custLinFactNeighborY="87518">
        <dgm:presLayoutVars>
          <dgm:chPref val="3"/>
        </dgm:presLayoutVars>
      </dgm:prSet>
      <dgm:spPr/>
    </dgm:pt>
    <dgm:pt modelId="{3594006E-EDF4-43FA-855D-55C3C5F082AF}" type="pres">
      <dgm:prSet presAssocID="{6BF80D2A-3003-4519-969E-53AA167DCEE6}" presName="rootConnector" presStyleLbl="node4" presStyleIdx="19" presStyleCnt="21"/>
      <dgm:spPr/>
    </dgm:pt>
    <dgm:pt modelId="{8156866F-E970-41D3-B85D-3198AE8BE346}" type="pres">
      <dgm:prSet presAssocID="{6BF80D2A-3003-4519-969E-53AA167DCEE6}" presName="hierChild4" presStyleCnt="0"/>
      <dgm:spPr/>
    </dgm:pt>
    <dgm:pt modelId="{78CD3636-07B2-4FFD-A597-6289E0061640}" type="pres">
      <dgm:prSet presAssocID="{6BF80D2A-3003-4519-969E-53AA167DCEE6}" presName="hierChild5" presStyleCnt="0"/>
      <dgm:spPr/>
    </dgm:pt>
    <dgm:pt modelId="{F1F04FE5-60D0-42CE-B901-5B5F51BFA723}" type="pres">
      <dgm:prSet presAssocID="{22C5A9FE-45C8-483E-8D7E-F72C2005FD6A}" presName="Name37" presStyleLbl="parChTrans1D4" presStyleIdx="20" presStyleCnt="21"/>
      <dgm:spPr/>
    </dgm:pt>
    <dgm:pt modelId="{306F733D-C2FD-4BED-AF30-ECC7089CF8CD}" type="pres">
      <dgm:prSet presAssocID="{4CAFF5B8-B9C9-47F2-900A-8462E0C40682}" presName="hierRoot2" presStyleCnt="0">
        <dgm:presLayoutVars>
          <dgm:hierBranch val="init"/>
        </dgm:presLayoutVars>
      </dgm:prSet>
      <dgm:spPr/>
    </dgm:pt>
    <dgm:pt modelId="{43DED390-0C31-40B8-AB94-1E2C632CC137}" type="pres">
      <dgm:prSet presAssocID="{4CAFF5B8-B9C9-47F2-900A-8462E0C40682}" presName="rootComposite" presStyleCnt="0"/>
      <dgm:spPr/>
    </dgm:pt>
    <dgm:pt modelId="{C22F5DAA-6A58-483D-A786-31C7E8B9C100}" type="pres">
      <dgm:prSet presAssocID="{4CAFF5B8-B9C9-47F2-900A-8462E0C40682}" presName="rootText" presStyleLbl="node4" presStyleIdx="20" presStyleCnt="21" custScaleX="302945" custScaleY="326112" custLinFactNeighborX="57466" custLinFactNeighborY="86942">
        <dgm:presLayoutVars>
          <dgm:chPref val="3"/>
        </dgm:presLayoutVars>
      </dgm:prSet>
      <dgm:spPr/>
    </dgm:pt>
    <dgm:pt modelId="{0A8E184F-924D-4D9A-A40A-80A16F7CDDFD}" type="pres">
      <dgm:prSet presAssocID="{4CAFF5B8-B9C9-47F2-900A-8462E0C40682}" presName="rootConnector" presStyleLbl="node4" presStyleIdx="20" presStyleCnt="21"/>
      <dgm:spPr/>
    </dgm:pt>
    <dgm:pt modelId="{1AD712B6-5A0C-43B4-A709-C1101CF20DD3}" type="pres">
      <dgm:prSet presAssocID="{4CAFF5B8-B9C9-47F2-900A-8462E0C40682}" presName="hierChild4" presStyleCnt="0"/>
      <dgm:spPr/>
    </dgm:pt>
    <dgm:pt modelId="{515E2ED7-2C86-4D72-8785-82E111E761BF}" type="pres">
      <dgm:prSet presAssocID="{4CAFF5B8-B9C9-47F2-900A-8462E0C40682}" presName="hierChild5" presStyleCnt="0"/>
      <dgm:spPr/>
    </dgm:pt>
    <dgm:pt modelId="{78452686-E857-4404-A58A-A29B933BF593}" type="pres">
      <dgm:prSet presAssocID="{32E729DA-CEC1-4BB0-849D-135300C81244}" presName="hierChild5" presStyleCnt="0"/>
      <dgm:spPr/>
    </dgm:pt>
    <dgm:pt modelId="{6A0B65C3-F8D7-4BA7-B3DA-42BA74FCF468}" type="pres">
      <dgm:prSet presAssocID="{0E4D8AFF-591B-460C-A4C9-67F2C9857CC4}" presName="hierChild5" presStyleCnt="0"/>
      <dgm:spPr/>
    </dgm:pt>
    <dgm:pt modelId="{7FE19125-1452-4D91-84E2-B491F0B1C985}" type="pres">
      <dgm:prSet presAssocID="{D961D356-C423-4930-9CD4-5641A753DEE6}" presName="hierChild3" presStyleCnt="0"/>
      <dgm:spPr/>
    </dgm:pt>
  </dgm:ptLst>
  <dgm:cxnLst>
    <dgm:cxn modelId="{BF446902-A788-4248-AFA7-5F00A5A149D3}" srcId="{D961D356-C423-4930-9CD4-5641A753DEE6}" destId="{3F267390-0E50-4CCC-B005-BC11673CF2A3}" srcOrd="1" destOrd="0" parTransId="{C87D0185-A927-4A83-A9D0-EE494B38E8D3}" sibTransId="{89CED27D-AA41-49C3-9031-B02447B40CB9}"/>
    <dgm:cxn modelId="{3DF80606-EB30-4351-8FAA-EA8977322635}" type="presOf" srcId="{AD4A1B9D-D59B-4884-BF1C-76B0DF222B7F}" destId="{DF9F0C84-570E-41A3-8FCF-F58533551E9C}" srcOrd="1" destOrd="0" presId="urn:microsoft.com/office/officeart/2005/8/layout/orgChart1"/>
    <dgm:cxn modelId="{FC0ABD06-05D5-458A-99D9-1608E9DB647C}" type="presOf" srcId="{D0356A9C-608C-4C78-A2E5-7810B71934A7}" destId="{DA554E03-40BD-44CF-8790-7AA329C45E42}" srcOrd="0" destOrd="0" presId="urn:microsoft.com/office/officeart/2005/8/layout/orgChart1"/>
    <dgm:cxn modelId="{A3FD8F07-BEEF-47C1-8923-33A582476DE5}" srcId="{D961D356-C423-4930-9CD4-5641A753DEE6}" destId="{0E4D8AFF-591B-460C-A4C9-67F2C9857CC4}" srcOrd="2" destOrd="0" parTransId="{9E4631D8-E89E-4DB4-8066-89781B490F94}" sibTransId="{8C01E186-6DB0-42DA-B57A-39F6EFD0ADF3}"/>
    <dgm:cxn modelId="{B0C03208-F5F3-42FE-829E-4E905E65E149}" srcId="{1166AF32-0F15-49BE-A527-44BF102A5F42}" destId="{F360A459-0493-45A0-BE09-9CB397E4C5EC}" srcOrd="0" destOrd="0" parTransId="{1F314DFF-E2D0-4418-AF4C-F93D09148349}" sibTransId="{658E617B-3163-4A00-8A0F-68A9CF4FA65B}"/>
    <dgm:cxn modelId="{6D4E5813-B826-40A5-AEBC-679090EA7D58}" type="presOf" srcId="{CC6307AB-AF08-4FAB-9F22-2A19E759600B}" destId="{17CE2F9B-DF96-4CF8-8289-1791B7CC5B0D}" srcOrd="0" destOrd="0" presId="urn:microsoft.com/office/officeart/2005/8/layout/orgChart1"/>
    <dgm:cxn modelId="{01E2F115-3594-416A-B096-60C086402979}" type="presOf" srcId="{A29D78EA-EACC-4D0A-B7AD-F70145C829A2}" destId="{9C592066-61CB-4BED-83F3-FBEBFEA862AE}" srcOrd="0" destOrd="0" presId="urn:microsoft.com/office/officeart/2005/8/layout/orgChart1"/>
    <dgm:cxn modelId="{428DA61A-4A06-44CB-8155-92DBA5D402F5}" type="presOf" srcId="{5B723C34-F36C-4732-92C1-91E6EAE3A72F}" destId="{A9FFCD47-CBD9-47B4-979F-D71031D197C1}" srcOrd="1" destOrd="0" presId="urn:microsoft.com/office/officeart/2005/8/layout/orgChart1"/>
    <dgm:cxn modelId="{35C4601B-5FF2-43B9-8EE6-382520504A3B}" srcId="{A24439C4-6CC3-4F0B-AB37-B5F48C404637}" destId="{3F8741FC-51E3-4D2D-A1AA-77211F7A629A}" srcOrd="0" destOrd="0" parTransId="{08944449-A2FB-48A9-8E2C-8F48303B840F}" sibTransId="{27E1A2B5-4C63-44F7-B837-2FBCA93C4E71}"/>
    <dgm:cxn modelId="{5042EC1D-1B9A-4A18-84F3-31A89DBDBB11}" srcId="{1166AF32-0F15-49BE-A527-44BF102A5F42}" destId="{6C88C8AE-CFC2-457C-8CD9-41A57B9E70B8}" srcOrd="1" destOrd="0" parTransId="{1A39C80B-73FB-411F-BD4A-249868550A51}" sibTransId="{35E85830-E0CA-4999-8B52-6EB91019E152}"/>
    <dgm:cxn modelId="{64316D1E-6B17-488A-8E67-C32DE24B7B9A}" srcId="{3F267390-0E50-4CCC-B005-BC11673CF2A3}" destId="{A24439C4-6CC3-4F0B-AB37-B5F48C404637}" srcOrd="0" destOrd="0" parTransId="{38F80706-2567-419D-9FB1-EDDA9BE3B306}" sibTransId="{6542A0B3-61CB-4ADB-AD7B-BEF5804B85CE}"/>
    <dgm:cxn modelId="{8E262B20-C0E2-410E-9F08-73AA782CA1E3}" srcId="{60C487F2-55E9-4051-B835-0507B34F4BF2}" destId="{87E1F9D4-E14C-4665-9255-211BBC2DEB2C}" srcOrd="2" destOrd="0" parTransId="{CC6307AB-AF08-4FAB-9F22-2A19E759600B}" sibTransId="{0BB02AAC-3401-4DC2-970B-210542A852D9}"/>
    <dgm:cxn modelId="{D0263821-F265-47EB-AD6A-ABCD69B895C1}" type="presOf" srcId="{32E729DA-CEC1-4BB0-849D-135300C81244}" destId="{9F74311A-9B95-4565-878B-F6EDC0B45604}" srcOrd="1" destOrd="0" presId="urn:microsoft.com/office/officeart/2005/8/layout/orgChart1"/>
    <dgm:cxn modelId="{285CED24-ADA9-41A0-973A-44CDAD401DE8}" type="presOf" srcId="{A29D78EA-EACC-4D0A-B7AD-F70145C829A2}" destId="{29ECC640-2AFE-480C-9597-112D3F0E0AE1}" srcOrd="1" destOrd="0" presId="urn:microsoft.com/office/officeart/2005/8/layout/orgChart1"/>
    <dgm:cxn modelId="{A2C9EF27-8AF2-4229-9AB7-8A380885878D}" type="presOf" srcId="{B3075BB4-777D-40C5-97DF-46CB7917B14E}" destId="{D30D98CE-B0C1-4E31-A71A-6392EC97D530}" srcOrd="0" destOrd="0" presId="urn:microsoft.com/office/officeart/2005/8/layout/orgChart1"/>
    <dgm:cxn modelId="{CE26252A-ECC2-4D87-90B9-F313D2E5C18A}" type="presOf" srcId="{41B0165B-41A6-4671-882F-3EEB4528E43B}" destId="{EFA1F3BC-09CC-4868-8853-ECA0AED36E7D}" srcOrd="0" destOrd="0" presId="urn:microsoft.com/office/officeart/2005/8/layout/orgChart1"/>
    <dgm:cxn modelId="{0C4CA52A-16B6-4DC1-8F35-509B54369085}" type="presOf" srcId="{6C88C8AE-CFC2-457C-8CD9-41A57B9E70B8}" destId="{F8D66CDC-2FB9-4C20-9813-1874695C90F4}" srcOrd="1" destOrd="0" presId="urn:microsoft.com/office/officeart/2005/8/layout/orgChart1"/>
    <dgm:cxn modelId="{039FAF2A-7BD7-42E4-AAF4-4B3A426A4AA7}" srcId="{D961D356-C423-4930-9CD4-5641A753DEE6}" destId="{F2D435C7-7B62-44AE-9C4C-A8A6A7D411D3}" srcOrd="0" destOrd="0" parTransId="{8FF0E5E4-0B37-45D2-BCDD-161AC305E7A1}" sibTransId="{B466181B-C350-4123-BB97-DAD7F2BB1880}"/>
    <dgm:cxn modelId="{3CB1272C-432E-4A57-AACA-FD19769AEA77}" type="presOf" srcId="{87E1F9D4-E14C-4665-9255-211BBC2DEB2C}" destId="{060E45BC-2D97-4D0B-9BD1-0C11F43D9493}" srcOrd="1" destOrd="0" presId="urn:microsoft.com/office/officeart/2005/8/layout/orgChart1"/>
    <dgm:cxn modelId="{6D4F482D-ED52-4E4B-8571-E6C252C761B2}" type="presOf" srcId="{64FD1BA2-9B87-4505-88F8-2ECC75962081}" destId="{0FD672B8-73E7-46AD-8909-2400DC508BD7}" srcOrd="1" destOrd="0" presId="urn:microsoft.com/office/officeart/2005/8/layout/orgChart1"/>
    <dgm:cxn modelId="{132C422E-9822-4BBD-95BE-AEE3A3127B6A}" type="presOf" srcId="{201A60C5-138F-48B4-B6ED-01B7380B861F}" destId="{6BC52012-2DCA-4E5D-97ED-4A23D2EB49C6}" srcOrd="0" destOrd="0" presId="urn:microsoft.com/office/officeart/2005/8/layout/orgChart1"/>
    <dgm:cxn modelId="{535A0C30-6926-49DB-82F8-853483328D00}" type="presOf" srcId="{D921CA20-754A-48DB-BCF2-999640E4A922}" destId="{8F79E931-D75A-4D4F-8EF9-58DAB1F40195}" srcOrd="0" destOrd="0" presId="urn:microsoft.com/office/officeart/2005/8/layout/orgChart1"/>
    <dgm:cxn modelId="{B945C430-4D68-4A63-89DD-A3BA01C479AB}" type="presOf" srcId="{62CE1EB7-0778-4390-8208-387455E58A48}" destId="{1E606958-E510-4439-A206-1222759E11AB}" srcOrd="1" destOrd="0" presId="urn:microsoft.com/office/officeart/2005/8/layout/orgChart1"/>
    <dgm:cxn modelId="{20108D33-B57A-498E-8FC4-543B96579D6B}" type="presOf" srcId="{6BF80D2A-3003-4519-969E-53AA167DCEE6}" destId="{A0A4BFA2-A2D5-4A25-B2FE-25BFDD94CA11}" srcOrd="0" destOrd="0" presId="urn:microsoft.com/office/officeart/2005/8/layout/orgChart1"/>
    <dgm:cxn modelId="{DA354D37-7FE9-4921-BF79-E95528C9303C}" type="presOf" srcId="{3F267390-0E50-4CCC-B005-BC11673CF2A3}" destId="{A9634FF6-2749-44C9-B7B1-E1619ED40DAC}" srcOrd="0" destOrd="0" presId="urn:microsoft.com/office/officeart/2005/8/layout/orgChart1"/>
    <dgm:cxn modelId="{AEAE7839-2DDA-4B98-8AEA-8ACBF815317E}" type="presOf" srcId="{7ECE0D00-5FF8-4FC9-A18E-BD73AFA50EBC}" destId="{16797997-7266-46B4-9CB4-0FC279F486EA}" srcOrd="0" destOrd="0" presId="urn:microsoft.com/office/officeart/2005/8/layout/orgChart1"/>
    <dgm:cxn modelId="{2BA51B5C-EF93-4D40-AB87-64F38C3AC865}" type="presOf" srcId="{F2D435C7-7B62-44AE-9C4C-A8A6A7D411D3}" destId="{7406D7BA-634E-43ED-BABB-840ED6680B26}" srcOrd="1" destOrd="0" presId="urn:microsoft.com/office/officeart/2005/8/layout/orgChart1"/>
    <dgm:cxn modelId="{7EEC0E5D-5762-4625-A6EE-BADF3B1BEE82}" type="presOf" srcId="{1166AF32-0F15-49BE-A527-44BF102A5F42}" destId="{ADF3D91C-C56F-4101-A65E-88579DC63B73}" srcOrd="0" destOrd="0" presId="urn:microsoft.com/office/officeart/2005/8/layout/orgChart1"/>
    <dgm:cxn modelId="{B4355960-2FF1-473B-BEFC-443072D76791}" srcId="{867D776B-245D-467F-BD3F-2554245F80B0}" destId="{5B723C34-F36C-4732-92C1-91E6EAE3A72F}" srcOrd="0" destOrd="0" parTransId="{1687D952-81D6-4A0A-A5F4-229A6C5523F0}" sibTransId="{5C1DAF2D-98AC-496B-85D7-AAD460C1A3D6}"/>
    <dgm:cxn modelId="{F0955042-39F3-4BD0-AD17-1F3ED08F1FB6}" srcId="{A24439C4-6CC3-4F0B-AB37-B5F48C404637}" destId="{CB682309-B7D9-4B69-93C4-B31D4588278D}" srcOrd="3" destOrd="0" parTransId="{28DF024B-A89A-410D-A001-E67A34DC7BDE}" sibTransId="{36D62970-7D68-4BF2-9D98-E19B2D3B0972}"/>
    <dgm:cxn modelId="{26C1DF44-F5E4-44F1-A548-51F82616D325}" type="presOf" srcId="{CB682309-B7D9-4B69-93C4-B31D4588278D}" destId="{3067C7C0-505D-49D0-B144-2E0D8EBE3D09}" srcOrd="0" destOrd="0" presId="urn:microsoft.com/office/officeart/2005/8/layout/orgChart1"/>
    <dgm:cxn modelId="{917A5745-8691-4BEE-9847-63843BBF2ABA}" type="presOf" srcId="{EE2EDF37-688B-4FD0-A3FB-102928A9F920}" destId="{8DC1BEF0-D93E-43FF-8B64-2EDB5EDF1243}" srcOrd="1" destOrd="0" presId="urn:microsoft.com/office/officeart/2005/8/layout/orgChart1"/>
    <dgm:cxn modelId="{F4D33767-CEFF-4DEE-9EF9-283F8A816C6A}" srcId="{1166AF32-0F15-49BE-A527-44BF102A5F42}" destId="{2D0ADCA3-58DB-45DD-951D-7E2ADF39E394}" srcOrd="3" destOrd="0" parTransId="{44BDB308-3BC8-4562-B9F9-3434491487E0}" sibTransId="{637799F6-3B61-4B81-9895-52966A3D5895}"/>
    <dgm:cxn modelId="{1EEDA367-77E9-4E18-8C9E-F767B48FB611}" type="presOf" srcId="{60C487F2-55E9-4051-B835-0507B34F4BF2}" destId="{3BF94813-5A36-4666-8B08-54E226EBAE21}" srcOrd="0" destOrd="0" presId="urn:microsoft.com/office/officeart/2005/8/layout/orgChart1"/>
    <dgm:cxn modelId="{C17BD447-70D4-4210-9E59-B8D5D0D2B561}" type="presOf" srcId="{64FD1BA2-9B87-4505-88F8-2ECC75962081}" destId="{922D5BB0-A7A7-4DDF-B4F5-8A65C41B5FE6}" srcOrd="0" destOrd="0" presId="urn:microsoft.com/office/officeart/2005/8/layout/orgChart1"/>
    <dgm:cxn modelId="{AF389768-39D2-40C9-B7BC-C52BCB4EA8E0}" type="presOf" srcId="{A81493B1-BE53-415D-A24D-05EA356E222B}" destId="{92C253F6-BED0-4709-A8D1-DFD4EEC13341}" srcOrd="1" destOrd="0" presId="urn:microsoft.com/office/officeart/2005/8/layout/orgChart1"/>
    <dgm:cxn modelId="{F21E5D69-1EC9-4ABC-AF72-AD34BD5CD168}" type="presOf" srcId="{05354665-5CC3-42E3-84BB-CCE5C773D2E5}" destId="{1AA55B47-FD6D-401A-B1D0-C895BA2CA4F4}" srcOrd="1" destOrd="0" presId="urn:microsoft.com/office/officeart/2005/8/layout/orgChart1"/>
    <dgm:cxn modelId="{4153056A-694D-47C1-AA2E-D7D72FAC6F98}" srcId="{F2D435C7-7B62-44AE-9C4C-A8A6A7D411D3}" destId="{1166AF32-0F15-49BE-A527-44BF102A5F42}" srcOrd="1" destOrd="0" parTransId="{AA59950B-DBCA-4304-872E-48194044E7B0}" sibTransId="{B3CA9052-F6AC-40E2-BFBA-C54B25256C05}"/>
    <dgm:cxn modelId="{F1F79C4A-AB0C-45C0-BC97-B863963F9A3B}" type="presOf" srcId="{08944449-A2FB-48A9-8E2C-8F48303B840F}" destId="{A90D7EAC-CA92-46B8-8137-9F6451FED97E}" srcOrd="0" destOrd="0" presId="urn:microsoft.com/office/officeart/2005/8/layout/orgChart1"/>
    <dgm:cxn modelId="{349E8D4B-75AA-4008-A869-2942A82E8A43}" type="presOf" srcId="{AA59950B-DBCA-4304-872E-48194044E7B0}" destId="{9C23DC9A-B1F3-4AD3-A3CF-BA7738EFE431}" srcOrd="0" destOrd="0" presId="urn:microsoft.com/office/officeart/2005/8/layout/orgChart1"/>
    <dgm:cxn modelId="{A278304C-EB46-49BB-84E0-485941215DC7}" type="presOf" srcId="{44BDB308-3BC8-4562-B9F9-3434491487E0}" destId="{7AE119CB-2864-43D4-9339-45C4F173DDDC}" srcOrd="0" destOrd="0" presId="urn:microsoft.com/office/officeart/2005/8/layout/orgChart1"/>
    <dgm:cxn modelId="{7E3A806C-84AD-4ECC-A0B2-2EAC1B632484}" type="presOf" srcId="{5B723C34-F36C-4732-92C1-91E6EAE3A72F}" destId="{24F24141-DE10-4AF5-9484-A1735AD8434B}" srcOrd="0" destOrd="0" presId="urn:microsoft.com/office/officeart/2005/8/layout/orgChart1"/>
    <dgm:cxn modelId="{DC6A826D-3715-4270-96EB-7005DF1BA853}" type="presOf" srcId="{A24439C4-6CC3-4F0B-AB37-B5F48C404637}" destId="{C0E5A178-5117-4E98-BB64-AD9E497BE4C4}" srcOrd="0" destOrd="0" presId="urn:microsoft.com/office/officeart/2005/8/layout/orgChart1"/>
    <dgm:cxn modelId="{0696D26D-B420-4F77-9029-9C466F0027FE}" srcId="{7ECE0D00-5FF8-4FC9-A18E-BD73AFA50EBC}" destId="{4432A52E-D9D2-4556-852B-42671DA95ABF}" srcOrd="0" destOrd="0" parTransId="{D39309F4-2A30-4E7B-8131-898F2002A885}" sibTransId="{87887281-CEAA-4894-8D7F-7EB573988221}"/>
    <dgm:cxn modelId="{3DC8756E-BAA3-4D56-966F-F6E43773EE30}" type="presOf" srcId="{0E4D8AFF-591B-460C-A4C9-67F2C9857CC4}" destId="{9F2D6968-14C5-4EF2-8304-BD7B347B8A20}" srcOrd="1" destOrd="0" presId="urn:microsoft.com/office/officeart/2005/8/layout/orgChart1"/>
    <dgm:cxn modelId="{FDF5816F-97D4-46D8-A5D0-2F255454B231}" srcId="{867D776B-245D-467F-BD3F-2554245F80B0}" destId="{41B0165B-41A6-4671-882F-3EEB4528E43B}" srcOrd="1" destOrd="0" parTransId="{D921CA20-754A-48DB-BCF2-999640E4A922}" sibTransId="{6793B451-425F-4EE7-82B2-CCD82A23244F}"/>
    <dgm:cxn modelId="{A015E452-AB0D-443D-B946-18711C93EB44}" type="presOf" srcId="{1D1B4510-CC78-4E88-B3F5-4C9F656F5F83}" destId="{07CCB45D-67CF-40AE-8F50-27292F870F1E}" srcOrd="0" destOrd="0" presId="urn:microsoft.com/office/officeart/2005/8/layout/orgChart1"/>
    <dgm:cxn modelId="{B0D40A54-E933-43D7-89A9-FFD7BFF06257}" type="presOf" srcId="{1F314DFF-E2D0-4418-AF4C-F93D09148349}" destId="{6ED7D0B0-AE7C-48F0-932A-CF7756D1D965}" srcOrd="0" destOrd="0" presId="urn:microsoft.com/office/officeart/2005/8/layout/orgChart1"/>
    <dgm:cxn modelId="{D840C875-3509-4D40-9BCD-28C3523FB08C}" srcId="{1166AF32-0F15-49BE-A527-44BF102A5F42}" destId="{64FD1BA2-9B87-4505-88F8-2ECC75962081}" srcOrd="2" destOrd="0" parTransId="{652769C8-4847-4AD6-B528-ABBC34C26B5D}" sibTransId="{82C60C18-E68C-4213-A48A-038070423061}"/>
    <dgm:cxn modelId="{05153A76-8784-498D-A685-926883544343}" type="presOf" srcId="{2D0ADCA3-58DB-45DD-951D-7E2ADF39E394}" destId="{A27CF9BD-C5B2-4BED-9B73-42F45FA6625F}" srcOrd="0" destOrd="0" presId="urn:microsoft.com/office/officeart/2005/8/layout/orgChart1"/>
    <dgm:cxn modelId="{857B4076-BD6D-4543-B3ED-3D32F0FF12C4}" srcId="{60C487F2-55E9-4051-B835-0507B34F4BF2}" destId="{9A9C6070-9D06-4645-844F-813850F3679E}" srcOrd="0" destOrd="0" parTransId="{201A60C5-138F-48B4-B6ED-01B7380B861F}" sibTransId="{C72B786A-B412-4341-9F41-BA328FBEDF45}"/>
    <dgm:cxn modelId="{6CED8456-1815-44F3-8F59-35332AFF1CA8}" type="presOf" srcId="{38F80706-2567-419D-9FB1-EDDA9BE3B306}" destId="{F69CB23E-FA84-42DB-B08B-A21A8DFD06A1}" srcOrd="0" destOrd="0" presId="urn:microsoft.com/office/officeart/2005/8/layout/orgChart1"/>
    <dgm:cxn modelId="{E11AF956-40F0-4D0A-95BC-A3933891148A}" type="presOf" srcId="{9E4631D8-E89E-4DB4-8066-89781B490F94}" destId="{84F32059-3046-49B2-A372-EF6EF86439AC}" srcOrd="0" destOrd="0" presId="urn:microsoft.com/office/officeart/2005/8/layout/orgChart1"/>
    <dgm:cxn modelId="{99EE3678-E56D-4939-93C2-64B50B3E4ADD}" srcId="{7ECE0D00-5FF8-4FC9-A18E-BD73AFA50EBC}" destId="{5FC2C784-8617-4403-809A-E1B9E38E6497}" srcOrd="3" destOrd="0" parTransId="{3DF58710-C58C-498C-BE92-4F361C109A65}" sibTransId="{D77ACEF4-A56F-4F63-81DE-231F551C11D1}"/>
    <dgm:cxn modelId="{A2238B7A-6368-45DD-A4B8-251912C17247}" type="presOf" srcId="{DBCB58F9-2E0A-4046-B208-1A56DFAFB064}" destId="{08020C02-9C7F-41FF-849B-6327EA92921E}" srcOrd="0" destOrd="0" presId="urn:microsoft.com/office/officeart/2005/8/layout/orgChart1"/>
    <dgm:cxn modelId="{BC9C127D-D89D-4675-8966-899BF07A5C1C}" type="presOf" srcId="{87E1F9D4-E14C-4665-9255-211BBC2DEB2C}" destId="{9EB7B49E-8D9E-4AD2-9A4E-ED383079A315}" srcOrd="0" destOrd="0" presId="urn:microsoft.com/office/officeart/2005/8/layout/orgChart1"/>
    <dgm:cxn modelId="{BB16067F-F243-456D-AAE1-35F268D86B36}" type="presOf" srcId="{05354665-5CC3-42E3-84BB-CCE5C773D2E5}" destId="{CDD83C32-7E8A-49F2-902B-DC628C163915}" srcOrd="0" destOrd="0" presId="urn:microsoft.com/office/officeart/2005/8/layout/orgChart1"/>
    <dgm:cxn modelId="{CF8C957F-5ED6-430C-9722-FF3483288E08}" type="presOf" srcId="{867D776B-245D-467F-BD3F-2554245F80B0}" destId="{D4AB2E4D-56B9-42A2-9876-8BED88792A88}" srcOrd="1" destOrd="0" presId="urn:microsoft.com/office/officeart/2005/8/layout/orgChart1"/>
    <dgm:cxn modelId="{77D6E581-5C3D-480B-8489-4E025CEA9B68}" type="presOf" srcId="{AD4A1B9D-D59B-4884-BF1C-76B0DF222B7F}" destId="{A23FE01C-F4FF-4CAC-96BD-BC041F74F53F}" srcOrd="0" destOrd="0" presId="urn:microsoft.com/office/officeart/2005/8/layout/orgChart1"/>
    <dgm:cxn modelId="{963C9382-F5F1-4521-AD5B-7E742028953A}" type="presOf" srcId="{6BF80D2A-3003-4519-969E-53AA167DCEE6}" destId="{3594006E-EDF4-43FA-855D-55C3C5F082AF}" srcOrd="1" destOrd="0" presId="urn:microsoft.com/office/officeart/2005/8/layout/orgChart1"/>
    <dgm:cxn modelId="{E525D385-4FD0-4F98-AA92-2AA2360D62EE}" type="presOf" srcId="{28DF024B-A89A-410D-A001-E67A34DC7BDE}" destId="{4547EAB5-B758-425C-AE9F-E8BF0B28EA24}" srcOrd="0" destOrd="0" presId="urn:microsoft.com/office/officeart/2005/8/layout/orgChart1"/>
    <dgm:cxn modelId="{F9389386-34E4-4E08-A6E0-E30F62226CDA}" type="presOf" srcId="{6C88C8AE-CFC2-457C-8CD9-41A57B9E70B8}" destId="{35C0DAD1-66C3-4740-98A1-00A4BD0A4564}" srcOrd="0" destOrd="0" presId="urn:microsoft.com/office/officeart/2005/8/layout/orgChart1"/>
    <dgm:cxn modelId="{828D2F89-A722-4267-A2BB-8300FE9BF7BE}" type="presOf" srcId="{305F5364-7F0D-4C6F-B565-5C9833C77CC5}" destId="{F37535CB-5028-4158-B8BB-B599F370A339}" srcOrd="0" destOrd="0" presId="urn:microsoft.com/office/officeart/2005/8/layout/orgChart1"/>
    <dgm:cxn modelId="{40B49289-B69C-46A3-9042-E6AD838BC974}" type="presOf" srcId="{4C708C60-FCE8-4523-A072-6310161B433E}" destId="{E3744603-9B52-4E13-9810-F633262CB01C}" srcOrd="0" destOrd="0" presId="urn:microsoft.com/office/officeart/2005/8/layout/orgChart1"/>
    <dgm:cxn modelId="{798A9B89-6CAA-4694-92A7-07C321710DF1}" type="presOf" srcId="{C87D0185-A927-4A83-A9D0-EE494B38E8D3}" destId="{F75DC991-44CE-406B-BD99-E05CBFC3597C}" srcOrd="0" destOrd="0" presId="urn:microsoft.com/office/officeart/2005/8/layout/orgChart1"/>
    <dgm:cxn modelId="{BA805B8A-0898-4375-BB86-FFE232271A24}" type="presOf" srcId="{5FC2C784-8617-4403-809A-E1B9E38E6497}" destId="{9F667E83-693A-4C97-B1B1-9572235E1869}" srcOrd="1" destOrd="0" presId="urn:microsoft.com/office/officeart/2005/8/layout/orgChart1"/>
    <dgm:cxn modelId="{C07BEF8A-4D4A-479C-B8A7-44B45B912070}" type="presOf" srcId="{1A39C80B-73FB-411F-BD4A-249868550A51}" destId="{647C1275-7891-413D-A763-CEF1DB279D94}" srcOrd="0" destOrd="0" presId="urn:microsoft.com/office/officeart/2005/8/layout/orgChart1"/>
    <dgm:cxn modelId="{6A4EFB95-B0D1-4665-9A2E-B36E4AD2DD8B}" type="presOf" srcId="{16985E1B-552B-41C6-B98C-79FB3D6DAF1D}" destId="{BEF2EAC9-F187-4EDC-9AEA-E5AABEC0EB1E}" srcOrd="0" destOrd="0" presId="urn:microsoft.com/office/officeart/2005/8/layout/orgChart1"/>
    <dgm:cxn modelId="{40674B96-DBA3-4150-9C85-B8A81B0B3887}" type="presOf" srcId="{7BC3BF3B-6057-4C20-A2B3-8CE35DD05FE4}" destId="{A5234D8F-9E3C-461D-892A-43794FAED207}" srcOrd="1" destOrd="0" presId="urn:microsoft.com/office/officeart/2005/8/layout/orgChart1"/>
    <dgm:cxn modelId="{DE37A498-663D-447B-BFE5-CBB46C92A099}" type="presOf" srcId="{2D0ADCA3-58DB-45DD-951D-7E2ADF39E394}" destId="{D1E9EF65-7FF6-42FA-95B0-6E2BCC0DA87A}" srcOrd="1" destOrd="0" presId="urn:microsoft.com/office/officeart/2005/8/layout/orgChart1"/>
    <dgm:cxn modelId="{643C2F9A-8EB9-4130-825B-3549529EF206}" type="presOf" srcId="{32E729DA-CEC1-4BB0-849D-135300C81244}" destId="{75EF16CF-B452-4115-959B-09C378F8DCE5}" srcOrd="0" destOrd="0" presId="urn:microsoft.com/office/officeart/2005/8/layout/orgChart1"/>
    <dgm:cxn modelId="{C5B3E69B-9D53-49D0-85A0-4C5A64850F27}" type="presOf" srcId="{A81493B1-BE53-415D-A24D-05EA356E222B}" destId="{112C79E5-1495-4DCF-88AA-D43981363B1C}" srcOrd="0" destOrd="0" presId="urn:microsoft.com/office/officeart/2005/8/layout/orgChart1"/>
    <dgm:cxn modelId="{78EF109E-7448-4A86-AD54-564544FF8C99}" type="presOf" srcId="{9A9C6070-9D06-4645-844F-813850F3679E}" destId="{2DD99029-3C21-4E6E-A9F8-65F189509F28}" srcOrd="0" destOrd="0" presId="urn:microsoft.com/office/officeart/2005/8/layout/orgChart1"/>
    <dgm:cxn modelId="{2446B19F-8118-4569-A58E-6903C9B9C41B}" type="presOf" srcId="{867D776B-245D-467F-BD3F-2554245F80B0}" destId="{708737BF-934E-4C35-91CE-60FA57408673}" srcOrd="0" destOrd="0" presId="urn:microsoft.com/office/officeart/2005/8/layout/orgChart1"/>
    <dgm:cxn modelId="{649924A0-DE5E-4F70-A483-4ECA56AD53DD}" type="presOf" srcId="{D961D356-C423-4930-9CD4-5641A753DEE6}" destId="{D5C976BE-90F4-430A-A970-6B4381FC975B}" srcOrd="0" destOrd="0" presId="urn:microsoft.com/office/officeart/2005/8/layout/orgChart1"/>
    <dgm:cxn modelId="{37870DA6-DB9C-4D6B-91E2-3674BF93CBC4}" srcId="{867D776B-245D-467F-BD3F-2554245F80B0}" destId="{A29D78EA-EACC-4D0A-B7AD-F70145C829A2}" srcOrd="2" destOrd="0" parTransId="{DBCB58F9-2E0A-4046-B208-1A56DFAFB064}" sibTransId="{CF0A83AE-B385-4350-BC4A-782B72712A2B}"/>
    <dgm:cxn modelId="{F7F593A7-A197-4684-92F9-03A802EC204E}" type="presOf" srcId="{5FC2C784-8617-4403-809A-E1B9E38E6497}" destId="{A65527EB-BCD5-4927-A0F1-AF198A01ED8B}" srcOrd="0" destOrd="0" presId="urn:microsoft.com/office/officeart/2005/8/layout/orgChart1"/>
    <dgm:cxn modelId="{FD8130A8-914F-41FD-9EFC-94E863BB9039}" type="presOf" srcId="{F360A459-0493-45A0-BE09-9CB397E4C5EC}" destId="{117150F1-77AC-487B-B5D6-79D824341F8A}" srcOrd="1" destOrd="0" presId="urn:microsoft.com/office/officeart/2005/8/layout/orgChart1"/>
    <dgm:cxn modelId="{114FB4A8-E3A1-4C63-BCD9-750683D0E0A4}" srcId="{0E4D8AFF-591B-460C-A4C9-67F2C9857CC4}" destId="{32E729DA-CEC1-4BB0-849D-135300C81244}" srcOrd="1" destOrd="0" parTransId="{91FEEABB-DBB4-4847-9263-A7C1CC5180DD}" sibTransId="{DFDE75F2-14D1-4932-90EC-DE1B47BE6212}"/>
    <dgm:cxn modelId="{51784DA9-40F2-492D-AAA0-48126E5DA0E6}" type="presOf" srcId="{4432A52E-D9D2-4556-852B-42671DA95ABF}" destId="{C314E26F-6362-4AA6-AC20-89CF8A23170C}" srcOrd="0" destOrd="0" presId="urn:microsoft.com/office/officeart/2005/8/layout/orgChart1"/>
    <dgm:cxn modelId="{C517FDAB-D12E-4160-B323-6AF156855E9C}" srcId="{1166AF32-0F15-49BE-A527-44BF102A5F42}" destId="{62CE1EB7-0778-4390-8208-387455E58A48}" srcOrd="4" destOrd="0" parTransId="{9F901148-05B1-4AD4-B764-1428D86FDE9B}" sibTransId="{C0691F11-6C2B-480B-AC60-E3BB03CC68B4}"/>
    <dgm:cxn modelId="{98199BAD-F032-40F6-A097-E0821F9FE8B7}" type="presOf" srcId="{9F901148-05B1-4AD4-B764-1428D86FDE9B}" destId="{126A9A2C-DC36-49E3-BD2D-F41BC52F96EE}" srcOrd="0" destOrd="0" presId="urn:microsoft.com/office/officeart/2005/8/layout/orgChart1"/>
    <dgm:cxn modelId="{22B258B4-1239-4601-9DD1-B8CFF712D45D}" type="presOf" srcId="{91FEEABB-DBB4-4847-9263-A7C1CC5180DD}" destId="{17A3FD81-5A2B-4F95-9673-FF298F7075E3}" srcOrd="0" destOrd="0" presId="urn:microsoft.com/office/officeart/2005/8/layout/orgChart1"/>
    <dgm:cxn modelId="{4F3E92B4-4DDC-40E1-B10E-093DEF401C56}" type="presOf" srcId="{60C487F2-55E9-4051-B835-0507B34F4BF2}" destId="{047B165C-EC46-4E7C-B2C5-5C99D519DB62}" srcOrd="1" destOrd="0" presId="urn:microsoft.com/office/officeart/2005/8/layout/orgChart1"/>
    <dgm:cxn modelId="{CF16F0B4-84FF-4CC4-A0E9-A3F93EED4AF1}" type="presOf" srcId="{D39309F4-2A30-4E7B-8131-898F2002A885}" destId="{4177E1FB-1880-49C5-98C6-780ACA90E1B0}" srcOrd="0" destOrd="0" presId="urn:microsoft.com/office/officeart/2005/8/layout/orgChart1"/>
    <dgm:cxn modelId="{550662B6-604F-41A2-AA7D-706AA36166F7}" srcId="{32E729DA-CEC1-4BB0-849D-135300C81244}" destId="{6BF80D2A-3003-4519-969E-53AA167DCEE6}" srcOrd="0" destOrd="0" parTransId="{305F5364-7F0D-4C6F-B565-5C9833C77CC5}" sibTransId="{5F35A76F-9CFE-498E-8C47-FBBE1BB3E15B}"/>
    <dgm:cxn modelId="{46678AB7-DB03-4314-A680-7B35281FC022}" type="presOf" srcId="{8FF0E5E4-0B37-45D2-BCDD-161AC305E7A1}" destId="{C893A817-868A-42D6-91D8-C39472590CC2}" srcOrd="0" destOrd="0" presId="urn:microsoft.com/office/officeart/2005/8/layout/orgChart1"/>
    <dgm:cxn modelId="{6A2DDDB7-670E-4A84-89BC-52BD14FBB7DA}" srcId="{32E729DA-CEC1-4BB0-849D-135300C81244}" destId="{4CAFF5B8-B9C9-47F2-900A-8462E0C40682}" srcOrd="1" destOrd="0" parTransId="{22C5A9FE-45C8-483E-8D7E-F72C2005FD6A}" sibTransId="{FC9877AC-ECC5-4AF0-844F-25E8664288A5}"/>
    <dgm:cxn modelId="{13E935BA-640E-4E17-B653-C2B99E9D2A52}" type="presOf" srcId="{C7369B69-F6D1-4824-ACA2-6A155304198B}" destId="{373BB783-128C-4A5F-B09F-2C6B132A3CA3}" srcOrd="0" destOrd="0" presId="urn:microsoft.com/office/officeart/2005/8/layout/orgChart1"/>
    <dgm:cxn modelId="{BD0791BC-CBAD-4B6E-965A-5DBCC7ED2779}" type="presOf" srcId="{62CE1EB7-0778-4390-8208-387455E58A48}" destId="{4496A48D-AE96-4407-95BC-8B309974DBB2}" srcOrd="0" destOrd="0" presId="urn:microsoft.com/office/officeart/2005/8/layout/orgChart1"/>
    <dgm:cxn modelId="{0A7EDCBC-039A-4E50-AEE3-2A978A9ED844}" type="presOf" srcId="{22C5A9FE-45C8-483E-8D7E-F72C2005FD6A}" destId="{F1F04FE5-60D0-42CE-B901-5B5F51BFA723}" srcOrd="0" destOrd="0" presId="urn:microsoft.com/office/officeart/2005/8/layout/orgChart1"/>
    <dgm:cxn modelId="{F14CE6BF-832B-4A3E-843A-CFF82C244620}" srcId="{F2D435C7-7B62-44AE-9C4C-A8A6A7D411D3}" destId="{7ECE0D00-5FF8-4FC9-A18E-BD73AFA50EBC}" srcOrd="0" destOrd="0" parTransId="{097724E7-8DD8-4059-8D79-86F960544173}" sibTransId="{BE1E7920-381C-4BAF-B699-4127F18DF6BC}"/>
    <dgm:cxn modelId="{063CFFC1-C272-485B-94F3-A2DCEB5B7C6A}" type="presOf" srcId="{9A9C6070-9D06-4645-844F-813850F3679E}" destId="{E5AE67EA-DD41-469C-A41E-4F70B641E098}" srcOrd="1" destOrd="0" presId="urn:microsoft.com/office/officeart/2005/8/layout/orgChart1"/>
    <dgm:cxn modelId="{52F927C2-0FF6-48EF-AF50-DE4C0917E8B6}" type="presOf" srcId="{D961D356-C423-4930-9CD4-5641A753DEE6}" destId="{F2E8EDC4-B0CD-4FDB-8B13-077E8993B6AD}" srcOrd="1" destOrd="0" presId="urn:microsoft.com/office/officeart/2005/8/layout/orgChart1"/>
    <dgm:cxn modelId="{FA5DBFC7-0155-4021-A7DB-79CF32022449}" type="presOf" srcId="{3F8741FC-51E3-4D2D-A1AA-77211F7A629A}" destId="{F24B21A5-C4F5-4DDF-95CB-8BAE3C275280}" srcOrd="0" destOrd="0" presId="urn:microsoft.com/office/officeart/2005/8/layout/orgChart1"/>
    <dgm:cxn modelId="{09431CC8-19D3-422E-B073-4501DD093BD9}" type="presOf" srcId="{6BD5E1AC-0E8F-4628-89F0-780B1B1C928F}" destId="{2E8A66D7-765C-4F9D-A32F-D35362EDA44B}" srcOrd="0" destOrd="0" presId="urn:microsoft.com/office/officeart/2005/8/layout/orgChart1"/>
    <dgm:cxn modelId="{F895FFC8-464A-460B-9F16-C9741973812E}" type="presOf" srcId="{7ECE0D00-5FF8-4FC9-A18E-BD73AFA50EBC}" destId="{F137DA07-46A7-4D16-8613-D5AFB94C406C}" srcOrd="1" destOrd="0" presId="urn:microsoft.com/office/officeart/2005/8/layout/orgChart1"/>
    <dgm:cxn modelId="{A9BE14CC-454E-4F18-90F4-853029FEBCD1}" srcId="{A24439C4-6CC3-4F0B-AB37-B5F48C404637}" destId="{05354665-5CC3-42E3-84BB-CCE5C773D2E5}" srcOrd="1" destOrd="0" parTransId="{1D1B4510-CC78-4E88-B3F5-4C9F656F5F83}" sibTransId="{1D98A327-A3A2-4012-97E3-DB9D4D66FFF4}"/>
    <dgm:cxn modelId="{9A6262CD-9463-46F2-8D88-217C7FED6C40}" type="presOf" srcId="{3DF58710-C58C-498C-BE92-4F361C109A65}" destId="{2F4B0A22-16F7-4E00-8287-00234A1E7146}" srcOrd="0" destOrd="0" presId="urn:microsoft.com/office/officeart/2005/8/layout/orgChart1"/>
    <dgm:cxn modelId="{D0A8DAD2-6D2B-4488-834A-EC3A492E8257}" type="presOf" srcId="{3F8741FC-51E3-4D2D-A1AA-77211F7A629A}" destId="{ADB9A74E-2ADE-421F-A303-46AEE8DD20FC}" srcOrd="1" destOrd="0" presId="urn:microsoft.com/office/officeart/2005/8/layout/orgChart1"/>
    <dgm:cxn modelId="{9BB215D3-A1E0-4192-A8C0-EE2EFD9E6767}" srcId="{7ECE0D00-5FF8-4FC9-A18E-BD73AFA50EBC}" destId="{EE2EDF37-688B-4FD0-A3FB-102928A9F920}" srcOrd="2" destOrd="0" parTransId="{6BD5E1AC-0E8F-4628-89F0-780B1B1C928F}" sibTransId="{B4703708-24D6-49DD-BAFE-062A2564E2E5}"/>
    <dgm:cxn modelId="{908F83D4-9754-4496-9173-47252845C3F8}" type="presOf" srcId="{41B0165B-41A6-4671-882F-3EEB4528E43B}" destId="{35A08AD2-E758-4E5C-B9D8-58D6CEA0EBC1}" srcOrd="1" destOrd="0" presId="urn:microsoft.com/office/officeart/2005/8/layout/orgChart1"/>
    <dgm:cxn modelId="{D3289FD9-C809-47B9-B11D-406575366CCE}" srcId="{7ECE0D00-5FF8-4FC9-A18E-BD73AFA50EBC}" destId="{7BC3BF3B-6057-4C20-A2B3-8CE35DD05FE4}" srcOrd="1" destOrd="0" parTransId="{D0356A9C-608C-4C78-A2E5-7810B71934A7}" sibTransId="{0B8D8286-9509-4010-8D1E-3F73DB57622D}"/>
    <dgm:cxn modelId="{12E062DC-45E8-4587-8517-D4F9285AF7DB}" type="presOf" srcId="{0E4D8AFF-591B-460C-A4C9-67F2C9857CC4}" destId="{4A23F757-1AAE-41A0-9F49-1D8ECD8B9F2C}" srcOrd="0" destOrd="0" presId="urn:microsoft.com/office/officeart/2005/8/layout/orgChart1"/>
    <dgm:cxn modelId="{0C680FDE-7D25-42B8-8FE4-7F1347AA57CB}" type="presOf" srcId="{4432A52E-D9D2-4556-852B-42671DA95ABF}" destId="{A3FA1DC9-AE88-4487-B093-E7AF94AD100C}" srcOrd="1" destOrd="0" presId="urn:microsoft.com/office/officeart/2005/8/layout/orgChart1"/>
    <dgm:cxn modelId="{727E73DF-2F32-400D-B552-70083D50D421}" srcId="{60C487F2-55E9-4051-B835-0507B34F4BF2}" destId="{A81493B1-BE53-415D-A24D-05EA356E222B}" srcOrd="1" destOrd="0" parTransId="{B3075BB4-777D-40C5-97DF-46CB7917B14E}" sibTransId="{39DFE241-DF40-4142-AA86-0C3BA0A332BD}"/>
    <dgm:cxn modelId="{7D569DE1-C48F-4B28-97BE-F8601175CA8B}" srcId="{0E4D8AFF-591B-460C-A4C9-67F2C9857CC4}" destId="{60C487F2-55E9-4051-B835-0507B34F4BF2}" srcOrd="0" destOrd="0" parTransId="{C7369B69-F6D1-4824-ACA2-6A155304198B}" sibTransId="{25667E21-E78C-427C-98F4-2950EC6F251B}"/>
    <dgm:cxn modelId="{EB651AE4-97A0-4C7D-961A-93D22AEA6096}" type="presOf" srcId="{2A939374-EEE9-4965-9872-33F17AE331AA}" destId="{B042746A-114F-4FF4-83E0-41B4AE1F0D78}" srcOrd="0" destOrd="0" presId="urn:microsoft.com/office/officeart/2005/8/layout/orgChart1"/>
    <dgm:cxn modelId="{D1BE4CE4-03BB-4DCD-BEB9-84C1F7E26F85}" type="presOf" srcId="{097724E7-8DD8-4059-8D79-86F960544173}" destId="{B26F875D-1D26-46AD-8FC8-DEC1F42F67CD}" srcOrd="0" destOrd="0" presId="urn:microsoft.com/office/officeart/2005/8/layout/orgChart1"/>
    <dgm:cxn modelId="{2C20F8E6-8DE2-4D55-8979-B27BACC0042D}" type="presOf" srcId="{7BC3BF3B-6057-4C20-A2B3-8CE35DD05FE4}" destId="{A9077D6F-A0BD-4C1E-90C6-11C4BD3509B0}" srcOrd="0" destOrd="0" presId="urn:microsoft.com/office/officeart/2005/8/layout/orgChart1"/>
    <dgm:cxn modelId="{DDA344E7-AD9A-4152-9C80-90EDF64A951D}" type="presOf" srcId="{4CAFF5B8-B9C9-47F2-900A-8462E0C40682}" destId="{0A8E184F-924D-4D9A-A40A-80A16F7CDDFD}" srcOrd="1" destOrd="0" presId="urn:microsoft.com/office/officeart/2005/8/layout/orgChart1"/>
    <dgm:cxn modelId="{B71B90E9-96EE-4A2B-8DE1-39203599E0F5}" type="presOf" srcId="{3F267390-0E50-4CCC-B005-BC11673CF2A3}" destId="{620CD522-B0E9-4FD9-842A-2B74F50428F0}" srcOrd="1" destOrd="0" presId="urn:microsoft.com/office/officeart/2005/8/layout/orgChart1"/>
    <dgm:cxn modelId="{CCBF53EA-F7A8-49C3-9842-70155898FC16}" type="presOf" srcId="{652769C8-4847-4AD6-B528-ABBC34C26B5D}" destId="{4F9D070C-D865-4053-A12F-C0B37C81DA63}" srcOrd="0" destOrd="0" presId="urn:microsoft.com/office/officeart/2005/8/layout/orgChart1"/>
    <dgm:cxn modelId="{BFA6FBEA-097F-4F69-A032-91D5CDA6D401}" srcId="{3F267390-0E50-4CCC-B005-BC11673CF2A3}" destId="{867D776B-245D-467F-BD3F-2554245F80B0}" srcOrd="1" destOrd="0" parTransId="{16985E1B-552B-41C6-B98C-79FB3D6DAF1D}" sibTransId="{B879EDBD-BCCE-43FC-B2B4-7057DB0EA39D}"/>
    <dgm:cxn modelId="{D9E89FEC-7DF2-49D8-8AAF-CCD6A5F272FD}" type="presOf" srcId="{1166AF32-0F15-49BE-A527-44BF102A5F42}" destId="{06238041-F4AF-40D9-9C60-6DF44F50767C}" srcOrd="1" destOrd="0" presId="urn:microsoft.com/office/officeart/2005/8/layout/orgChart1"/>
    <dgm:cxn modelId="{787843EE-86AA-4931-A7D4-63ED1A70CB75}" srcId="{A24439C4-6CC3-4F0B-AB37-B5F48C404637}" destId="{AD4A1B9D-D59B-4884-BF1C-76B0DF222B7F}" srcOrd="2" destOrd="0" parTransId="{4C708C60-FCE8-4523-A072-6310161B433E}" sibTransId="{2EE846E0-71BC-49C2-964D-B1805BB147FD}"/>
    <dgm:cxn modelId="{31E0B0EE-D7F8-4D44-9150-3E1051E73523}" srcId="{2A939374-EEE9-4965-9872-33F17AE331AA}" destId="{D961D356-C423-4930-9CD4-5641A753DEE6}" srcOrd="0" destOrd="0" parTransId="{DBB362DF-C898-48A7-B307-A03E8070FDA0}" sibTransId="{9A6C63E8-7BB7-4F8D-8A9B-21B04795D8EA}"/>
    <dgm:cxn modelId="{BACBAFEF-5176-4933-9C44-227DFA73E2AA}" type="presOf" srcId="{F2D435C7-7B62-44AE-9C4C-A8A6A7D411D3}" destId="{87D9F988-83C6-418A-A953-4DBA108E893C}" srcOrd="0" destOrd="0" presId="urn:microsoft.com/office/officeart/2005/8/layout/orgChart1"/>
    <dgm:cxn modelId="{ACD566F4-2DD7-403C-B91B-2D5D4BC9A434}" type="presOf" srcId="{4CAFF5B8-B9C9-47F2-900A-8462E0C40682}" destId="{C22F5DAA-6A58-483D-A786-31C7E8B9C100}" srcOrd="0" destOrd="0" presId="urn:microsoft.com/office/officeart/2005/8/layout/orgChart1"/>
    <dgm:cxn modelId="{C6571CF5-66DE-43CA-8EBF-E51DC54588C9}" type="presOf" srcId="{EE2EDF37-688B-4FD0-A3FB-102928A9F920}" destId="{57D27527-8CC6-49AA-B356-7BC3CEB693FF}" srcOrd="0" destOrd="0" presId="urn:microsoft.com/office/officeart/2005/8/layout/orgChart1"/>
    <dgm:cxn modelId="{1BB5CFF6-ECAD-4B34-8208-59B2F9AED820}" type="presOf" srcId="{A24439C4-6CC3-4F0B-AB37-B5F48C404637}" destId="{7043DE05-9A49-4A04-AEC9-CBECD2CF24F0}" srcOrd="1" destOrd="0" presId="urn:microsoft.com/office/officeart/2005/8/layout/orgChart1"/>
    <dgm:cxn modelId="{E44051F7-48A8-41D8-9813-EEBEAD581CE4}" type="presOf" srcId="{CB682309-B7D9-4B69-93C4-B31D4588278D}" destId="{D62C438B-9C84-4123-8129-B01AE7B80628}" srcOrd="1" destOrd="0" presId="urn:microsoft.com/office/officeart/2005/8/layout/orgChart1"/>
    <dgm:cxn modelId="{649A64F8-D78F-4126-8168-8515042AA380}" type="presOf" srcId="{F360A459-0493-45A0-BE09-9CB397E4C5EC}" destId="{ADE861E2-A031-4E11-A772-B1FAF95DDD31}" srcOrd="0" destOrd="0" presId="urn:microsoft.com/office/officeart/2005/8/layout/orgChart1"/>
    <dgm:cxn modelId="{681587FD-83CA-48F2-A4D4-815B9656C702}" type="presOf" srcId="{1687D952-81D6-4A0A-A5F4-229A6C5523F0}" destId="{790AED7A-811E-4494-8491-C39EF35ED672}" srcOrd="0" destOrd="0" presId="urn:microsoft.com/office/officeart/2005/8/layout/orgChart1"/>
    <dgm:cxn modelId="{A54CC1E2-75D6-4D82-A07C-3224F5E35014}" type="presParOf" srcId="{B042746A-114F-4FF4-83E0-41B4AE1F0D78}" destId="{8A3164A8-D9A4-41C5-A925-70BDD77D91AC}" srcOrd="0" destOrd="0" presId="urn:microsoft.com/office/officeart/2005/8/layout/orgChart1"/>
    <dgm:cxn modelId="{7189D451-E0C1-458B-BC75-DD88D017AEEF}" type="presParOf" srcId="{8A3164A8-D9A4-41C5-A925-70BDD77D91AC}" destId="{7149557C-E372-4D7C-B8FF-1973C176CB0B}" srcOrd="0" destOrd="0" presId="urn:microsoft.com/office/officeart/2005/8/layout/orgChart1"/>
    <dgm:cxn modelId="{9CC14836-16EE-47D4-949C-A956377BD75B}" type="presParOf" srcId="{7149557C-E372-4D7C-B8FF-1973C176CB0B}" destId="{D5C976BE-90F4-430A-A970-6B4381FC975B}" srcOrd="0" destOrd="0" presId="urn:microsoft.com/office/officeart/2005/8/layout/orgChart1"/>
    <dgm:cxn modelId="{80FCD72D-6C08-4D6F-8F3E-5D55571169AB}" type="presParOf" srcId="{7149557C-E372-4D7C-B8FF-1973C176CB0B}" destId="{F2E8EDC4-B0CD-4FDB-8B13-077E8993B6AD}" srcOrd="1" destOrd="0" presId="urn:microsoft.com/office/officeart/2005/8/layout/orgChart1"/>
    <dgm:cxn modelId="{7ED04081-B917-4E74-84FA-28D233FC9133}" type="presParOf" srcId="{8A3164A8-D9A4-41C5-A925-70BDD77D91AC}" destId="{2B5D1BC1-5CC4-4765-BF27-D7FFF2FEC7D8}" srcOrd="1" destOrd="0" presId="urn:microsoft.com/office/officeart/2005/8/layout/orgChart1"/>
    <dgm:cxn modelId="{4B53C977-9A60-40AF-891F-49B93EEFBC95}" type="presParOf" srcId="{2B5D1BC1-5CC4-4765-BF27-D7FFF2FEC7D8}" destId="{C893A817-868A-42D6-91D8-C39472590CC2}" srcOrd="0" destOrd="0" presId="urn:microsoft.com/office/officeart/2005/8/layout/orgChart1"/>
    <dgm:cxn modelId="{C8557BFB-F4BB-44E2-BF9E-B72DC51E7CB3}" type="presParOf" srcId="{2B5D1BC1-5CC4-4765-BF27-D7FFF2FEC7D8}" destId="{61962F7F-F225-4FBB-8AED-9876DD1699B6}" srcOrd="1" destOrd="0" presId="urn:microsoft.com/office/officeart/2005/8/layout/orgChart1"/>
    <dgm:cxn modelId="{729DE61C-4D43-4F21-9FCC-7D4234B70DEB}" type="presParOf" srcId="{61962F7F-F225-4FBB-8AED-9876DD1699B6}" destId="{77E8DEAC-90AC-4321-BD14-5FE24A87A639}" srcOrd="0" destOrd="0" presId="urn:microsoft.com/office/officeart/2005/8/layout/orgChart1"/>
    <dgm:cxn modelId="{98AA1546-11FF-4B7B-BA33-CD62ED7599DE}" type="presParOf" srcId="{77E8DEAC-90AC-4321-BD14-5FE24A87A639}" destId="{87D9F988-83C6-418A-A953-4DBA108E893C}" srcOrd="0" destOrd="0" presId="urn:microsoft.com/office/officeart/2005/8/layout/orgChart1"/>
    <dgm:cxn modelId="{6D50CAA4-5841-472F-83B4-554CCF23317B}" type="presParOf" srcId="{77E8DEAC-90AC-4321-BD14-5FE24A87A639}" destId="{7406D7BA-634E-43ED-BABB-840ED6680B26}" srcOrd="1" destOrd="0" presId="urn:microsoft.com/office/officeart/2005/8/layout/orgChart1"/>
    <dgm:cxn modelId="{0005D2E2-09AA-42CB-9191-CE71FC39CB94}" type="presParOf" srcId="{61962F7F-F225-4FBB-8AED-9876DD1699B6}" destId="{15AE9F4B-B0C5-4299-8818-5CD00F8820F0}" srcOrd="1" destOrd="0" presId="urn:microsoft.com/office/officeart/2005/8/layout/orgChart1"/>
    <dgm:cxn modelId="{BAB3EEEB-27BF-4413-9779-899C19E1A2E3}" type="presParOf" srcId="{15AE9F4B-B0C5-4299-8818-5CD00F8820F0}" destId="{B26F875D-1D26-46AD-8FC8-DEC1F42F67CD}" srcOrd="0" destOrd="0" presId="urn:microsoft.com/office/officeart/2005/8/layout/orgChart1"/>
    <dgm:cxn modelId="{ABC4A53C-B4E8-4A22-9745-D15F9B1E9995}" type="presParOf" srcId="{15AE9F4B-B0C5-4299-8818-5CD00F8820F0}" destId="{7BC1CA5E-676F-4A01-91A8-7C5E83283D33}" srcOrd="1" destOrd="0" presId="urn:microsoft.com/office/officeart/2005/8/layout/orgChart1"/>
    <dgm:cxn modelId="{017C5A6A-08F2-4A79-859D-72746C55A8FC}" type="presParOf" srcId="{7BC1CA5E-676F-4A01-91A8-7C5E83283D33}" destId="{9AE612D4-6B0C-4BAD-8192-3B2856DDC0F4}" srcOrd="0" destOrd="0" presId="urn:microsoft.com/office/officeart/2005/8/layout/orgChart1"/>
    <dgm:cxn modelId="{B1EB4022-1CEA-4767-8BBA-B4F3696A74EE}" type="presParOf" srcId="{9AE612D4-6B0C-4BAD-8192-3B2856DDC0F4}" destId="{16797997-7266-46B4-9CB4-0FC279F486EA}" srcOrd="0" destOrd="0" presId="urn:microsoft.com/office/officeart/2005/8/layout/orgChart1"/>
    <dgm:cxn modelId="{5C81AEBC-B167-4592-9C00-3631F823A2EF}" type="presParOf" srcId="{9AE612D4-6B0C-4BAD-8192-3B2856DDC0F4}" destId="{F137DA07-46A7-4D16-8613-D5AFB94C406C}" srcOrd="1" destOrd="0" presId="urn:microsoft.com/office/officeart/2005/8/layout/orgChart1"/>
    <dgm:cxn modelId="{28C7EDEC-FFC4-450D-B94C-2AB675D97824}" type="presParOf" srcId="{7BC1CA5E-676F-4A01-91A8-7C5E83283D33}" destId="{71589DB5-B51A-44E0-AE0B-7846494FFA41}" srcOrd="1" destOrd="0" presId="urn:microsoft.com/office/officeart/2005/8/layout/orgChart1"/>
    <dgm:cxn modelId="{2FA18B5F-ECD9-4453-BBD2-081583663FE7}" type="presParOf" srcId="{71589DB5-B51A-44E0-AE0B-7846494FFA41}" destId="{4177E1FB-1880-49C5-98C6-780ACA90E1B0}" srcOrd="0" destOrd="0" presId="urn:microsoft.com/office/officeart/2005/8/layout/orgChart1"/>
    <dgm:cxn modelId="{1A9C56B1-5989-47CE-8357-75BF79C875F3}" type="presParOf" srcId="{71589DB5-B51A-44E0-AE0B-7846494FFA41}" destId="{0EF0A2AF-8205-46E0-9F81-35EF45779776}" srcOrd="1" destOrd="0" presId="urn:microsoft.com/office/officeart/2005/8/layout/orgChart1"/>
    <dgm:cxn modelId="{4040506F-4424-466B-A93A-52CE9EFFC728}" type="presParOf" srcId="{0EF0A2AF-8205-46E0-9F81-35EF45779776}" destId="{9F5F353D-6866-4BD5-B251-0331051E0E03}" srcOrd="0" destOrd="0" presId="urn:microsoft.com/office/officeart/2005/8/layout/orgChart1"/>
    <dgm:cxn modelId="{5F755FDD-4EF4-462F-B19A-568DE26587E2}" type="presParOf" srcId="{9F5F353D-6866-4BD5-B251-0331051E0E03}" destId="{C314E26F-6362-4AA6-AC20-89CF8A23170C}" srcOrd="0" destOrd="0" presId="urn:microsoft.com/office/officeart/2005/8/layout/orgChart1"/>
    <dgm:cxn modelId="{9E46280A-AEDB-480D-9E03-8B116CB99D6F}" type="presParOf" srcId="{9F5F353D-6866-4BD5-B251-0331051E0E03}" destId="{A3FA1DC9-AE88-4487-B093-E7AF94AD100C}" srcOrd="1" destOrd="0" presId="urn:microsoft.com/office/officeart/2005/8/layout/orgChart1"/>
    <dgm:cxn modelId="{F78A385E-8CCC-4181-82D7-3501CDE8E1F5}" type="presParOf" srcId="{0EF0A2AF-8205-46E0-9F81-35EF45779776}" destId="{C4BFA207-9003-40D4-B517-774A24491CEB}" srcOrd="1" destOrd="0" presId="urn:microsoft.com/office/officeart/2005/8/layout/orgChart1"/>
    <dgm:cxn modelId="{95A74583-AA75-4798-88EB-A568E706BD37}" type="presParOf" srcId="{0EF0A2AF-8205-46E0-9F81-35EF45779776}" destId="{27843B41-D2C9-4158-B5F8-624C966D26A3}" srcOrd="2" destOrd="0" presId="urn:microsoft.com/office/officeart/2005/8/layout/orgChart1"/>
    <dgm:cxn modelId="{EEB73CF4-6590-4440-B5AD-C0247A90E3A9}" type="presParOf" srcId="{71589DB5-B51A-44E0-AE0B-7846494FFA41}" destId="{DA554E03-40BD-44CF-8790-7AA329C45E42}" srcOrd="2" destOrd="0" presId="urn:microsoft.com/office/officeart/2005/8/layout/orgChart1"/>
    <dgm:cxn modelId="{C1C1F453-EF58-41AA-A80C-D8B07EF760C6}" type="presParOf" srcId="{71589DB5-B51A-44E0-AE0B-7846494FFA41}" destId="{598B6BF8-736B-4CEB-AA19-C5923B2A174C}" srcOrd="3" destOrd="0" presId="urn:microsoft.com/office/officeart/2005/8/layout/orgChart1"/>
    <dgm:cxn modelId="{7C100519-55AF-4003-98CE-DE565DBF8E4F}" type="presParOf" srcId="{598B6BF8-736B-4CEB-AA19-C5923B2A174C}" destId="{96555ED0-7E77-4EED-B081-5F0DA1BF5CE0}" srcOrd="0" destOrd="0" presId="urn:microsoft.com/office/officeart/2005/8/layout/orgChart1"/>
    <dgm:cxn modelId="{AD9F0AAB-B4D9-4B40-93DA-9A2E7D222006}" type="presParOf" srcId="{96555ED0-7E77-4EED-B081-5F0DA1BF5CE0}" destId="{A9077D6F-A0BD-4C1E-90C6-11C4BD3509B0}" srcOrd="0" destOrd="0" presId="urn:microsoft.com/office/officeart/2005/8/layout/orgChart1"/>
    <dgm:cxn modelId="{D54FC291-F7D9-43F3-ABD6-3844B1C3FBEB}" type="presParOf" srcId="{96555ED0-7E77-4EED-B081-5F0DA1BF5CE0}" destId="{A5234D8F-9E3C-461D-892A-43794FAED207}" srcOrd="1" destOrd="0" presId="urn:microsoft.com/office/officeart/2005/8/layout/orgChart1"/>
    <dgm:cxn modelId="{3B0DDF46-9D9F-44CA-844E-102C0E0391C0}" type="presParOf" srcId="{598B6BF8-736B-4CEB-AA19-C5923B2A174C}" destId="{44D5C491-B503-45D4-983F-871B2FB85CB9}" srcOrd="1" destOrd="0" presId="urn:microsoft.com/office/officeart/2005/8/layout/orgChart1"/>
    <dgm:cxn modelId="{58884EF8-3098-4C94-9C89-D75A3A8C726F}" type="presParOf" srcId="{598B6BF8-736B-4CEB-AA19-C5923B2A174C}" destId="{010B88C1-0A65-449C-AB6D-CD5A38E7937F}" srcOrd="2" destOrd="0" presId="urn:microsoft.com/office/officeart/2005/8/layout/orgChart1"/>
    <dgm:cxn modelId="{04F14B74-7BFD-4492-95B9-EFE3B05E8A3F}" type="presParOf" srcId="{71589DB5-B51A-44E0-AE0B-7846494FFA41}" destId="{2E8A66D7-765C-4F9D-A32F-D35362EDA44B}" srcOrd="4" destOrd="0" presId="urn:microsoft.com/office/officeart/2005/8/layout/orgChart1"/>
    <dgm:cxn modelId="{F61D9EB1-9D6B-4558-A339-430F2E4506EA}" type="presParOf" srcId="{71589DB5-B51A-44E0-AE0B-7846494FFA41}" destId="{31CEB6AE-1798-40C6-B020-8D0C49D064B4}" srcOrd="5" destOrd="0" presId="urn:microsoft.com/office/officeart/2005/8/layout/orgChart1"/>
    <dgm:cxn modelId="{402ED754-FC1E-4841-ADD5-703918EF0B1E}" type="presParOf" srcId="{31CEB6AE-1798-40C6-B020-8D0C49D064B4}" destId="{845068C8-888A-4A03-862E-79C1B1B9A780}" srcOrd="0" destOrd="0" presId="urn:microsoft.com/office/officeart/2005/8/layout/orgChart1"/>
    <dgm:cxn modelId="{1E80DE75-F6E3-4AA3-A4A0-CF745DF88D4F}" type="presParOf" srcId="{845068C8-888A-4A03-862E-79C1B1B9A780}" destId="{57D27527-8CC6-49AA-B356-7BC3CEB693FF}" srcOrd="0" destOrd="0" presId="urn:microsoft.com/office/officeart/2005/8/layout/orgChart1"/>
    <dgm:cxn modelId="{9500B691-7162-46B7-B1D9-53B4EB187538}" type="presParOf" srcId="{845068C8-888A-4A03-862E-79C1B1B9A780}" destId="{8DC1BEF0-D93E-43FF-8B64-2EDB5EDF1243}" srcOrd="1" destOrd="0" presId="urn:microsoft.com/office/officeart/2005/8/layout/orgChart1"/>
    <dgm:cxn modelId="{4EE34132-8491-4844-8FAC-20ED817EA33E}" type="presParOf" srcId="{31CEB6AE-1798-40C6-B020-8D0C49D064B4}" destId="{62C3559E-F8BD-489D-97B1-3FCF4D3BEC51}" srcOrd="1" destOrd="0" presId="urn:microsoft.com/office/officeart/2005/8/layout/orgChart1"/>
    <dgm:cxn modelId="{37FCD806-6A8F-4963-B095-EB60C0425AD3}" type="presParOf" srcId="{31CEB6AE-1798-40C6-B020-8D0C49D064B4}" destId="{C506A52C-6BA8-46FD-BBC5-029081FB2FA2}" srcOrd="2" destOrd="0" presId="urn:microsoft.com/office/officeart/2005/8/layout/orgChart1"/>
    <dgm:cxn modelId="{A38FCF3E-A415-4781-BC77-BDCEB65E2D9E}" type="presParOf" srcId="{71589DB5-B51A-44E0-AE0B-7846494FFA41}" destId="{2F4B0A22-16F7-4E00-8287-00234A1E7146}" srcOrd="6" destOrd="0" presId="urn:microsoft.com/office/officeart/2005/8/layout/orgChart1"/>
    <dgm:cxn modelId="{AF6533E9-2EF1-48FF-8392-78D169A8AAB4}" type="presParOf" srcId="{71589DB5-B51A-44E0-AE0B-7846494FFA41}" destId="{F1E35D4F-235B-413E-8EBD-8157FB525CBB}" srcOrd="7" destOrd="0" presId="urn:microsoft.com/office/officeart/2005/8/layout/orgChart1"/>
    <dgm:cxn modelId="{64B4185E-5FC8-4B75-AFB2-AC3F6D2FDFAB}" type="presParOf" srcId="{F1E35D4F-235B-413E-8EBD-8157FB525CBB}" destId="{5881B13F-157A-43C5-8D44-0E0EBA5EC0D7}" srcOrd="0" destOrd="0" presId="urn:microsoft.com/office/officeart/2005/8/layout/orgChart1"/>
    <dgm:cxn modelId="{E3332CF3-64FD-43C1-A312-9F7947FD140C}" type="presParOf" srcId="{5881B13F-157A-43C5-8D44-0E0EBA5EC0D7}" destId="{A65527EB-BCD5-4927-A0F1-AF198A01ED8B}" srcOrd="0" destOrd="0" presId="urn:microsoft.com/office/officeart/2005/8/layout/orgChart1"/>
    <dgm:cxn modelId="{488E5454-BF81-4405-B98C-1152CC4951C3}" type="presParOf" srcId="{5881B13F-157A-43C5-8D44-0E0EBA5EC0D7}" destId="{9F667E83-693A-4C97-B1B1-9572235E1869}" srcOrd="1" destOrd="0" presId="urn:microsoft.com/office/officeart/2005/8/layout/orgChart1"/>
    <dgm:cxn modelId="{4D8DC0B5-297B-4FFF-8E41-4C1A9BB09EF7}" type="presParOf" srcId="{F1E35D4F-235B-413E-8EBD-8157FB525CBB}" destId="{B7808451-5C9E-4D42-B959-2364D404DCEE}" srcOrd="1" destOrd="0" presId="urn:microsoft.com/office/officeart/2005/8/layout/orgChart1"/>
    <dgm:cxn modelId="{E13D42F8-4980-4B92-9CAA-358C70D9D1C2}" type="presParOf" srcId="{F1E35D4F-235B-413E-8EBD-8157FB525CBB}" destId="{B205A397-5A8F-4B9A-8C88-D01DDCA63202}" srcOrd="2" destOrd="0" presId="urn:microsoft.com/office/officeart/2005/8/layout/orgChart1"/>
    <dgm:cxn modelId="{B60F4DB1-7674-4DAF-B8B1-2F0EBDDDAECC}" type="presParOf" srcId="{7BC1CA5E-676F-4A01-91A8-7C5E83283D33}" destId="{1A5A1CF1-FD66-425C-98A2-B428465B161B}" srcOrd="2" destOrd="0" presId="urn:microsoft.com/office/officeart/2005/8/layout/orgChart1"/>
    <dgm:cxn modelId="{4514C08F-CDBA-4610-BA65-8E5CB174209C}" type="presParOf" srcId="{15AE9F4B-B0C5-4299-8818-5CD00F8820F0}" destId="{9C23DC9A-B1F3-4AD3-A3CF-BA7738EFE431}" srcOrd="2" destOrd="0" presId="urn:microsoft.com/office/officeart/2005/8/layout/orgChart1"/>
    <dgm:cxn modelId="{040BBEDB-0EE9-4527-A1B5-3C536A321A30}" type="presParOf" srcId="{15AE9F4B-B0C5-4299-8818-5CD00F8820F0}" destId="{ED93661A-5C12-4D7F-A326-6502AC104EBB}" srcOrd="3" destOrd="0" presId="urn:microsoft.com/office/officeart/2005/8/layout/orgChart1"/>
    <dgm:cxn modelId="{DB412F28-4180-4D91-8E0E-D05A73441822}" type="presParOf" srcId="{ED93661A-5C12-4D7F-A326-6502AC104EBB}" destId="{F0692296-B77B-4BD9-9894-775DBF7A27DD}" srcOrd="0" destOrd="0" presId="urn:microsoft.com/office/officeart/2005/8/layout/orgChart1"/>
    <dgm:cxn modelId="{5013B44E-1C21-4387-AF45-85914FC41F5C}" type="presParOf" srcId="{F0692296-B77B-4BD9-9894-775DBF7A27DD}" destId="{ADF3D91C-C56F-4101-A65E-88579DC63B73}" srcOrd="0" destOrd="0" presId="urn:microsoft.com/office/officeart/2005/8/layout/orgChart1"/>
    <dgm:cxn modelId="{A4CBD1A7-77DD-409C-A4A8-AE57A9F0A5AC}" type="presParOf" srcId="{F0692296-B77B-4BD9-9894-775DBF7A27DD}" destId="{06238041-F4AF-40D9-9C60-6DF44F50767C}" srcOrd="1" destOrd="0" presId="urn:microsoft.com/office/officeart/2005/8/layout/orgChart1"/>
    <dgm:cxn modelId="{5E10FBFE-17AF-4132-BECB-ADB29C10B1B6}" type="presParOf" srcId="{ED93661A-5C12-4D7F-A326-6502AC104EBB}" destId="{3CF116C4-F031-4A9A-AF9D-85E1A823795D}" srcOrd="1" destOrd="0" presId="urn:microsoft.com/office/officeart/2005/8/layout/orgChart1"/>
    <dgm:cxn modelId="{BACADAD3-6CD6-4EEE-BD96-DF4B6A75C6BF}" type="presParOf" srcId="{3CF116C4-F031-4A9A-AF9D-85E1A823795D}" destId="{6ED7D0B0-AE7C-48F0-932A-CF7756D1D965}" srcOrd="0" destOrd="0" presId="urn:microsoft.com/office/officeart/2005/8/layout/orgChart1"/>
    <dgm:cxn modelId="{EC9C4409-4683-40BF-A80F-A963032E35DE}" type="presParOf" srcId="{3CF116C4-F031-4A9A-AF9D-85E1A823795D}" destId="{5D1AA017-1B74-449F-9DAA-44493D95D7FA}" srcOrd="1" destOrd="0" presId="urn:microsoft.com/office/officeart/2005/8/layout/orgChart1"/>
    <dgm:cxn modelId="{9E56F4DA-ED0C-4FF6-B3E0-1B699A6FE555}" type="presParOf" srcId="{5D1AA017-1B74-449F-9DAA-44493D95D7FA}" destId="{B3288C67-BF6E-4921-B1BE-489913E4DED8}" srcOrd="0" destOrd="0" presId="urn:microsoft.com/office/officeart/2005/8/layout/orgChart1"/>
    <dgm:cxn modelId="{4E6998DA-8CC2-4AB7-B8F5-1234FE321FFB}" type="presParOf" srcId="{B3288C67-BF6E-4921-B1BE-489913E4DED8}" destId="{ADE861E2-A031-4E11-A772-B1FAF95DDD31}" srcOrd="0" destOrd="0" presId="urn:microsoft.com/office/officeart/2005/8/layout/orgChart1"/>
    <dgm:cxn modelId="{D507727F-DF41-48C8-A185-3D96D777D2B8}" type="presParOf" srcId="{B3288C67-BF6E-4921-B1BE-489913E4DED8}" destId="{117150F1-77AC-487B-B5D6-79D824341F8A}" srcOrd="1" destOrd="0" presId="urn:microsoft.com/office/officeart/2005/8/layout/orgChart1"/>
    <dgm:cxn modelId="{EF024D9B-B018-47FE-AA85-895D2519137B}" type="presParOf" srcId="{5D1AA017-1B74-449F-9DAA-44493D95D7FA}" destId="{5D1CF707-5B08-4A11-9AD9-79AA86B3EBB0}" srcOrd="1" destOrd="0" presId="urn:microsoft.com/office/officeart/2005/8/layout/orgChart1"/>
    <dgm:cxn modelId="{490B017C-8D27-4859-8E09-CEF2328676B3}" type="presParOf" srcId="{5D1AA017-1B74-449F-9DAA-44493D95D7FA}" destId="{AD3DED53-CD59-410C-9CFD-C81B8034B7A0}" srcOrd="2" destOrd="0" presId="urn:microsoft.com/office/officeart/2005/8/layout/orgChart1"/>
    <dgm:cxn modelId="{4F56D65C-B880-4427-9690-6DB0ABBA47E6}" type="presParOf" srcId="{3CF116C4-F031-4A9A-AF9D-85E1A823795D}" destId="{647C1275-7891-413D-A763-CEF1DB279D94}" srcOrd="2" destOrd="0" presId="urn:microsoft.com/office/officeart/2005/8/layout/orgChart1"/>
    <dgm:cxn modelId="{B88B8433-2C9B-4AF1-B6CA-6468E98AD550}" type="presParOf" srcId="{3CF116C4-F031-4A9A-AF9D-85E1A823795D}" destId="{EDAB69C0-1BFC-47AB-A2B6-91BC8B826606}" srcOrd="3" destOrd="0" presId="urn:microsoft.com/office/officeart/2005/8/layout/orgChart1"/>
    <dgm:cxn modelId="{A2AE1900-C249-462B-9C1F-395B9BCFE4EC}" type="presParOf" srcId="{EDAB69C0-1BFC-47AB-A2B6-91BC8B826606}" destId="{8F5CD488-7A31-4531-9A43-3E33C4BF7326}" srcOrd="0" destOrd="0" presId="urn:microsoft.com/office/officeart/2005/8/layout/orgChart1"/>
    <dgm:cxn modelId="{501924EA-B7F2-472C-9FF9-168B56BFD053}" type="presParOf" srcId="{8F5CD488-7A31-4531-9A43-3E33C4BF7326}" destId="{35C0DAD1-66C3-4740-98A1-00A4BD0A4564}" srcOrd="0" destOrd="0" presId="urn:microsoft.com/office/officeart/2005/8/layout/orgChart1"/>
    <dgm:cxn modelId="{E3669170-F5E5-4551-814C-CD53340F36DD}" type="presParOf" srcId="{8F5CD488-7A31-4531-9A43-3E33C4BF7326}" destId="{F8D66CDC-2FB9-4C20-9813-1874695C90F4}" srcOrd="1" destOrd="0" presId="urn:microsoft.com/office/officeart/2005/8/layout/orgChart1"/>
    <dgm:cxn modelId="{36A66820-BCB4-4AB8-ACBC-66A0B47F60AC}" type="presParOf" srcId="{EDAB69C0-1BFC-47AB-A2B6-91BC8B826606}" destId="{DFFEADA8-8E2D-4BF3-A372-880B713F23C2}" srcOrd="1" destOrd="0" presId="urn:microsoft.com/office/officeart/2005/8/layout/orgChart1"/>
    <dgm:cxn modelId="{D3CC07D4-EA7E-434F-B0D5-E9D67B965ADB}" type="presParOf" srcId="{EDAB69C0-1BFC-47AB-A2B6-91BC8B826606}" destId="{3EB286FB-9E50-4F22-AEBC-68CDB7F9F8B3}" srcOrd="2" destOrd="0" presId="urn:microsoft.com/office/officeart/2005/8/layout/orgChart1"/>
    <dgm:cxn modelId="{0BF4B1B1-9D9E-4D1C-A011-0BAB140EF04A}" type="presParOf" srcId="{3CF116C4-F031-4A9A-AF9D-85E1A823795D}" destId="{4F9D070C-D865-4053-A12F-C0B37C81DA63}" srcOrd="4" destOrd="0" presId="urn:microsoft.com/office/officeart/2005/8/layout/orgChart1"/>
    <dgm:cxn modelId="{FEFDA634-C0D9-469B-8D18-071709DC4101}" type="presParOf" srcId="{3CF116C4-F031-4A9A-AF9D-85E1A823795D}" destId="{0618C1DD-6BFD-4643-95CF-2F6B482CB2A5}" srcOrd="5" destOrd="0" presId="urn:microsoft.com/office/officeart/2005/8/layout/orgChart1"/>
    <dgm:cxn modelId="{DE864CC4-2236-4707-A42A-D5F1C0D73F53}" type="presParOf" srcId="{0618C1DD-6BFD-4643-95CF-2F6B482CB2A5}" destId="{D9DBFBDF-A22B-4257-B21F-ABF39A08AD7C}" srcOrd="0" destOrd="0" presId="urn:microsoft.com/office/officeart/2005/8/layout/orgChart1"/>
    <dgm:cxn modelId="{7B687070-7489-411D-BFD7-8D385555FF81}" type="presParOf" srcId="{D9DBFBDF-A22B-4257-B21F-ABF39A08AD7C}" destId="{922D5BB0-A7A7-4DDF-B4F5-8A65C41B5FE6}" srcOrd="0" destOrd="0" presId="urn:microsoft.com/office/officeart/2005/8/layout/orgChart1"/>
    <dgm:cxn modelId="{0E6B8A44-B2C9-45BC-AFEE-64203E98723B}" type="presParOf" srcId="{D9DBFBDF-A22B-4257-B21F-ABF39A08AD7C}" destId="{0FD672B8-73E7-46AD-8909-2400DC508BD7}" srcOrd="1" destOrd="0" presId="urn:microsoft.com/office/officeart/2005/8/layout/orgChart1"/>
    <dgm:cxn modelId="{863F2338-E87F-4C40-8E9E-658484574F3B}" type="presParOf" srcId="{0618C1DD-6BFD-4643-95CF-2F6B482CB2A5}" destId="{5348456B-10FD-4FD9-9F8C-6B2F5DA1D686}" srcOrd="1" destOrd="0" presId="urn:microsoft.com/office/officeart/2005/8/layout/orgChart1"/>
    <dgm:cxn modelId="{27EFB024-A12D-424E-9A18-EEC599BDC38B}" type="presParOf" srcId="{0618C1DD-6BFD-4643-95CF-2F6B482CB2A5}" destId="{A100AFB8-C31D-4A68-9F9D-751882DD5F90}" srcOrd="2" destOrd="0" presId="urn:microsoft.com/office/officeart/2005/8/layout/orgChart1"/>
    <dgm:cxn modelId="{4A9991EF-D7C2-4CED-9967-F30F29B633E3}" type="presParOf" srcId="{3CF116C4-F031-4A9A-AF9D-85E1A823795D}" destId="{7AE119CB-2864-43D4-9339-45C4F173DDDC}" srcOrd="6" destOrd="0" presId="urn:microsoft.com/office/officeart/2005/8/layout/orgChart1"/>
    <dgm:cxn modelId="{0CB193F1-4475-4FFA-97B8-004726E6AF05}" type="presParOf" srcId="{3CF116C4-F031-4A9A-AF9D-85E1A823795D}" destId="{4705688E-ED5C-4F63-82B1-B9FAE77DEBE2}" srcOrd="7" destOrd="0" presId="urn:microsoft.com/office/officeart/2005/8/layout/orgChart1"/>
    <dgm:cxn modelId="{E10515F6-8D70-4ECE-8862-677DBEF68836}" type="presParOf" srcId="{4705688E-ED5C-4F63-82B1-B9FAE77DEBE2}" destId="{92ABBE37-D2DE-464B-A0D6-7706FCF46DA3}" srcOrd="0" destOrd="0" presId="urn:microsoft.com/office/officeart/2005/8/layout/orgChart1"/>
    <dgm:cxn modelId="{0F633864-1C1B-4BFF-8845-FB270C58B9E1}" type="presParOf" srcId="{92ABBE37-D2DE-464B-A0D6-7706FCF46DA3}" destId="{A27CF9BD-C5B2-4BED-9B73-42F45FA6625F}" srcOrd="0" destOrd="0" presId="urn:microsoft.com/office/officeart/2005/8/layout/orgChart1"/>
    <dgm:cxn modelId="{2AA09EDB-43A0-4AAB-BD16-452C5C2A6D49}" type="presParOf" srcId="{92ABBE37-D2DE-464B-A0D6-7706FCF46DA3}" destId="{D1E9EF65-7FF6-42FA-95B0-6E2BCC0DA87A}" srcOrd="1" destOrd="0" presId="urn:microsoft.com/office/officeart/2005/8/layout/orgChart1"/>
    <dgm:cxn modelId="{19AF83DC-DE89-4DFE-BA12-F8A1EADF2A25}" type="presParOf" srcId="{4705688E-ED5C-4F63-82B1-B9FAE77DEBE2}" destId="{950DFF84-DA37-47EA-9147-1F7D0D5AB201}" srcOrd="1" destOrd="0" presId="urn:microsoft.com/office/officeart/2005/8/layout/orgChart1"/>
    <dgm:cxn modelId="{047FEEAA-D742-40E5-99E8-6A50144DCEAA}" type="presParOf" srcId="{4705688E-ED5C-4F63-82B1-B9FAE77DEBE2}" destId="{3456762E-9B1D-46F9-98EE-5634A165D404}" srcOrd="2" destOrd="0" presId="urn:microsoft.com/office/officeart/2005/8/layout/orgChart1"/>
    <dgm:cxn modelId="{7774F14B-09A8-46E3-896A-E7FB03AAA2EB}" type="presParOf" srcId="{3CF116C4-F031-4A9A-AF9D-85E1A823795D}" destId="{126A9A2C-DC36-49E3-BD2D-F41BC52F96EE}" srcOrd="8" destOrd="0" presId="urn:microsoft.com/office/officeart/2005/8/layout/orgChart1"/>
    <dgm:cxn modelId="{35277DE2-C313-4F93-A66A-C1F431B78EA7}" type="presParOf" srcId="{3CF116C4-F031-4A9A-AF9D-85E1A823795D}" destId="{0A5688A7-1FD0-4ADF-A2A5-350A8799747F}" srcOrd="9" destOrd="0" presId="urn:microsoft.com/office/officeart/2005/8/layout/orgChart1"/>
    <dgm:cxn modelId="{47A5D3C3-7CC9-4E66-A9D8-34F82AD1001B}" type="presParOf" srcId="{0A5688A7-1FD0-4ADF-A2A5-350A8799747F}" destId="{7D5BA301-7753-4C84-8629-24DEFE512C69}" srcOrd="0" destOrd="0" presId="urn:microsoft.com/office/officeart/2005/8/layout/orgChart1"/>
    <dgm:cxn modelId="{4F7381B2-C0E2-48DA-AECB-A5E672F50B30}" type="presParOf" srcId="{7D5BA301-7753-4C84-8629-24DEFE512C69}" destId="{4496A48D-AE96-4407-95BC-8B309974DBB2}" srcOrd="0" destOrd="0" presId="urn:microsoft.com/office/officeart/2005/8/layout/orgChart1"/>
    <dgm:cxn modelId="{8FA87F17-91C0-4CC4-9408-F96CF8D0BB88}" type="presParOf" srcId="{7D5BA301-7753-4C84-8629-24DEFE512C69}" destId="{1E606958-E510-4439-A206-1222759E11AB}" srcOrd="1" destOrd="0" presId="urn:microsoft.com/office/officeart/2005/8/layout/orgChart1"/>
    <dgm:cxn modelId="{4866B1C0-3299-46B7-BDA2-30216505D757}" type="presParOf" srcId="{0A5688A7-1FD0-4ADF-A2A5-350A8799747F}" destId="{8E3CF9E0-4EF7-4FDF-A66F-F27C556A6672}" srcOrd="1" destOrd="0" presId="urn:microsoft.com/office/officeart/2005/8/layout/orgChart1"/>
    <dgm:cxn modelId="{774A89DF-F193-4E2F-AB62-220ACF5B1227}" type="presParOf" srcId="{0A5688A7-1FD0-4ADF-A2A5-350A8799747F}" destId="{0B4F5C5B-2EFA-46F6-94F0-F278D1249A73}" srcOrd="2" destOrd="0" presId="urn:microsoft.com/office/officeart/2005/8/layout/orgChart1"/>
    <dgm:cxn modelId="{ACBAABA3-BE00-4FA4-9F6D-30F825ECE7DD}" type="presParOf" srcId="{ED93661A-5C12-4D7F-A326-6502AC104EBB}" destId="{BBE22042-6906-4393-9531-D27D8370A218}" srcOrd="2" destOrd="0" presId="urn:microsoft.com/office/officeart/2005/8/layout/orgChart1"/>
    <dgm:cxn modelId="{5919B587-DAFE-44E6-A1D5-D2E25F53DF2B}" type="presParOf" srcId="{61962F7F-F225-4FBB-8AED-9876DD1699B6}" destId="{247D9EFE-18C9-48C1-B53C-6C0BDE370A74}" srcOrd="2" destOrd="0" presId="urn:microsoft.com/office/officeart/2005/8/layout/orgChart1"/>
    <dgm:cxn modelId="{EAA0FBC9-315A-4FC5-86DE-5DD0D44D6793}" type="presParOf" srcId="{2B5D1BC1-5CC4-4765-BF27-D7FFF2FEC7D8}" destId="{F75DC991-44CE-406B-BD99-E05CBFC3597C}" srcOrd="2" destOrd="0" presId="urn:microsoft.com/office/officeart/2005/8/layout/orgChart1"/>
    <dgm:cxn modelId="{EDE89787-D735-4015-99DF-1DAAF8664547}" type="presParOf" srcId="{2B5D1BC1-5CC4-4765-BF27-D7FFF2FEC7D8}" destId="{1281182B-B909-4DE9-BF81-6A0B9F505676}" srcOrd="3" destOrd="0" presId="urn:microsoft.com/office/officeart/2005/8/layout/orgChart1"/>
    <dgm:cxn modelId="{E8F71DD8-73FD-419C-9FBA-455BA12A3E57}" type="presParOf" srcId="{1281182B-B909-4DE9-BF81-6A0B9F505676}" destId="{40EF262E-AA9C-47B0-BAEF-A0718B2FE6E2}" srcOrd="0" destOrd="0" presId="urn:microsoft.com/office/officeart/2005/8/layout/orgChart1"/>
    <dgm:cxn modelId="{CE80E106-8502-4B88-9685-D49D0C51F69D}" type="presParOf" srcId="{40EF262E-AA9C-47B0-BAEF-A0718B2FE6E2}" destId="{A9634FF6-2749-44C9-B7B1-E1619ED40DAC}" srcOrd="0" destOrd="0" presId="urn:microsoft.com/office/officeart/2005/8/layout/orgChart1"/>
    <dgm:cxn modelId="{38041B96-7501-43E7-8A94-B5A7A09A5BD8}" type="presParOf" srcId="{40EF262E-AA9C-47B0-BAEF-A0718B2FE6E2}" destId="{620CD522-B0E9-4FD9-842A-2B74F50428F0}" srcOrd="1" destOrd="0" presId="urn:microsoft.com/office/officeart/2005/8/layout/orgChart1"/>
    <dgm:cxn modelId="{8F08FA71-CD3C-45B3-934B-E439C277AB46}" type="presParOf" srcId="{1281182B-B909-4DE9-BF81-6A0B9F505676}" destId="{1EDC6B36-E10C-4486-A610-F902600CF3F9}" srcOrd="1" destOrd="0" presId="urn:microsoft.com/office/officeart/2005/8/layout/orgChart1"/>
    <dgm:cxn modelId="{53AC4A0E-7B03-466F-99C4-A6729ED910E7}" type="presParOf" srcId="{1EDC6B36-E10C-4486-A610-F902600CF3F9}" destId="{F69CB23E-FA84-42DB-B08B-A21A8DFD06A1}" srcOrd="0" destOrd="0" presId="urn:microsoft.com/office/officeart/2005/8/layout/orgChart1"/>
    <dgm:cxn modelId="{2033094E-BCFF-4317-95EE-BE9D8FF264AD}" type="presParOf" srcId="{1EDC6B36-E10C-4486-A610-F902600CF3F9}" destId="{67DFB851-6E13-4513-915A-581E4051B9C5}" srcOrd="1" destOrd="0" presId="urn:microsoft.com/office/officeart/2005/8/layout/orgChart1"/>
    <dgm:cxn modelId="{09FB902F-5529-4435-89AD-E2F61F108482}" type="presParOf" srcId="{67DFB851-6E13-4513-915A-581E4051B9C5}" destId="{5A463CB9-B709-4AAC-BF31-E2F9C7719A0C}" srcOrd="0" destOrd="0" presId="urn:microsoft.com/office/officeart/2005/8/layout/orgChart1"/>
    <dgm:cxn modelId="{75EDE5EA-341E-4483-A859-3EAE4EF6D702}" type="presParOf" srcId="{5A463CB9-B709-4AAC-BF31-E2F9C7719A0C}" destId="{C0E5A178-5117-4E98-BB64-AD9E497BE4C4}" srcOrd="0" destOrd="0" presId="urn:microsoft.com/office/officeart/2005/8/layout/orgChart1"/>
    <dgm:cxn modelId="{F4B49DA7-322F-4C21-8A70-F427A3472992}" type="presParOf" srcId="{5A463CB9-B709-4AAC-BF31-E2F9C7719A0C}" destId="{7043DE05-9A49-4A04-AEC9-CBECD2CF24F0}" srcOrd="1" destOrd="0" presId="urn:microsoft.com/office/officeart/2005/8/layout/orgChart1"/>
    <dgm:cxn modelId="{D18D468A-90EF-4186-AC0F-2294C5B305C4}" type="presParOf" srcId="{67DFB851-6E13-4513-915A-581E4051B9C5}" destId="{0B36FBB8-856C-4E39-B81C-05FBC969231D}" srcOrd="1" destOrd="0" presId="urn:microsoft.com/office/officeart/2005/8/layout/orgChart1"/>
    <dgm:cxn modelId="{4A3CAD18-9D5A-4E11-9E93-39276838479D}" type="presParOf" srcId="{0B36FBB8-856C-4E39-B81C-05FBC969231D}" destId="{A90D7EAC-CA92-46B8-8137-9F6451FED97E}" srcOrd="0" destOrd="0" presId="urn:microsoft.com/office/officeart/2005/8/layout/orgChart1"/>
    <dgm:cxn modelId="{21F65D43-4490-4801-9A48-8FE7674A3DAB}" type="presParOf" srcId="{0B36FBB8-856C-4E39-B81C-05FBC969231D}" destId="{6098E0A0-92FA-4ADE-8F9F-D92213B741DB}" srcOrd="1" destOrd="0" presId="urn:microsoft.com/office/officeart/2005/8/layout/orgChart1"/>
    <dgm:cxn modelId="{DED33A96-3894-4A71-9067-F7392D503E16}" type="presParOf" srcId="{6098E0A0-92FA-4ADE-8F9F-D92213B741DB}" destId="{88F56A3D-4391-4781-847C-D4948CB70BFC}" srcOrd="0" destOrd="0" presId="urn:microsoft.com/office/officeart/2005/8/layout/orgChart1"/>
    <dgm:cxn modelId="{60C70556-7DD0-46EF-8F04-5C7A02E7AF3A}" type="presParOf" srcId="{88F56A3D-4391-4781-847C-D4948CB70BFC}" destId="{F24B21A5-C4F5-4DDF-95CB-8BAE3C275280}" srcOrd="0" destOrd="0" presId="urn:microsoft.com/office/officeart/2005/8/layout/orgChart1"/>
    <dgm:cxn modelId="{F9712904-35B6-4045-B4D4-E358513A089C}" type="presParOf" srcId="{88F56A3D-4391-4781-847C-D4948CB70BFC}" destId="{ADB9A74E-2ADE-421F-A303-46AEE8DD20FC}" srcOrd="1" destOrd="0" presId="urn:microsoft.com/office/officeart/2005/8/layout/orgChart1"/>
    <dgm:cxn modelId="{4D1A4317-7391-4BD7-9787-D98F7FC3E1F0}" type="presParOf" srcId="{6098E0A0-92FA-4ADE-8F9F-D92213B741DB}" destId="{5DB71849-9697-4AF5-86D0-F94B61C60A1B}" srcOrd="1" destOrd="0" presId="urn:microsoft.com/office/officeart/2005/8/layout/orgChart1"/>
    <dgm:cxn modelId="{590FCB17-5937-4C66-8852-6A80F2B1587D}" type="presParOf" srcId="{6098E0A0-92FA-4ADE-8F9F-D92213B741DB}" destId="{082CE84F-ED96-46F4-B50A-28AC951C8FB2}" srcOrd="2" destOrd="0" presId="urn:microsoft.com/office/officeart/2005/8/layout/orgChart1"/>
    <dgm:cxn modelId="{68440993-0A65-45D3-9C9F-D67F215AB81F}" type="presParOf" srcId="{0B36FBB8-856C-4E39-B81C-05FBC969231D}" destId="{07CCB45D-67CF-40AE-8F50-27292F870F1E}" srcOrd="2" destOrd="0" presId="urn:microsoft.com/office/officeart/2005/8/layout/orgChart1"/>
    <dgm:cxn modelId="{6F2F2319-2E90-4A8C-96C2-86B0531716A5}" type="presParOf" srcId="{0B36FBB8-856C-4E39-B81C-05FBC969231D}" destId="{F272ABEF-C00B-4F20-949B-C3ED86640CC3}" srcOrd="3" destOrd="0" presId="urn:microsoft.com/office/officeart/2005/8/layout/orgChart1"/>
    <dgm:cxn modelId="{A54BC300-8C1B-4399-8E74-FD4D7422E3A1}" type="presParOf" srcId="{F272ABEF-C00B-4F20-949B-C3ED86640CC3}" destId="{34C68C69-8B6F-42C8-A25A-95E000D588C2}" srcOrd="0" destOrd="0" presId="urn:microsoft.com/office/officeart/2005/8/layout/orgChart1"/>
    <dgm:cxn modelId="{9C78C220-A02E-408B-841B-C6BA3D695102}" type="presParOf" srcId="{34C68C69-8B6F-42C8-A25A-95E000D588C2}" destId="{CDD83C32-7E8A-49F2-902B-DC628C163915}" srcOrd="0" destOrd="0" presId="urn:microsoft.com/office/officeart/2005/8/layout/orgChart1"/>
    <dgm:cxn modelId="{75B7BCC1-768B-4B43-A847-9C5688B9DAFE}" type="presParOf" srcId="{34C68C69-8B6F-42C8-A25A-95E000D588C2}" destId="{1AA55B47-FD6D-401A-B1D0-C895BA2CA4F4}" srcOrd="1" destOrd="0" presId="urn:microsoft.com/office/officeart/2005/8/layout/orgChart1"/>
    <dgm:cxn modelId="{AFB42BF0-63B3-4526-B6F3-5B8031B24011}" type="presParOf" srcId="{F272ABEF-C00B-4F20-949B-C3ED86640CC3}" destId="{FE192F33-5E11-436A-A29C-3628DDE2ACD4}" srcOrd="1" destOrd="0" presId="urn:microsoft.com/office/officeart/2005/8/layout/orgChart1"/>
    <dgm:cxn modelId="{B0D44FB2-8939-4447-89F1-757D81649C2C}" type="presParOf" srcId="{F272ABEF-C00B-4F20-949B-C3ED86640CC3}" destId="{2389919D-64DE-4770-8F37-853E3F702F42}" srcOrd="2" destOrd="0" presId="urn:microsoft.com/office/officeart/2005/8/layout/orgChart1"/>
    <dgm:cxn modelId="{4CEA3ABC-1061-4C4A-B28D-7077A7F1F145}" type="presParOf" srcId="{0B36FBB8-856C-4E39-B81C-05FBC969231D}" destId="{E3744603-9B52-4E13-9810-F633262CB01C}" srcOrd="4" destOrd="0" presId="urn:microsoft.com/office/officeart/2005/8/layout/orgChart1"/>
    <dgm:cxn modelId="{61C855FA-B095-448D-B55F-2CDB65D4E275}" type="presParOf" srcId="{0B36FBB8-856C-4E39-B81C-05FBC969231D}" destId="{B8A92A3F-C75E-481A-8813-FD658328180B}" srcOrd="5" destOrd="0" presId="urn:microsoft.com/office/officeart/2005/8/layout/orgChart1"/>
    <dgm:cxn modelId="{114834EA-5BF2-46C8-A2ED-80B46E9BC2B3}" type="presParOf" srcId="{B8A92A3F-C75E-481A-8813-FD658328180B}" destId="{D32ABAF2-5603-4DFA-82C9-D85E393CC3B4}" srcOrd="0" destOrd="0" presId="urn:microsoft.com/office/officeart/2005/8/layout/orgChart1"/>
    <dgm:cxn modelId="{F5286DCD-F7AF-47F4-971B-F7924652F675}" type="presParOf" srcId="{D32ABAF2-5603-4DFA-82C9-D85E393CC3B4}" destId="{A23FE01C-F4FF-4CAC-96BD-BC041F74F53F}" srcOrd="0" destOrd="0" presId="urn:microsoft.com/office/officeart/2005/8/layout/orgChart1"/>
    <dgm:cxn modelId="{711AC172-F085-41DB-A3A8-1CD9E47E1F12}" type="presParOf" srcId="{D32ABAF2-5603-4DFA-82C9-D85E393CC3B4}" destId="{DF9F0C84-570E-41A3-8FCF-F58533551E9C}" srcOrd="1" destOrd="0" presId="urn:microsoft.com/office/officeart/2005/8/layout/orgChart1"/>
    <dgm:cxn modelId="{D34A6427-F8E3-4351-8410-3040F320CC80}" type="presParOf" srcId="{B8A92A3F-C75E-481A-8813-FD658328180B}" destId="{ADDC27D1-0130-4CC0-BED3-748FB03B0683}" srcOrd="1" destOrd="0" presId="urn:microsoft.com/office/officeart/2005/8/layout/orgChart1"/>
    <dgm:cxn modelId="{D6F5FE23-1567-498B-8BB5-CED10C297BE0}" type="presParOf" srcId="{B8A92A3F-C75E-481A-8813-FD658328180B}" destId="{CE275EE9-5C9C-466F-AAAD-339374A1D480}" srcOrd="2" destOrd="0" presId="urn:microsoft.com/office/officeart/2005/8/layout/orgChart1"/>
    <dgm:cxn modelId="{EC3CD4B9-45C1-4082-ABC2-CB0D4F598EF6}" type="presParOf" srcId="{0B36FBB8-856C-4E39-B81C-05FBC969231D}" destId="{4547EAB5-B758-425C-AE9F-E8BF0B28EA24}" srcOrd="6" destOrd="0" presId="urn:microsoft.com/office/officeart/2005/8/layout/orgChart1"/>
    <dgm:cxn modelId="{AD7BD654-031E-4976-A951-1237F551B21F}" type="presParOf" srcId="{0B36FBB8-856C-4E39-B81C-05FBC969231D}" destId="{AADFF672-1E5F-4323-B832-97337211B202}" srcOrd="7" destOrd="0" presId="urn:microsoft.com/office/officeart/2005/8/layout/orgChart1"/>
    <dgm:cxn modelId="{8BCDB3B3-7DD9-4627-8C36-53504A805C90}" type="presParOf" srcId="{AADFF672-1E5F-4323-B832-97337211B202}" destId="{EDCAF3FA-BD16-418C-9A9C-9666EED8E5E8}" srcOrd="0" destOrd="0" presId="urn:microsoft.com/office/officeart/2005/8/layout/orgChart1"/>
    <dgm:cxn modelId="{A736C0D2-3047-4FC2-8EF5-DD473D5B05E9}" type="presParOf" srcId="{EDCAF3FA-BD16-418C-9A9C-9666EED8E5E8}" destId="{3067C7C0-505D-49D0-B144-2E0D8EBE3D09}" srcOrd="0" destOrd="0" presId="urn:microsoft.com/office/officeart/2005/8/layout/orgChart1"/>
    <dgm:cxn modelId="{18AC6548-6186-4B23-8E5E-34859328504B}" type="presParOf" srcId="{EDCAF3FA-BD16-418C-9A9C-9666EED8E5E8}" destId="{D62C438B-9C84-4123-8129-B01AE7B80628}" srcOrd="1" destOrd="0" presId="urn:microsoft.com/office/officeart/2005/8/layout/orgChart1"/>
    <dgm:cxn modelId="{9C1EF99B-1B99-4D73-A3D5-C791583CD4C3}" type="presParOf" srcId="{AADFF672-1E5F-4323-B832-97337211B202}" destId="{2252A995-4701-4203-AEF6-052154190CDC}" srcOrd="1" destOrd="0" presId="urn:microsoft.com/office/officeart/2005/8/layout/orgChart1"/>
    <dgm:cxn modelId="{B0118F23-07FA-45EC-90D3-B83131E56BD8}" type="presParOf" srcId="{AADFF672-1E5F-4323-B832-97337211B202}" destId="{B5A023E0-1732-4180-8272-8A12E19B5887}" srcOrd="2" destOrd="0" presId="urn:microsoft.com/office/officeart/2005/8/layout/orgChart1"/>
    <dgm:cxn modelId="{F0959ABE-8702-4C1B-AECD-565B68749371}" type="presParOf" srcId="{67DFB851-6E13-4513-915A-581E4051B9C5}" destId="{5A940879-13C3-4295-9FF0-3A668E7444DE}" srcOrd="2" destOrd="0" presId="urn:microsoft.com/office/officeart/2005/8/layout/orgChart1"/>
    <dgm:cxn modelId="{7077C562-8DB8-4292-BB9C-795AA4A34D89}" type="presParOf" srcId="{1EDC6B36-E10C-4486-A610-F902600CF3F9}" destId="{BEF2EAC9-F187-4EDC-9AEA-E5AABEC0EB1E}" srcOrd="2" destOrd="0" presId="urn:microsoft.com/office/officeart/2005/8/layout/orgChart1"/>
    <dgm:cxn modelId="{0AF83EFB-D857-41C3-AED6-755135D04BF8}" type="presParOf" srcId="{1EDC6B36-E10C-4486-A610-F902600CF3F9}" destId="{23216D17-3777-49B2-ADBF-3BE880D7CD8F}" srcOrd="3" destOrd="0" presId="urn:microsoft.com/office/officeart/2005/8/layout/orgChart1"/>
    <dgm:cxn modelId="{90B34011-DF7A-4445-8211-E93C1DFD817B}" type="presParOf" srcId="{23216D17-3777-49B2-ADBF-3BE880D7CD8F}" destId="{2A60CCEB-D855-487C-9FD6-8A1DED0A2450}" srcOrd="0" destOrd="0" presId="urn:microsoft.com/office/officeart/2005/8/layout/orgChart1"/>
    <dgm:cxn modelId="{D38F2CBE-934F-401F-A24E-D03C14B844EE}" type="presParOf" srcId="{2A60CCEB-D855-487C-9FD6-8A1DED0A2450}" destId="{708737BF-934E-4C35-91CE-60FA57408673}" srcOrd="0" destOrd="0" presId="urn:microsoft.com/office/officeart/2005/8/layout/orgChart1"/>
    <dgm:cxn modelId="{17CBFB43-6689-40A5-AAA5-F70F035AFBC5}" type="presParOf" srcId="{2A60CCEB-D855-487C-9FD6-8A1DED0A2450}" destId="{D4AB2E4D-56B9-42A2-9876-8BED88792A88}" srcOrd="1" destOrd="0" presId="urn:microsoft.com/office/officeart/2005/8/layout/orgChart1"/>
    <dgm:cxn modelId="{BE4865FE-706F-4619-89A1-37FDC26FABB1}" type="presParOf" srcId="{23216D17-3777-49B2-ADBF-3BE880D7CD8F}" destId="{765F6CBD-E008-4327-A671-BF4CFD49F52A}" srcOrd="1" destOrd="0" presId="urn:microsoft.com/office/officeart/2005/8/layout/orgChart1"/>
    <dgm:cxn modelId="{C8B59026-1803-4A79-A30D-E618AAC8AF6B}" type="presParOf" srcId="{765F6CBD-E008-4327-A671-BF4CFD49F52A}" destId="{790AED7A-811E-4494-8491-C39EF35ED672}" srcOrd="0" destOrd="0" presId="urn:microsoft.com/office/officeart/2005/8/layout/orgChart1"/>
    <dgm:cxn modelId="{F7724767-61AC-4552-A116-8B5DD23B939E}" type="presParOf" srcId="{765F6CBD-E008-4327-A671-BF4CFD49F52A}" destId="{7DF4FA8C-AE53-4F12-A14B-117392B81135}" srcOrd="1" destOrd="0" presId="urn:microsoft.com/office/officeart/2005/8/layout/orgChart1"/>
    <dgm:cxn modelId="{8EA4814A-4E5F-4125-A732-A7813B067616}" type="presParOf" srcId="{7DF4FA8C-AE53-4F12-A14B-117392B81135}" destId="{76E19975-A72F-4C8E-8584-849203BDFBF4}" srcOrd="0" destOrd="0" presId="urn:microsoft.com/office/officeart/2005/8/layout/orgChart1"/>
    <dgm:cxn modelId="{581AF7E3-E3C4-452D-8E9C-03907F3EA601}" type="presParOf" srcId="{76E19975-A72F-4C8E-8584-849203BDFBF4}" destId="{24F24141-DE10-4AF5-9484-A1735AD8434B}" srcOrd="0" destOrd="0" presId="urn:microsoft.com/office/officeart/2005/8/layout/orgChart1"/>
    <dgm:cxn modelId="{F65F3FFA-BE6F-4678-B2F8-D5C2F8C72BBC}" type="presParOf" srcId="{76E19975-A72F-4C8E-8584-849203BDFBF4}" destId="{A9FFCD47-CBD9-47B4-979F-D71031D197C1}" srcOrd="1" destOrd="0" presId="urn:microsoft.com/office/officeart/2005/8/layout/orgChart1"/>
    <dgm:cxn modelId="{48F4188C-DB83-4A3A-802A-FB9DF9FF9921}" type="presParOf" srcId="{7DF4FA8C-AE53-4F12-A14B-117392B81135}" destId="{4BC6B5E0-4E9D-441D-BDEF-201F8CBD7287}" srcOrd="1" destOrd="0" presId="urn:microsoft.com/office/officeart/2005/8/layout/orgChart1"/>
    <dgm:cxn modelId="{ACFA62AA-FF77-4207-BA04-E3A2116102F2}" type="presParOf" srcId="{7DF4FA8C-AE53-4F12-A14B-117392B81135}" destId="{9C183D66-CAD1-43A4-8369-09091F954776}" srcOrd="2" destOrd="0" presId="urn:microsoft.com/office/officeart/2005/8/layout/orgChart1"/>
    <dgm:cxn modelId="{91691F3A-BE0D-4784-9D91-B006987970DA}" type="presParOf" srcId="{765F6CBD-E008-4327-A671-BF4CFD49F52A}" destId="{8F79E931-D75A-4D4F-8EF9-58DAB1F40195}" srcOrd="2" destOrd="0" presId="urn:microsoft.com/office/officeart/2005/8/layout/orgChart1"/>
    <dgm:cxn modelId="{4DBA2004-EC4C-4915-803B-7AA38B86FAEA}" type="presParOf" srcId="{765F6CBD-E008-4327-A671-BF4CFD49F52A}" destId="{51ECB85A-D80D-4DD3-9E67-EDAD305FE3D2}" srcOrd="3" destOrd="0" presId="urn:microsoft.com/office/officeart/2005/8/layout/orgChart1"/>
    <dgm:cxn modelId="{B6B807AE-E4B0-4265-9360-784428A9771A}" type="presParOf" srcId="{51ECB85A-D80D-4DD3-9E67-EDAD305FE3D2}" destId="{47E7BB14-4C2C-462F-8DA3-9F54D44C4E13}" srcOrd="0" destOrd="0" presId="urn:microsoft.com/office/officeart/2005/8/layout/orgChart1"/>
    <dgm:cxn modelId="{44EFE19F-7675-4CB7-983D-E975C7FE7504}" type="presParOf" srcId="{47E7BB14-4C2C-462F-8DA3-9F54D44C4E13}" destId="{EFA1F3BC-09CC-4868-8853-ECA0AED36E7D}" srcOrd="0" destOrd="0" presId="urn:microsoft.com/office/officeart/2005/8/layout/orgChart1"/>
    <dgm:cxn modelId="{04FE8DE3-93BF-4BB6-9DAB-604D15EA94EE}" type="presParOf" srcId="{47E7BB14-4C2C-462F-8DA3-9F54D44C4E13}" destId="{35A08AD2-E758-4E5C-B9D8-58D6CEA0EBC1}" srcOrd="1" destOrd="0" presId="urn:microsoft.com/office/officeart/2005/8/layout/orgChart1"/>
    <dgm:cxn modelId="{F8EFF3B9-A2B8-4D5F-8987-9EEE9EC77AD3}" type="presParOf" srcId="{51ECB85A-D80D-4DD3-9E67-EDAD305FE3D2}" destId="{18D69920-E703-4C88-9374-F733B60158B8}" srcOrd="1" destOrd="0" presId="urn:microsoft.com/office/officeart/2005/8/layout/orgChart1"/>
    <dgm:cxn modelId="{44CD95E4-BC30-4F6C-8526-D201FA7597CF}" type="presParOf" srcId="{51ECB85A-D80D-4DD3-9E67-EDAD305FE3D2}" destId="{E17C7049-6D7F-43B6-8839-23A23C5F510B}" srcOrd="2" destOrd="0" presId="urn:microsoft.com/office/officeart/2005/8/layout/orgChart1"/>
    <dgm:cxn modelId="{F71545A8-C523-496D-B790-1542C32139E4}" type="presParOf" srcId="{765F6CBD-E008-4327-A671-BF4CFD49F52A}" destId="{08020C02-9C7F-41FF-849B-6327EA92921E}" srcOrd="4" destOrd="0" presId="urn:microsoft.com/office/officeart/2005/8/layout/orgChart1"/>
    <dgm:cxn modelId="{50BB668B-BC69-4869-A9A5-CE7DDA6F406D}" type="presParOf" srcId="{765F6CBD-E008-4327-A671-BF4CFD49F52A}" destId="{27EB09AE-9E72-4000-AE22-917A1A6C8930}" srcOrd="5" destOrd="0" presId="urn:microsoft.com/office/officeart/2005/8/layout/orgChart1"/>
    <dgm:cxn modelId="{40F3100C-4FD0-4A79-A966-5B58243EB419}" type="presParOf" srcId="{27EB09AE-9E72-4000-AE22-917A1A6C8930}" destId="{E52B7CD5-BFD1-4689-B783-E31C24C091C1}" srcOrd="0" destOrd="0" presId="urn:microsoft.com/office/officeart/2005/8/layout/orgChart1"/>
    <dgm:cxn modelId="{569C5D7B-9702-416D-8755-2B87464485B5}" type="presParOf" srcId="{E52B7CD5-BFD1-4689-B783-E31C24C091C1}" destId="{9C592066-61CB-4BED-83F3-FBEBFEA862AE}" srcOrd="0" destOrd="0" presId="urn:microsoft.com/office/officeart/2005/8/layout/orgChart1"/>
    <dgm:cxn modelId="{6D83BA69-7A39-4E33-BDEC-0086A38904BF}" type="presParOf" srcId="{E52B7CD5-BFD1-4689-B783-E31C24C091C1}" destId="{29ECC640-2AFE-480C-9597-112D3F0E0AE1}" srcOrd="1" destOrd="0" presId="urn:microsoft.com/office/officeart/2005/8/layout/orgChart1"/>
    <dgm:cxn modelId="{2EB11728-D427-4984-923A-3CF0C84E50AD}" type="presParOf" srcId="{27EB09AE-9E72-4000-AE22-917A1A6C8930}" destId="{42D04521-36FE-4F72-80C6-BAE944BF990C}" srcOrd="1" destOrd="0" presId="urn:microsoft.com/office/officeart/2005/8/layout/orgChart1"/>
    <dgm:cxn modelId="{A93AD134-FC92-406C-996D-C8DC2D6472DE}" type="presParOf" srcId="{27EB09AE-9E72-4000-AE22-917A1A6C8930}" destId="{20E38A68-1AD0-44EA-8751-BCFCED263F10}" srcOrd="2" destOrd="0" presId="urn:microsoft.com/office/officeart/2005/8/layout/orgChart1"/>
    <dgm:cxn modelId="{A82463B6-917E-4397-8D05-98C556BB989D}" type="presParOf" srcId="{23216D17-3777-49B2-ADBF-3BE880D7CD8F}" destId="{7F49EC79-8752-4ADB-BDB4-13D555077E64}" srcOrd="2" destOrd="0" presId="urn:microsoft.com/office/officeart/2005/8/layout/orgChart1"/>
    <dgm:cxn modelId="{059A507C-DCE0-42BC-817D-CA6512566A4C}" type="presParOf" srcId="{1281182B-B909-4DE9-BF81-6A0B9F505676}" destId="{E6524B58-73C3-401A-AC6C-60E20A8B6211}" srcOrd="2" destOrd="0" presId="urn:microsoft.com/office/officeart/2005/8/layout/orgChart1"/>
    <dgm:cxn modelId="{7C02F87C-5E50-4839-A29B-8E35504F7E08}" type="presParOf" srcId="{2B5D1BC1-5CC4-4765-BF27-D7FFF2FEC7D8}" destId="{84F32059-3046-49B2-A372-EF6EF86439AC}" srcOrd="4" destOrd="0" presId="urn:microsoft.com/office/officeart/2005/8/layout/orgChart1"/>
    <dgm:cxn modelId="{32826316-B32B-40D9-869F-E8613EB925A3}" type="presParOf" srcId="{2B5D1BC1-5CC4-4765-BF27-D7FFF2FEC7D8}" destId="{3A58DFE0-8B37-42AE-B37D-AF1A2A9F8C20}" srcOrd="5" destOrd="0" presId="urn:microsoft.com/office/officeart/2005/8/layout/orgChart1"/>
    <dgm:cxn modelId="{F19C5D82-3529-46C5-A24C-6DC3DE537DC1}" type="presParOf" srcId="{3A58DFE0-8B37-42AE-B37D-AF1A2A9F8C20}" destId="{C597C812-8A95-4308-8916-DF720047DE09}" srcOrd="0" destOrd="0" presId="urn:microsoft.com/office/officeart/2005/8/layout/orgChart1"/>
    <dgm:cxn modelId="{6E65FE9D-F798-4C41-8787-81B15268F5CF}" type="presParOf" srcId="{C597C812-8A95-4308-8916-DF720047DE09}" destId="{4A23F757-1AAE-41A0-9F49-1D8ECD8B9F2C}" srcOrd="0" destOrd="0" presId="urn:microsoft.com/office/officeart/2005/8/layout/orgChart1"/>
    <dgm:cxn modelId="{287D3E10-FB19-4A49-8156-834F616A3875}" type="presParOf" srcId="{C597C812-8A95-4308-8916-DF720047DE09}" destId="{9F2D6968-14C5-4EF2-8304-BD7B347B8A20}" srcOrd="1" destOrd="0" presId="urn:microsoft.com/office/officeart/2005/8/layout/orgChart1"/>
    <dgm:cxn modelId="{0A0BC129-95A3-4ED4-A035-C54D3B2F8DEF}" type="presParOf" srcId="{3A58DFE0-8B37-42AE-B37D-AF1A2A9F8C20}" destId="{994766E5-87BD-4906-9DD0-0C0006570390}" srcOrd="1" destOrd="0" presId="urn:microsoft.com/office/officeart/2005/8/layout/orgChart1"/>
    <dgm:cxn modelId="{946A7921-79FE-4182-B482-056BF52D80C9}" type="presParOf" srcId="{994766E5-87BD-4906-9DD0-0C0006570390}" destId="{373BB783-128C-4A5F-B09F-2C6B132A3CA3}" srcOrd="0" destOrd="0" presId="urn:microsoft.com/office/officeart/2005/8/layout/orgChart1"/>
    <dgm:cxn modelId="{DB0B9AA7-C5B9-4CB4-BBAC-8F218BC50B69}" type="presParOf" srcId="{994766E5-87BD-4906-9DD0-0C0006570390}" destId="{E5B0D4B9-A118-487E-85C9-7CB2C89FBB20}" srcOrd="1" destOrd="0" presId="urn:microsoft.com/office/officeart/2005/8/layout/orgChart1"/>
    <dgm:cxn modelId="{F58D61C5-B972-45C5-ADD0-02EC02852580}" type="presParOf" srcId="{E5B0D4B9-A118-487E-85C9-7CB2C89FBB20}" destId="{4EE006F1-417C-4E8F-9F05-91FD30CBD070}" srcOrd="0" destOrd="0" presId="urn:microsoft.com/office/officeart/2005/8/layout/orgChart1"/>
    <dgm:cxn modelId="{C6EC6910-99D3-4A9D-AB7A-69645BF0118D}" type="presParOf" srcId="{4EE006F1-417C-4E8F-9F05-91FD30CBD070}" destId="{3BF94813-5A36-4666-8B08-54E226EBAE21}" srcOrd="0" destOrd="0" presId="urn:microsoft.com/office/officeart/2005/8/layout/orgChart1"/>
    <dgm:cxn modelId="{F1C0B740-2B2D-43E0-BA6C-6AFBE029CF19}" type="presParOf" srcId="{4EE006F1-417C-4E8F-9F05-91FD30CBD070}" destId="{047B165C-EC46-4E7C-B2C5-5C99D519DB62}" srcOrd="1" destOrd="0" presId="urn:microsoft.com/office/officeart/2005/8/layout/orgChart1"/>
    <dgm:cxn modelId="{E16C93B7-0C0B-4AAE-BA9B-E8DE012AA00E}" type="presParOf" srcId="{E5B0D4B9-A118-487E-85C9-7CB2C89FBB20}" destId="{3D4B2032-8BE0-4AC7-9D7C-B77B076C4672}" srcOrd="1" destOrd="0" presId="urn:microsoft.com/office/officeart/2005/8/layout/orgChart1"/>
    <dgm:cxn modelId="{5421198C-BCCB-472B-ABE9-61DA43EB03B0}" type="presParOf" srcId="{3D4B2032-8BE0-4AC7-9D7C-B77B076C4672}" destId="{6BC52012-2DCA-4E5D-97ED-4A23D2EB49C6}" srcOrd="0" destOrd="0" presId="urn:microsoft.com/office/officeart/2005/8/layout/orgChart1"/>
    <dgm:cxn modelId="{F12D5509-7F27-48DC-8493-680064A4A778}" type="presParOf" srcId="{3D4B2032-8BE0-4AC7-9D7C-B77B076C4672}" destId="{5329EF6B-8DDE-4DB4-8B1F-33A3D1B902EC}" srcOrd="1" destOrd="0" presId="urn:microsoft.com/office/officeart/2005/8/layout/orgChart1"/>
    <dgm:cxn modelId="{94AB0094-840C-4974-ABC1-D58054AFB1C3}" type="presParOf" srcId="{5329EF6B-8DDE-4DB4-8B1F-33A3D1B902EC}" destId="{26B0FC0C-4BAA-41A3-958D-D52CBA5458EA}" srcOrd="0" destOrd="0" presId="urn:microsoft.com/office/officeart/2005/8/layout/orgChart1"/>
    <dgm:cxn modelId="{94303ADA-3443-41A2-8155-FBCF75CE156F}" type="presParOf" srcId="{26B0FC0C-4BAA-41A3-958D-D52CBA5458EA}" destId="{2DD99029-3C21-4E6E-A9F8-65F189509F28}" srcOrd="0" destOrd="0" presId="urn:microsoft.com/office/officeart/2005/8/layout/orgChart1"/>
    <dgm:cxn modelId="{6747CFD8-10CD-49F4-8BDF-8AFFB869719E}" type="presParOf" srcId="{26B0FC0C-4BAA-41A3-958D-D52CBA5458EA}" destId="{E5AE67EA-DD41-469C-A41E-4F70B641E098}" srcOrd="1" destOrd="0" presId="urn:microsoft.com/office/officeart/2005/8/layout/orgChart1"/>
    <dgm:cxn modelId="{100CA5B0-A8DD-4C3E-B701-C9C274251DA4}" type="presParOf" srcId="{5329EF6B-8DDE-4DB4-8B1F-33A3D1B902EC}" destId="{003E9498-0B8F-4AEF-B9C0-92EA53F90D97}" srcOrd="1" destOrd="0" presId="urn:microsoft.com/office/officeart/2005/8/layout/orgChart1"/>
    <dgm:cxn modelId="{BD59FDB8-C9D0-4168-BA1F-90DA35DC40D6}" type="presParOf" srcId="{5329EF6B-8DDE-4DB4-8B1F-33A3D1B902EC}" destId="{03614CD7-4F42-4265-96B7-551796CF1C82}" srcOrd="2" destOrd="0" presId="urn:microsoft.com/office/officeart/2005/8/layout/orgChart1"/>
    <dgm:cxn modelId="{C2EBE672-A619-43CE-A3CF-62A58B404D6F}" type="presParOf" srcId="{3D4B2032-8BE0-4AC7-9D7C-B77B076C4672}" destId="{D30D98CE-B0C1-4E31-A71A-6392EC97D530}" srcOrd="2" destOrd="0" presId="urn:microsoft.com/office/officeart/2005/8/layout/orgChart1"/>
    <dgm:cxn modelId="{4695D4F5-F565-46FB-B32A-66309C1D788B}" type="presParOf" srcId="{3D4B2032-8BE0-4AC7-9D7C-B77B076C4672}" destId="{54455209-79BC-44E4-A7F2-85A00D34DFF2}" srcOrd="3" destOrd="0" presId="urn:microsoft.com/office/officeart/2005/8/layout/orgChart1"/>
    <dgm:cxn modelId="{40C94BCC-2786-4F9F-BE6A-8CC1A9A31101}" type="presParOf" srcId="{54455209-79BC-44E4-A7F2-85A00D34DFF2}" destId="{D3FE98E7-AB92-4CF6-A7DF-8759280F5CB8}" srcOrd="0" destOrd="0" presId="urn:microsoft.com/office/officeart/2005/8/layout/orgChart1"/>
    <dgm:cxn modelId="{28BB5467-D8C1-4620-B79C-F47F77FA80F8}" type="presParOf" srcId="{D3FE98E7-AB92-4CF6-A7DF-8759280F5CB8}" destId="{112C79E5-1495-4DCF-88AA-D43981363B1C}" srcOrd="0" destOrd="0" presId="urn:microsoft.com/office/officeart/2005/8/layout/orgChart1"/>
    <dgm:cxn modelId="{6042B39B-1558-426E-8DDD-9B12F774678F}" type="presParOf" srcId="{D3FE98E7-AB92-4CF6-A7DF-8759280F5CB8}" destId="{92C253F6-BED0-4709-A8D1-DFD4EEC13341}" srcOrd="1" destOrd="0" presId="urn:microsoft.com/office/officeart/2005/8/layout/orgChart1"/>
    <dgm:cxn modelId="{52A4113D-66C5-4FB5-9837-37BC9F8A17AE}" type="presParOf" srcId="{54455209-79BC-44E4-A7F2-85A00D34DFF2}" destId="{10F03AE4-4896-4A1D-B7BD-58F07458375B}" srcOrd="1" destOrd="0" presId="urn:microsoft.com/office/officeart/2005/8/layout/orgChart1"/>
    <dgm:cxn modelId="{1BE11BDB-4076-472E-933E-6CEA7E92B6C1}" type="presParOf" srcId="{54455209-79BC-44E4-A7F2-85A00D34DFF2}" destId="{F4F5A581-5824-4AF5-88FB-8AA67103AFD7}" srcOrd="2" destOrd="0" presId="urn:microsoft.com/office/officeart/2005/8/layout/orgChart1"/>
    <dgm:cxn modelId="{FBF1DCD0-1B89-4C4A-BB22-F19AFED2C4DB}" type="presParOf" srcId="{3D4B2032-8BE0-4AC7-9D7C-B77B076C4672}" destId="{17CE2F9B-DF96-4CF8-8289-1791B7CC5B0D}" srcOrd="4" destOrd="0" presId="urn:microsoft.com/office/officeart/2005/8/layout/orgChart1"/>
    <dgm:cxn modelId="{22E40C23-E2E5-4A23-B87C-2A74D8EECCE6}" type="presParOf" srcId="{3D4B2032-8BE0-4AC7-9D7C-B77B076C4672}" destId="{A785657D-180B-4F56-B784-EE24FBE8802F}" srcOrd="5" destOrd="0" presId="urn:microsoft.com/office/officeart/2005/8/layout/orgChart1"/>
    <dgm:cxn modelId="{7EC597C3-D9A2-416B-9DE6-FEF5B5899922}" type="presParOf" srcId="{A785657D-180B-4F56-B784-EE24FBE8802F}" destId="{321D5D02-7E12-4A30-BA8A-997A60E8CC9F}" srcOrd="0" destOrd="0" presId="urn:microsoft.com/office/officeart/2005/8/layout/orgChart1"/>
    <dgm:cxn modelId="{E44E5B70-230A-4424-B8C7-0AF21DBB1BCA}" type="presParOf" srcId="{321D5D02-7E12-4A30-BA8A-997A60E8CC9F}" destId="{9EB7B49E-8D9E-4AD2-9A4E-ED383079A315}" srcOrd="0" destOrd="0" presId="urn:microsoft.com/office/officeart/2005/8/layout/orgChart1"/>
    <dgm:cxn modelId="{11740686-288E-40BA-BBE2-BDD6422225B7}" type="presParOf" srcId="{321D5D02-7E12-4A30-BA8A-997A60E8CC9F}" destId="{060E45BC-2D97-4D0B-9BD1-0C11F43D9493}" srcOrd="1" destOrd="0" presId="urn:microsoft.com/office/officeart/2005/8/layout/orgChart1"/>
    <dgm:cxn modelId="{47AACBCE-785E-447E-8A6A-2656C210B78F}" type="presParOf" srcId="{A785657D-180B-4F56-B784-EE24FBE8802F}" destId="{2FA3021B-1D03-43AC-BB55-2632578961C9}" srcOrd="1" destOrd="0" presId="urn:microsoft.com/office/officeart/2005/8/layout/orgChart1"/>
    <dgm:cxn modelId="{6011D664-2398-4EFD-AE06-EC5345CF1A92}" type="presParOf" srcId="{A785657D-180B-4F56-B784-EE24FBE8802F}" destId="{B1B3538E-05B5-4E9D-AF6E-17D4F40C4FD7}" srcOrd="2" destOrd="0" presId="urn:microsoft.com/office/officeart/2005/8/layout/orgChart1"/>
    <dgm:cxn modelId="{8D752E13-C853-4CDD-A860-203738D99708}" type="presParOf" srcId="{E5B0D4B9-A118-487E-85C9-7CB2C89FBB20}" destId="{9845DD14-3D79-4533-B854-F6CF13CCB4E9}" srcOrd="2" destOrd="0" presId="urn:microsoft.com/office/officeart/2005/8/layout/orgChart1"/>
    <dgm:cxn modelId="{AD417A03-151A-4E9D-A804-0590D325C3DF}" type="presParOf" srcId="{994766E5-87BD-4906-9DD0-0C0006570390}" destId="{17A3FD81-5A2B-4F95-9673-FF298F7075E3}" srcOrd="2" destOrd="0" presId="urn:microsoft.com/office/officeart/2005/8/layout/orgChart1"/>
    <dgm:cxn modelId="{23CF7B8C-93EF-4FE7-8430-346DF4B885FB}" type="presParOf" srcId="{994766E5-87BD-4906-9DD0-0C0006570390}" destId="{4110CEA1-2AC1-43ED-A0C3-F8850AE01FEA}" srcOrd="3" destOrd="0" presId="urn:microsoft.com/office/officeart/2005/8/layout/orgChart1"/>
    <dgm:cxn modelId="{496E259B-E4E4-4D48-AE26-CAF7895C1C6D}" type="presParOf" srcId="{4110CEA1-2AC1-43ED-A0C3-F8850AE01FEA}" destId="{D74166A1-7715-4528-96EB-82F04ECB8A3F}" srcOrd="0" destOrd="0" presId="urn:microsoft.com/office/officeart/2005/8/layout/orgChart1"/>
    <dgm:cxn modelId="{14440C76-23DF-4F9E-B673-52AEF085B551}" type="presParOf" srcId="{D74166A1-7715-4528-96EB-82F04ECB8A3F}" destId="{75EF16CF-B452-4115-959B-09C378F8DCE5}" srcOrd="0" destOrd="0" presId="urn:microsoft.com/office/officeart/2005/8/layout/orgChart1"/>
    <dgm:cxn modelId="{4B430B5E-1967-4497-96C9-EA4513BB17CB}" type="presParOf" srcId="{D74166A1-7715-4528-96EB-82F04ECB8A3F}" destId="{9F74311A-9B95-4565-878B-F6EDC0B45604}" srcOrd="1" destOrd="0" presId="urn:microsoft.com/office/officeart/2005/8/layout/orgChart1"/>
    <dgm:cxn modelId="{E032D97E-56FC-4154-9EDB-205233A96B21}" type="presParOf" srcId="{4110CEA1-2AC1-43ED-A0C3-F8850AE01FEA}" destId="{E29E4F80-0F54-4AE8-874C-AD0546A20516}" srcOrd="1" destOrd="0" presId="urn:microsoft.com/office/officeart/2005/8/layout/orgChart1"/>
    <dgm:cxn modelId="{EE4694CC-4899-4677-BAC1-33C850CAA0E9}" type="presParOf" srcId="{E29E4F80-0F54-4AE8-874C-AD0546A20516}" destId="{F37535CB-5028-4158-B8BB-B599F370A339}" srcOrd="0" destOrd="0" presId="urn:microsoft.com/office/officeart/2005/8/layout/orgChart1"/>
    <dgm:cxn modelId="{7C6CCA14-B4AC-4FEB-AFFF-B8C3D7A48222}" type="presParOf" srcId="{E29E4F80-0F54-4AE8-874C-AD0546A20516}" destId="{34B9CEB7-E4FD-405A-B5BE-4EF017A7DB10}" srcOrd="1" destOrd="0" presId="urn:microsoft.com/office/officeart/2005/8/layout/orgChart1"/>
    <dgm:cxn modelId="{3FEB37A4-F20B-4213-9436-49BDABA4EF6F}" type="presParOf" srcId="{34B9CEB7-E4FD-405A-B5BE-4EF017A7DB10}" destId="{08DCBB0E-099B-4ED6-B3BC-FE4A49FE5EE0}" srcOrd="0" destOrd="0" presId="urn:microsoft.com/office/officeart/2005/8/layout/orgChart1"/>
    <dgm:cxn modelId="{B7C02F65-9E66-487D-B2D1-35AF42B80BE8}" type="presParOf" srcId="{08DCBB0E-099B-4ED6-B3BC-FE4A49FE5EE0}" destId="{A0A4BFA2-A2D5-4A25-B2FE-25BFDD94CA11}" srcOrd="0" destOrd="0" presId="urn:microsoft.com/office/officeart/2005/8/layout/orgChart1"/>
    <dgm:cxn modelId="{0B99E24F-56BB-4619-8FFD-C559F1CEB610}" type="presParOf" srcId="{08DCBB0E-099B-4ED6-B3BC-FE4A49FE5EE0}" destId="{3594006E-EDF4-43FA-855D-55C3C5F082AF}" srcOrd="1" destOrd="0" presId="urn:microsoft.com/office/officeart/2005/8/layout/orgChart1"/>
    <dgm:cxn modelId="{6B7B0E21-AE72-4A14-9B61-519B49A75F71}" type="presParOf" srcId="{34B9CEB7-E4FD-405A-B5BE-4EF017A7DB10}" destId="{8156866F-E970-41D3-B85D-3198AE8BE346}" srcOrd="1" destOrd="0" presId="urn:microsoft.com/office/officeart/2005/8/layout/orgChart1"/>
    <dgm:cxn modelId="{6490D8B8-C33D-49F3-A265-4FF5D2346BD5}" type="presParOf" srcId="{34B9CEB7-E4FD-405A-B5BE-4EF017A7DB10}" destId="{78CD3636-07B2-4FFD-A597-6289E0061640}" srcOrd="2" destOrd="0" presId="urn:microsoft.com/office/officeart/2005/8/layout/orgChart1"/>
    <dgm:cxn modelId="{425FFD4B-EF53-4DFE-9842-5E357BFF53DD}" type="presParOf" srcId="{E29E4F80-0F54-4AE8-874C-AD0546A20516}" destId="{F1F04FE5-60D0-42CE-B901-5B5F51BFA723}" srcOrd="2" destOrd="0" presId="urn:microsoft.com/office/officeart/2005/8/layout/orgChart1"/>
    <dgm:cxn modelId="{A39DF3B8-1AFE-4923-B630-FA67BD570316}" type="presParOf" srcId="{E29E4F80-0F54-4AE8-874C-AD0546A20516}" destId="{306F733D-C2FD-4BED-AF30-ECC7089CF8CD}" srcOrd="3" destOrd="0" presId="urn:microsoft.com/office/officeart/2005/8/layout/orgChart1"/>
    <dgm:cxn modelId="{D0FE018A-8567-4ED3-ABCC-3CC1A29CBE94}" type="presParOf" srcId="{306F733D-C2FD-4BED-AF30-ECC7089CF8CD}" destId="{43DED390-0C31-40B8-AB94-1E2C632CC137}" srcOrd="0" destOrd="0" presId="urn:microsoft.com/office/officeart/2005/8/layout/orgChart1"/>
    <dgm:cxn modelId="{294750E3-70DA-4344-9407-75A78D1F7AE6}" type="presParOf" srcId="{43DED390-0C31-40B8-AB94-1E2C632CC137}" destId="{C22F5DAA-6A58-483D-A786-31C7E8B9C100}" srcOrd="0" destOrd="0" presId="urn:microsoft.com/office/officeart/2005/8/layout/orgChart1"/>
    <dgm:cxn modelId="{B24A8B3C-ADBC-41AE-BE7E-DC8108E44424}" type="presParOf" srcId="{43DED390-0C31-40B8-AB94-1E2C632CC137}" destId="{0A8E184F-924D-4D9A-A40A-80A16F7CDDFD}" srcOrd="1" destOrd="0" presId="urn:microsoft.com/office/officeart/2005/8/layout/orgChart1"/>
    <dgm:cxn modelId="{8AC36E7F-B916-4C7D-B4D7-9E5935FA9A01}" type="presParOf" srcId="{306F733D-C2FD-4BED-AF30-ECC7089CF8CD}" destId="{1AD712B6-5A0C-43B4-A709-C1101CF20DD3}" srcOrd="1" destOrd="0" presId="urn:microsoft.com/office/officeart/2005/8/layout/orgChart1"/>
    <dgm:cxn modelId="{60DE2BAA-1FAC-49AF-9B13-F4082DEF2AF7}" type="presParOf" srcId="{306F733D-C2FD-4BED-AF30-ECC7089CF8CD}" destId="{515E2ED7-2C86-4D72-8785-82E111E761BF}" srcOrd="2" destOrd="0" presId="urn:microsoft.com/office/officeart/2005/8/layout/orgChart1"/>
    <dgm:cxn modelId="{F94E5FB4-22E4-4FF6-B117-661F54C3DB99}" type="presParOf" srcId="{4110CEA1-2AC1-43ED-A0C3-F8850AE01FEA}" destId="{78452686-E857-4404-A58A-A29B933BF593}" srcOrd="2" destOrd="0" presId="urn:microsoft.com/office/officeart/2005/8/layout/orgChart1"/>
    <dgm:cxn modelId="{9C9AD342-997D-4ED1-9A81-10A704B6E807}" type="presParOf" srcId="{3A58DFE0-8B37-42AE-B37D-AF1A2A9F8C20}" destId="{6A0B65C3-F8D7-4BA7-B3DA-42BA74FCF468}" srcOrd="2" destOrd="0" presId="urn:microsoft.com/office/officeart/2005/8/layout/orgChart1"/>
    <dgm:cxn modelId="{1FC855E6-CC32-42DF-89E0-BD53C88EE3E3}" type="presParOf" srcId="{8A3164A8-D9A4-41C5-A925-70BDD77D91AC}" destId="{7FE19125-1452-4D91-84E2-B491F0B1C985}" srcOrd="2" destOrd="0" presId="urn:microsoft.com/office/officeart/2005/8/layout/orgChart1"/>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939374-EEE9-4965-9872-33F17AE331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D961D356-C423-4930-9CD4-5641A753DEE6}">
      <dgm:prSet phldrT="[Text]" custT="1"/>
      <dgm:spPr>
        <a:xfrm>
          <a:off x="1261889" y="21973"/>
          <a:ext cx="5909360" cy="672290"/>
        </a:xfrm>
        <a:prstGeom prst="rect">
          <a:avLst/>
        </a:prstGeom>
        <a:solidFill>
          <a:srgbClr val="5B9BD5">
            <a:lumMod val="75000"/>
          </a:srgbClr>
        </a:solidFill>
        <a:ln w="12700" cap="flat" cmpd="sng" algn="ctr">
          <a:solidFill>
            <a:sysClr val="windowText" lastClr="000000"/>
          </a:solidFill>
          <a:prstDash val="solid"/>
          <a:miter lim="800000"/>
        </a:ln>
        <a:effectLst/>
      </dgm:spPr>
      <dgm:t>
        <a:bodyPr/>
        <a:lstStyle/>
        <a:p>
          <a:pPr algn="ctr">
            <a:buNone/>
          </a:pPr>
          <a:r>
            <a:rPr lang="cs-CZ" sz="1400" b="1" u="none">
              <a:solidFill>
                <a:sysClr val="windowText" lastClr="000000"/>
              </a:solidFill>
              <a:latin typeface="Calibri" panose="020F0502020204030204"/>
              <a:ea typeface="+mn-ea"/>
              <a:cs typeface="+mn-cs"/>
            </a:rPr>
            <a:t>VYBAVENOST A PROSTŘEDÍ OBCE</a:t>
          </a:r>
        </a:p>
      </dgm:t>
    </dgm:pt>
    <dgm:pt modelId="{DBB362DF-C898-48A7-B307-A03E8070FDA0}" type="parTrans" cxnId="{31E0B0EE-D7F8-4D44-9150-3E1051E73523}">
      <dgm:prSet/>
      <dgm:spPr/>
      <dgm:t>
        <a:bodyPr/>
        <a:lstStyle/>
        <a:p>
          <a:pPr algn="ctr"/>
          <a:endParaRPr lang="cs-CZ" sz="900" u="none">
            <a:solidFill>
              <a:sysClr val="windowText" lastClr="000000"/>
            </a:solidFill>
          </a:endParaRPr>
        </a:p>
      </dgm:t>
    </dgm:pt>
    <dgm:pt modelId="{9A6C63E8-7BB7-4F8D-8A9B-21B04795D8EA}" type="sibTrans" cxnId="{31E0B0EE-D7F8-4D44-9150-3E1051E73523}">
      <dgm:prSet/>
      <dgm:spPr/>
      <dgm:t>
        <a:bodyPr/>
        <a:lstStyle/>
        <a:p>
          <a:pPr algn="ctr"/>
          <a:endParaRPr lang="cs-CZ" sz="900" u="none">
            <a:solidFill>
              <a:sysClr val="windowText" lastClr="000000"/>
            </a:solidFill>
          </a:endParaRPr>
        </a:p>
      </dgm:t>
    </dgm:pt>
    <dgm:pt modelId="{3F267390-0E50-4CCC-B005-BC11673CF2A3}">
      <dgm:prSet custT="1"/>
      <dgm:spPr>
        <a:xfrm>
          <a:off x="2778207" y="864865"/>
          <a:ext cx="2869703" cy="598192"/>
        </a:xfrm>
        <a:prstGeom prst="rect">
          <a:avLst/>
        </a:prstGeom>
        <a:solidFill>
          <a:srgbClr val="5B9BD5">
            <a:lumMod val="60000"/>
            <a:lumOff val="40000"/>
          </a:srgbClr>
        </a:solidFill>
        <a:ln w="12700" cap="flat" cmpd="sng" algn="ctr">
          <a:solidFill>
            <a:sysClr val="windowText" lastClr="000000"/>
          </a:solidFill>
          <a:prstDash val="solid"/>
          <a:miter lim="800000"/>
        </a:ln>
        <a:effectLst/>
      </dgm:spPr>
      <dgm:t>
        <a:bodyPr/>
        <a:lstStyle/>
        <a:p>
          <a:pPr algn="ctr">
            <a:buNone/>
          </a:pPr>
          <a:r>
            <a:rPr lang="cs-CZ" sz="900" b="1" u="none" baseline="0">
              <a:solidFill>
                <a:sysClr val="windowText" lastClr="000000"/>
              </a:solidFill>
              <a:latin typeface="Calibri" panose="020F0502020204030204"/>
              <a:ea typeface="+mn-ea"/>
              <a:cs typeface="+mn-cs"/>
            </a:rPr>
            <a:t>Strategický cíl 2.2</a:t>
          </a:r>
        </a:p>
        <a:p>
          <a:pPr algn="ctr">
            <a:buNone/>
          </a:pPr>
          <a:r>
            <a:rPr lang="cs-CZ" sz="900" b="1" u="none">
              <a:solidFill>
                <a:sysClr val="windowText" lastClr="000000"/>
              </a:solidFill>
              <a:latin typeface="Calibri" panose="020F0502020204030204"/>
              <a:ea typeface="+mn-ea"/>
              <a:cs typeface="+mn-cs"/>
            </a:rPr>
            <a:t>Zlepšovat prostředí obce prostřednictvím činností </a:t>
          </a:r>
          <a:br>
            <a:rPr lang="cs-CZ" sz="900" b="1" u="none">
              <a:solidFill>
                <a:sysClr val="windowText" lastClr="000000"/>
              </a:solidFill>
              <a:latin typeface="Calibri" panose="020F0502020204030204"/>
              <a:ea typeface="+mn-ea"/>
              <a:cs typeface="+mn-cs"/>
            </a:rPr>
          </a:br>
          <a:r>
            <a:rPr lang="cs-CZ" sz="900" b="1" u="none">
              <a:solidFill>
                <a:sysClr val="windowText" lastClr="000000"/>
              </a:solidFill>
              <a:latin typeface="Calibri" panose="020F0502020204030204"/>
              <a:ea typeface="+mn-ea"/>
              <a:cs typeface="+mn-cs"/>
            </a:rPr>
            <a:t>majících pozitivní vliv na něj</a:t>
          </a:r>
          <a:endParaRPr lang="cs-CZ" sz="900" u="none" baseline="0">
            <a:solidFill>
              <a:sysClr val="windowText" lastClr="000000"/>
            </a:solidFill>
            <a:latin typeface="Calibri" panose="020F0502020204030204"/>
            <a:ea typeface="+mn-ea"/>
            <a:cs typeface="+mn-cs"/>
          </a:endParaRPr>
        </a:p>
      </dgm:t>
    </dgm:pt>
    <dgm:pt modelId="{C87D0185-A927-4A83-A9D0-EE494B38E8D3}" type="parTrans" cxnId="{BF446902-A788-4248-AFA7-5F00A5A149D3}">
      <dgm:prSet>
        <dgm:style>
          <a:lnRef idx="1">
            <a:schemeClr val="accent6"/>
          </a:lnRef>
          <a:fillRef idx="0">
            <a:schemeClr val="accent6"/>
          </a:fillRef>
          <a:effectRef idx="0">
            <a:schemeClr val="accent6"/>
          </a:effectRef>
          <a:fontRef idx="minor">
            <a:schemeClr val="tx1"/>
          </a:fontRef>
        </dgm:style>
      </dgm:prSet>
      <dgm:spPr>
        <a:xfrm>
          <a:off x="4167338" y="694263"/>
          <a:ext cx="91440" cy="170601"/>
        </a:xfrm>
        <a:custGeom>
          <a:avLst/>
          <a:gdLst/>
          <a:ahLst/>
          <a:cxnLst/>
          <a:rect l="0" t="0" r="0" b="0"/>
          <a:pathLst>
            <a:path>
              <a:moveTo>
                <a:pt x="49231" y="0"/>
              </a:moveTo>
              <a:lnTo>
                <a:pt x="49231" y="130613"/>
              </a:lnTo>
              <a:lnTo>
                <a:pt x="45720" y="130613"/>
              </a:lnTo>
              <a:lnTo>
                <a:pt x="45720" y="170601"/>
              </a:lnTo>
            </a:path>
          </a:pathLst>
        </a:custGeom>
        <a:noFill/>
        <a:ln w="28575"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89CED27D-AA41-49C3-9031-B02447B40CB9}" type="sibTrans" cxnId="{BF446902-A788-4248-AFA7-5F00A5A149D3}">
      <dgm:prSet/>
      <dgm:spPr/>
      <dgm:t>
        <a:bodyPr/>
        <a:lstStyle/>
        <a:p>
          <a:pPr algn="ctr"/>
          <a:endParaRPr lang="cs-CZ" sz="900" u="none">
            <a:solidFill>
              <a:sysClr val="windowText" lastClr="000000"/>
            </a:solidFill>
          </a:endParaRPr>
        </a:p>
      </dgm:t>
    </dgm:pt>
    <dgm:pt modelId="{A24439C4-6CC3-4F0B-AB37-B5F48C404637}">
      <dgm:prSet custT="1"/>
      <dgm:spPr>
        <a:xfrm>
          <a:off x="2788876" y="1613504"/>
          <a:ext cx="1383655" cy="705646"/>
        </a:xfrm>
        <a:prstGeom prst="rect">
          <a:avLst/>
        </a:prstGeom>
        <a:solidFill>
          <a:srgbClr val="5B9BD5">
            <a:lumMod val="40000"/>
            <a:lumOff val="60000"/>
          </a:srgbClr>
        </a:solidFill>
        <a:ln w="12700" cap="flat" cmpd="sng" algn="ctr">
          <a:solidFill>
            <a:sysClr val="windowText" lastClr="000000"/>
          </a:solidFill>
          <a:prstDash val="solid"/>
          <a:miter lim="800000"/>
        </a:ln>
        <a:effectLst/>
      </dgm:spPr>
      <dgm:t>
        <a:bodyPr/>
        <a:lstStyle/>
        <a:p>
          <a:pPr algn="ctr">
            <a:buNone/>
          </a:pPr>
          <a:r>
            <a:rPr lang="cs-CZ" sz="900" b="1" u="none">
              <a:solidFill>
                <a:sysClr val="windowText" lastClr="000000"/>
              </a:solidFill>
              <a:latin typeface="Calibri" panose="020F0502020204030204"/>
              <a:ea typeface="+mn-ea"/>
              <a:cs typeface="+mn-cs"/>
            </a:rPr>
            <a:t>Zdokonalovat systém odpadového hospodářství</a:t>
          </a:r>
        </a:p>
      </dgm:t>
    </dgm:pt>
    <dgm:pt modelId="{38F80706-2567-419D-9FB1-EDDA9BE3B306}" type="parTrans" cxnId="{64316D1E-6B17-488A-8E67-C32DE24B7B9A}">
      <dgm:prSet>
        <dgm:style>
          <a:lnRef idx="1">
            <a:schemeClr val="accent6"/>
          </a:lnRef>
          <a:fillRef idx="0">
            <a:schemeClr val="accent6"/>
          </a:fillRef>
          <a:effectRef idx="0">
            <a:schemeClr val="accent6"/>
          </a:effectRef>
          <a:fontRef idx="minor">
            <a:schemeClr val="tx1"/>
          </a:fontRef>
        </dgm:style>
      </dgm:prSet>
      <dgm:spPr>
        <a:xfrm>
          <a:off x="3480703" y="1463057"/>
          <a:ext cx="732354" cy="150447"/>
        </a:xfrm>
        <a:custGeom>
          <a:avLst/>
          <a:gdLst/>
          <a:ahLst/>
          <a:cxnLst/>
          <a:rect l="0" t="0" r="0" b="0"/>
          <a:pathLst>
            <a:path>
              <a:moveTo>
                <a:pt x="732354" y="0"/>
              </a:moveTo>
              <a:lnTo>
                <a:pt x="732354" y="110459"/>
              </a:lnTo>
              <a:lnTo>
                <a:pt x="0" y="110459"/>
              </a:lnTo>
              <a:lnTo>
                <a:pt x="0" y="150447"/>
              </a:lnTo>
            </a:path>
          </a:pathLst>
        </a:custGeom>
        <a:noFill/>
        <a:ln w="1905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6542A0B3-61CB-4ADB-AD7B-BEF5804B85CE}" type="sibTrans" cxnId="{64316D1E-6B17-488A-8E67-C32DE24B7B9A}">
      <dgm:prSet/>
      <dgm:spPr/>
      <dgm:t>
        <a:bodyPr/>
        <a:lstStyle/>
        <a:p>
          <a:pPr algn="ctr"/>
          <a:endParaRPr lang="cs-CZ" sz="900" u="none">
            <a:solidFill>
              <a:sysClr val="windowText" lastClr="000000"/>
            </a:solidFill>
          </a:endParaRPr>
        </a:p>
      </dgm:t>
    </dgm:pt>
    <dgm:pt modelId="{0E4D8AFF-591B-460C-A4C9-67F2C9857CC4}">
      <dgm:prSet custT="1"/>
      <dgm:spPr>
        <a:xfrm>
          <a:off x="6025504" y="859118"/>
          <a:ext cx="2802264" cy="598192"/>
        </a:xfrm>
        <a:prstGeom prst="rect">
          <a:avLst/>
        </a:prstGeom>
        <a:solidFill>
          <a:srgbClr val="5B9BD5">
            <a:lumMod val="60000"/>
            <a:lumOff val="40000"/>
          </a:srgbClr>
        </a:solidFill>
        <a:ln w="12700" cap="flat" cmpd="sng" algn="ctr">
          <a:solidFill>
            <a:sysClr val="windowText" lastClr="000000"/>
          </a:solidFill>
          <a:prstDash val="solid"/>
          <a:miter lim="800000"/>
        </a:ln>
        <a:effectLst/>
      </dgm:spPr>
      <dgm:t>
        <a:bodyPr/>
        <a:lstStyle/>
        <a:p>
          <a:pPr algn="ctr">
            <a:spcAft>
              <a:spcPct val="35000"/>
            </a:spcAft>
            <a:buNone/>
          </a:pPr>
          <a:r>
            <a:rPr lang="cs-CZ" sz="900" b="1" u="none" baseline="0">
              <a:solidFill>
                <a:sysClr val="windowText" lastClr="000000"/>
              </a:solidFill>
              <a:latin typeface="Calibri" panose="020F0502020204030204"/>
              <a:ea typeface="+mn-ea"/>
              <a:cs typeface="+mn-cs"/>
            </a:rPr>
            <a:t>Strategický cíl 2.3</a:t>
          </a:r>
        </a:p>
        <a:p>
          <a:pPr algn="ctr">
            <a:spcAft>
              <a:spcPts val="0"/>
            </a:spcAft>
            <a:buNone/>
          </a:pPr>
          <a:r>
            <a:rPr lang="cs-CZ" sz="900" b="1" u="none">
              <a:solidFill>
                <a:sysClr val="windowText" lastClr="000000"/>
              </a:solidFill>
              <a:latin typeface="Calibri" panose="020F0502020204030204"/>
              <a:ea typeface="+mn-ea"/>
              <a:cs typeface="+mn-cs"/>
            </a:rPr>
            <a:t>Usilovat o zlepšení vybavenosti obce </a:t>
          </a:r>
          <a:br>
            <a:rPr lang="cs-CZ" sz="900" b="1" u="none">
              <a:solidFill>
                <a:sysClr val="windowText" lastClr="000000"/>
              </a:solidFill>
              <a:latin typeface="Calibri" panose="020F0502020204030204"/>
              <a:ea typeface="+mn-ea"/>
              <a:cs typeface="+mn-cs"/>
            </a:rPr>
          </a:br>
          <a:r>
            <a:rPr lang="cs-CZ" sz="900" b="1" u="none">
              <a:solidFill>
                <a:sysClr val="windowText" lastClr="000000"/>
              </a:solidFill>
              <a:latin typeface="Calibri" panose="020F0502020204030204"/>
              <a:ea typeface="+mn-ea"/>
              <a:cs typeface="+mn-cs"/>
            </a:rPr>
            <a:t>a dostupných služeb v obci</a:t>
          </a:r>
          <a:endParaRPr lang="cs-CZ" sz="900" b="1" u="none" baseline="0">
            <a:solidFill>
              <a:sysClr val="windowText" lastClr="000000"/>
            </a:solidFill>
            <a:latin typeface="Calibri" panose="020F0502020204030204"/>
            <a:ea typeface="+mn-ea"/>
            <a:cs typeface="+mn-cs"/>
          </a:endParaRPr>
        </a:p>
      </dgm:t>
    </dgm:pt>
    <dgm:pt modelId="{9E4631D8-E89E-4DB4-8066-89781B490F94}" type="parTrans" cxnId="{A3FD8F07-BEEF-47C1-8923-33A582476DE5}">
      <dgm:prSet>
        <dgm:style>
          <a:lnRef idx="1">
            <a:schemeClr val="accent6"/>
          </a:lnRef>
          <a:fillRef idx="0">
            <a:schemeClr val="accent6"/>
          </a:fillRef>
          <a:effectRef idx="0">
            <a:schemeClr val="accent6"/>
          </a:effectRef>
          <a:fontRef idx="minor">
            <a:schemeClr val="tx1"/>
          </a:fontRef>
        </dgm:style>
      </dgm:prSet>
      <dgm:spPr>
        <a:xfrm>
          <a:off x="4216570" y="694263"/>
          <a:ext cx="3210066" cy="164854"/>
        </a:xfrm>
        <a:custGeom>
          <a:avLst/>
          <a:gdLst/>
          <a:ahLst/>
          <a:cxnLst/>
          <a:rect l="0" t="0" r="0" b="0"/>
          <a:pathLst>
            <a:path>
              <a:moveTo>
                <a:pt x="0" y="0"/>
              </a:moveTo>
              <a:lnTo>
                <a:pt x="0" y="124866"/>
              </a:lnTo>
              <a:lnTo>
                <a:pt x="3210066" y="124866"/>
              </a:lnTo>
              <a:lnTo>
                <a:pt x="3210066" y="164854"/>
              </a:lnTo>
            </a:path>
          </a:pathLst>
        </a:custGeom>
        <a:noFill/>
        <a:ln w="28575"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8C01E186-6DB0-42DA-B57A-39F6EFD0ADF3}" type="sibTrans" cxnId="{A3FD8F07-BEEF-47C1-8923-33A582476DE5}">
      <dgm:prSet/>
      <dgm:spPr/>
      <dgm:t>
        <a:bodyPr/>
        <a:lstStyle/>
        <a:p>
          <a:pPr algn="ctr"/>
          <a:endParaRPr lang="cs-CZ" sz="900" u="none">
            <a:solidFill>
              <a:sysClr val="windowText" lastClr="000000"/>
            </a:solidFill>
          </a:endParaRPr>
        </a:p>
      </dgm:t>
    </dgm:pt>
    <dgm:pt modelId="{867D776B-245D-467F-BD3F-2554245F80B0}">
      <dgm:prSet custT="1"/>
      <dgm:spPr>
        <a:xfrm>
          <a:off x="4254690" y="1613643"/>
          <a:ext cx="1544998" cy="705646"/>
        </a:xfrm>
        <a:prstGeom prst="rect">
          <a:avLst/>
        </a:prstGeom>
        <a:solidFill>
          <a:srgbClr val="5B9BD5">
            <a:lumMod val="40000"/>
            <a:lumOff val="60000"/>
          </a:srgbClr>
        </a:solidFill>
        <a:ln w="12700" cap="flat" cmpd="sng" algn="ctr">
          <a:solidFill>
            <a:sysClr val="windowText" lastClr="000000"/>
          </a:solidFill>
          <a:prstDash val="solid"/>
          <a:miter lim="800000"/>
        </a:ln>
        <a:effectLst/>
      </dgm:spPr>
      <dgm:t>
        <a:bodyPr/>
        <a:lstStyle/>
        <a:p>
          <a:pPr algn="ctr">
            <a:spcAft>
              <a:spcPts val="0"/>
            </a:spcAft>
            <a:buNone/>
          </a:pPr>
          <a:r>
            <a:rPr lang="cs-CZ" sz="900" b="1" u="none">
              <a:solidFill>
                <a:sysClr val="windowText" lastClr="000000"/>
              </a:solidFill>
              <a:latin typeface="Calibri" panose="020F0502020204030204"/>
              <a:ea typeface="+mn-ea"/>
              <a:cs typeface="+mn-cs"/>
            </a:rPr>
            <a:t>Usilovat o realizaci dalších aktivit vedoucích ke zlepšení prostředí obce</a:t>
          </a:r>
        </a:p>
      </dgm:t>
    </dgm:pt>
    <dgm:pt modelId="{16985E1B-552B-41C6-B98C-79FB3D6DAF1D}" type="parTrans" cxnId="{BFA6FBEA-097F-4F69-A032-91D5CDA6D401}">
      <dgm:prSet>
        <dgm:style>
          <a:lnRef idx="1">
            <a:schemeClr val="accent6"/>
          </a:lnRef>
          <a:fillRef idx="0">
            <a:schemeClr val="accent6"/>
          </a:fillRef>
          <a:effectRef idx="0">
            <a:schemeClr val="accent6"/>
          </a:effectRef>
          <a:fontRef idx="minor">
            <a:schemeClr val="tx1"/>
          </a:fontRef>
        </dgm:style>
      </dgm:prSet>
      <dgm:spPr>
        <a:xfrm>
          <a:off x="4213058" y="1463057"/>
          <a:ext cx="814130" cy="150586"/>
        </a:xfrm>
        <a:custGeom>
          <a:avLst/>
          <a:gdLst/>
          <a:ahLst/>
          <a:cxnLst/>
          <a:rect l="0" t="0" r="0" b="0"/>
          <a:pathLst>
            <a:path>
              <a:moveTo>
                <a:pt x="0" y="0"/>
              </a:moveTo>
              <a:lnTo>
                <a:pt x="0" y="110598"/>
              </a:lnTo>
              <a:lnTo>
                <a:pt x="814130" y="110598"/>
              </a:lnTo>
              <a:lnTo>
                <a:pt x="814130" y="150586"/>
              </a:lnTo>
            </a:path>
          </a:pathLst>
        </a:custGeom>
        <a:noFill/>
        <a:ln w="1905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B879EDBD-BCCE-43FC-B2B4-7057DB0EA39D}" type="sibTrans" cxnId="{BFA6FBEA-097F-4F69-A032-91D5CDA6D401}">
      <dgm:prSet/>
      <dgm:spPr/>
      <dgm:t>
        <a:bodyPr/>
        <a:lstStyle/>
        <a:p>
          <a:pPr algn="ctr"/>
          <a:endParaRPr lang="cs-CZ" sz="900" u="none">
            <a:solidFill>
              <a:sysClr val="windowText" lastClr="000000"/>
            </a:solidFill>
          </a:endParaRPr>
        </a:p>
      </dgm:t>
    </dgm:pt>
    <dgm:pt modelId="{60C487F2-55E9-4051-B835-0507B34F4BF2}">
      <dgm:prSet custT="1"/>
      <dgm:spPr>
        <a:xfrm>
          <a:off x="5949922" y="1616077"/>
          <a:ext cx="1460078" cy="705646"/>
        </a:xfrm>
        <a:prstGeom prst="rect">
          <a:avLst/>
        </a:prstGeom>
        <a:solidFill>
          <a:srgbClr val="5B9BD5">
            <a:lumMod val="40000"/>
            <a:lumOff val="60000"/>
          </a:srgbClr>
        </a:solidFill>
        <a:ln w="12700" cap="flat" cmpd="sng" algn="ctr">
          <a:solidFill>
            <a:sysClr val="windowText" lastClr="000000"/>
          </a:solidFill>
          <a:prstDash val="solid"/>
          <a:miter lim="800000"/>
        </a:ln>
        <a:effectLst/>
      </dgm:spPr>
      <dgm:t>
        <a:bodyPr/>
        <a:lstStyle/>
        <a:p>
          <a:pPr algn="ctr">
            <a:spcAft>
              <a:spcPts val="0"/>
            </a:spcAft>
            <a:buNone/>
          </a:pPr>
          <a:r>
            <a:rPr lang="cs-CZ" sz="900" b="1" u="none">
              <a:solidFill>
                <a:sysClr val="windowText" lastClr="000000"/>
              </a:solidFill>
              <a:latin typeface="Calibri" panose="020F0502020204030204"/>
              <a:ea typeface="+mn-ea"/>
              <a:cs typeface="+mn-cs"/>
            </a:rPr>
            <a:t>Snažit se o zvýšení počtu dostupných služeb v obci</a:t>
          </a:r>
        </a:p>
      </dgm:t>
    </dgm:pt>
    <dgm:pt modelId="{C7369B69-F6D1-4824-ACA2-6A155304198B}" type="parTrans" cxnId="{7D569DE1-C48F-4B28-97BE-F8601175CA8B}">
      <dgm:prSet>
        <dgm:style>
          <a:lnRef idx="1">
            <a:schemeClr val="accent6"/>
          </a:lnRef>
          <a:fillRef idx="0">
            <a:schemeClr val="accent6"/>
          </a:fillRef>
          <a:effectRef idx="0">
            <a:schemeClr val="accent6"/>
          </a:effectRef>
          <a:fontRef idx="minor">
            <a:schemeClr val="tx1"/>
          </a:fontRef>
        </dgm:style>
      </dgm:prSet>
      <dgm:spPr>
        <a:xfrm>
          <a:off x="6679961" y="1457310"/>
          <a:ext cx="746674" cy="158766"/>
        </a:xfrm>
        <a:custGeom>
          <a:avLst/>
          <a:gdLst/>
          <a:ahLst/>
          <a:cxnLst/>
          <a:rect l="0" t="0" r="0" b="0"/>
          <a:pathLst>
            <a:path>
              <a:moveTo>
                <a:pt x="746674" y="0"/>
              </a:moveTo>
              <a:lnTo>
                <a:pt x="746674" y="118778"/>
              </a:lnTo>
              <a:lnTo>
                <a:pt x="0" y="118778"/>
              </a:lnTo>
              <a:lnTo>
                <a:pt x="0" y="158766"/>
              </a:lnTo>
            </a:path>
          </a:pathLst>
        </a:custGeom>
        <a:noFill/>
        <a:ln w="1905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25667E21-E78C-427C-98F4-2950EC6F251B}" type="sibTrans" cxnId="{7D569DE1-C48F-4B28-97BE-F8601175CA8B}">
      <dgm:prSet/>
      <dgm:spPr/>
      <dgm:t>
        <a:bodyPr/>
        <a:lstStyle/>
        <a:p>
          <a:pPr algn="ctr"/>
          <a:endParaRPr lang="cs-CZ" sz="900" u="none">
            <a:solidFill>
              <a:sysClr val="windowText" lastClr="000000"/>
            </a:solidFill>
          </a:endParaRPr>
        </a:p>
      </dgm:t>
    </dgm:pt>
    <dgm:pt modelId="{3F8741FC-51E3-4D2D-A1AA-77211F7A629A}">
      <dgm:prSet custT="1"/>
      <dgm:spPr>
        <a:xfrm>
          <a:off x="2984274" y="2382422"/>
          <a:ext cx="1187998" cy="536400"/>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spcAft>
              <a:spcPts val="0"/>
            </a:spcAft>
            <a:buNone/>
          </a:pPr>
          <a:r>
            <a:rPr lang="cs-CZ" sz="900" u="none">
              <a:solidFill>
                <a:sysClr val="windowText" lastClr="000000"/>
              </a:solidFill>
              <a:latin typeface="Calibri" panose="020F0502020204030204"/>
              <a:ea typeface="+mn-ea"/>
              <a:cs typeface="+mn-cs"/>
            </a:rPr>
            <a:t>Optimalizovat síť sběrných nádob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na tříděný odpad</a:t>
          </a:r>
          <a:endParaRPr lang="cs-CZ" sz="900" u="none" baseline="0">
            <a:solidFill>
              <a:sysClr val="windowText" lastClr="000000"/>
            </a:solidFill>
            <a:latin typeface="Calibri" panose="020F0502020204030204"/>
            <a:ea typeface="+mn-ea"/>
            <a:cs typeface="+mn-cs"/>
          </a:endParaRPr>
        </a:p>
      </dgm:t>
    </dgm:pt>
    <dgm:pt modelId="{08944449-A2FB-48A9-8E2C-8F48303B840F}" type="parTrans" cxnId="{35C4601B-5FF2-43B9-8EE6-382520504A3B}">
      <dgm:prSet>
        <dgm:style>
          <a:lnRef idx="1">
            <a:schemeClr val="accent6"/>
          </a:lnRef>
          <a:fillRef idx="0">
            <a:schemeClr val="accent6"/>
          </a:fillRef>
          <a:effectRef idx="0">
            <a:schemeClr val="accent6"/>
          </a:effectRef>
          <a:fontRef idx="minor">
            <a:schemeClr val="tx1"/>
          </a:fontRef>
        </dgm:style>
      </dgm:prSet>
      <dgm:spPr>
        <a:xfrm>
          <a:off x="2881521" y="2319151"/>
          <a:ext cx="91440" cy="331471"/>
        </a:xfrm>
        <a:custGeom>
          <a:avLst/>
          <a:gdLst/>
          <a:ahLst/>
          <a:cxnLst/>
          <a:rect l="0" t="0" r="0" b="0"/>
          <a:pathLst>
            <a:path>
              <a:moveTo>
                <a:pt x="45720" y="0"/>
              </a:moveTo>
              <a:lnTo>
                <a:pt x="45720" y="331471"/>
              </a:lnTo>
              <a:lnTo>
                <a:pt x="102752" y="331471"/>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27E1A2B5-4C63-44F7-B837-2FBCA93C4E71}" type="sibTrans" cxnId="{35C4601B-5FF2-43B9-8EE6-382520504A3B}">
      <dgm:prSet/>
      <dgm:spPr/>
      <dgm:t>
        <a:bodyPr/>
        <a:lstStyle/>
        <a:p>
          <a:pPr algn="ctr"/>
          <a:endParaRPr lang="cs-CZ" sz="900" u="none">
            <a:solidFill>
              <a:sysClr val="windowText" lastClr="000000"/>
            </a:solidFill>
          </a:endParaRPr>
        </a:p>
      </dgm:t>
    </dgm:pt>
    <dgm:pt modelId="{5B723C34-F36C-4732-92C1-91E6EAE3A72F}">
      <dgm:prSet custT="1"/>
      <dgm:spPr>
        <a:xfrm>
          <a:off x="4503650" y="2385444"/>
          <a:ext cx="1296000" cy="432000"/>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Usilovat o realizaci komplexních pozemkových úprav</a:t>
          </a:r>
        </a:p>
      </dgm:t>
    </dgm:pt>
    <dgm:pt modelId="{1687D952-81D6-4A0A-A5F4-229A6C5523F0}" type="parTrans" cxnId="{B4355960-2FF1-473B-BEFC-443072D76791}">
      <dgm:prSet>
        <dgm:style>
          <a:lnRef idx="1">
            <a:schemeClr val="accent6"/>
          </a:lnRef>
          <a:fillRef idx="0">
            <a:schemeClr val="accent6"/>
          </a:fillRef>
          <a:effectRef idx="0">
            <a:schemeClr val="accent6"/>
          </a:effectRef>
          <a:fontRef idx="minor">
            <a:schemeClr val="tx1"/>
          </a:fontRef>
        </dgm:style>
      </dgm:prSet>
      <dgm:spPr>
        <a:xfrm>
          <a:off x="4409190" y="2319290"/>
          <a:ext cx="94460" cy="282154"/>
        </a:xfrm>
        <a:custGeom>
          <a:avLst/>
          <a:gdLst/>
          <a:ahLst/>
          <a:cxnLst/>
          <a:rect l="0" t="0" r="0" b="0"/>
          <a:pathLst>
            <a:path>
              <a:moveTo>
                <a:pt x="0" y="0"/>
              </a:moveTo>
              <a:lnTo>
                <a:pt x="0" y="282154"/>
              </a:lnTo>
              <a:lnTo>
                <a:pt x="94460" y="282154"/>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5C1DAF2D-98AC-496B-85D7-AAD460C1A3D6}" type="sibTrans" cxnId="{B4355960-2FF1-473B-BEFC-443072D76791}">
      <dgm:prSet/>
      <dgm:spPr/>
      <dgm:t>
        <a:bodyPr/>
        <a:lstStyle/>
        <a:p>
          <a:pPr algn="ctr"/>
          <a:endParaRPr lang="cs-CZ" sz="900" u="none">
            <a:solidFill>
              <a:sysClr val="windowText" lastClr="000000"/>
            </a:solidFill>
          </a:endParaRPr>
        </a:p>
      </dgm:t>
    </dgm:pt>
    <dgm:pt modelId="{05354665-5CC3-42E3-84BB-CCE5C773D2E5}">
      <dgm:prSet custT="1"/>
      <dgm:spPr>
        <a:xfrm>
          <a:off x="2989392" y="3501183"/>
          <a:ext cx="1187998" cy="490677"/>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spcAft>
              <a:spcPts val="0"/>
            </a:spcAft>
            <a:buNone/>
          </a:pPr>
          <a:r>
            <a:rPr lang="cs-CZ" sz="900" u="none">
              <a:solidFill>
                <a:sysClr val="windowText" lastClr="000000"/>
              </a:solidFill>
              <a:latin typeface="Calibri" panose="020F0502020204030204"/>
              <a:ea typeface="+mn-ea"/>
              <a:cs typeface="+mn-cs"/>
            </a:rPr>
            <a:t>Podporovat aktivity prevence vzniku odpadů</a:t>
          </a:r>
        </a:p>
      </dgm:t>
    </dgm:pt>
    <dgm:pt modelId="{1D1B4510-CC78-4E88-B3F5-4C9F656F5F83}" type="parTrans" cxnId="{A9BE14CC-454E-4F18-90F4-853029FEBCD1}">
      <dgm:prSet>
        <dgm:style>
          <a:lnRef idx="1">
            <a:schemeClr val="accent6"/>
          </a:lnRef>
          <a:fillRef idx="0">
            <a:schemeClr val="accent6"/>
          </a:fillRef>
          <a:effectRef idx="0">
            <a:schemeClr val="accent6"/>
          </a:effectRef>
          <a:fontRef idx="minor">
            <a:schemeClr val="tx1"/>
          </a:fontRef>
        </dgm:style>
      </dgm:prSet>
      <dgm:spPr>
        <a:xfrm>
          <a:off x="2881521" y="2319151"/>
          <a:ext cx="91440" cy="1427370"/>
        </a:xfrm>
        <a:custGeom>
          <a:avLst/>
          <a:gdLst/>
          <a:ahLst/>
          <a:cxnLst/>
          <a:rect l="0" t="0" r="0" b="0"/>
          <a:pathLst>
            <a:path>
              <a:moveTo>
                <a:pt x="45720" y="0"/>
              </a:moveTo>
              <a:lnTo>
                <a:pt x="45720" y="1427370"/>
              </a:lnTo>
              <a:lnTo>
                <a:pt x="107870" y="1427370"/>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1D98A327-A3A2-4012-97E3-DB9D4D66FFF4}" type="sibTrans" cxnId="{A9BE14CC-454E-4F18-90F4-853029FEBCD1}">
      <dgm:prSet/>
      <dgm:spPr/>
      <dgm:t>
        <a:bodyPr/>
        <a:lstStyle/>
        <a:p>
          <a:pPr algn="ctr"/>
          <a:endParaRPr lang="cs-CZ" sz="900" u="none">
            <a:solidFill>
              <a:sysClr val="windowText" lastClr="000000"/>
            </a:solidFill>
          </a:endParaRPr>
        </a:p>
      </dgm:t>
    </dgm:pt>
    <dgm:pt modelId="{9A9C6070-9D06-4645-844F-813850F3679E}">
      <dgm:prSet custT="1"/>
      <dgm:spPr>
        <a:xfrm>
          <a:off x="6181579" y="2388725"/>
          <a:ext cx="1223999" cy="489599"/>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Podpořit vznik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existence obchodu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s potravinami v obci</a:t>
          </a:r>
        </a:p>
      </dgm:t>
    </dgm:pt>
    <dgm:pt modelId="{201A60C5-138F-48B4-B6ED-01B7380B861F}" type="parTrans" cxnId="{857B4076-BD6D-4543-B3ED-3D32F0FF12C4}">
      <dgm:prSet>
        <dgm:style>
          <a:lnRef idx="1">
            <a:schemeClr val="accent6"/>
          </a:lnRef>
          <a:fillRef idx="0">
            <a:schemeClr val="accent6"/>
          </a:fillRef>
          <a:effectRef idx="0">
            <a:schemeClr val="accent6"/>
          </a:effectRef>
          <a:fontRef idx="minor">
            <a:schemeClr val="tx1"/>
          </a:fontRef>
        </dgm:style>
      </dgm:prSet>
      <dgm:spPr>
        <a:xfrm>
          <a:off x="6050210" y="2321723"/>
          <a:ext cx="91440" cy="311800"/>
        </a:xfrm>
        <a:custGeom>
          <a:avLst/>
          <a:gdLst/>
          <a:ahLst/>
          <a:cxnLst/>
          <a:rect l="0" t="0" r="0" b="0"/>
          <a:pathLst>
            <a:path>
              <a:moveTo>
                <a:pt x="45720" y="0"/>
              </a:moveTo>
              <a:lnTo>
                <a:pt x="45720" y="311800"/>
              </a:lnTo>
              <a:lnTo>
                <a:pt x="131368" y="311800"/>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C72B786A-B412-4341-9F41-BA328FBEDF45}" type="sibTrans" cxnId="{857B4076-BD6D-4543-B3ED-3D32F0FF12C4}">
      <dgm:prSet/>
      <dgm:spPr/>
      <dgm:t>
        <a:bodyPr/>
        <a:lstStyle/>
        <a:p>
          <a:pPr algn="ctr"/>
          <a:endParaRPr lang="cs-CZ" sz="900" u="none">
            <a:solidFill>
              <a:sysClr val="windowText" lastClr="000000"/>
            </a:solidFill>
          </a:endParaRPr>
        </a:p>
      </dgm:t>
    </dgm:pt>
    <dgm:pt modelId="{41B0165B-41A6-4671-882F-3EEB4528E43B}">
      <dgm:prSet custT="1"/>
      <dgm:spPr>
        <a:xfrm>
          <a:off x="4504652" y="2888429"/>
          <a:ext cx="1296000" cy="507940"/>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spcAft>
              <a:spcPts val="0"/>
            </a:spcAft>
            <a:buNone/>
          </a:pPr>
          <a:r>
            <a:rPr lang="cs-CZ" sz="900" u="none">
              <a:solidFill>
                <a:sysClr val="windowText" lastClr="000000"/>
              </a:solidFill>
              <a:latin typeface="Calibri" panose="020F0502020204030204"/>
              <a:ea typeface="+mn-ea"/>
              <a:cs typeface="+mn-cs"/>
            </a:rPr>
            <a:t>Regulovat novou výstavbu v lokalitě Dolníky</a:t>
          </a:r>
        </a:p>
      </dgm:t>
    </dgm:pt>
    <dgm:pt modelId="{D921CA20-754A-48DB-BCF2-999640E4A922}" type="parTrans" cxnId="{FDF5816F-97D4-46D8-A5D0-2F255454B231}">
      <dgm:prSet>
        <dgm:style>
          <a:lnRef idx="1">
            <a:schemeClr val="accent6"/>
          </a:lnRef>
          <a:fillRef idx="0">
            <a:schemeClr val="accent6"/>
          </a:fillRef>
          <a:effectRef idx="0">
            <a:schemeClr val="accent6"/>
          </a:effectRef>
          <a:fontRef idx="minor">
            <a:schemeClr val="tx1"/>
          </a:fontRef>
        </dgm:style>
      </dgm:prSet>
      <dgm:spPr>
        <a:xfrm>
          <a:off x="4409190" y="2319290"/>
          <a:ext cx="95462" cy="823110"/>
        </a:xfrm>
        <a:custGeom>
          <a:avLst/>
          <a:gdLst/>
          <a:ahLst/>
          <a:cxnLst/>
          <a:rect l="0" t="0" r="0" b="0"/>
          <a:pathLst>
            <a:path>
              <a:moveTo>
                <a:pt x="0" y="0"/>
              </a:moveTo>
              <a:lnTo>
                <a:pt x="0" y="823110"/>
              </a:lnTo>
              <a:lnTo>
                <a:pt x="95462" y="823110"/>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6793B451-425F-4EE7-82B2-CCD82A23244F}" type="sibTrans" cxnId="{FDF5816F-97D4-46D8-A5D0-2F255454B231}">
      <dgm:prSet/>
      <dgm:spPr/>
      <dgm:t>
        <a:bodyPr/>
        <a:lstStyle/>
        <a:p>
          <a:pPr algn="ctr"/>
          <a:endParaRPr lang="cs-CZ" sz="900" u="none">
            <a:solidFill>
              <a:sysClr val="windowText" lastClr="000000"/>
            </a:solidFill>
          </a:endParaRPr>
        </a:p>
      </dgm:t>
    </dgm:pt>
    <dgm:pt modelId="{32E729DA-CEC1-4BB0-849D-135300C81244}">
      <dgm:prSet custT="1"/>
      <dgm:spPr>
        <a:xfrm>
          <a:off x="7475821" y="1617743"/>
          <a:ext cx="1331301" cy="705646"/>
        </a:xfrm>
        <a:prstGeom prst="rect">
          <a:avLst/>
        </a:prstGeom>
        <a:solidFill>
          <a:srgbClr val="5B9BD5">
            <a:lumMod val="40000"/>
            <a:lumOff val="60000"/>
          </a:srgbClr>
        </a:solidFill>
        <a:ln w="12700" cap="flat" cmpd="sng" algn="ctr">
          <a:solidFill>
            <a:sysClr val="windowText" lastClr="000000"/>
          </a:solidFill>
          <a:prstDash val="solid"/>
          <a:miter lim="800000"/>
        </a:ln>
        <a:effectLst/>
      </dgm:spPr>
      <dgm:t>
        <a:bodyPr/>
        <a:lstStyle/>
        <a:p>
          <a:pPr algn="ctr">
            <a:spcAft>
              <a:spcPts val="0"/>
            </a:spcAft>
            <a:buNone/>
          </a:pPr>
          <a:r>
            <a:rPr lang="cs-CZ" sz="900" b="1" u="none">
              <a:solidFill>
                <a:sysClr val="windowText" lastClr="000000"/>
              </a:solidFill>
              <a:latin typeface="Calibri" panose="020F0502020204030204"/>
              <a:ea typeface="+mn-ea"/>
              <a:cs typeface="+mn-cs"/>
            </a:rPr>
            <a:t>Realizovat další aktivity související se službami </a:t>
          </a:r>
          <a:br>
            <a:rPr lang="cs-CZ" sz="900" b="1" u="none">
              <a:solidFill>
                <a:sysClr val="windowText" lastClr="000000"/>
              </a:solidFill>
              <a:latin typeface="Calibri" panose="020F0502020204030204"/>
              <a:ea typeface="+mn-ea"/>
              <a:cs typeface="+mn-cs"/>
            </a:rPr>
          </a:br>
          <a:r>
            <a:rPr lang="cs-CZ" sz="900" b="1" u="none">
              <a:solidFill>
                <a:sysClr val="windowText" lastClr="000000"/>
              </a:solidFill>
              <a:latin typeface="Calibri" panose="020F0502020204030204"/>
              <a:ea typeface="+mn-ea"/>
              <a:cs typeface="+mn-cs"/>
            </a:rPr>
            <a:t>a vybaveností obce</a:t>
          </a:r>
        </a:p>
      </dgm:t>
    </dgm:pt>
    <dgm:pt modelId="{91FEEABB-DBB4-4847-9263-A7C1CC5180DD}" type="parTrans" cxnId="{114FB4A8-E3A1-4C63-BCD9-750683D0E0A4}">
      <dgm:prSet>
        <dgm:style>
          <a:lnRef idx="1">
            <a:schemeClr val="accent6"/>
          </a:lnRef>
          <a:fillRef idx="0">
            <a:schemeClr val="accent6"/>
          </a:fillRef>
          <a:effectRef idx="0">
            <a:schemeClr val="accent6"/>
          </a:effectRef>
          <a:fontRef idx="minor">
            <a:schemeClr val="tx1"/>
          </a:fontRef>
        </dgm:style>
      </dgm:prSet>
      <dgm:spPr>
        <a:xfrm>
          <a:off x="7426636" y="1457310"/>
          <a:ext cx="714836" cy="160432"/>
        </a:xfrm>
        <a:custGeom>
          <a:avLst/>
          <a:gdLst/>
          <a:ahLst/>
          <a:cxnLst/>
          <a:rect l="0" t="0" r="0" b="0"/>
          <a:pathLst>
            <a:path>
              <a:moveTo>
                <a:pt x="0" y="0"/>
              </a:moveTo>
              <a:lnTo>
                <a:pt x="0" y="120444"/>
              </a:lnTo>
              <a:lnTo>
                <a:pt x="714836" y="120444"/>
              </a:lnTo>
              <a:lnTo>
                <a:pt x="714836" y="160432"/>
              </a:lnTo>
            </a:path>
          </a:pathLst>
        </a:custGeom>
        <a:noFill/>
        <a:ln w="1905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DFDE75F2-14D1-4932-90EC-DE1B47BE6212}" type="sibTrans" cxnId="{114FB4A8-E3A1-4C63-BCD9-750683D0E0A4}">
      <dgm:prSet/>
      <dgm:spPr/>
      <dgm:t>
        <a:bodyPr/>
        <a:lstStyle/>
        <a:p>
          <a:pPr algn="ctr"/>
          <a:endParaRPr lang="cs-CZ" sz="900" u="none">
            <a:solidFill>
              <a:sysClr val="windowText" lastClr="000000"/>
            </a:solidFill>
          </a:endParaRPr>
        </a:p>
      </dgm:t>
    </dgm:pt>
    <dgm:pt modelId="{6BF80D2A-3003-4519-969E-53AA167DCEE6}">
      <dgm:prSet custT="1"/>
      <dgm:spPr>
        <a:xfrm>
          <a:off x="7659704" y="2372114"/>
          <a:ext cx="1153128" cy="455679"/>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Řešit obecní hřiště</a:t>
          </a:r>
        </a:p>
      </dgm:t>
    </dgm:pt>
    <dgm:pt modelId="{305F5364-7F0D-4C6F-B565-5C9833C77CC5}" type="parTrans" cxnId="{550662B6-604F-41A2-AA7D-706AA36166F7}">
      <dgm:prSet>
        <dgm:style>
          <a:lnRef idx="1">
            <a:schemeClr val="accent6"/>
          </a:lnRef>
          <a:fillRef idx="0">
            <a:schemeClr val="accent6"/>
          </a:fillRef>
          <a:effectRef idx="0">
            <a:schemeClr val="accent6"/>
          </a:effectRef>
          <a:fontRef idx="minor">
            <a:schemeClr val="tx1"/>
          </a:fontRef>
        </dgm:style>
      </dgm:prSet>
      <dgm:spPr>
        <a:xfrm>
          <a:off x="7563232" y="2323389"/>
          <a:ext cx="91440" cy="276564"/>
        </a:xfrm>
        <a:custGeom>
          <a:avLst/>
          <a:gdLst/>
          <a:ahLst/>
          <a:cxnLst/>
          <a:rect l="0" t="0" r="0" b="0"/>
          <a:pathLst>
            <a:path>
              <a:moveTo>
                <a:pt x="45720" y="0"/>
              </a:moveTo>
              <a:lnTo>
                <a:pt x="45720" y="276564"/>
              </a:lnTo>
              <a:lnTo>
                <a:pt x="96472" y="276564"/>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5F35A76F-9CFE-498E-8C47-FBBE1BB3E15B}" type="sibTrans" cxnId="{550662B6-604F-41A2-AA7D-706AA36166F7}">
      <dgm:prSet/>
      <dgm:spPr/>
      <dgm:t>
        <a:bodyPr/>
        <a:lstStyle/>
        <a:p>
          <a:pPr algn="ctr"/>
          <a:endParaRPr lang="cs-CZ" sz="900" u="none">
            <a:solidFill>
              <a:sysClr val="windowText" lastClr="000000"/>
            </a:solidFill>
          </a:endParaRPr>
        </a:p>
      </dgm:t>
    </dgm:pt>
    <dgm:pt modelId="{4CAFF5B8-B9C9-47F2-900A-8462E0C40682}">
      <dgm:prSet custT="1"/>
      <dgm:spPr>
        <a:xfrm>
          <a:off x="7668147" y="2891006"/>
          <a:ext cx="1152001" cy="572173"/>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Usilovat o častější kontrolu rychlosti motorových vozidel</a:t>
          </a:r>
        </a:p>
      </dgm:t>
    </dgm:pt>
    <dgm:pt modelId="{22C5A9FE-45C8-483E-8D7E-F72C2005FD6A}" type="parTrans" cxnId="{6A2DDDB7-670E-4A84-89BC-52BD14FBB7DA}">
      <dgm:prSet/>
      <dgm:spPr>
        <a:xfrm>
          <a:off x="7563232" y="2323389"/>
          <a:ext cx="91440" cy="853703"/>
        </a:xfrm>
        <a:custGeom>
          <a:avLst/>
          <a:gdLst/>
          <a:ahLst/>
          <a:cxnLst/>
          <a:rect l="0" t="0" r="0" b="0"/>
          <a:pathLst>
            <a:path>
              <a:moveTo>
                <a:pt x="45720" y="0"/>
              </a:moveTo>
              <a:lnTo>
                <a:pt x="45720" y="853703"/>
              </a:lnTo>
              <a:lnTo>
                <a:pt x="104915" y="853703"/>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FC9877AC-ECC5-4AF0-844F-25E8664288A5}" type="sibTrans" cxnId="{6A2DDDB7-670E-4A84-89BC-52BD14FBB7DA}">
      <dgm:prSet/>
      <dgm:spPr/>
      <dgm:t>
        <a:bodyPr/>
        <a:lstStyle/>
        <a:p>
          <a:pPr algn="ctr"/>
          <a:endParaRPr lang="cs-CZ" sz="900" u="none">
            <a:solidFill>
              <a:sysClr val="windowText" lastClr="000000"/>
            </a:solidFill>
          </a:endParaRPr>
        </a:p>
      </dgm:t>
    </dgm:pt>
    <dgm:pt modelId="{F2D435C7-7B62-44AE-9C4C-A8A6A7D411D3}">
      <dgm:prSet custT="1"/>
      <dgm:spPr>
        <a:xfrm>
          <a:off x="0" y="860460"/>
          <a:ext cx="2649200" cy="598192"/>
        </a:xfrm>
        <a:prstGeom prst="rect">
          <a:avLst/>
        </a:prstGeom>
        <a:solidFill>
          <a:srgbClr val="5B9BD5">
            <a:lumMod val="60000"/>
            <a:lumOff val="40000"/>
          </a:srgbClr>
        </a:solidFill>
        <a:ln w="12700" cap="flat" cmpd="sng" algn="ctr">
          <a:solidFill>
            <a:sysClr val="windowText" lastClr="000000"/>
          </a:solidFill>
          <a:prstDash val="solid"/>
          <a:miter lim="800000"/>
        </a:ln>
        <a:effectLst/>
      </dgm:spPr>
      <dgm:t>
        <a:bodyPr/>
        <a:lstStyle/>
        <a:p>
          <a:pPr algn="ctr">
            <a:buNone/>
          </a:pPr>
          <a:r>
            <a:rPr lang="cs-CZ" sz="900" b="1" u="none" baseline="0">
              <a:solidFill>
                <a:sysClr val="windowText" lastClr="000000"/>
              </a:solidFill>
              <a:latin typeface="Calibri" panose="020F0502020204030204"/>
              <a:ea typeface="+mn-ea"/>
              <a:cs typeface="+mn-cs"/>
            </a:rPr>
            <a:t>Strategický cíl 2.1</a:t>
          </a:r>
        </a:p>
        <a:p>
          <a:pPr algn="ctr">
            <a:buNone/>
          </a:pPr>
          <a:r>
            <a:rPr lang="cs-CZ" sz="900" b="1" u="none">
              <a:solidFill>
                <a:sysClr val="windowText" lastClr="000000"/>
              </a:solidFill>
              <a:latin typeface="Calibri" panose="020F0502020204030204"/>
              <a:ea typeface="+mn-ea"/>
              <a:cs typeface="+mn-cs"/>
            </a:rPr>
            <a:t>Vytvořit a rozvíjet přirozené centrum obce</a:t>
          </a:r>
          <a:endParaRPr lang="cs-CZ" sz="900" u="none">
            <a:solidFill>
              <a:sysClr val="windowText" lastClr="000000"/>
            </a:solidFill>
            <a:latin typeface="Calibri" panose="020F0502020204030204"/>
            <a:ea typeface="+mn-ea"/>
            <a:cs typeface="+mn-cs"/>
          </a:endParaRPr>
        </a:p>
      </dgm:t>
    </dgm:pt>
    <dgm:pt modelId="{8FF0E5E4-0B37-45D2-BCDD-161AC305E7A1}" type="parTrans" cxnId="{039FAF2A-7BD7-42E4-AAF4-4B3A426A4AA7}">
      <dgm:prSet/>
      <dgm:spPr>
        <a:xfrm>
          <a:off x="1324600" y="694263"/>
          <a:ext cx="2891969" cy="166196"/>
        </a:xfrm>
        <a:custGeom>
          <a:avLst/>
          <a:gdLst/>
          <a:ahLst/>
          <a:cxnLst/>
          <a:rect l="0" t="0" r="0" b="0"/>
          <a:pathLst>
            <a:path>
              <a:moveTo>
                <a:pt x="2891969" y="0"/>
              </a:moveTo>
              <a:lnTo>
                <a:pt x="2891969" y="126208"/>
              </a:lnTo>
              <a:lnTo>
                <a:pt x="0" y="126208"/>
              </a:lnTo>
              <a:lnTo>
                <a:pt x="0" y="166196"/>
              </a:lnTo>
            </a:path>
          </a:pathLst>
        </a:custGeom>
        <a:noFill/>
        <a:ln w="28575"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B466181B-C350-4123-BB97-DAD7F2BB1880}" type="sibTrans" cxnId="{039FAF2A-7BD7-42E4-AAF4-4B3A426A4AA7}">
      <dgm:prSet/>
      <dgm:spPr/>
      <dgm:t>
        <a:bodyPr/>
        <a:lstStyle/>
        <a:p>
          <a:pPr algn="ctr"/>
          <a:endParaRPr lang="cs-CZ" sz="900" u="none">
            <a:solidFill>
              <a:sysClr val="windowText" lastClr="000000"/>
            </a:solidFill>
          </a:endParaRPr>
        </a:p>
      </dgm:t>
    </dgm:pt>
    <dgm:pt modelId="{7ECE0D00-5FF8-4FC9-A18E-BD73AFA50EBC}">
      <dgm:prSet custT="1"/>
      <dgm:spPr>
        <a:xfrm rot="10800000" flipV="1">
          <a:off x="0" y="1603692"/>
          <a:ext cx="1299531" cy="705429"/>
        </a:xfrm>
        <a:prstGeom prst="rect">
          <a:avLst/>
        </a:prstGeom>
        <a:solidFill>
          <a:srgbClr val="5B9BD5">
            <a:lumMod val="40000"/>
            <a:lumOff val="60000"/>
          </a:srgbClr>
        </a:solidFill>
        <a:ln w="12700" cap="flat" cmpd="sng" algn="ctr">
          <a:solidFill>
            <a:sysClr val="windowText" lastClr="000000"/>
          </a:solidFill>
          <a:prstDash val="solid"/>
          <a:miter lim="800000"/>
        </a:ln>
        <a:effectLst/>
      </dgm:spPr>
      <dgm:t>
        <a:bodyPr/>
        <a:lstStyle/>
        <a:p>
          <a:pPr algn="ctr">
            <a:buNone/>
          </a:pPr>
          <a:r>
            <a:rPr lang="cs-CZ" sz="900" b="1" u="none">
              <a:solidFill>
                <a:sysClr val="windowText" lastClr="000000"/>
              </a:solidFill>
              <a:latin typeface="Calibri" panose="020F0502020204030204"/>
              <a:ea typeface="+mn-ea"/>
              <a:cs typeface="+mn-cs"/>
            </a:rPr>
            <a:t>Využít potenciálu </a:t>
          </a:r>
          <a:br>
            <a:rPr lang="cs-CZ" sz="900" b="1" u="none">
              <a:solidFill>
                <a:sysClr val="windowText" lastClr="000000"/>
              </a:solidFill>
              <a:latin typeface="Calibri" panose="020F0502020204030204"/>
              <a:ea typeface="+mn-ea"/>
              <a:cs typeface="+mn-cs"/>
            </a:rPr>
          </a:br>
          <a:r>
            <a:rPr lang="cs-CZ" sz="900" b="1" u="none">
              <a:solidFill>
                <a:sysClr val="windowText" lastClr="000000"/>
              </a:solidFill>
              <a:latin typeface="Calibri" panose="020F0502020204030204"/>
              <a:ea typeface="+mn-ea"/>
              <a:cs typeface="+mn-cs"/>
            </a:rPr>
            <a:t>budovy zámečku</a:t>
          </a:r>
          <a:endParaRPr lang="cs-CZ" sz="900" u="none">
            <a:solidFill>
              <a:sysClr val="windowText" lastClr="000000"/>
            </a:solidFill>
            <a:latin typeface="Calibri" panose="020F0502020204030204"/>
            <a:ea typeface="+mn-ea"/>
            <a:cs typeface="+mn-cs"/>
          </a:endParaRPr>
        </a:p>
      </dgm:t>
    </dgm:pt>
    <dgm:pt modelId="{097724E7-8DD8-4059-8D79-86F960544173}" type="parTrans" cxnId="{F14CE6BF-832B-4A3E-843A-CFF82C244620}">
      <dgm:prSet/>
      <dgm:spPr>
        <a:xfrm>
          <a:off x="649765" y="1458652"/>
          <a:ext cx="674834" cy="145039"/>
        </a:xfrm>
        <a:custGeom>
          <a:avLst/>
          <a:gdLst/>
          <a:ahLst/>
          <a:cxnLst/>
          <a:rect l="0" t="0" r="0" b="0"/>
          <a:pathLst>
            <a:path>
              <a:moveTo>
                <a:pt x="674834" y="0"/>
              </a:moveTo>
              <a:lnTo>
                <a:pt x="674834" y="105051"/>
              </a:lnTo>
              <a:lnTo>
                <a:pt x="0" y="105051"/>
              </a:lnTo>
              <a:lnTo>
                <a:pt x="0" y="145039"/>
              </a:lnTo>
            </a:path>
          </a:pathLst>
        </a:custGeom>
        <a:noFill/>
        <a:ln w="1905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BE1E7920-381C-4BAF-B699-4127F18DF6BC}" type="sibTrans" cxnId="{F14CE6BF-832B-4A3E-843A-CFF82C244620}">
      <dgm:prSet/>
      <dgm:spPr/>
      <dgm:t>
        <a:bodyPr/>
        <a:lstStyle/>
        <a:p>
          <a:pPr algn="ctr"/>
          <a:endParaRPr lang="cs-CZ" sz="900" u="none">
            <a:solidFill>
              <a:sysClr val="windowText" lastClr="000000"/>
            </a:solidFill>
          </a:endParaRPr>
        </a:p>
      </dgm:t>
    </dgm:pt>
    <dgm:pt modelId="{1166AF32-0F15-49BE-A527-44BF102A5F42}">
      <dgm:prSet custT="1"/>
      <dgm:spPr>
        <a:xfrm>
          <a:off x="1367464" y="1602565"/>
          <a:ext cx="1268092" cy="705646"/>
        </a:xfrm>
        <a:prstGeom prst="rect">
          <a:avLst/>
        </a:prstGeom>
        <a:solidFill>
          <a:srgbClr val="5B9BD5">
            <a:lumMod val="40000"/>
            <a:lumOff val="60000"/>
          </a:srgbClr>
        </a:solidFill>
        <a:ln w="12700" cap="flat" cmpd="sng" algn="ctr">
          <a:solidFill>
            <a:sysClr val="windowText" lastClr="000000"/>
          </a:solidFill>
          <a:prstDash val="solid"/>
          <a:miter lim="800000"/>
        </a:ln>
        <a:effectLst/>
      </dgm:spPr>
      <dgm:t>
        <a:bodyPr/>
        <a:lstStyle/>
        <a:p>
          <a:pPr algn="ctr">
            <a:buNone/>
          </a:pPr>
          <a:r>
            <a:rPr lang="cs-CZ" sz="900" b="1" u="none">
              <a:solidFill>
                <a:sysClr val="windowText" lastClr="000000"/>
              </a:solidFill>
              <a:latin typeface="Calibri" panose="020F0502020204030204"/>
              <a:ea typeface="+mn-ea"/>
              <a:cs typeface="+mn-cs"/>
            </a:rPr>
            <a:t>Revitalizovat okolí </a:t>
          </a:r>
          <a:br>
            <a:rPr lang="cs-CZ" sz="900" b="1" u="none">
              <a:solidFill>
                <a:sysClr val="windowText" lastClr="000000"/>
              </a:solidFill>
              <a:latin typeface="Calibri" panose="020F0502020204030204"/>
              <a:ea typeface="+mn-ea"/>
              <a:cs typeface="+mn-cs"/>
            </a:rPr>
          </a:br>
          <a:r>
            <a:rPr lang="cs-CZ" sz="900" b="1" u="none">
              <a:solidFill>
                <a:sysClr val="windowText" lastClr="000000"/>
              </a:solidFill>
              <a:latin typeface="Calibri" panose="020F0502020204030204"/>
              <a:ea typeface="+mn-ea"/>
              <a:cs typeface="+mn-cs"/>
            </a:rPr>
            <a:t>budovy zámečku</a:t>
          </a:r>
          <a:endParaRPr lang="cs-CZ" sz="900" u="none">
            <a:solidFill>
              <a:sysClr val="windowText" lastClr="000000"/>
            </a:solidFill>
            <a:latin typeface="Calibri" panose="020F0502020204030204"/>
            <a:ea typeface="+mn-ea"/>
            <a:cs typeface="+mn-cs"/>
          </a:endParaRPr>
        </a:p>
      </dgm:t>
    </dgm:pt>
    <dgm:pt modelId="{AA59950B-DBCA-4304-872E-48194044E7B0}" type="parTrans" cxnId="{4153056A-694D-47C1-AA2E-D7D72FAC6F98}">
      <dgm:prSet/>
      <dgm:spPr>
        <a:xfrm>
          <a:off x="1324600" y="1458652"/>
          <a:ext cx="676910" cy="143912"/>
        </a:xfrm>
        <a:custGeom>
          <a:avLst/>
          <a:gdLst/>
          <a:ahLst/>
          <a:cxnLst/>
          <a:rect l="0" t="0" r="0" b="0"/>
          <a:pathLst>
            <a:path>
              <a:moveTo>
                <a:pt x="0" y="0"/>
              </a:moveTo>
              <a:lnTo>
                <a:pt x="0" y="103923"/>
              </a:lnTo>
              <a:lnTo>
                <a:pt x="676910" y="103923"/>
              </a:lnTo>
              <a:lnTo>
                <a:pt x="676910" y="143912"/>
              </a:lnTo>
            </a:path>
          </a:pathLst>
        </a:custGeom>
        <a:noFill/>
        <a:ln w="1905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B3CA9052-F6AC-40E2-BFBA-C54B25256C05}" type="sibTrans" cxnId="{4153056A-694D-47C1-AA2E-D7D72FAC6F98}">
      <dgm:prSet/>
      <dgm:spPr/>
      <dgm:t>
        <a:bodyPr/>
        <a:lstStyle/>
        <a:p>
          <a:pPr algn="ctr"/>
          <a:endParaRPr lang="cs-CZ" sz="900" u="none">
            <a:solidFill>
              <a:sysClr val="windowText" lastClr="000000"/>
            </a:solidFill>
          </a:endParaRPr>
        </a:p>
      </dgm:t>
    </dgm:pt>
    <dgm:pt modelId="{F360A459-0493-45A0-BE09-9CB397E4C5EC}">
      <dgm:prSet custT="1"/>
      <dgm:spPr>
        <a:xfrm>
          <a:off x="1555264" y="2388368"/>
          <a:ext cx="1080685" cy="552776"/>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Zpracovat architektonickou studii areálu „Zámeček“</a:t>
          </a:r>
        </a:p>
      </dgm:t>
    </dgm:pt>
    <dgm:pt modelId="{1F314DFF-E2D0-4418-AF4C-F93D09148349}" type="parTrans" cxnId="{B0C03208-F5F3-42FE-829E-4E905E65E149}">
      <dgm:prSet/>
      <dgm:spPr>
        <a:xfrm>
          <a:off x="1448553" y="2308211"/>
          <a:ext cx="91440" cy="356545"/>
        </a:xfrm>
        <a:custGeom>
          <a:avLst/>
          <a:gdLst/>
          <a:ahLst/>
          <a:cxnLst/>
          <a:rect l="0" t="0" r="0" b="0"/>
          <a:pathLst>
            <a:path>
              <a:moveTo>
                <a:pt x="45720" y="0"/>
              </a:moveTo>
              <a:lnTo>
                <a:pt x="45720" y="356545"/>
              </a:lnTo>
              <a:lnTo>
                <a:pt x="106710" y="356545"/>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658E617B-3163-4A00-8A0F-68A9CF4FA65B}" type="sibTrans" cxnId="{B0C03208-F5F3-42FE-829E-4E905E65E149}">
      <dgm:prSet/>
      <dgm:spPr/>
      <dgm:t>
        <a:bodyPr/>
        <a:lstStyle/>
        <a:p>
          <a:pPr algn="ctr"/>
          <a:endParaRPr lang="cs-CZ" sz="900" u="none">
            <a:solidFill>
              <a:sysClr val="windowText" lastClr="000000"/>
            </a:solidFill>
          </a:endParaRPr>
        </a:p>
      </dgm:t>
    </dgm:pt>
    <dgm:pt modelId="{6C88C8AE-CFC2-457C-8CD9-41A57B9E70B8}">
      <dgm:prSet custT="1"/>
      <dgm:spPr>
        <a:xfrm>
          <a:off x="1554049" y="3010468"/>
          <a:ext cx="1080414" cy="536543"/>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Revitalizovat park v okolí budovy zámečku</a:t>
          </a:r>
        </a:p>
      </dgm:t>
    </dgm:pt>
    <dgm:pt modelId="{1A39C80B-73FB-411F-BD4A-249868550A51}" type="parTrans" cxnId="{5042EC1D-1B9A-4A18-84F3-31A89DBDBB11}">
      <dgm:prSet/>
      <dgm:spPr>
        <a:xfrm>
          <a:off x="1448553" y="2308211"/>
          <a:ext cx="91440" cy="970528"/>
        </a:xfrm>
        <a:custGeom>
          <a:avLst/>
          <a:gdLst/>
          <a:ahLst/>
          <a:cxnLst/>
          <a:rect l="0" t="0" r="0" b="0"/>
          <a:pathLst>
            <a:path>
              <a:moveTo>
                <a:pt x="45720" y="0"/>
              </a:moveTo>
              <a:lnTo>
                <a:pt x="45720" y="970528"/>
              </a:lnTo>
              <a:lnTo>
                <a:pt x="105495" y="970528"/>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35E85830-E0CA-4999-8B52-6EB91019E152}" type="sibTrans" cxnId="{5042EC1D-1B9A-4A18-84F3-31A89DBDBB11}">
      <dgm:prSet/>
      <dgm:spPr/>
      <dgm:t>
        <a:bodyPr/>
        <a:lstStyle/>
        <a:p>
          <a:pPr algn="ctr"/>
          <a:endParaRPr lang="cs-CZ" sz="900" u="none">
            <a:solidFill>
              <a:sysClr val="windowText" lastClr="000000"/>
            </a:solidFill>
          </a:endParaRPr>
        </a:p>
      </dgm:t>
    </dgm:pt>
    <dgm:pt modelId="{4432A52E-D9D2-4556-852B-42671DA95ABF}">
      <dgm:prSet custT="1"/>
      <dgm:spPr>
        <a:xfrm>
          <a:off x="186937" y="2379373"/>
          <a:ext cx="1116000" cy="690624"/>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Zajistit možnost existence sociálního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a startovacího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bydlení v obci</a:t>
          </a:r>
        </a:p>
      </dgm:t>
    </dgm:pt>
    <dgm:pt modelId="{D39309F4-2A30-4E7B-8131-898F2002A885}" type="parTrans" cxnId="{0696D26D-B420-4F77-9029-9C466F0027FE}">
      <dgm:prSet/>
      <dgm:spPr>
        <a:xfrm>
          <a:off x="84233" y="2309121"/>
          <a:ext cx="91440" cy="415563"/>
        </a:xfrm>
        <a:custGeom>
          <a:avLst/>
          <a:gdLst/>
          <a:ahLst/>
          <a:cxnLst/>
          <a:rect l="0" t="0" r="0" b="0"/>
          <a:pathLst>
            <a:path>
              <a:moveTo>
                <a:pt x="45720" y="0"/>
              </a:moveTo>
              <a:lnTo>
                <a:pt x="45720" y="415563"/>
              </a:lnTo>
              <a:lnTo>
                <a:pt x="102704" y="415563"/>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87887281-CEAA-4894-8D7F-7EB573988221}" type="sibTrans" cxnId="{0696D26D-B420-4F77-9029-9C466F0027FE}">
      <dgm:prSet/>
      <dgm:spPr/>
      <dgm:t>
        <a:bodyPr/>
        <a:lstStyle/>
        <a:p>
          <a:pPr algn="ctr"/>
          <a:endParaRPr lang="cs-CZ" sz="900" u="none">
            <a:solidFill>
              <a:sysClr val="windowText" lastClr="000000"/>
            </a:solidFill>
          </a:endParaRPr>
        </a:p>
      </dgm:t>
    </dgm:pt>
    <dgm:pt modelId="{7BC3BF3B-6057-4C20-A2B3-8CE35DD05FE4}">
      <dgm:prSet custT="1"/>
      <dgm:spPr>
        <a:xfrm>
          <a:off x="187146" y="3143345"/>
          <a:ext cx="1116000" cy="496799"/>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Vybudovat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společenské centrum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v prostorách zámečku</a:t>
          </a:r>
        </a:p>
      </dgm:t>
    </dgm:pt>
    <dgm:pt modelId="{D0356A9C-608C-4C78-A2E5-7810B71934A7}" type="parTrans" cxnId="{D3289FD9-C809-47B9-B11D-406575366CCE}">
      <dgm:prSet/>
      <dgm:spPr>
        <a:xfrm>
          <a:off x="84233" y="2309121"/>
          <a:ext cx="91440" cy="1082623"/>
        </a:xfrm>
        <a:custGeom>
          <a:avLst/>
          <a:gdLst/>
          <a:ahLst/>
          <a:cxnLst/>
          <a:rect l="0" t="0" r="0" b="0"/>
          <a:pathLst>
            <a:path>
              <a:moveTo>
                <a:pt x="45720" y="0"/>
              </a:moveTo>
              <a:lnTo>
                <a:pt x="45720" y="1082623"/>
              </a:lnTo>
              <a:lnTo>
                <a:pt x="102913" y="1082623"/>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0B8D8286-9509-4010-8D1E-3F73DB57622D}" type="sibTrans" cxnId="{D3289FD9-C809-47B9-B11D-406575366CCE}">
      <dgm:prSet/>
      <dgm:spPr/>
      <dgm:t>
        <a:bodyPr/>
        <a:lstStyle/>
        <a:p>
          <a:pPr algn="ctr"/>
          <a:endParaRPr lang="cs-CZ" sz="900" u="none">
            <a:solidFill>
              <a:sysClr val="windowText" lastClr="000000"/>
            </a:solidFill>
          </a:endParaRPr>
        </a:p>
      </dgm:t>
    </dgm:pt>
    <dgm:pt modelId="{EE2EDF37-688B-4FD0-A3FB-102928A9F920}">
      <dgm:prSet custT="1"/>
      <dgm:spPr>
        <a:xfrm>
          <a:off x="186263" y="3720827"/>
          <a:ext cx="1116000" cy="601343"/>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Podle potřeby využít budovu zámečku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i jiným způsobem</a:t>
          </a:r>
        </a:p>
      </dgm:t>
    </dgm:pt>
    <dgm:pt modelId="{6BD5E1AC-0E8F-4628-89F0-780B1B1C928F}" type="parTrans" cxnId="{9BB215D3-A1E0-4192-A8C0-EE2EFD9E6767}">
      <dgm:prSet/>
      <dgm:spPr>
        <a:xfrm>
          <a:off x="84233" y="2309121"/>
          <a:ext cx="91440" cy="1712377"/>
        </a:xfrm>
        <a:custGeom>
          <a:avLst/>
          <a:gdLst/>
          <a:ahLst/>
          <a:cxnLst/>
          <a:rect l="0" t="0" r="0" b="0"/>
          <a:pathLst>
            <a:path>
              <a:moveTo>
                <a:pt x="45720" y="0"/>
              </a:moveTo>
              <a:lnTo>
                <a:pt x="45720" y="1712377"/>
              </a:lnTo>
              <a:lnTo>
                <a:pt x="102030" y="1712377"/>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B4703708-24D6-49DD-BAFE-062A2564E2E5}" type="sibTrans" cxnId="{9BB215D3-A1E0-4192-A8C0-EE2EFD9E6767}">
      <dgm:prSet/>
      <dgm:spPr/>
      <dgm:t>
        <a:bodyPr/>
        <a:lstStyle/>
        <a:p>
          <a:pPr algn="ctr"/>
          <a:endParaRPr lang="cs-CZ" sz="900" u="none">
            <a:solidFill>
              <a:sysClr val="windowText" lastClr="000000"/>
            </a:solidFill>
          </a:endParaRPr>
        </a:p>
      </dgm:t>
    </dgm:pt>
    <dgm:pt modelId="{AD4A1B9D-D59B-4884-BF1C-76B0DF222B7F}">
      <dgm:prSet custT="1"/>
      <dgm:spPr>
        <a:xfrm>
          <a:off x="2989392" y="4053562"/>
          <a:ext cx="1187998" cy="398243"/>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Uvažovat o vzniku sběrného místa v obci</a:t>
          </a:r>
        </a:p>
      </dgm:t>
    </dgm:pt>
    <dgm:pt modelId="{4C708C60-FCE8-4523-A072-6310161B433E}" type="parTrans" cxnId="{787843EE-86AA-4931-A7D4-63ED1A70CB75}">
      <dgm:prSet/>
      <dgm:spPr>
        <a:xfrm>
          <a:off x="2881521" y="2319151"/>
          <a:ext cx="91440" cy="1933533"/>
        </a:xfrm>
        <a:custGeom>
          <a:avLst/>
          <a:gdLst/>
          <a:ahLst/>
          <a:cxnLst/>
          <a:rect l="0" t="0" r="0" b="0"/>
          <a:pathLst>
            <a:path>
              <a:moveTo>
                <a:pt x="45720" y="0"/>
              </a:moveTo>
              <a:lnTo>
                <a:pt x="45720" y="1933533"/>
              </a:lnTo>
              <a:lnTo>
                <a:pt x="107870" y="1933533"/>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2EE846E0-71BC-49C2-964D-B1805BB147FD}" type="sibTrans" cxnId="{787843EE-86AA-4931-A7D4-63ED1A70CB75}">
      <dgm:prSet/>
      <dgm:spPr/>
      <dgm:t>
        <a:bodyPr/>
        <a:lstStyle/>
        <a:p>
          <a:pPr algn="ctr"/>
          <a:endParaRPr lang="cs-CZ" sz="900" u="none">
            <a:solidFill>
              <a:sysClr val="windowText" lastClr="000000"/>
            </a:solidFill>
          </a:endParaRPr>
        </a:p>
      </dgm:t>
    </dgm:pt>
    <dgm:pt modelId="{A29D78EA-EACC-4D0A-B7AD-F70145C829A2}">
      <dgm:prSet custT="1"/>
      <dgm:spPr>
        <a:xfrm>
          <a:off x="4502965" y="3476478"/>
          <a:ext cx="1296000" cy="446697"/>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Usilovat o obnovu historických cest</a:t>
          </a:r>
        </a:p>
      </dgm:t>
    </dgm:pt>
    <dgm:pt modelId="{DBCB58F9-2E0A-4046-B208-1A56DFAFB064}" type="parTrans" cxnId="{37870DA6-DB9C-4D6B-91E2-3674BF93CBC4}">
      <dgm:prSet/>
      <dgm:spPr>
        <a:xfrm>
          <a:off x="4409190" y="2319290"/>
          <a:ext cx="93774" cy="1380537"/>
        </a:xfrm>
        <a:custGeom>
          <a:avLst/>
          <a:gdLst/>
          <a:ahLst/>
          <a:cxnLst/>
          <a:rect l="0" t="0" r="0" b="0"/>
          <a:pathLst>
            <a:path>
              <a:moveTo>
                <a:pt x="0" y="0"/>
              </a:moveTo>
              <a:lnTo>
                <a:pt x="0" y="1380537"/>
              </a:lnTo>
              <a:lnTo>
                <a:pt x="93774" y="1380537"/>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CF0A83AE-B385-4350-BC4A-782B72712A2B}" type="sibTrans" cxnId="{37870DA6-DB9C-4D6B-91E2-3674BF93CBC4}">
      <dgm:prSet/>
      <dgm:spPr/>
      <dgm:t>
        <a:bodyPr/>
        <a:lstStyle/>
        <a:p>
          <a:pPr algn="ctr"/>
          <a:endParaRPr lang="cs-CZ" sz="900" u="none">
            <a:solidFill>
              <a:sysClr val="windowText" lastClr="000000"/>
            </a:solidFill>
          </a:endParaRPr>
        </a:p>
      </dgm:t>
    </dgm:pt>
    <dgm:pt modelId="{87E1F9D4-E14C-4665-9255-211BBC2DEB2C}">
      <dgm:prSet custT="1"/>
      <dgm:spPr>
        <a:xfrm>
          <a:off x="6184424" y="2953959"/>
          <a:ext cx="1223999" cy="489723"/>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lgn="ctr">
            <a:buNone/>
          </a:pPr>
          <a:r>
            <a:rPr lang="cs-CZ" sz="900" u="none">
              <a:solidFill>
                <a:sysClr val="windowText" lastClr="000000"/>
              </a:solidFill>
              <a:latin typeface="Calibri" panose="020F0502020204030204"/>
              <a:ea typeface="+mn-ea"/>
              <a:cs typeface="+mn-cs"/>
            </a:rPr>
            <a:t>Podpořit založení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dětské skupiny v obci</a:t>
          </a:r>
        </a:p>
      </dgm:t>
    </dgm:pt>
    <dgm:pt modelId="{CC6307AB-AF08-4FAB-9F22-2A19E759600B}" type="parTrans" cxnId="{8E262B20-C0E2-410E-9F08-73AA782CA1E3}">
      <dgm:prSet/>
      <dgm:spPr>
        <a:xfrm>
          <a:off x="6050210" y="2321723"/>
          <a:ext cx="91440" cy="877097"/>
        </a:xfrm>
        <a:custGeom>
          <a:avLst/>
          <a:gdLst/>
          <a:ahLst/>
          <a:cxnLst/>
          <a:rect l="0" t="0" r="0" b="0"/>
          <a:pathLst>
            <a:path>
              <a:moveTo>
                <a:pt x="45720" y="0"/>
              </a:moveTo>
              <a:lnTo>
                <a:pt x="45720" y="877097"/>
              </a:lnTo>
              <a:lnTo>
                <a:pt x="134213" y="877097"/>
              </a:lnTo>
            </a:path>
          </a:pathLst>
        </a:custGeom>
        <a:noFill/>
        <a:ln w="12700" cap="flat" cmpd="sng" algn="ctr">
          <a:solidFill>
            <a:srgbClr val="5B9BD5">
              <a:lumMod val="60000"/>
              <a:lumOff val="40000"/>
            </a:srgbClr>
          </a:solidFill>
          <a:prstDash val="solid"/>
          <a:miter lim="800000"/>
        </a:ln>
        <a:effectLst/>
      </dgm:spPr>
      <dgm:t>
        <a:bodyPr/>
        <a:lstStyle/>
        <a:p>
          <a:pPr algn="ctr"/>
          <a:endParaRPr lang="cs-CZ" sz="900" u="none">
            <a:solidFill>
              <a:sysClr val="windowText" lastClr="000000"/>
            </a:solidFill>
          </a:endParaRPr>
        </a:p>
      </dgm:t>
    </dgm:pt>
    <dgm:pt modelId="{0BB02AAC-3401-4DC2-970B-210542A852D9}" type="sibTrans" cxnId="{8E262B20-C0E2-410E-9F08-73AA782CA1E3}">
      <dgm:prSet/>
      <dgm:spPr/>
      <dgm:t>
        <a:bodyPr/>
        <a:lstStyle/>
        <a:p>
          <a:pPr algn="ctr"/>
          <a:endParaRPr lang="cs-CZ" sz="900" u="none">
            <a:solidFill>
              <a:sysClr val="windowText" lastClr="000000"/>
            </a:solidFill>
          </a:endParaRPr>
        </a:p>
      </dgm:t>
    </dgm:pt>
    <dgm:pt modelId="{4638E7F5-667A-4AEE-9AD2-63AFFFD3B5EA}">
      <dgm:prSet custT="1"/>
      <dgm:spPr>
        <a:xfrm>
          <a:off x="6184424" y="3516038"/>
          <a:ext cx="1223999" cy="489723"/>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Instalovat nabíjecí stanici pro elektrokola</a:t>
          </a:r>
        </a:p>
      </dgm:t>
    </dgm:pt>
    <dgm:pt modelId="{DC7DE79B-3246-4BD6-B8DF-B2B336389C99}" type="parTrans" cxnId="{218D5A07-1C4E-401D-9E7E-3C3EC600AB7E}">
      <dgm:prSet/>
      <dgm:spPr>
        <a:xfrm>
          <a:off x="6050210" y="2321723"/>
          <a:ext cx="91440" cy="1439176"/>
        </a:xfrm>
        <a:custGeom>
          <a:avLst/>
          <a:gdLst/>
          <a:ahLst/>
          <a:cxnLst/>
          <a:rect l="0" t="0" r="0" b="0"/>
          <a:pathLst>
            <a:path>
              <a:moveTo>
                <a:pt x="45720" y="0"/>
              </a:moveTo>
              <a:lnTo>
                <a:pt x="45720" y="1439176"/>
              </a:lnTo>
              <a:lnTo>
                <a:pt x="134213" y="1439176"/>
              </a:lnTo>
            </a:path>
          </a:pathLst>
        </a:custGeom>
        <a:noFill/>
        <a:ln w="12700" cap="flat" cmpd="sng" algn="ctr">
          <a:solidFill>
            <a:srgbClr val="5B9BD5">
              <a:lumMod val="60000"/>
              <a:lumOff val="40000"/>
            </a:srgbClr>
          </a:solidFill>
          <a:prstDash val="solid"/>
          <a:miter lim="800000"/>
        </a:ln>
        <a:effectLst/>
      </dgm:spPr>
      <dgm:t>
        <a:bodyPr/>
        <a:lstStyle/>
        <a:p>
          <a:endParaRPr lang="cs-CZ" sz="900" u="none">
            <a:solidFill>
              <a:sysClr val="windowText" lastClr="000000"/>
            </a:solidFill>
          </a:endParaRPr>
        </a:p>
      </dgm:t>
    </dgm:pt>
    <dgm:pt modelId="{7C8A82E6-2EA3-44AD-891A-AD22B94C767E}" type="sibTrans" cxnId="{218D5A07-1C4E-401D-9E7E-3C3EC600AB7E}">
      <dgm:prSet/>
      <dgm:spPr/>
      <dgm:t>
        <a:bodyPr/>
        <a:lstStyle/>
        <a:p>
          <a:endParaRPr lang="cs-CZ" sz="900" u="none">
            <a:solidFill>
              <a:sysClr val="windowText" lastClr="000000"/>
            </a:solidFill>
          </a:endParaRPr>
        </a:p>
      </dgm:t>
    </dgm:pt>
    <dgm:pt modelId="{F3CBBB40-30A1-4751-B177-3A5CDDC7C4A4}">
      <dgm:prSet custT="1"/>
      <dgm:spPr>
        <a:xfrm>
          <a:off x="7668147" y="3520720"/>
          <a:ext cx="1152001" cy="560982"/>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Intenzivněji spolupracovat s okolními obcemi</a:t>
          </a:r>
        </a:p>
      </dgm:t>
    </dgm:pt>
    <dgm:pt modelId="{364CCC50-BB28-4AE8-9F19-D67AE86B75E3}" type="parTrans" cxnId="{058AD961-9451-40E5-8687-F7E301198BCB}">
      <dgm:prSet/>
      <dgm:spPr>
        <a:xfrm>
          <a:off x="7563232" y="2323389"/>
          <a:ext cx="91440" cy="1477821"/>
        </a:xfrm>
        <a:custGeom>
          <a:avLst/>
          <a:gdLst/>
          <a:ahLst/>
          <a:cxnLst/>
          <a:rect l="0" t="0" r="0" b="0"/>
          <a:pathLst>
            <a:path>
              <a:moveTo>
                <a:pt x="45720" y="0"/>
              </a:moveTo>
              <a:lnTo>
                <a:pt x="45720" y="1477821"/>
              </a:lnTo>
              <a:lnTo>
                <a:pt x="104915" y="1477821"/>
              </a:lnTo>
            </a:path>
          </a:pathLst>
        </a:custGeom>
        <a:noFill/>
        <a:ln w="12700" cap="flat" cmpd="sng" algn="ctr">
          <a:solidFill>
            <a:srgbClr val="5B9BD5">
              <a:lumMod val="60000"/>
              <a:lumOff val="40000"/>
            </a:srgbClr>
          </a:solidFill>
          <a:prstDash val="solid"/>
          <a:miter lim="800000"/>
        </a:ln>
        <a:effectLst/>
      </dgm:spPr>
      <dgm:t>
        <a:bodyPr/>
        <a:lstStyle/>
        <a:p>
          <a:endParaRPr lang="cs-CZ" sz="900" u="none">
            <a:solidFill>
              <a:sysClr val="windowText" lastClr="000000"/>
            </a:solidFill>
          </a:endParaRPr>
        </a:p>
      </dgm:t>
    </dgm:pt>
    <dgm:pt modelId="{DF1814A9-5C13-4693-A47E-18F52E1A2F64}" type="sibTrans" cxnId="{058AD961-9451-40E5-8687-F7E301198BCB}">
      <dgm:prSet/>
      <dgm:spPr/>
      <dgm:t>
        <a:bodyPr/>
        <a:lstStyle/>
        <a:p>
          <a:endParaRPr lang="cs-CZ" sz="900" u="none">
            <a:solidFill>
              <a:sysClr val="windowText" lastClr="000000"/>
            </a:solidFill>
          </a:endParaRPr>
        </a:p>
      </dgm:t>
    </dgm:pt>
    <dgm:pt modelId="{760E1814-A9FE-4A38-8663-D8FA9359B0CA}">
      <dgm:prSet custT="1"/>
      <dgm:spPr>
        <a:xfrm>
          <a:off x="7668147" y="4136955"/>
          <a:ext cx="1152001" cy="620983"/>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Využít znalostí a dovedností živnostníků působících v obci za účelem rozvoje obce</a:t>
          </a:r>
        </a:p>
      </dgm:t>
    </dgm:pt>
    <dgm:pt modelId="{F69F0F7A-C13F-4EC4-A426-F13F4B540846}" type="parTrans" cxnId="{31890BC9-009E-469B-B05F-E7C5279C2352}">
      <dgm:prSet/>
      <dgm:spPr>
        <a:xfrm>
          <a:off x="7563232" y="2323389"/>
          <a:ext cx="91440" cy="2124057"/>
        </a:xfrm>
        <a:custGeom>
          <a:avLst/>
          <a:gdLst/>
          <a:ahLst/>
          <a:cxnLst/>
          <a:rect l="0" t="0" r="0" b="0"/>
          <a:pathLst>
            <a:path>
              <a:moveTo>
                <a:pt x="45720" y="0"/>
              </a:moveTo>
              <a:lnTo>
                <a:pt x="45720" y="2124057"/>
              </a:lnTo>
              <a:lnTo>
                <a:pt x="104915" y="2124057"/>
              </a:lnTo>
            </a:path>
          </a:pathLst>
        </a:custGeom>
        <a:noFill/>
        <a:ln w="12700" cap="flat" cmpd="sng" algn="ctr">
          <a:solidFill>
            <a:srgbClr val="5B9BD5">
              <a:lumMod val="60000"/>
              <a:lumOff val="40000"/>
            </a:srgbClr>
          </a:solidFill>
          <a:prstDash val="solid"/>
          <a:miter lim="800000"/>
        </a:ln>
        <a:effectLst/>
      </dgm:spPr>
      <dgm:t>
        <a:bodyPr/>
        <a:lstStyle/>
        <a:p>
          <a:endParaRPr lang="cs-CZ" sz="900" u="none">
            <a:solidFill>
              <a:sysClr val="windowText" lastClr="000000"/>
            </a:solidFill>
          </a:endParaRPr>
        </a:p>
      </dgm:t>
    </dgm:pt>
    <dgm:pt modelId="{DE2A910C-490D-4A61-8D36-A01C1F26C943}" type="sibTrans" cxnId="{31890BC9-009E-469B-B05F-E7C5279C2352}">
      <dgm:prSet/>
      <dgm:spPr/>
      <dgm:t>
        <a:bodyPr/>
        <a:lstStyle/>
        <a:p>
          <a:endParaRPr lang="cs-CZ" sz="900" u="none">
            <a:solidFill>
              <a:sysClr val="windowText" lastClr="000000"/>
            </a:solidFill>
          </a:endParaRPr>
        </a:p>
      </dgm:t>
    </dgm:pt>
    <dgm:pt modelId="{19D444F5-87A0-40A4-A08C-56732C05D361}">
      <dgm:prSet custT="1"/>
      <dgm:spPr>
        <a:xfrm>
          <a:off x="7668147" y="4800789"/>
          <a:ext cx="1152001" cy="449390"/>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Podporovat další rozvoj moderních technologií</a:t>
          </a:r>
        </a:p>
      </dgm:t>
    </dgm:pt>
    <dgm:pt modelId="{61DCFBD3-74BB-4DF2-8F95-BBE8E7AED3DE}" type="parTrans" cxnId="{28A4EC40-2C80-476A-BBCA-F678EBE053B1}">
      <dgm:prSet/>
      <dgm:spPr>
        <a:xfrm>
          <a:off x="7563232" y="2323389"/>
          <a:ext cx="91440" cy="2702095"/>
        </a:xfrm>
        <a:custGeom>
          <a:avLst/>
          <a:gdLst/>
          <a:ahLst/>
          <a:cxnLst/>
          <a:rect l="0" t="0" r="0" b="0"/>
          <a:pathLst>
            <a:path>
              <a:moveTo>
                <a:pt x="45720" y="0"/>
              </a:moveTo>
              <a:lnTo>
                <a:pt x="45720" y="2702095"/>
              </a:lnTo>
              <a:lnTo>
                <a:pt x="104915" y="2702095"/>
              </a:lnTo>
            </a:path>
          </a:pathLst>
        </a:custGeom>
        <a:noFill/>
        <a:ln w="12700" cap="flat" cmpd="sng" algn="ctr">
          <a:solidFill>
            <a:srgbClr val="5B9BD5">
              <a:lumMod val="60000"/>
              <a:lumOff val="40000"/>
            </a:srgbClr>
          </a:solidFill>
          <a:prstDash val="solid"/>
          <a:miter lim="800000"/>
        </a:ln>
        <a:effectLst/>
      </dgm:spPr>
      <dgm:t>
        <a:bodyPr/>
        <a:lstStyle/>
        <a:p>
          <a:endParaRPr lang="cs-CZ" sz="900" u="none">
            <a:solidFill>
              <a:sysClr val="windowText" lastClr="000000"/>
            </a:solidFill>
          </a:endParaRPr>
        </a:p>
      </dgm:t>
    </dgm:pt>
    <dgm:pt modelId="{64870FAD-29C7-4632-9AAF-4C7C2F0BA3CC}" type="sibTrans" cxnId="{28A4EC40-2C80-476A-BBCA-F678EBE053B1}">
      <dgm:prSet/>
      <dgm:spPr/>
      <dgm:t>
        <a:bodyPr/>
        <a:lstStyle/>
        <a:p>
          <a:endParaRPr lang="cs-CZ" sz="900" u="none">
            <a:solidFill>
              <a:sysClr val="windowText" lastClr="000000"/>
            </a:solidFill>
          </a:endParaRPr>
        </a:p>
      </dgm:t>
    </dgm:pt>
    <dgm:pt modelId="{F957F72E-2469-4BA7-AD77-04D9406C06C1}">
      <dgm:prSet custT="1"/>
      <dgm:spPr>
        <a:xfrm>
          <a:off x="4510585" y="4003152"/>
          <a:ext cx="1296000" cy="446697"/>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Podporovat aktivity vedoucí k zadržování </a:t>
          </a:r>
          <a:br>
            <a:rPr lang="cs-CZ" sz="900" u="none">
              <a:solidFill>
                <a:sysClr val="windowText" lastClr="000000"/>
              </a:solidFill>
              <a:latin typeface="Calibri" panose="020F0502020204030204"/>
              <a:ea typeface="+mn-ea"/>
              <a:cs typeface="+mn-cs"/>
            </a:rPr>
          </a:br>
          <a:r>
            <a:rPr lang="cs-CZ" sz="900" u="none">
              <a:solidFill>
                <a:sysClr val="windowText" lastClr="000000"/>
              </a:solidFill>
              <a:latin typeface="Calibri" panose="020F0502020204030204"/>
              <a:ea typeface="+mn-ea"/>
              <a:cs typeface="+mn-cs"/>
            </a:rPr>
            <a:t>vody v krajině</a:t>
          </a:r>
        </a:p>
      </dgm:t>
    </dgm:pt>
    <dgm:pt modelId="{D4928B97-3175-4C7E-AD16-6F5F787759AE}" type="parTrans" cxnId="{67C3D778-ECF3-4179-BEF7-F55948937946}">
      <dgm:prSet/>
      <dgm:spPr>
        <a:xfrm>
          <a:off x="4409190" y="2319290"/>
          <a:ext cx="101395" cy="1907211"/>
        </a:xfrm>
        <a:custGeom>
          <a:avLst/>
          <a:gdLst/>
          <a:ahLst/>
          <a:cxnLst/>
          <a:rect l="0" t="0" r="0" b="0"/>
          <a:pathLst>
            <a:path>
              <a:moveTo>
                <a:pt x="0" y="0"/>
              </a:moveTo>
              <a:lnTo>
                <a:pt x="0" y="1907211"/>
              </a:lnTo>
              <a:lnTo>
                <a:pt x="101395" y="1907211"/>
              </a:lnTo>
            </a:path>
          </a:pathLst>
        </a:custGeom>
        <a:noFill/>
        <a:ln w="12700" cap="flat" cmpd="sng" algn="ctr">
          <a:solidFill>
            <a:srgbClr val="5B9BD5">
              <a:lumMod val="60000"/>
              <a:lumOff val="40000"/>
            </a:srgbClr>
          </a:solidFill>
          <a:prstDash val="solid"/>
          <a:miter lim="800000"/>
        </a:ln>
        <a:effectLst/>
      </dgm:spPr>
      <dgm:t>
        <a:bodyPr/>
        <a:lstStyle/>
        <a:p>
          <a:endParaRPr lang="cs-CZ" sz="900" u="none">
            <a:solidFill>
              <a:sysClr val="windowText" lastClr="000000"/>
            </a:solidFill>
          </a:endParaRPr>
        </a:p>
      </dgm:t>
    </dgm:pt>
    <dgm:pt modelId="{67AA9921-EDBE-4949-B3CA-B3C4F7DF1D45}" type="sibTrans" cxnId="{67C3D778-ECF3-4179-BEF7-F55948937946}">
      <dgm:prSet/>
      <dgm:spPr/>
      <dgm:t>
        <a:bodyPr/>
        <a:lstStyle/>
        <a:p>
          <a:endParaRPr lang="cs-CZ" sz="900" u="none">
            <a:solidFill>
              <a:sysClr val="windowText" lastClr="000000"/>
            </a:solidFill>
          </a:endParaRPr>
        </a:p>
      </dgm:t>
    </dgm:pt>
    <dgm:pt modelId="{CCBA6725-B737-49A1-AD3F-FBB1D0850282}">
      <dgm:prSet custT="1"/>
      <dgm:spPr>
        <a:xfrm>
          <a:off x="4510585" y="4529826"/>
          <a:ext cx="1296000" cy="446697"/>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Zlepšit údržbu Starobuckého potoka</a:t>
          </a:r>
        </a:p>
      </dgm:t>
    </dgm:pt>
    <dgm:pt modelId="{3853E0C6-3174-45F2-82A9-95E549D39802}" type="parTrans" cxnId="{0C7403F3-6FF1-44BF-8CD1-CF43ACAA51FE}">
      <dgm:prSet/>
      <dgm:spPr>
        <a:xfrm>
          <a:off x="4409190" y="2319290"/>
          <a:ext cx="101395" cy="2433885"/>
        </a:xfrm>
        <a:custGeom>
          <a:avLst/>
          <a:gdLst/>
          <a:ahLst/>
          <a:cxnLst/>
          <a:rect l="0" t="0" r="0" b="0"/>
          <a:pathLst>
            <a:path>
              <a:moveTo>
                <a:pt x="0" y="0"/>
              </a:moveTo>
              <a:lnTo>
                <a:pt x="0" y="2433885"/>
              </a:lnTo>
              <a:lnTo>
                <a:pt x="101395" y="2433885"/>
              </a:lnTo>
            </a:path>
          </a:pathLst>
        </a:custGeom>
        <a:noFill/>
        <a:ln w="12700" cap="flat" cmpd="sng" algn="ctr">
          <a:solidFill>
            <a:srgbClr val="5B9BD5">
              <a:lumMod val="60000"/>
              <a:lumOff val="40000"/>
            </a:srgbClr>
          </a:solidFill>
          <a:prstDash val="solid"/>
          <a:miter lim="800000"/>
        </a:ln>
        <a:effectLst/>
      </dgm:spPr>
      <dgm:t>
        <a:bodyPr/>
        <a:lstStyle/>
        <a:p>
          <a:endParaRPr lang="cs-CZ" sz="900" u="none">
            <a:solidFill>
              <a:sysClr val="windowText" lastClr="000000"/>
            </a:solidFill>
          </a:endParaRPr>
        </a:p>
      </dgm:t>
    </dgm:pt>
    <dgm:pt modelId="{9CFD926A-44D3-4C97-A879-4E55CAB26C09}" type="sibTrans" cxnId="{0C7403F3-6FF1-44BF-8CD1-CF43ACAA51FE}">
      <dgm:prSet/>
      <dgm:spPr/>
      <dgm:t>
        <a:bodyPr/>
        <a:lstStyle/>
        <a:p>
          <a:endParaRPr lang="cs-CZ" sz="900" u="none">
            <a:solidFill>
              <a:sysClr val="windowText" lastClr="000000"/>
            </a:solidFill>
          </a:endParaRPr>
        </a:p>
      </dgm:t>
    </dgm:pt>
    <dgm:pt modelId="{61ECC715-BBD7-48AE-B78C-19CFC8744BD5}">
      <dgm:prSet custT="1"/>
      <dgm:spPr>
        <a:xfrm>
          <a:off x="2984274" y="2998799"/>
          <a:ext cx="1187998" cy="430681"/>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Uvažovat o zavedení tzv. systému „door to door“</a:t>
          </a:r>
          <a:endParaRPr lang="cs-CZ" sz="900" u="none" baseline="0">
            <a:solidFill>
              <a:sysClr val="windowText" lastClr="000000"/>
            </a:solidFill>
            <a:latin typeface="Calibri" panose="020F0502020204030204"/>
            <a:ea typeface="+mn-ea"/>
            <a:cs typeface="+mn-cs"/>
          </a:endParaRPr>
        </a:p>
      </dgm:t>
    </dgm:pt>
    <dgm:pt modelId="{341F2F63-E235-4C32-A889-E43775508D1F}" type="parTrans" cxnId="{8B369A03-03DA-4D7C-8889-AD1D45FD5C0C}">
      <dgm:prSet/>
      <dgm:spPr>
        <a:xfrm>
          <a:off x="2881521" y="2319151"/>
          <a:ext cx="91440" cy="894988"/>
        </a:xfrm>
        <a:custGeom>
          <a:avLst/>
          <a:gdLst/>
          <a:ahLst/>
          <a:cxnLst/>
          <a:rect l="0" t="0" r="0" b="0"/>
          <a:pathLst>
            <a:path>
              <a:moveTo>
                <a:pt x="45720" y="0"/>
              </a:moveTo>
              <a:lnTo>
                <a:pt x="45720" y="894988"/>
              </a:lnTo>
              <a:lnTo>
                <a:pt x="102752" y="894988"/>
              </a:lnTo>
            </a:path>
          </a:pathLst>
        </a:custGeom>
        <a:noFill/>
        <a:ln w="12700" cap="flat" cmpd="sng" algn="ctr">
          <a:solidFill>
            <a:srgbClr val="5B9BD5">
              <a:lumMod val="60000"/>
              <a:lumOff val="40000"/>
            </a:srgbClr>
          </a:solidFill>
          <a:prstDash val="solid"/>
          <a:miter lim="800000"/>
        </a:ln>
        <a:effectLst/>
      </dgm:spPr>
      <dgm:t>
        <a:bodyPr/>
        <a:lstStyle/>
        <a:p>
          <a:endParaRPr lang="cs-CZ"/>
        </a:p>
      </dgm:t>
    </dgm:pt>
    <dgm:pt modelId="{B9197F86-3702-4659-A719-1051D6BD8E3C}" type="sibTrans" cxnId="{8B369A03-03DA-4D7C-8889-AD1D45FD5C0C}">
      <dgm:prSet/>
      <dgm:spPr/>
      <dgm:t>
        <a:bodyPr/>
        <a:lstStyle/>
        <a:p>
          <a:endParaRPr lang="cs-CZ"/>
        </a:p>
      </dgm:t>
    </dgm:pt>
    <dgm:pt modelId="{81696D6D-B25E-410E-9009-355A20A1A717}">
      <dgm:prSet custT="1"/>
      <dgm:spPr>
        <a:xfrm>
          <a:off x="2989392" y="4531782"/>
          <a:ext cx="1187998" cy="398243"/>
        </a:xfrm>
        <a:prstGeom prst="rect">
          <a:avLst/>
        </a:prstGeom>
        <a:solidFill>
          <a:srgbClr val="5B9BD5">
            <a:lumMod val="20000"/>
            <a:lumOff val="80000"/>
          </a:srgb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Uvažovat o vzniku kompostárny</a:t>
          </a:r>
        </a:p>
      </dgm:t>
    </dgm:pt>
    <dgm:pt modelId="{689036B2-BDFF-45F9-8D17-70D1DA1D1374}" type="parTrans" cxnId="{684C7C65-E0E6-4B6E-A990-511D77755083}">
      <dgm:prSet/>
      <dgm:spPr>
        <a:xfrm>
          <a:off x="2881521" y="2319151"/>
          <a:ext cx="91440" cy="2411752"/>
        </a:xfrm>
        <a:custGeom>
          <a:avLst/>
          <a:gdLst/>
          <a:ahLst/>
          <a:cxnLst/>
          <a:rect l="0" t="0" r="0" b="0"/>
          <a:pathLst>
            <a:path>
              <a:moveTo>
                <a:pt x="45720" y="0"/>
              </a:moveTo>
              <a:lnTo>
                <a:pt x="45720" y="2411752"/>
              </a:lnTo>
              <a:lnTo>
                <a:pt x="107870" y="2411752"/>
              </a:lnTo>
            </a:path>
          </a:pathLst>
        </a:custGeom>
        <a:noFill/>
        <a:ln w="12700" cap="flat" cmpd="sng" algn="ctr">
          <a:solidFill>
            <a:srgbClr val="5B9BD5">
              <a:lumMod val="60000"/>
              <a:lumOff val="40000"/>
            </a:srgbClr>
          </a:solidFill>
          <a:prstDash val="solid"/>
          <a:miter lim="800000"/>
        </a:ln>
        <a:effectLst/>
      </dgm:spPr>
      <dgm:t>
        <a:bodyPr/>
        <a:lstStyle/>
        <a:p>
          <a:endParaRPr lang="cs-CZ"/>
        </a:p>
      </dgm:t>
    </dgm:pt>
    <dgm:pt modelId="{09045C4B-BF1D-43E1-998E-E18C96173BD4}" type="sibTrans" cxnId="{684C7C65-E0E6-4B6E-A990-511D77755083}">
      <dgm:prSet/>
      <dgm:spPr/>
      <dgm:t>
        <a:bodyPr/>
        <a:lstStyle/>
        <a:p>
          <a:endParaRPr lang="cs-CZ"/>
        </a:p>
      </dgm:t>
    </dgm:pt>
    <dgm:pt modelId="{B042746A-114F-4FF4-83E0-41B4AE1F0D78}" type="pres">
      <dgm:prSet presAssocID="{2A939374-EEE9-4965-9872-33F17AE331AA}" presName="hierChild1" presStyleCnt="0">
        <dgm:presLayoutVars>
          <dgm:orgChart val="1"/>
          <dgm:chPref val="1"/>
          <dgm:dir/>
          <dgm:animOne val="branch"/>
          <dgm:animLvl val="lvl"/>
          <dgm:resizeHandles/>
        </dgm:presLayoutVars>
      </dgm:prSet>
      <dgm:spPr/>
    </dgm:pt>
    <dgm:pt modelId="{8A3164A8-D9A4-41C5-A925-70BDD77D91AC}" type="pres">
      <dgm:prSet presAssocID="{D961D356-C423-4930-9CD4-5641A753DEE6}" presName="hierRoot1" presStyleCnt="0">
        <dgm:presLayoutVars>
          <dgm:hierBranch val="init"/>
        </dgm:presLayoutVars>
      </dgm:prSet>
      <dgm:spPr/>
    </dgm:pt>
    <dgm:pt modelId="{7149557C-E372-4D7C-B8FF-1973C176CB0B}" type="pres">
      <dgm:prSet presAssocID="{D961D356-C423-4930-9CD4-5641A753DEE6}" presName="rootComposite1" presStyleCnt="0"/>
      <dgm:spPr/>
    </dgm:pt>
    <dgm:pt modelId="{D5C976BE-90F4-430A-A970-6B4381FC975B}" type="pres">
      <dgm:prSet presAssocID="{D961D356-C423-4930-9CD4-5641A753DEE6}" presName="rootText1" presStyleLbl="node0" presStyleIdx="0" presStyleCnt="1" custScaleX="1551662" custScaleY="353056" custLinFactNeighborX="-29972" custLinFactNeighborY="-2904">
        <dgm:presLayoutVars>
          <dgm:chPref val="3"/>
        </dgm:presLayoutVars>
      </dgm:prSet>
      <dgm:spPr/>
    </dgm:pt>
    <dgm:pt modelId="{F2E8EDC4-B0CD-4FDB-8B13-077E8993B6AD}" type="pres">
      <dgm:prSet presAssocID="{D961D356-C423-4930-9CD4-5641A753DEE6}" presName="rootConnector1" presStyleLbl="node1" presStyleIdx="0" presStyleCnt="0"/>
      <dgm:spPr/>
    </dgm:pt>
    <dgm:pt modelId="{2B5D1BC1-5CC4-4765-BF27-D7FFF2FEC7D8}" type="pres">
      <dgm:prSet presAssocID="{D961D356-C423-4930-9CD4-5641A753DEE6}" presName="hierChild2" presStyleCnt="0"/>
      <dgm:spPr/>
    </dgm:pt>
    <dgm:pt modelId="{C893A817-868A-42D6-91D8-C39472590CC2}" type="pres">
      <dgm:prSet presAssocID="{8FF0E5E4-0B37-45D2-BCDD-161AC305E7A1}" presName="Name37" presStyleLbl="parChTrans1D2" presStyleIdx="0" presStyleCnt="3"/>
      <dgm:spPr/>
    </dgm:pt>
    <dgm:pt modelId="{61962F7F-F225-4FBB-8AED-9876DD1699B6}" type="pres">
      <dgm:prSet presAssocID="{F2D435C7-7B62-44AE-9C4C-A8A6A7D411D3}" presName="hierRoot2" presStyleCnt="0">
        <dgm:presLayoutVars>
          <dgm:hierBranch val="init"/>
        </dgm:presLayoutVars>
      </dgm:prSet>
      <dgm:spPr/>
    </dgm:pt>
    <dgm:pt modelId="{77E8DEAC-90AC-4321-BD14-5FE24A87A639}" type="pres">
      <dgm:prSet presAssocID="{F2D435C7-7B62-44AE-9C4C-A8A6A7D411D3}" presName="rootComposite" presStyleCnt="0"/>
      <dgm:spPr/>
    </dgm:pt>
    <dgm:pt modelId="{87D9F988-83C6-418A-A953-4DBA108E893C}" type="pres">
      <dgm:prSet presAssocID="{F2D435C7-7B62-44AE-9C4C-A8A6A7D411D3}" presName="rootText" presStyleLbl="node2" presStyleIdx="0" presStyleCnt="3" custScaleX="695619" custScaleY="314143" custLinFactNeighborX="-29997" custLinFactNeighborY="42375">
        <dgm:presLayoutVars>
          <dgm:chPref val="3"/>
        </dgm:presLayoutVars>
      </dgm:prSet>
      <dgm:spPr/>
    </dgm:pt>
    <dgm:pt modelId="{7406D7BA-634E-43ED-BABB-840ED6680B26}" type="pres">
      <dgm:prSet presAssocID="{F2D435C7-7B62-44AE-9C4C-A8A6A7D411D3}" presName="rootConnector" presStyleLbl="node2" presStyleIdx="0" presStyleCnt="3"/>
      <dgm:spPr/>
    </dgm:pt>
    <dgm:pt modelId="{15AE9F4B-B0C5-4299-8818-5CD00F8820F0}" type="pres">
      <dgm:prSet presAssocID="{F2D435C7-7B62-44AE-9C4C-A8A6A7D411D3}" presName="hierChild4" presStyleCnt="0"/>
      <dgm:spPr/>
    </dgm:pt>
    <dgm:pt modelId="{B26F875D-1D26-46AD-8FC8-DEC1F42F67CD}" type="pres">
      <dgm:prSet presAssocID="{097724E7-8DD8-4059-8D79-86F960544173}" presName="Name37" presStyleLbl="parChTrans1D3" presStyleIdx="0" presStyleCnt="6"/>
      <dgm:spPr/>
    </dgm:pt>
    <dgm:pt modelId="{7BC1CA5E-676F-4A01-91A8-7C5E83283D33}" type="pres">
      <dgm:prSet presAssocID="{7ECE0D00-5FF8-4FC9-A18E-BD73AFA50EBC}" presName="hierRoot2" presStyleCnt="0">
        <dgm:presLayoutVars>
          <dgm:hierBranch val="init"/>
        </dgm:presLayoutVars>
      </dgm:prSet>
      <dgm:spPr/>
    </dgm:pt>
    <dgm:pt modelId="{9AE612D4-6B0C-4BAD-8192-3B2856DDC0F4}" type="pres">
      <dgm:prSet presAssocID="{7ECE0D00-5FF8-4FC9-A18E-BD73AFA50EBC}" presName="rootComposite" presStyleCnt="0"/>
      <dgm:spPr/>
    </dgm:pt>
    <dgm:pt modelId="{16797997-7266-46B4-9CB4-0FC279F486EA}" type="pres">
      <dgm:prSet presAssocID="{7ECE0D00-5FF8-4FC9-A18E-BD73AFA50EBC}" presName="rootText" presStyleLbl="node3" presStyleIdx="0" presStyleCnt="6" custAng="10800000" custFlipVert="1" custScaleX="341227" custScaleY="370459" custLinFactNeighborX="-11821" custLinFactNeighborY="76543">
        <dgm:presLayoutVars>
          <dgm:chPref val="3"/>
        </dgm:presLayoutVars>
      </dgm:prSet>
      <dgm:spPr/>
    </dgm:pt>
    <dgm:pt modelId="{F137DA07-46A7-4D16-8613-D5AFB94C406C}" type="pres">
      <dgm:prSet presAssocID="{7ECE0D00-5FF8-4FC9-A18E-BD73AFA50EBC}" presName="rootConnector" presStyleLbl="node3" presStyleIdx="0" presStyleCnt="6"/>
      <dgm:spPr/>
    </dgm:pt>
    <dgm:pt modelId="{71589DB5-B51A-44E0-AE0B-7846494FFA41}" type="pres">
      <dgm:prSet presAssocID="{7ECE0D00-5FF8-4FC9-A18E-BD73AFA50EBC}" presName="hierChild4" presStyleCnt="0"/>
      <dgm:spPr/>
    </dgm:pt>
    <dgm:pt modelId="{4177E1FB-1880-49C5-98C6-780ACA90E1B0}" type="pres">
      <dgm:prSet presAssocID="{D39309F4-2A30-4E7B-8131-898F2002A885}" presName="Name37" presStyleLbl="parChTrans1D4" presStyleIdx="0" presStyleCnt="23"/>
      <dgm:spPr/>
    </dgm:pt>
    <dgm:pt modelId="{0EF0A2AF-8205-46E0-9F81-35EF45779776}" type="pres">
      <dgm:prSet presAssocID="{4432A52E-D9D2-4556-852B-42671DA95ABF}" presName="hierRoot2" presStyleCnt="0">
        <dgm:presLayoutVars>
          <dgm:hierBranch val="init"/>
        </dgm:presLayoutVars>
      </dgm:prSet>
      <dgm:spPr/>
    </dgm:pt>
    <dgm:pt modelId="{9F5F353D-6866-4BD5-B251-0331051E0E03}" type="pres">
      <dgm:prSet presAssocID="{4432A52E-D9D2-4556-852B-42671DA95ABF}" presName="rootComposite" presStyleCnt="0"/>
      <dgm:spPr/>
    </dgm:pt>
    <dgm:pt modelId="{C314E26F-6362-4AA6-AC20-89CF8A23170C}" type="pres">
      <dgm:prSet presAssocID="{4432A52E-D9D2-4556-852B-42671DA95ABF}" presName="rootText" presStyleLbl="node4" presStyleIdx="0" presStyleCnt="23" custScaleX="293036" custScaleY="362684" custLinFactNeighborX="-37434" custLinFactNeighborY="71436">
        <dgm:presLayoutVars>
          <dgm:chPref val="3"/>
        </dgm:presLayoutVars>
      </dgm:prSet>
      <dgm:spPr/>
    </dgm:pt>
    <dgm:pt modelId="{A3FA1DC9-AE88-4487-B093-E7AF94AD100C}" type="pres">
      <dgm:prSet presAssocID="{4432A52E-D9D2-4556-852B-42671DA95ABF}" presName="rootConnector" presStyleLbl="node4" presStyleIdx="0" presStyleCnt="23"/>
      <dgm:spPr/>
    </dgm:pt>
    <dgm:pt modelId="{C4BFA207-9003-40D4-B517-774A24491CEB}" type="pres">
      <dgm:prSet presAssocID="{4432A52E-D9D2-4556-852B-42671DA95ABF}" presName="hierChild4" presStyleCnt="0"/>
      <dgm:spPr/>
    </dgm:pt>
    <dgm:pt modelId="{27843B41-D2C9-4158-B5F8-624C966D26A3}" type="pres">
      <dgm:prSet presAssocID="{4432A52E-D9D2-4556-852B-42671DA95ABF}" presName="hierChild5" presStyleCnt="0"/>
      <dgm:spPr/>
    </dgm:pt>
    <dgm:pt modelId="{DA554E03-40BD-44CF-8790-7AA329C45E42}" type="pres">
      <dgm:prSet presAssocID="{D0356A9C-608C-4C78-A2E5-7810B71934A7}" presName="Name37" presStyleLbl="parChTrans1D4" presStyleIdx="1" presStyleCnt="23"/>
      <dgm:spPr/>
    </dgm:pt>
    <dgm:pt modelId="{598B6BF8-736B-4CEB-AA19-C5923B2A174C}" type="pres">
      <dgm:prSet presAssocID="{7BC3BF3B-6057-4C20-A2B3-8CE35DD05FE4}" presName="hierRoot2" presStyleCnt="0">
        <dgm:presLayoutVars>
          <dgm:hierBranch val="init"/>
        </dgm:presLayoutVars>
      </dgm:prSet>
      <dgm:spPr/>
    </dgm:pt>
    <dgm:pt modelId="{96555ED0-7E77-4EED-B081-5F0DA1BF5CE0}" type="pres">
      <dgm:prSet presAssocID="{7BC3BF3B-6057-4C20-A2B3-8CE35DD05FE4}" presName="rootComposite" presStyleCnt="0"/>
      <dgm:spPr/>
    </dgm:pt>
    <dgm:pt modelId="{A9077D6F-A0BD-4C1E-90C6-11C4BD3509B0}" type="pres">
      <dgm:prSet presAssocID="{7BC3BF3B-6057-4C20-A2B3-8CE35DD05FE4}" presName="rootText" presStyleLbl="node4" presStyleIdx="1" presStyleCnt="23" custScaleX="293036" custScaleY="260896" custLinFactNeighborX="-37379" custLinFactNeighborY="67955">
        <dgm:presLayoutVars>
          <dgm:chPref val="3"/>
        </dgm:presLayoutVars>
      </dgm:prSet>
      <dgm:spPr/>
    </dgm:pt>
    <dgm:pt modelId="{A5234D8F-9E3C-461D-892A-43794FAED207}" type="pres">
      <dgm:prSet presAssocID="{7BC3BF3B-6057-4C20-A2B3-8CE35DD05FE4}" presName="rootConnector" presStyleLbl="node4" presStyleIdx="1" presStyleCnt="23"/>
      <dgm:spPr/>
    </dgm:pt>
    <dgm:pt modelId="{44D5C491-B503-45D4-983F-871B2FB85CB9}" type="pres">
      <dgm:prSet presAssocID="{7BC3BF3B-6057-4C20-A2B3-8CE35DD05FE4}" presName="hierChild4" presStyleCnt="0"/>
      <dgm:spPr/>
    </dgm:pt>
    <dgm:pt modelId="{010B88C1-0A65-449C-AB6D-CD5A38E7937F}" type="pres">
      <dgm:prSet presAssocID="{7BC3BF3B-6057-4C20-A2B3-8CE35DD05FE4}" presName="hierChild5" presStyleCnt="0"/>
      <dgm:spPr/>
    </dgm:pt>
    <dgm:pt modelId="{2E8A66D7-765C-4F9D-A32F-D35362EDA44B}" type="pres">
      <dgm:prSet presAssocID="{6BD5E1AC-0E8F-4628-89F0-780B1B1C928F}" presName="Name37" presStyleLbl="parChTrans1D4" presStyleIdx="2" presStyleCnt="23"/>
      <dgm:spPr/>
    </dgm:pt>
    <dgm:pt modelId="{31CEB6AE-1798-40C6-B020-8D0C49D064B4}" type="pres">
      <dgm:prSet presAssocID="{EE2EDF37-688B-4FD0-A3FB-102928A9F920}" presName="hierRoot2" presStyleCnt="0">
        <dgm:presLayoutVars>
          <dgm:hierBranch val="init"/>
        </dgm:presLayoutVars>
      </dgm:prSet>
      <dgm:spPr/>
    </dgm:pt>
    <dgm:pt modelId="{845068C8-888A-4A03-862E-79C1B1B9A780}" type="pres">
      <dgm:prSet presAssocID="{EE2EDF37-688B-4FD0-A3FB-102928A9F920}" presName="rootComposite" presStyleCnt="0"/>
      <dgm:spPr/>
    </dgm:pt>
    <dgm:pt modelId="{57D27527-8CC6-49AA-B356-7BC3CEB693FF}" type="pres">
      <dgm:prSet presAssocID="{EE2EDF37-688B-4FD0-A3FB-102928A9F920}" presName="rootText" presStyleLbl="node4" presStyleIdx="2" presStyleCnt="23" custScaleX="293036" custScaleY="315798" custLinFactNeighborX="-37611" custLinFactNeighborY="68326">
        <dgm:presLayoutVars>
          <dgm:chPref val="3"/>
        </dgm:presLayoutVars>
      </dgm:prSet>
      <dgm:spPr/>
    </dgm:pt>
    <dgm:pt modelId="{8DC1BEF0-D93E-43FF-8B64-2EDB5EDF1243}" type="pres">
      <dgm:prSet presAssocID="{EE2EDF37-688B-4FD0-A3FB-102928A9F920}" presName="rootConnector" presStyleLbl="node4" presStyleIdx="2" presStyleCnt="23"/>
      <dgm:spPr/>
    </dgm:pt>
    <dgm:pt modelId="{62C3559E-F8BD-489D-97B1-3FCF4D3BEC51}" type="pres">
      <dgm:prSet presAssocID="{EE2EDF37-688B-4FD0-A3FB-102928A9F920}" presName="hierChild4" presStyleCnt="0"/>
      <dgm:spPr/>
    </dgm:pt>
    <dgm:pt modelId="{C506A52C-6BA8-46FD-BBC5-029081FB2FA2}" type="pres">
      <dgm:prSet presAssocID="{EE2EDF37-688B-4FD0-A3FB-102928A9F920}" presName="hierChild5" presStyleCnt="0"/>
      <dgm:spPr/>
    </dgm:pt>
    <dgm:pt modelId="{1A5A1CF1-FD66-425C-98A2-B428465B161B}" type="pres">
      <dgm:prSet presAssocID="{7ECE0D00-5FF8-4FC9-A18E-BD73AFA50EBC}" presName="hierChild5" presStyleCnt="0"/>
      <dgm:spPr/>
    </dgm:pt>
    <dgm:pt modelId="{9C23DC9A-B1F3-4AD3-A3CF-BA7738EFE431}" type="pres">
      <dgm:prSet presAssocID="{AA59950B-DBCA-4304-872E-48194044E7B0}" presName="Name37" presStyleLbl="parChTrans1D3" presStyleIdx="1" presStyleCnt="6"/>
      <dgm:spPr/>
    </dgm:pt>
    <dgm:pt modelId="{ED93661A-5C12-4D7F-A326-6502AC104EBB}" type="pres">
      <dgm:prSet presAssocID="{1166AF32-0F15-49BE-A527-44BF102A5F42}" presName="hierRoot2" presStyleCnt="0">
        <dgm:presLayoutVars>
          <dgm:hierBranch val="init"/>
        </dgm:presLayoutVars>
      </dgm:prSet>
      <dgm:spPr/>
    </dgm:pt>
    <dgm:pt modelId="{F0692296-B77B-4BD9-9894-775DBF7A27DD}" type="pres">
      <dgm:prSet presAssocID="{1166AF32-0F15-49BE-A527-44BF102A5F42}" presName="rootComposite" presStyleCnt="0"/>
      <dgm:spPr/>
    </dgm:pt>
    <dgm:pt modelId="{ADF3D91C-C56F-4101-A65E-88579DC63B73}" type="pres">
      <dgm:prSet presAssocID="{1166AF32-0F15-49BE-A527-44BF102A5F42}" presName="rootText" presStyleLbl="node3" presStyleIdx="1" presStyleCnt="6" custScaleX="332972" custScaleY="370573" custLinFactNeighborX="-4375" custLinFactNeighborY="75951">
        <dgm:presLayoutVars>
          <dgm:chPref val="3"/>
        </dgm:presLayoutVars>
      </dgm:prSet>
      <dgm:spPr/>
    </dgm:pt>
    <dgm:pt modelId="{06238041-F4AF-40D9-9C60-6DF44F50767C}" type="pres">
      <dgm:prSet presAssocID="{1166AF32-0F15-49BE-A527-44BF102A5F42}" presName="rootConnector" presStyleLbl="node3" presStyleIdx="1" presStyleCnt="6"/>
      <dgm:spPr/>
    </dgm:pt>
    <dgm:pt modelId="{3CF116C4-F031-4A9A-AF9D-85E1A823795D}" type="pres">
      <dgm:prSet presAssocID="{1166AF32-0F15-49BE-A527-44BF102A5F42}" presName="hierChild4" presStyleCnt="0"/>
      <dgm:spPr/>
    </dgm:pt>
    <dgm:pt modelId="{6ED7D0B0-AE7C-48F0-932A-CF7756D1D965}" type="pres">
      <dgm:prSet presAssocID="{1F314DFF-E2D0-4418-AF4C-F93D09148349}" presName="Name37" presStyleLbl="parChTrans1D4" presStyleIdx="3" presStyleCnt="23"/>
      <dgm:spPr/>
    </dgm:pt>
    <dgm:pt modelId="{5D1AA017-1B74-449F-9DAA-44493D95D7FA}" type="pres">
      <dgm:prSet presAssocID="{F360A459-0493-45A0-BE09-9CB397E4C5EC}" presName="hierRoot2" presStyleCnt="0">
        <dgm:presLayoutVars>
          <dgm:hierBranch val="init"/>
        </dgm:presLayoutVars>
      </dgm:prSet>
      <dgm:spPr/>
    </dgm:pt>
    <dgm:pt modelId="{B3288C67-BF6E-4921-B1BE-489913E4DED8}" type="pres">
      <dgm:prSet presAssocID="{F360A459-0493-45A0-BE09-9CB397E4C5EC}" presName="rootComposite" presStyleCnt="0"/>
      <dgm:spPr/>
    </dgm:pt>
    <dgm:pt modelId="{ADE861E2-A031-4E11-A772-B1FAF95DDD31}" type="pres">
      <dgm:prSet presAssocID="{F360A459-0493-45A0-BE09-9CB397E4C5EC}" presName="rootText" presStyleLbl="node4" presStyleIdx="3" presStyleCnt="23" custScaleX="283763" custScaleY="290293" custLinFactNeighborX="-38306" custLinFactNeighborY="76046">
        <dgm:presLayoutVars>
          <dgm:chPref val="3"/>
        </dgm:presLayoutVars>
      </dgm:prSet>
      <dgm:spPr/>
    </dgm:pt>
    <dgm:pt modelId="{117150F1-77AC-487B-B5D6-79D824341F8A}" type="pres">
      <dgm:prSet presAssocID="{F360A459-0493-45A0-BE09-9CB397E4C5EC}" presName="rootConnector" presStyleLbl="node4" presStyleIdx="3" presStyleCnt="23"/>
      <dgm:spPr/>
    </dgm:pt>
    <dgm:pt modelId="{5D1CF707-5B08-4A11-9AD9-79AA86B3EBB0}" type="pres">
      <dgm:prSet presAssocID="{F360A459-0493-45A0-BE09-9CB397E4C5EC}" presName="hierChild4" presStyleCnt="0"/>
      <dgm:spPr/>
    </dgm:pt>
    <dgm:pt modelId="{AD3DED53-CD59-410C-9CFD-C81B8034B7A0}" type="pres">
      <dgm:prSet presAssocID="{F360A459-0493-45A0-BE09-9CB397E4C5EC}" presName="hierChild5" presStyleCnt="0"/>
      <dgm:spPr/>
    </dgm:pt>
    <dgm:pt modelId="{647C1275-7891-413D-A763-CEF1DB279D94}" type="pres">
      <dgm:prSet presAssocID="{1A39C80B-73FB-411F-BD4A-249868550A51}" presName="Name37" presStyleLbl="parChTrans1D4" presStyleIdx="4" presStyleCnt="23"/>
      <dgm:spPr/>
    </dgm:pt>
    <dgm:pt modelId="{EDAB69C0-1BFC-47AB-A2B6-91BC8B826606}" type="pres">
      <dgm:prSet presAssocID="{6C88C8AE-CFC2-457C-8CD9-41A57B9E70B8}" presName="hierRoot2" presStyleCnt="0">
        <dgm:presLayoutVars>
          <dgm:hierBranch val="init"/>
        </dgm:presLayoutVars>
      </dgm:prSet>
      <dgm:spPr/>
    </dgm:pt>
    <dgm:pt modelId="{8F5CD488-7A31-4531-9A43-3E33C4BF7326}" type="pres">
      <dgm:prSet presAssocID="{6C88C8AE-CFC2-457C-8CD9-41A57B9E70B8}" presName="rootComposite" presStyleCnt="0"/>
      <dgm:spPr/>
    </dgm:pt>
    <dgm:pt modelId="{35C0DAD1-66C3-4740-98A1-00A4BD0A4564}" type="pres">
      <dgm:prSet presAssocID="{6C88C8AE-CFC2-457C-8CD9-41A57B9E70B8}" presName="rootText" presStyleLbl="node4" presStyleIdx="4" presStyleCnt="23" custScaleX="283692" custScaleY="281768" custLinFactNeighborX="-38625" custLinFactNeighborY="70451">
        <dgm:presLayoutVars>
          <dgm:chPref val="3"/>
        </dgm:presLayoutVars>
      </dgm:prSet>
      <dgm:spPr/>
    </dgm:pt>
    <dgm:pt modelId="{F8D66CDC-2FB9-4C20-9813-1874695C90F4}" type="pres">
      <dgm:prSet presAssocID="{6C88C8AE-CFC2-457C-8CD9-41A57B9E70B8}" presName="rootConnector" presStyleLbl="node4" presStyleIdx="4" presStyleCnt="23"/>
      <dgm:spPr/>
    </dgm:pt>
    <dgm:pt modelId="{DFFEADA8-8E2D-4BF3-A372-880B713F23C2}" type="pres">
      <dgm:prSet presAssocID="{6C88C8AE-CFC2-457C-8CD9-41A57B9E70B8}" presName="hierChild4" presStyleCnt="0"/>
      <dgm:spPr/>
    </dgm:pt>
    <dgm:pt modelId="{3EB286FB-9E50-4F22-AEBC-68CDB7F9F8B3}" type="pres">
      <dgm:prSet presAssocID="{6C88C8AE-CFC2-457C-8CD9-41A57B9E70B8}" presName="hierChild5" presStyleCnt="0"/>
      <dgm:spPr/>
    </dgm:pt>
    <dgm:pt modelId="{BBE22042-6906-4393-9531-D27D8370A218}" type="pres">
      <dgm:prSet presAssocID="{1166AF32-0F15-49BE-A527-44BF102A5F42}" presName="hierChild5" presStyleCnt="0"/>
      <dgm:spPr/>
    </dgm:pt>
    <dgm:pt modelId="{247D9EFE-18C9-48C1-B53C-6C0BDE370A74}" type="pres">
      <dgm:prSet presAssocID="{F2D435C7-7B62-44AE-9C4C-A8A6A7D411D3}" presName="hierChild5" presStyleCnt="0"/>
      <dgm:spPr/>
    </dgm:pt>
    <dgm:pt modelId="{F75DC991-44CE-406B-BD99-E05CBFC3597C}" type="pres">
      <dgm:prSet presAssocID="{C87D0185-A927-4A83-A9D0-EE494B38E8D3}" presName="Name37" presStyleLbl="parChTrans1D2" presStyleIdx="1" presStyleCnt="3"/>
      <dgm:spPr/>
    </dgm:pt>
    <dgm:pt modelId="{1281182B-B909-4DE9-BF81-6A0B9F505676}" type="pres">
      <dgm:prSet presAssocID="{3F267390-0E50-4CCC-B005-BC11673CF2A3}" presName="hierRoot2" presStyleCnt="0">
        <dgm:presLayoutVars>
          <dgm:hierBranch val="init"/>
        </dgm:presLayoutVars>
      </dgm:prSet>
      <dgm:spPr/>
    </dgm:pt>
    <dgm:pt modelId="{40EF262E-AA9C-47B0-BAEF-A0718B2FE6E2}" type="pres">
      <dgm:prSet presAssocID="{3F267390-0E50-4CCC-B005-BC11673CF2A3}" presName="rootComposite" presStyleCnt="0"/>
      <dgm:spPr/>
    </dgm:pt>
    <dgm:pt modelId="{A9634FF6-2749-44C9-B7B1-E1619ED40DAC}" type="pres">
      <dgm:prSet presAssocID="{3F267390-0E50-4CCC-B005-BC11673CF2A3}" presName="rootText" presStyleLbl="node2" presStyleIdx="1" presStyleCnt="3" custScaleX="753518" custScaleY="314143" custLinFactNeighborX="-6158" custLinFactNeighborY="44688">
        <dgm:presLayoutVars>
          <dgm:chPref val="3"/>
        </dgm:presLayoutVars>
      </dgm:prSet>
      <dgm:spPr/>
    </dgm:pt>
    <dgm:pt modelId="{620CD522-B0E9-4FD9-842A-2B74F50428F0}" type="pres">
      <dgm:prSet presAssocID="{3F267390-0E50-4CCC-B005-BC11673CF2A3}" presName="rootConnector" presStyleLbl="node2" presStyleIdx="1" presStyleCnt="3"/>
      <dgm:spPr/>
    </dgm:pt>
    <dgm:pt modelId="{1EDC6B36-E10C-4486-A610-F902600CF3F9}" type="pres">
      <dgm:prSet presAssocID="{3F267390-0E50-4CCC-B005-BC11673CF2A3}" presName="hierChild4" presStyleCnt="0"/>
      <dgm:spPr/>
    </dgm:pt>
    <dgm:pt modelId="{F69CB23E-FA84-42DB-B08B-A21A8DFD06A1}" type="pres">
      <dgm:prSet presAssocID="{38F80706-2567-419D-9FB1-EDDA9BE3B306}" presName="Name37" presStyleLbl="parChTrans1D3" presStyleIdx="2" presStyleCnt="6"/>
      <dgm:spPr/>
    </dgm:pt>
    <dgm:pt modelId="{67DFB851-6E13-4513-915A-581E4051B9C5}" type="pres">
      <dgm:prSet presAssocID="{A24439C4-6CC3-4F0B-AB37-B5F48C404637}" presName="hierRoot2" presStyleCnt="0">
        <dgm:presLayoutVars>
          <dgm:hierBranch val="init"/>
        </dgm:presLayoutVars>
      </dgm:prSet>
      <dgm:spPr/>
    </dgm:pt>
    <dgm:pt modelId="{5A463CB9-B709-4AAC-BF31-E2F9C7719A0C}" type="pres">
      <dgm:prSet presAssocID="{A24439C4-6CC3-4F0B-AB37-B5F48C404637}" presName="rootComposite" presStyleCnt="0"/>
      <dgm:spPr/>
    </dgm:pt>
    <dgm:pt modelId="{C0E5A178-5117-4E98-BB64-AD9E497BE4C4}" type="pres">
      <dgm:prSet presAssocID="{A24439C4-6CC3-4F0B-AB37-B5F48C404637}" presName="rootText" presStyleLbl="node3" presStyleIdx="2" presStyleCnt="6" custScaleX="363316" custScaleY="370573" custLinFactNeighborX="14883" custLinFactNeighborY="81696">
        <dgm:presLayoutVars>
          <dgm:chPref val="3"/>
        </dgm:presLayoutVars>
      </dgm:prSet>
      <dgm:spPr/>
    </dgm:pt>
    <dgm:pt modelId="{7043DE05-9A49-4A04-AEC9-CBECD2CF24F0}" type="pres">
      <dgm:prSet presAssocID="{A24439C4-6CC3-4F0B-AB37-B5F48C404637}" presName="rootConnector" presStyleLbl="node3" presStyleIdx="2" presStyleCnt="6"/>
      <dgm:spPr/>
    </dgm:pt>
    <dgm:pt modelId="{0B36FBB8-856C-4E39-B81C-05FBC969231D}" type="pres">
      <dgm:prSet presAssocID="{A24439C4-6CC3-4F0B-AB37-B5F48C404637}" presName="hierChild4" presStyleCnt="0"/>
      <dgm:spPr/>
    </dgm:pt>
    <dgm:pt modelId="{A90D7EAC-CA92-46B8-8137-9F6451FED97E}" type="pres">
      <dgm:prSet presAssocID="{08944449-A2FB-48A9-8E2C-8F48303B840F}" presName="Name37" presStyleLbl="parChTrans1D4" presStyleIdx="5" presStyleCnt="23"/>
      <dgm:spPr/>
    </dgm:pt>
    <dgm:pt modelId="{6098E0A0-92FA-4ADE-8F9F-D92213B741DB}" type="pres">
      <dgm:prSet presAssocID="{3F8741FC-51E3-4D2D-A1AA-77211F7A629A}" presName="hierRoot2" presStyleCnt="0">
        <dgm:presLayoutVars>
          <dgm:hierBranch val="init"/>
        </dgm:presLayoutVars>
      </dgm:prSet>
      <dgm:spPr/>
    </dgm:pt>
    <dgm:pt modelId="{88F56A3D-4391-4781-847C-D4948CB70BFC}" type="pres">
      <dgm:prSet presAssocID="{3F8741FC-51E3-4D2D-A1AA-77211F7A629A}" presName="rootComposite" presStyleCnt="0"/>
      <dgm:spPr/>
    </dgm:pt>
    <dgm:pt modelId="{F24B21A5-C4F5-4DDF-95CB-8BAE3C275280}" type="pres">
      <dgm:prSet presAssocID="{3F8741FC-51E3-4D2D-A1AA-77211F7A629A}" presName="rootText" presStyleLbl="node4" presStyleIdx="5" presStyleCnt="23" custScaleX="311941" custScaleY="281693" custLinFactNeighborX="-24639" custLinFactNeighborY="72923">
        <dgm:presLayoutVars>
          <dgm:chPref val="3"/>
        </dgm:presLayoutVars>
      </dgm:prSet>
      <dgm:spPr/>
    </dgm:pt>
    <dgm:pt modelId="{ADB9A74E-2ADE-421F-A303-46AEE8DD20FC}" type="pres">
      <dgm:prSet presAssocID="{3F8741FC-51E3-4D2D-A1AA-77211F7A629A}" presName="rootConnector" presStyleLbl="node4" presStyleIdx="5" presStyleCnt="23"/>
      <dgm:spPr/>
    </dgm:pt>
    <dgm:pt modelId="{5DB71849-9697-4AF5-86D0-F94B61C60A1B}" type="pres">
      <dgm:prSet presAssocID="{3F8741FC-51E3-4D2D-A1AA-77211F7A629A}" presName="hierChild4" presStyleCnt="0"/>
      <dgm:spPr/>
    </dgm:pt>
    <dgm:pt modelId="{082CE84F-ED96-46F4-B50A-28AC951C8FB2}" type="pres">
      <dgm:prSet presAssocID="{3F8741FC-51E3-4D2D-A1AA-77211F7A629A}" presName="hierChild5" presStyleCnt="0"/>
      <dgm:spPr/>
    </dgm:pt>
    <dgm:pt modelId="{127B7C78-0FD5-41F7-8CAB-19982FCDADE2}" type="pres">
      <dgm:prSet presAssocID="{341F2F63-E235-4C32-A889-E43775508D1F}" presName="Name37" presStyleLbl="parChTrans1D4" presStyleIdx="6" presStyleCnt="23"/>
      <dgm:spPr/>
    </dgm:pt>
    <dgm:pt modelId="{605D10C2-36EE-4718-9F09-A02247DA4969}" type="pres">
      <dgm:prSet presAssocID="{61ECC715-BBD7-48AE-B78C-19CFC8744BD5}" presName="hierRoot2" presStyleCnt="0">
        <dgm:presLayoutVars>
          <dgm:hierBranch val="init"/>
        </dgm:presLayoutVars>
      </dgm:prSet>
      <dgm:spPr/>
    </dgm:pt>
    <dgm:pt modelId="{31C0D811-B65E-4167-B6CD-7607AEFA10CF}" type="pres">
      <dgm:prSet presAssocID="{61ECC715-BBD7-48AE-B78C-19CFC8744BD5}" presName="rootComposite" presStyleCnt="0"/>
      <dgm:spPr/>
    </dgm:pt>
    <dgm:pt modelId="{730A1844-FDE1-4C92-A72E-79EF655C45D1}" type="pres">
      <dgm:prSet presAssocID="{61ECC715-BBD7-48AE-B78C-19CFC8744BD5}" presName="rootText" presStyleLbl="node4" presStyleIdx="6" presStyleCnt="23" custScaleX="311941" custScaleY="226174" custLinFactNeighborX="-24639" custLinFactNeighborY="72923">
        <dgm:presLayoutVars>
          <dgm:chPref val="3"/>
        </dgm:presLayoutVars>
      </dgm:prSet>
      <dgm:spPr/>
    </dgm:pt>
    <dgm:pt modelId="{16958ECF-82D7-4340-80BE-62E2872E9639}" type="pres">
      <dgm:prSet presAssocID="{61ECC715-BBD7-48AE-B78C-19CFC8744BD5}" presName="rootConnector" presStyleLbl="node4" presStyleIdx="6" presStyleCnt="23"/>
      <dgm:spPr/>
    </dgm:pt>
    <dgm:pt modelId="{5B75B567-062D-49EC-98F0-76C8D97D24CE}" type="pres">
      <dgm:prSet presAssocID="{61ECC715-BBD7-48AE-B78C-19CFC8744BD5}" presName="hierChild4" presStyleCnt="0"/>
      <dgm:spPr/>
    </dgm:pt>
    <dgm:pt modelId="{D1628E4D-61AB-423E-B2EE-FC9C22EFC2C3}" type="pres">
      <dgm:prSet presAssocID="{61ECC715-BBD7-48AE-B78C-19CFC8744BD5}" presName="hierChild5" presStyleCnt="0"/>
      <dgm:spPr/>
    </dgm:pt>
    <dgm:pt modelId="{07CCB45D-67CF-40AE-8F50-27292F870F1E}" type="pres">
      <dgm:prSet presAssocID="{1D1B4510-CC78-4E88-B3F5-4C9F656F5F83}" presName="Name37" presStyleLbl="parChTrans1D4" presStyleIdx="7" presStyleCnt="23"/>
      <dgm:spPr/>
    </dgm:pt>
    <dgm:pt modelId="{F272ABEF-C00B-4F20-949B-C3ED86640CC3}" type="pres">
      <dgm:prSet presAssocID="{05354665-5CC3-42E3-84BB-CCE5C773D2E5}" presName="hierRoot2" presStyleCnt="0">
        <dgm:presLayoutVars>
          <dgm:hierBranch val="init"/>
        </dgm:presLayoutVars>
      </dgm:prSet>
      <dgm:spPr/>
    </dgm:pt>
    <dgm:pt modelId="{34C68C69-8B6F-42C8-A25A-95E000D588C2}" type="pres">
      <dgm:prSet presAssocID="{05354665-5CC3-42E3-84BB-CCE5C773D2E5}" presName="rootComposite" presStyleCnt="0"/>
      <dgm:spPr/>
    </dgm:pt>
    <dgm:pt modelId="{CDD83C32-7E8A-49F2-902B-DC628C163915}" type="pres">
      <dgm:prSet presAssocID="{05354665-5CC3-42E3-84BB-CCE5C773D2E5}" presName="rootText" presStyleLbl="node4" presStyleIdx="7" presStyleCnt="23" custScaleX="311941" custScaleY="257681" custLinFactNeighborX="-23295" custLinFactNeighborY="68578">
        <dgm:presLayoutVars>
          <dgm:chPref val="3"/>
        </dgm:presLayoutVars>
      </dgm:prSet>
      <dgm:spPr/>
    </dgm:pt>
    <dgm:pt modelId="{1AA55B47-FD6D-401A-B1D0-C895BA2CA4F4}" type="pres">
      <dgm:prSet presAssocID="{05354665-5CC3-42E3-84BB-CCE5C773D2E5}" presName="rootConnector" presStyleLbl="node4" presStyleIdx="7" presStyleCnt="23"/>
      <dgm:spPr/>
    </dgm:pt>
    <dgm:pt modelId="{FE192F33-5E11-436A-A29C-3628DDE2ACD4}" type="pres">
      <dgm:prSet presAssocID="{05354665-5CC3-42E3-84BB-CCE5C773D2E5}" presName="hierChild4" presStyleCnt="0"/>
      <dgm:spPr/>
    </dgm:pt>
    <dgm:pt modelId="{2389919D-64DE-4770-8F37-853E3F702F42}" type="pres">
      <dgm:prSet presAssocID="{05354665-5CC3-42E3-84BB-CCE5C773D2E5}" presName="hierChild5" presStyleCnt="0"/>
      <dgm:spPr/>
    </dgm:pt>
    <dgm:pt modelId="{E3744603-9B52-4E13-9810-F633262CB01C}" type="pres">
      <dgm:prSet presAssocID="{4C708C60-FCE8-4523-A072-6310161B433E}" presName="Name37" presStyleLbl="parChTrans1D4" presStyleIdx="8" presStyleCnt="23"/>
      <dgm:spPr/>
    </dgm:pt>
    <dgm:pt modelId="{B8A92A3F-C75E-481A-8813-FD658328180B}" type="pres">
      <dgm:prSet presAssocID="{AD4A1B9D-D59B-4884-BF1C-76B0DF222B7F}" presName="hierRoot2" presStyleCnt="0">
        <dgm:presLayoutVars>
          <dgm:hierBranch val="init"/>
        </dgm:presLayoutVars>
      </dgm:prSet>
      <dgm:spPr/>
    </dgm:pt>
    <dgm:pt modelId="{D32ABAF2-5603-4DFA-82C9-D85E393CC3B4}" type="pres">
      <dgm:prSet presAssocID="{AD4A1B9D-D59B-4884-BF1C-76B0DF222B7F}" presName="rootComposite" presStyleCnt="0"/>
      <dgm:spPr/>
    </dgm:pt>
    <dgm:pt modelId="{A23FE01C-F4FF-4CAC-96BD-BC041F74F53F}" type="pres">
      <dgm:prSet presAssocID="{AD4A1B9D-D59B-4884-BF1C-76B0DF222B7F}" presName="rootText" presStyleLbl="node4" presStyleIdx="8" presStyleCnt="23" custScaleX="311941" custScaleY="209139" custLinFactNeighborX="-23295" custLinFactNeighborY="58981">
        <dgm:presLayoutVars>
          <dgm:chPref val="3"/>
        </dgm:presLayoutVars>
      </dgm:prSet>
      <dgm:spPr/>
    </dgm:pt>
    <dgm:pt modelId="{DF9F0C84-570E-41A3-8FCF-F58533551E9C}" type="pres">
      <dgm:prSet presAssocID="{AD4A1B9D-D59B-4884-BF1C-76B0DF222B7F}" presName="rootConnector" presStyleLbl="node4" presStyleIdx="8" presStyleCnt="23"/>
      <dgm:spPr/>
    </dgm:pt>
    <dgm:pt modelId="{ADDC27D1-0130-4CC0-BED3-748FB03B0683}" type="pres">
      <dgm:prSet presAssocID="{AD4A1B9D-D59B-4884-BF1C-76B0DF222B7F}" presName="hierChild4" presStyleCnt="0"/>
      <dgm:spPr/>
    </dgm:pt>
    <dgm:pt modelId="{CE275EE9-5C9C-466F-AAAD-339374A1D480}" type="pres">
      <dgm:prSet presAssocID="{AD4A1B9D-D59B-4884-BF1C-76B0DF222B7F}" presName="hierChild5" presStyleCnt="0"/>
      <dgm:spPr/>
    </dgm:pt>
    <dgm:pt modelId="{DF142F2C-1BE1-4D7A-AD36-9DE1D10F5A04}" type="pres">
      <dgm:prSet presAssocID="{689036B2-BDFF-45F9-8D17-70D1DA1D1374}" presName="Name37" presStyleLbl="parChTrans1D4" presStyleIdx="9" presStyleCnt="23"/>
      <dgm:spPr/>
    </dgm:pt>
    <dgm:pt modelId="{BC8FDFF5-82E8-45E3-BCD9-CD6582C26F15}" type="pres">
      <dgm:prSet presAssocID="{81696D6D-B25E-410E-9009-355A20A1A717}" presName="hierRoot2" presStyleCnt="0">
        <dgm:presLayoutVars>
          <dgm:hierBranch val="init"/>
        </dgm:presLayoutVars>
      </dgm:prSet>
      <dgm:spPr/>
    </dgm:pt>
    <dgm:pt modelId="{EBCC46BF-3D2B-4EBE-B47D-FE084EBB98D3}" type="pres">
      <dgm:prSet presAssocID="{81696D6D-B25E-410E-9009-355A20A1A717}" presName="rootComposite" presStyleCnt="0"/>
      <dgm:spPr/>
    </dgm:pt>
    <dgm:pt modelId="{BE20C3D7-5DC1-4444-A965-6834A8741642}" type="pres">
      <dgm:prSet presAssocID="{81696D6D-B25E-410E-9009-355A20A1A717}" presName="rootText" presStyleLbl="node4" presStyleIdx="9" presStyleCnt="23" custScaleX="311941" custScaleY="209139" custLinFactNeighborX="-23295" custLinFactNeighborY="58981">
        <dgm:presLayoutVars>
          <dgm:chPref val="3"/>
        </dgm:presLayoutVars>
      </dgm:prSet>
      <dgm:spPr/>
    </dgm:pt>
    <dgm:pt modelId="{ACEF8E68-9839-4010-94A2-07F12BF68460}" type="pres">
      <dgm:prSet presAssocID="{81696D6D-B25E-410E-9009-355A20A1A717}" presName="rootConnector" presStyleLbl="node4" presStyleIdx="9" presStyleCnt="23"/>
      <dgm:spPr/>
    </dgm:pt>
    <dgm:pt modelId="{92CFD63B-E3C0-4115-B829-DE0279194D4F}" type="pres">
      <dgm:prSet presAssocID="{81696D6D-B25E-410E-9009-355A20A1A717}" presName="hierChild4" presStyleCnt="0"/>
      <dgm:spPr/>
    </dgm:pt>
    <dgm:pt modelId="{FD9B308B-6A1E-4649-A5B7-7FDD92DC70B1}" type="pres">
      <dgm:prSet presAssocID="{81696D6D-B25E-410E-9009-355A20A1A717}" presName="hierChild5" presStyleCnt="0"/>
      <dgm:spPr/>
    </dgm:pt>
    <dgm:pt modelId="{5A940879-13C3-4295-9FF0-3A668E7444DE}" type="pres">
      <dgm:prSet presAssocID="{A24439C4-6CC3-4F0B-AB37-B5F48C404637}" presName="hierChild5" presStyleCnt="0"/>
      <dgm:spPr/>
    </dgm:pt>
    <dgm:pt modelId="{BEF2EAC9-F187-4EDC-9AEA-E5AABEC0EB1E}" type="pres">
      <dgm:prSet presAssocID="{16985E1B-552B-41C6-B98C-79FB3D6DAF1D}" presName="Name37" presStyleLbl="parChTrans1D3" presStyleIdx="3" presStyleCnt="6"/>
      <dgm:spPr/>
    </dgm:pt>
    <dgm:pt modelId="{23216D17-3777-49B2-ADBF-3BE880D7CD8F}" type="pres">
      <dgm:prSet presAssocID="{867D776B-245D-467F-BD3F-2554245F80B0}" presName="hierRoot2" presStyleCnt="0">
        <dgm:presLayoutVars>
          <dgm:hierBranch val="init"/>
        </dgm:presLayoutVars>
      </dgm:prSet>
      <dgm:spPr/>
    </dgm:pt>
    <dgm:pt modelId="{2A60CCEB-D855-487C-9FD6-8A1DED0A2450}" type="pres">
      <dgm:prSet presAssocID="{867D776B-245D-467F-BD3F-2554245F80B0}" presName="rootComposite" presStyleCnt="0"/>
      <dgm:spPr/>
    </dgm:pt>
    <dgm:pt modelId="{708737BF-934E-4C35-91CE-60FA57408673}" type="pres">
      <dgm:prSet presAssocID="{867D776B-245D-467F-BD3F-2554245F80B0}" presName="rootText" presStyleLbl="node3" presStyleIdx="3" presStyleCnt="6" custScaleX="405681" custScaleY="370573" custLinFactNeighborX="15456" custLinFactNeighborY="81769">
        <dgm:presLayoutVars>
          <dgm:chPref val="3"/>
        </dgm:presLayoutVars>
      </dgm:prSet>
      <dgm:spPr/>
    </dgm:pt>
    <dgm:pt modelId="{D4AB2E4D-56B9-42A2-9876-8BED88792A88}" type="pres">
      <dgm:prSet presAssocID="{867D776B-245D-467F-BD3F-2554245F80B0}" presName="rootConnector" presStyleLbl="node3" presStyleIdx="3" presStyleCnt="6"/>
      <dgm:spPr/>
    </dgm:pt>
    <dgm:pt modelId="{765F6CBD-E008-4327-A671-BF4CFD49F52A}" type="pres">
      <dgm:prSet presAssocID="{867D776B-245D-467F-BD3F-2554245F80B0}" presName="hierChild4" presStyleCnt="0"/>
      <dgm:spPr/>
    </dgm:pt>
    <dgm:pt modelId="{790AED7A-811E-4494-8491-C39EF35ED672}" type="pres">
      <dgm:prSet presAssocID="{1687D952-81D6-4A0A-A5F4-229A6C5523F0}" presName="Name37" presStyleLbl="parChTrans1D4" presStyleIdx="10" presStyleCnt="23"/>
      <dgm:spPr/>
    </dgm:pt>
    <dgm:pt modelId="{7DF4FA8C-AE53-4F12-A14B-117392B81135}" type="pres">
      <dgm:prSet presAssocID="{5B723C34-F36C-4732-92C1-91E6EAE3A72F}" presName="hierRoot2" presStyleCnt="0">
        <dgm:presLayoutVars>
          <dgm:hierBranch val="init"/>
        </dgm:presLayoutVars>
      </dgm:prSet>
      <dgm:spPr/>
    </dgm:pt>
    <dgm:pt modelId="{76E19975-A72F-4C8E-8584-849203BDFBF4}" type="pres">
      <dgm:prSet presAssocID="{5B723C34-F36C-4732-92C1-91E6EAE3A72F}" presName="rootComposite" presStyleCnt="0"/>
      <dgm:spPr/>
    </dgm:pt>
    <dgm:pt modelId="{24F24141-DE10-4AF5-9484-A1735AD8434B}" type="pres">
      <dgm:prSet presAssocID="{5B723C34-F36C-4732-92C1-91E6EAE3A72F}" presName="rootText" presStyleLbl="node4" presStyleIdx="10" presStyleCnt="23" custScaleX="340300" custScaleY="226867" custLinFactNeighborX="-20593" custLinFactNeighborY="74510">
        <dgm:presLayoutVars>
          <dgm:chPref val="3"/>
        </dgm:presLayoutVars>
      </dgm:prSet>
      <dgm:spPr/>
    </dgm:pt>
    <dgm:pt modelId="{A9FFCD47-CBD9-47B4-979F-D71031D197C1}" type="pres">
      <dgm:prSet presAssocID="{5B723C34-F36C-4732-92C1-91E6EAE3A72F}" presName="rootConnector" presStyleLbl="node4" presStyleIdx="10" presStyleCnt="23"/>
      <dgm:spPr/>
    </dgm:pt>
    <dgm:pt modelId="{4BC6B5E0-4E9D-441D-BDEF-201F8CBD7287}" type="pres">
      <dgm:prSet presAssocID="{5B723C34-F36C-4732-92C1-91E6EAE3A72F}" presName="hierChild4" presStyleCnt="0"/>
      <dgm:spPr/>
    </dgm:pt>
    <dgm:pt modelId="{9C183D66-CAD1-43A4-8369-09091F954776}" type="pres">
      <dgm:prSet presAssocID="{5B723C34-F36C-4732-92C1-91E6EAE3A72F}" presName="hierChild5" presStyleCnt="0"/>
      <dgm:spPr/>
    </dgm:pt>
    <dgm:pt modelId="{8F79E931-D75A-4D4F-8EF9-58DAB1F40195}" type="pres">
      <dgm:prSet presAssocID="{D921CA20-754A-48DB-BCF2-999640E4A922}" presName="Name37" presStyleLbl="parChTrans1D4" presStyleIdx="11" presStyleCnt="23"/>
      <dgm:spPr/>
    </dgm:pt>
    <dgm:pt modelId="{51ECB85A-D80D-4DD3-9E67-EDAD305FE3D2}" type="pres">
      <dgm:prSet presAssocID="{41B0165B-41A6-4671-882F-3EEB4528E43B}" presName="hierRoot2" presStyleCnt="0">
        <dgm:presLayoutVars>
          <dgm:hierBranch val="init"/>
        </dgm:presLayoutVars>
      </dgm:prSet>
      <dgm:spPr/>
    </dgm:pt>
    <dgm:pt modelId="{47E7BB14-4C2C-462F-8DA3-9F54D44C4E13}" type="pres">
      <dgm:prSet presAssocID="{41B0165B-41A6-4671-882F-3EEB4528E43B}" presName="rootComposite" presStyleCnt="0"/>
      <dgm:spPr/>
    </dgm:pt>
    <dgm:pt modelId="{EFA1F3BC-09CC-4868-8853-ECA0AED36E7D}" type="pres">
      <dgm:prSet presAssocID="{41B0165B-41A6-4671-882F-3EEB4528E43B}" presName="rootText" presStyleLbl="node4" presStyleIdx="11" presStyleCnt="23" custScaleX="340300" custScaleY="266747" custLinFactNeighborX="-20330" custLinFactNeighborY="69788">
        <dgm:presLayoutVars>
          <dgm:chPref val="3"/>
        </dgm:presLayoutVars>
      </dgm:prSet>
      <dgm:spPr/>
    </dgm:pt>
    <dgm:pt modelId="{35A08AD2-E758-4E5C-B9D8-58D6CEA0EBC1}" type="pres">
      <dgm:prSet presAssocID="{41B0165B-41A6-4671-882F-3EEB4528E43B}" presName="rootConnector" presStyleLbl="node4" presStyleIdx="11" presStyleCnt="23"/>
      <dgm:spPr/>
    </dgm:pt>
    <dgm:pt modelId="{18D69920-E703-4C88-9374-F733B60158B8}" type="pres">
      <dgm:prSet presAssocID="{41B0165B-41A6-4671-882F-3EEB4528E43B}" presName="hierChild4" presStyleCnt="0"/>
      <dgm:spPr/>
    </dgm:pt>
    <dgm:pt modelId="{E17C7049-6D7F-43B6-8839-23A23C5F510B}" type="pres">
      <dgm:prSet presAssocID="{41B0165B-41A6-4671-882F-3EEB4528E43B}" presName="hierChild5" presStyleCnt="0"/>
      <dgm:spPr/>
    </dgm:pt>
    <dgm:pt modelId="{08020C02-9C7F-41FF-849B-6327EA92921E}" type="pres">
      <dgm:prSet presAssocID="{DBCB58F9-2E0A-4046-B208-1A56DFAFB064}" presName="Name37" presStyleLbl="parChTrans1D4" presStyleIdx="12" presStyleCnt="23"/>
      <dgm:spPr/>
    </dgm:pt>
    <dgm:pt modelId="{27EB09AE-9E72-4000-AE22-917A1A6C8930}" type="pres">
      <dgm:prSet presAssocID="{A29D78EA-EACC-4D0A-B7AD-F70145C829A2}" presName="hierRoot2" presStyleCnt="0">
        <dgm:presLayoutVars>
          <dgm:hierBranch val="init"/>
        </dgm:presLayoutVars>
      </dgm:prSet>
      <dgm:spPr/>
    </dgm:pt>
    <dgm:pt modelId="{E52B7CD5-BFD1-4689-B783-E31C24C091C1}" type="pres">
      <dgm:prSet presAssocID="{A29D78EA-EACC-4D0A-B7AD-F70145C829A2}" presName="rootComposite" presStyleCnt="0"/>
      <dgm:spPr/>
    </dgm:pt>
    <dgm:pt modelId="{9C592066-61CB-4BED-83F3-FBEBFEA862AE}" type="pres">
      <dgm:prSet presAssocID="{A29D78EA-EACC-4D0A-B7AD-F70145C829A2}" presName="rootText" presStyleLbl="node4" presStyleIdx="12" presStyleCnt="23" custScaleX="340300" custScaleY="234585" custLinFactNeighborX="-20773" custLinFactNeighborY="69857">
        <dgm:presLayoutVars>
          <dgm:chPref val="3"/>
        </dgm:presLayoutVars>
      </dgm:prSet>
      <dgm:spPr/>
    </dgm:pt>
    <dgm:pt modelId="{29ECC640-2AFE-480C-9597-112D3F0E0AE1}" type="pres">
      <dgm:prSet presAssocID="{A29D78EA-EACC-4D0A-B7AD-F70145C829A2}" presName="rootConnector" presStyleLbl="node4" presStyleIdx="12" presStyleCnt="23"/>
      <dgm:spPr/>
    </dgm:pt>
    <dgm:pt modelId="{42D04521-36FE-4F72-80C6-BAE944BF990C}" type="pres">
      <dgm:prSet presAssocID="{A29D78EA-EACC-4D0A-B7AD-F70145C829A2}" presName="hierChild4" presStyleCnt="0"/>
      <dgm:spPr/>
    </dgm:pt>
    <dgm:pt modelId="{20E38A68-1AD0-44EA-8751-BCFCED263F10}" type="pres">
      <dgm:prSet presAssocID="{A29D78EA-EACC-4D0A-B7AD-F70145C829A2}" presName="hierChild5" presStyleCnt="0"/>
      <dgm:spPr/>
    </dgm:pt>
    <dgm:pt modelId="{25284607-949C-41B4-984A-37F3AC1C0D34}" type="pres">
      <dgm:prSet presAssocID="{D4928B97-3175-4C7E-AD16-6F5F787759AE}" presName="Name37" presStyleLbl="parChTrans1D4" presStyleIdx="13" presStyleCnt="23"/>
      <dgm:spPr/>
    </dgm:pt>
    <dgm:pt modelId="{667D6C09-92BD-43BA-86E7-659F82C1C48A}" type="pres">
      <dgm:prSet presAssocID="{F957F72E-2469-4BA7-AD77-04D9406C06C1}" presName="hierRoot2" presStyleCnt="0">
        <dgm:presLayoutVars>
          <dgm:hierBranch val="init"/>
        </dgm:presLayoutVars>
      </dgm:prSet>
      <dgm:spPr/>
    </dgm:pt>
    <dgm:pt modelId="{70FD2B77-7D26-455F-9A6E-6526C704A5CB}" type="pres">
      <dgm:prSet presAssocID="{F957F72E-2469-4BA7-AD77-04D9406C06C1}" presName="rootComposite" presStyleCnt="0"/>
      <dgm:spPr/>
    </dgm:pt>
    <dgm:pt modelId="{EF370A94-3AFF-4958-9E56-BACC626417E1}" type="pres">
      <dgm:prSet presAssocID="{F957F72E-2469-4BA7-AD77-04D9406C06C1}" presName="rootText" presStyleLbl="node4" presStyleIdx="13" presStyleCnt="23" custScaleX="340300" custScaleY="234585" custLinFactNeighborX="-18772" custLinFactNeighborY="69857">
        <dgm:presLayoutVars>
          <dgm:chPref val="3"/>
        </dgm:presLayoutVars>
      </dgm:prSet>
      <dgm:spPr/>
    </dgm:pt>
    <dgm:pt modelId="{33D4EFE2-2895-4137-BF82-933228E2C18A}" type="pres">
      <dgm:prSet presAssocID="{F957F72E-2469-4BA7-AD77-04D9406C06C1}" presName="rootConnector" presStyleLbl="node4" presStyleIdx="13" presStyleCnt="23"/>
      <dgm:spPr/>
    </dgm:pt>
    <dgm:pt modelId="{14BCA519-1F31-4456-A71C-B9120D15F554}" type="pres">
      <dgm:prSet presAssocID="{F957F72E-2469-4BA7-AD77-04D9406C06C1}" presName="hierChild4" presStyleCnt="0"/>
      <dgm:spPr/>
    </dgm:pt>
    <dgm:pt modelId="{848F367F-85B9-4404-B0CE-C0A4CA3FA86C}" type="pres">
      <dgm:prSet presAssocID="{F957F72E-2469-4BA7-AD77-04D9406C06C1}" presName="hierChild5" presStyleCnt="0"/>
      <dgm:spPr/>
    </dgm:pt>
    <dgm:pt modelId="{C7A1DAA0-BD7D-4662-AE61-9D85591C32D8}" type="pres">
      <dgm:prSet presAssocID="{3853E0C6-3174-45F2-82A9-95E549D39802}" presName="Name37" presStyleLbl="parChTrans1D4" presStyleIdx="14" presStyleCnt="23"/>
      <dgm:spPr/>
    </dgm:pt>
    <dgm:pt modelId="{3423DBD7-69A0-46E9-B029-BD150C822DC7}" type="pres">
      <dgm:prSet presAssocID="{CCBA6725-B737-49A1-AD3F-FBB1D0850282}" presName="hierRoot2" presStyleCnt="0">
        <dgm:presLayoutVars>
          <dgm:hierBranch val="init"/>
        </dgm:presLayoutVars>
      </dgm:prSet>
      <dgm:spPr/>
    </dgm:pt>
    <dgm:pt modelId="{144D1603-2BF0-4148-87B5-F37551B4FED6}" type="pres">
      <dgm:prSet presAssocID="{CCBA6725-B737-49A1-AD3F-FBB1D0850282}" presName="rootComposite" presStyleCnt="0"/>
      <dgm:spPr/>
    </dgm:pt>
    <dgm:pt modelId="{967D5775-3315-4711-A3C5-8AA0110AF12C}" type="pres">
      <dgm:prSet presAssocID="{CCBA6725-B737-49A1-AD3F-FBB1D0850282}" presName="rootText" presStyleLbl="node4" presStyleIdx="14" presStyleCnt="23" custScaleX="340300" custScaleY="234585" custLinFactNeighborX="-18772" custLinFactNeighborY="69857">
        <dgm:presLayoutVars>
          <dgm:chPref val="3"/>
        </dgm:presLayoutVars>
      </dgm:prSet>
      <dgm:spPr/>
    </dgm:pt>
    <dgm:pt modelId="{06164B65-EAB5-4472-BA32-33521D3460FE}" type="pres">
      <dgm:prSet presAssocID="{CCBA6725-B737-49A1-AD3F-FBB1D0850282}" presName="rootConnector" presStyleLbl="node4" presStyleIdx="14" presStyleCnt="23"/>
      <dgm:spPr/>
    </dgm:pt>
    <dgm:pt modelId="{830B2D79-4626-45FC-9174-7F5A059163B3}" type="pres">
      <dgm:prSet presAssocID="{CCBA6725-B737-49A1-AD3F-FBB1D0850282}" presName="hierChild4" presStyleCnt="0"/>
      <dgm:spPr/>
    </dgm:pt>
    <dgm:pt modelId="{14DC8581-378C-458E-8176-B4131C99AD55}" type="pres">
      <dgm:prSet presAssocID="{CCBA6725-B737-49A1-AD3F-FBB1D0850282}" presName="hierChild5" presStyleCnt="0"/>
      <dgm:spPr/>
    </dgm:pt>
    <dgm:pt modelId="{7F49EC79-8752-4ADB-BDB4-13D555077E64}" type="pres">
      <dgm:prSet presAssocID="{867D776B-245D-467F-BD3F-2554245F80B0}" presName="hierChild5" presStyleCnt="0"/>
      <dgm:spPr/>
    </dgm:pt>
    <dgm:pt modelId="{E6524B58-73C3-401A-AC6C-60E20A8B6211}" type="pres">
      <dgm:prSet presAssocID="{3F267390-0E50-4CCC-B005-BC11673CF2A3}" presName="hierChild5" presStyleCnt="0"/>
      <dgm:spPr/>
    </dgm:pt>
    <dgm:pt modelId="{84F32059-3046-49B2-A372-EF6EF86439AC}" type="pres">
      <dgm:prSet presAssocID="{9E4631D8-E89E-4DB4-8066-89781B490F94}" presName="Name37" presStyleLbl="parChTrans1D2" presStyleIdx="2" presStyleCnt="3"/>
      <dgm:spPr/>
    </dgm:pt>
    <dgm:pt modelId="{3A58DFE0-8B37-42AE-B37D-AF1A2A9F8C20}" type="pres">
      <dgm:prSet presAssocID="{0E4D8AFF-591B-460C-A4C9-67F2C9857CC4}" presName="hierRoot2" presStyleCnt="0">
        <dgm:presLayoutVars>
          <dgm:hierBranch val="init"/>
        </dgm:presLayoutVars>
      </dgm:prSet>
      <dgm:spPr/>
    </dgm:pt>
    <dgm:pt modelId="{C597C812-8A95-4308-8916-DF720047DE09}" type="pres">
      <dgm:prSet presAssocID="{0E4D8AFF-591B-460C-A4C9-67F2C9857CC4}" presName="rootComposite" presStyleCnt="0"/>
      <dgm:spPr/>
    </dgm:pt>
    <dgm:pt modelId="{4A23F757-1AAE-41A0-9F49-1D8ECD8B9F2C}" type="pres">
      <dgm:prSet presAssocID="{0E4D8AFF-591B-460C-A4C9-67F2C9857CC4}" presName="rootText" presStyleLbl="node2" presStyleIdx="2" presStyleCnt="3" custScaleX="735810" custScaleY="314143" custLinFactNeighborX="44679" custLinFactNeighborY="41670">
        <dgm:presLayoutVars>
          <dgm:chPref val="3"/>
        </dgm:presLayoutVars>
      </dgm:prSet>
      <dgm:spPr/>
    </dgm:pt>
    <dgm:pt modelId="{9F2D6968-14C5-4EF2-8304-BD7B347B8A20}" type="pres">
      <dgm:prSet presAssocID="{0E4D8AFF-591B-460C-A4C9-67F2C9857CC4}" presName="rootConnector" presStyleLbl="node2" presStyleIdx="2" presStyleCnt="3"/>
      <dgm:spPr/>
    </dgm:pt>
    <dgm:pt modelId="{994766E5-87BD-4906-9DD0-0C0006570390}" type="pres">
      <dgm:prSet presAssocID="{0E4D8AFF-591B-460C-A4C9-67F2C9857CC4}" presName="hierChild4" presStyleCnt="0"/>
      <dgm:spPr/>
    </dgm:pt>
    <dgm:pt modelId="{373BB783-128C-4A5F-B09F-2C6B132A3CA3}" type="pres">
      <dgm:prSet presAssocID="{C7369B69-F6D1-4824-ACA2-6A155304198B}" presName="Name37" presStyleLbl="parChTrans1D3" presStyleIdx="4" presStyleCnt="6"/>
      <dgm:spPr/>
    </dgm:pt>
    <dgm:pt modelId="{E5B0D4B9-A118-487E-85C9-7CB2C89FBB20}" type="pres">
      <dgm:prSet presAssocID="{60C487F2-55E9-4051-B835-0507B34F4BF2}" presName="hierRoot2" presStyleCnt="0">
        <dgm:presLayoutVars>
          <dgm:hierBranch val="init"/>
        </dgm:presLayoutVars>
      </dgm:prSet>
      <dgm:spPr/>
    </dgm:pt>
    <dgm:pt modelId="{4EE006F1-417C-4E8F-9F05-91FD30CBD070}" type="pres">
      <dgm:prSet presAssocID="{60C487F2-55E9-4051-B835-0507B34F4BF2}" presName="rootComposite" presStyleCnt="0"/>
      <dgm:spPr/>
    </dgm:pt>
    <dgm:pt modelId="{3BF94813-5A36-4666-8B08-54E226EBAE21}" type="pres">
      <dgm:prSet presAssocID="{60C487F2-55E9-4051-B835-0507B34F4BF2}" presName="rootText" presStyleLbl="node3" presStyleIdx="4" presStyleCnt="6" custScaleX="383383" custScaleY="370573" custLinFactNeighborX="33904" custLinFactNeighborY="83047">
        <dgm:presLayoutVars>
          <dgm:chPref val="3"/>
        </dgm:presLayoutVars>
      </dgm:prSet>
      <dgm:spPr/>
    </dgm:pt>
    <dgm:pt modelId="{047B165C-EC46-4E7C-B2C5-5C99D519DB62}" type="pres">
      <dgm:prSet presAssocID="{60C487F2-55E9-4051-B835-0507B34F4BF2}" presName="rootConnector" presStyleLbl="node3" presStyleIdx="4" presStyleCnt="6"/>
      <dgm:spPr/>
    </dgm:pt>
    <dgm:pt modelId="{3D4B2032-8BE0-4AC7-9D7C-B77B076C4672}" type="pres">
      <dgm:prSet presAssocID="{60C487F2-55E9-4051-B835-0507B34F4BF2}" presName="hierChild4" presStyleCnt="0"/>
      <dgm:spPr/>
    </dgm:pt>
    <dgm:pt modelId="{6BC52012-2DCA-4E5D-97ED-4A23D2EB49C6}" type="pres">
      <dgm:prSet presAssocID="{201A60C5-138F-48B4-B6ED-01B7380B861F}" presName="Name37" presStyleLbl="parChTrans1D4" presStyleIdx="15" presStyleCnt="23"/>
      <dgm:spPr/>
    </dgm:pt>
    <dgm:pt modelId="{5329EF6B-8DDE-4DB4-8B1F-33A3D1B902EC}" type="pres">
      <dgm:prSet presAssocID="{9A9C6070-9D06-4645-844F-813850F3679E}" presName="hierRoot2" presStyleCnt="0">
        <dgm:presLayoutVars>
          <dgm:hierBranch val="init"/>
        </dgm:presLayoutVars>
      </dgm:prSet>
      <dgm:spPr/>
    </dgm:pt>
    <dgm:pt modelId="{26B0FC0C-4BAA-41A3-958D-D52CBA5458EA}" type="pres">
      <dgm:prSet presAssocID="{9A9C6070-9D06-4645-844F-813850F3679E}" presName="rootComposite" presStyleCnt="0"/>
      <dgm:spPr/>
    </dgm:pt>
    <dgm:pt modelId="{2DD99029-3C21-4E6E-A9F8-65F189509F28}" type="pres">
      <dgm:prSet presAssocID="{9A9C6070-9D06-4645-844F-813850F3679E}" presName="rootText" presStyleLbl="node4" presStyleIdx="15" presStyleCnt="23" custScaleX="321394" custScaleY="257115" custLinFactNeighborX="-1114" custLinFactNeighborY="76233">
        <dgm:presLayoutVars>
          <dgm:chPref val="3"/>
        </dgm:presLayoutVars>
      </dgm:prSet>
      <dgm:spPr/>
    </dgm:pt>
    <dgm:pt modelId="{E5AE67EA-DD41-469C-A41E-4F70B641E098}" type="pres">
      <dgm:prSet presAssocID="{9A9C6070-9D06-4645-844F-813850F3679E}" presName="rootConnector" presStyleLbl="node4" presStyleIdx="15" presStyleCnt="23"/>
      <dgm:spPr/>
    </dgm:pt>
    <dgm:pt modelId="{003E9498-0B8F-4AEF-B9C0-92EA53F90D97}" type="pres">
      <dgm:prSet presAssocID="{9A9C6070-9D06-4645-844F-813850F3679E}" presName="hierChild4" presStyleCnt="0"/>
      <dgm:spPr/>
    </dgm:pt>
    <dgm:pt modelId="{03614CD7-4F42-4265-96B7-551796CF1C82}" type="pres">
      <dgm:prSet presAssocID="{9A9C6070-9D06-4645-844F-813850F3679E}" presName="hierChild5" presStyleCnt="0"/>
      <dgm:spPr/>
    </dgm:pt>
    <dgm:pt modelId="{17CE2F9B-DF96-4CF8-8289-1791B7CC5B0D}" type="pres">
      <dgm:prSet presAssocID="{CC6307AB-AF08-4FAB-9F22-2A19E759600B}" presName="Name37" presStyleLbl="parChTrans1D4" presStyleIdx="16" presStyleCnt="23"/>
      <dgm:spPr/>
    </dgm:pt>
    <dgm:pt modelId="{A785657D-180B-4F56-B784-EE24FBE8802F}" type="pres">
      <dgm:prSet presAssocID="{87E1F9D4-E14C-4665-9255-211BBC2DEB2C}" presName="hierRoot2" presStyleCnt="0">
        <dgm:presLayoutVars>
          <dgm:hierBranch val="init"/>
        </dgm:presLayoutVars>
      </dgm:prSet>
      <dgm:spPr/>
    </dgm:pt>
    <dgm:pt modelId="{321D5D02-7E12-4A30-BA8A-997A60E8CC9F}" type="pres">
      <dgm:prSet presAssocID="{87E1F9D4-E14C-4665-9255-211BBC2DEB2C}" presName="rootComposite" presStyleCnt="0"/>
      <dgm:spPr/>
    </dgm:pt>
    <dgm:pt modelId="{9EB7B49E-8D9E-4AD2-9A4E-ED383079A315}" type="pres">
      <dgm:prSet presAssocID="{87E1F9D4-E14C-4665-9255-211BBC2DEB2C}" presName="rootText" presStyleLbl="node4" presStyleIdx="16" presStyleCnt="23" custScaleX="321394" custScaleY="257180" custLinFactNeighborX="-367" custLinFactNeighborY="73953">
        <dgm:presLayoutVars>
          <dgm:chPref val="3"/>
        </dgm:presLayoutVars>
      </dgm:prSet>
      <dgm:spPr/>
    </dgm:pt>
    <dgm:pt modelId="{060E45BC-2D97-4D0B-9BD1-0C11F43D9493}" type="pres">
      <dgm:prSet presAssocID="{87E1F9D4-E14C-4665-9255-211BBC2DEB2C}" presName="rootConnector" presStyleLbl="node4" presStyleIdx="16" presStyleCnt="23"/>
      <dgm:spPr/>
    </dgm:pt>
    <dgm:pt modelId="{2FA3021B-1D03-43AC-BB55-2632578961C9}" type="pres">
      <dgm:prSet presAssocID="{87E1F9D4-E14C-4665-9255-211BBC2DEB2C}" presName="hierChild4" presStyleCnt="0"/>
      <dgm:spPr/>
    </dgm:pt>
    <dgm:pt modelId="{B1B3538E-05B5-4E9D-AF6E-17D4F40C4FD7}" type="pres">
      <dgm:prSet presAssocID="{87E1F9D4-E14C-4665-9255-211BBC2DEB2C}" presName="hierChild5" presStyleCnt="0"/>
      <dgm:spPr/>
    </dgm:pt>
    <dgm:pt modelId="{034770C3-9461-4C5D-85D2-55944645916A}" type="pres">
      <dgm:prSet presAssocID="{DC7DE79B-3246-4BD6-B8DF-B2B336389C99}" presName="Name37" presStyleLbl="parChTrans1D4" presStyleIdx="17" presStyleCnt="23"/>
      <dgm:spPr/>
    </dgm:pt>
    <dgm:pt modelId="{9D5DC338-2565-4BA1-999F-AF4A52F09E05}" type="pres">
      <dgm:prSet presAssocID="{4638E7F5-667A-4AEE-9AD2-63AFFFD3B5EA}" presName="hierRoot2" presStyleCnt="0">
        <dgm:presLayoutVars>
          <dgm:hierBranch val="init"/>
        </dgm:presLayoutVars>
      </dgm:prSet>
      <dgm:spPr/>
    </dgm:pt>
    <dgm:pt modelId="{A46EC632-C8C2-4EF4-92AC-A68EAC9CB8D2}" type="pres">
      <dgm:prSet presAssocID="{4638E7F5-667A-4AEE-9AD2-63AFFFD3B5EA}" presName="rootComposite" presStyleCnt="0"/>
      <dgm:spPr/>
    </dgm:pt>
    <dgm:pt modelId="{F6CC7D5D-2CB9-4842-B302-3D7FDEFBD912}" type="pres">
      <dgm:prSet presAssocID="{4638E7F5-667A-4AEE-9AD2-63AFFFD3B5EA}" presName="rootText" presStyleLbl="node4" presStyleIdx="17" presStyleCnt="23" custScaleX="321394" custScaleY="257180" custLinFactNeighborX="-367" custLinFactNeighborY="69951">
        <dgm:presLayoutVars>
          <dgm:chPref val="3"/>
        </dgm:presLayoutVars>
      </dgm:prSet>
      <dgm:spPr/>
    </dgm:pt>
    <dgm:pt modelId="{D456413B-F5D9-4090-863F-B6D2387D5B5E}" type="pres">
      <dgm:prSet presAssocID="{4638E7F5-667A-4AEE-9AD2-63AFFFD3B5EA}" presName="rootConnector" presStyleLbl="node4" presStyleIdx="17" presStyleCnt="23"/>
      <dgm:spPr/>
    </dgm:pt>
    <dgm:pt modelId="{DA57BEDD-0DCE-45E3-9B9B-D80D78C693C2}" type="pres">
      <dgm:prSet presAssocID="{4638E7F5-667A-4AEE-9AD2-63AFFFD3B5EA}" presName="hierChild4" presStyleCnt="0"/>
      <dgm:spPr/>
    </dgm:pt>
    <dgm:pt modelId="{7426CFC8-17F9-44BC-940D-70476A5F3F30}" type="pres">
      <dgm:prSet presAssocID="{4638E7F5-667A-4AEE-9AD2-63AFFFD3B5EA}" presName="hierChild5" presStyleCnt="0"/>
      <dgm:spPr/>
    </dgm:pt>
    <dgm:pt modelId="{9845DD14-3D79-4533-B854-F6CF13CCB4E9}" type="pres">
      <dgm:prSet presAssocID="{60C487F2-55E9-4051-B835-0507B34F4BF2}" presName="hierChild5" presStyleCnt="0"/>
      <dgm:spPr/>
    </dgm:pt>
    <dgm:pt modelId="{17A3FD81-5A2B-4F95-9673-FF298F7075E3}" type="pres">
      <dgm:prSet presAssocID="{91FEEABB-DBB4-4847-9263-A7C1CC5180DD}" presName="Name37" presStyleLbl="parChTrans1D3" presStyleIdx="5" presStyleCnt="6"/>
      <dgm:spPr/>
    </dgm:pt>
    <dgm:pt modelId="{4110CEA1-2AC1-43ED-A0C3-F8850AE01FEA}" type="pres">
      <dgm:prSet presAssocID="{32E729DA-CEC1-4BB0-849D-135300C81244}" presName="hierRoot2" presStyleCnt="0">
        <dgm:presLayoutVars>
          <dgm:hierBranch val="init"/>
        </dgm:presLayoutVars>
      </dgm:prSet>
      <dgm:spPr/>
    </dgm:pt>
    <dgm:pt modelId="{D74166A1-7715-4528-96EB-82F04ECB8A3F}" type="pres">
      <dgm:prSet presAssocID="{32E729DA-CEC1-4BB0-849D-135300C81244}" presName="rootComposite" presStyleCnt="0"/>
      <dgm:spPr/>
    </dgm:pt>
    <dgm:pt modelId="{75EF16CF-B452-4115-959B-09C378F8DCE5}" type="pres">
      <dgm:prSet presAssocID="{32E729DA-CEC1-4BB0-849D-135300C81244}" presName="rootText" presStyleLbl="node3" presStyleIdx="5" presStyleCnt="6" custScaleX="349569" custScaleY="370573" custLinFactNeighborX="30187" custLinFactNeighborY="83922">
        <dgm:presLayoutVars>
          <dgm:chPref val="3"/>
        </dgm:presLayoutVars>
      </dgm:prSet>
      <dgm:spPr/>
    </dgm:pt>
    <dgm:pt modelId="{9F74311A-9B95-4565-878B-F6EDC0B45604}" type="pres">
      <dgm:prSet presAssocID="{32E729DA-CEC1-4BB0-849D-135300C81244}" presName="rootConnector" presStyleLbl="node3" presStyleIdx="5" presStyleCnt="6"/>
      <dgm:spPr/>
    </dgm:pt>
    <dgm:pt modelId="{E29E4F80-0F54-4AE8-874C-AD0546A20516}" type="pres">
      <dgm:prSet presAssocID="{32E729DA-CEC1-4BB0-849D-135300C81244}" presName="hierChild4" presStyleCnt="0"/>
      <dgm:spPr/>
    </dgm:pt>
    <dgm:pt modelId="{F37535CB-5028-4158-B8BB-B599F370A339}" type="pres">
      <dgm:prSet presAssocID="{305F5364-7F0D-4C6F-B565-5C9833C77CC5}" presName="Name37" presStyleLbl="parChTrans1D4" presStyleIdx="18" presStyleCnt="23"/>
      <dgm:spPr/>
    </dgm:pt>
    <dgm:pt modelId="{34B9CEB7-E4FD-405A-B5BE-4EF017A7DB10}" type="pres">
      <dgm:prSet presAssocID="{6BF80D2A-3003-4519-969E-53AA167DCEE6}" presName="hierRoot2" presStyleCnt="0">
        <dgm:presLayoutVars>
          <dgm:hierBranch val="init"/>
        </dgm:presLayoutVars>
      </dgm:prSet>
      <dgm:spPr/>
    </dgm:pt>
    <dgm:pt modelId="{08DCBB0E-099B-4ED6-B3BC-FE4A49FE5EE0}" type="pres">
      <dgm:prSet presAssocID="{6BF80D2A-3003-4519-969E-53AA167DCEE6}" presName="rootComposite" presStyleCnt="0"/>
      <dgm:spPr/>
    </dgm:pt>
    <dgm:pt modelId="{A0A4BFA2-A2D5-4A25-B2FE-25BFDD94CA11}" type="pres">
      <dgm:prSet presAssocID="{6BF80D2A-3003-4519-969E-53AA167DCEE6}" presName="rootText" presStyleLbl="node4" presStyleIdx="18" presStyleCnt="23" custScaleX="302785" custScaleY="239302" custLinFactNeighborX="-8922" custLinFactNeighborY="67510">
        <dgm:presLayoutVars>
          <dgm:chPref val="3"/>
        </dgm:presLayoutVars>
      </dgm:prSet>
      <dgm:spPr/>
    </dgm:pt>
    <dgm:pt modelId="{3594006E-EDF4-43FA-855D-55C3C5F082AF}" type="pres">
      <dgm:prSet presAssocID="{6BF80D2A-3003-4519-969E-53AA167DCEE6}" presName="rootConnector" presStyleLbl="node4" presStyleIdx="18" presStyleCnt="23"/>
      <dgm:spPr/>
    </dgm:pt>
    <dgm:pt modelId="{8156866F-E970-41D3-B85D-3198AE8BE346}" type="pres">
      <dgm:prSet presAssocID="{6BF80D2A-3003-4519-969E-53AA167DCEE6}" presName="hierChild4" presStyleCnt="0"/>
      <dgm:spPr/>
    </dgm:pt>
    <dgm:pt modelId="{78CD3636-07B2-4FFD-A597-6289E0061640}" type="pres">
      <dgm:prSet presAssocID="{6BF80D2A-3003-4519-969E-53AA167DCEE6}" presName="hierChild5" presStyleCnt="0"/>
      <dgm:spPr/>
    </dgm:pt>
    <dgm:pt modelId="{F1F04FE5-60D0-42CE-B901-5B5F51BFA723}" type="pres">
      <dgm:prSet presAssocID="{22C5A9FE-45C8-483E-8D7E-F72C2005FD6A}" presName="Name37" presStyleLbl="parChTrans1D4" presStyleIdx="19" presStyleCnt="23"/>
      <dgm:spPr/>
    </dgm:pt>
    <dgm:pt modelId="{306F733D-C2FD-4BED-AF30-ECC7089CF8CD}" type="pres">
      <dgm:prSet presAssocID="{4CAFF5B8-B9C9-47F2-900A-8462E0C40682}" presName="hierRoot2" presStyleCnt="0">
        <dgm:presLayoutVars>
          <dgm:hierBranch val="init"/>
        </dgm:presLayoutVars>
      </dgm:prSet>
      <dgm:spPr/>
    </dgm:pt>
    <dgm:pt modelId="{43DED390-0C31-40B8-AB94-1E2C632CC137}" type="pres">
      <dgm:prSet presAssocID="{4CAFF5B8-B9C9-47F2-900A-8462E0C40682}" presName="rootComposite" presStyleCnt="0"/>
      <dgm:spPr/>
    </dgm:pt>
    <dgm:pt modelId="{C22F5DAA-6A58-483D-A786-31C7E8B9C100}" type="pres">
      <dgm:prSet presAssocID="{4CAFF5B8-B9C9-47F2-900A-8462E0C40682}" presName="rootText" presStyleLbl="node4" presStyleIdx="19" presStyleCnt="23" custScaleX="302489" custScaleY="300479" custLinFactNeighborX="-6705" custLinFactNeighborY="58706">
        <dgm:presLayoutVars>
          <dgm:chPref val="3"/>
        </dgm:presLayoutVars>
      </dgm:prSet>
      <dgm:spPr/>
    </dgm:pt>
    <dgm:pt modelId="{0A8E184F-924D-4D9A-A40A-80A16F7CDDFD}" type="pres">
      <dgm:prSet presAssocID="{4CAFF5B8-B9C9-47F2-900A-8462E0C40682}" presName="rootConnector" presStyleLbl="node4" presStyleIdx="19" presStyleCnt="23"/>
      <dgm:spPr/>
    </dgm:pt>
    <dgm:pt modelId="{1AD712B6-5A0C-43B4-A709-C1101CF20DD3}" type="pres">
      <dgm:prSet presAssocID="{4CAFF5B8-B9C9-47F2-900A-8462E0C40682}" presName="hierChild4" presStyleCnt="0"/>
      <dgm:spPr/>
    </dgm:pt>
    <dgm:pt modelId="{515E2ED7-2C86-4D72-8785-82E111E761BF}" type="pres">
      <dgm:prSet presAssocID="{4CAFF5B8-B9C9-47F2-900A-8462E0C40682}" presName="hierChild5" presStyleCnt="0"/>
      <dgm:spPr/>
    </dgm:pt>
    <dgm:pt modelId="{F5FC3E46-0C06-4311-AC9F-CE4959F65759}" type="pres">
      <dgm:prSet presAssocID="{364CCC50-BB28-4AE8-9F19-D67AE86B75E3}" presName="Name37" presStyleLbl="parChTrans1D4" presStyleIdx="20" presStyleCnt="23"/>
      <dgm:spPr/>
    </dgm:pt>
    <dgm:pt modelId="{DDB0AEEA-0B3F-4687-94AE-7ABA1DD8DDFC}" type="pres">
      <dgm:prSet presAssocID="{F3CBBB40-30A1-4751-B177-3A5CDDC7C4A4}" presName="hierRoot2" presStyleCnt="0">
        <dgm:presLayoutVars>
          <dgm:hierBranch val="init"/>
        </dgm:presLayoutVars>
      </dgm:prSet>
      <dgm:spPr/>
    </dgm:pt>
    <dgm:pt modelId="{48F40FE5-B71D-4144-A41C-C922CCB7B043}" type="pres">
      <dgm:prSet presAssocID="{F3CBBB40-30A1-4751-B177-3A5CDDC7C4A4}" presName="rootComposite" presStyleCnt="0"/>
      <dgm:spPr/>
    </dgm:pt>
    <dgm:pt modelId="{7D6FC79F-BAAA-449D-87DC-E6421092D2A6}" type="pres">
      <dgm:prSet presAssocID="{F3CBBB40-30A1-4751-B177-3A5CDDC7C4A4}" presName="rootText" presStyleLbl="node4" presStyleIdx="20" presStyleCnt="23" custScaleX="302489" custScaleY="294602" custLinFactNeighborX="-6705" custLinFactNeighborY="46924">
        <dgm:presLayoutVars>
          <dgm:chPref val="3"/>
        </dgm:presLayoutVars>
      </dgm:prSet>
      <dgm:spPr/>
    </dgm:pt>
    <dgm:pt modelId="{09020D3C-05C9-4EEC-92A0-53C2CE579AFD}" type="pres">
      <dgm:prSet presAssocID="{F3CBBB40-30A1-4751-B177-3A5CDDC7C4A4}" presName="rootConnector" presStyleLbl="node4" presStyleIdx="20" presStyleCnt="23"/>
      <dgm:spPr/>
    </dgm:pt>
    <dgm:pt modelId="{FD65616C-07F8-4073-A8BA-4A26CAAB727F}" type="pres">
      <dgm:prSet presAssocID="{F3CBBB40-30A1-4751-B177-3A5CDDC7C4A4}" presName="hierChild4" presStyleCnt="0"/>
      <dgm:spPr/>
    </dgm:pt>
    <dgm:pt modelId="{2CEB46A6-AC69-4313-BA6F-C9BFDE8A1FAD}" type="pres">
      <dgm:prSet presAssocID="{F3CBBB40-30A1-4751-B177-3A5CDDC7C4A4}" presName="hierChild5" presStyleCnt="0"/>
      <dgm:spPr/>
    </dgm:pt>
    <dgm:pt modelId="{E8F4FF5D-C749-44D7-BC1A-C963819ED6D7}" type="pres">
      <dgm:prSet presAssocID="{F69F0F7A-C13F-4EC4-A426-F13F4B540846}" presName="Name37" presStyleLbl="parChTrans1D4" presStyleIdx="21" presStyleCnt="23"/>
      <dgm:spPr/>
    </dgm:pt>
    <dgm:pt modelId="{6372D811-123A-4013-AA9C-B3E2687A3339}" type="pres">
      <dgm:prSet presAssocID="{760E1814-A9FE-4A38-8663-D8FA9359B0CA}" presName="hierRoot2" presStyleCnt="0">
        <dgm:presLayoutVars>
          <dgm:hierBranch val="init"/>
        </dgm:presLayoutVars>
      </dgm:prSet>
      <dgm:spPr/>
    </dgm:pt>
    <dgm:pt modelId="{028F6774-5662-4FDB-A89E-AB203A3EEEFC}" type="pres">
      <dgm:prSet presAssocID="{760E1814-A9FE-4A38-8663-D8FA9359B0CA}" presName="rootComposite" presStyleCnt="0"/>
      <dgm:spPr/>
    </dgm:pt>
    <dgm:pt modelId="{1B0BBB5F-C83B-4069-AEE7-54C2DDF467FF}" type="pres">
      <dgm:prSet presAssocID="{760E1814-A9FE-4A38-8663-D8FA9359B0CA}" presName="rootText" presStyleLbl="node4" presStyleIdx="21" presStyleCnt="23" custScaleX="302489" custScaleY="326112" custLinFactNeighborX="-6705" custLinFactNeighborY="33940">
        <dgm:presLayoutVars>
          <dgm:chPref val="3"/>
        </dgm:presLayoutVars>
      </dgm:prSet>
      <dgm:spPr/>
    </dgm:pt>
    <dgm:pt modelId="{D7B08A54-74D1-4387-830F-DD6E97C65B16}" type="pres">
      <dgm:prSet presAssocID="{760E1814-A9FE-4A38-8663-D8FA9359B0CA}" presName="rootConnector" presStyleLbl="node4" presStyleIdx="21" presStyleCnt="23"/>
      <dgm:spPr/>
    </dgm:pt>
    <dgm:pt modelId="{9ABC5384-F72B-4EE2-BB47-45B027D887A9}" type="pres">
      <dgm:prSet presAssocID="{760E1814-A9FE-4A38-8663-D8FA9359B0CA}" presName="hierChild4" presStyleCnt="0"/>
      <dgm:spPr/>
    </dgm:pt>
    <dgm:pt modelId="{048BDC28-96B7-45F6-9FDF-8DE717AC0AA9}" type="pres">
      <dgm:prSet presAssocID="{760E1814-A9FE-4A38-8663-D8FA9359B0CA}" presName="hierChild5" presStyleCnt="0"/>
      <dgm:spPr/>
    </dgm:pt>
    <dgm:pt modelId="{1E9B71B8-5218-48B4-8051-C61B2AAE1194}" type="pres">
      <dgm:prSet presAssocID="{61DCFBD3-74BB-4DF2-8F95-BBE8E7AED3DE}" presName="Name37" presStyleLbl="parChTrans1D4" presStyleIdx="22" presStyleCnt="23"/>
      <dgm:spPr/>
    </dgm:pt>
    <dgm:pt modelId="{97C06495-C092-45DE-9FCF-E3793CFB33DE}" type="pres">
      <dgm:prSet presAssocID="{19D444F5-87A0-40A4-A08C-56732C05D361}" presName="hierRoot2" presStyleCnt="0">
        <dgm:presLayoutVars>
          <dgm:hierBranch val="init"/>
        </dgm:presLayoutVars>
      </dgm:prSet>
      <dgm:spPr/>
    </dgm:pt>
    <dgm:pt modelId="{018C40EE-2FBB-4672-8EF3-966AB9CE8738}" type="pres">
      <dgm:prSet presAssocID="{19D444F5-87A0-40A4-A08C-56732C05D361}" presName="rootComposite" presStyleCnt="0"/>
      <dgm:spPr/>
    </dgm:pt>
    <dgm:pt modelId="{377B6AB1-2E5F-4FBA-866C-1F5B3CE7165C}" type="pres">
      <dgm:prSet presAssocID="{19D444F5-87A0-40A4-A08C-56732C05D361}" presName="rootText" presStyleLbl="node4" presStyleIdx="22" presStyleCnt="23" custScaleX="302489" custScaleY="235999" custLinFactNeighborX="-6705" custLinFactNeighborY="22447">
        <dgm:presLayoutVars>
          <dgm:chPref val="3"/>
        </dgm:presLayoutVars>
      </dgm:prSet>
      <dgm:spPr/>
    </dgm:pt>
    <dgm:pt modelId="{4197AA6A-5532-4EBC-9F75-57096D9ECAFF}" type="pres">
      <dgm:prSet presAssocID="{19D444F5-87A0-40A4-A08C-56732C05D361}" presName="rootConnector" presStyleLbl="node4" presStyleIdx="22" presStyleCnt="23"/>
      <dgm:spPr/>
    </dgm:pt>
    <dgm:pt modelId="{098B5B57-CAAB-4082-9CB0-0B4FAEC2325B}" type="pres">
      <dgm:prSet presAssocID="{19D444F5-87A0-40A4-A08C-56732C05D361}" presName="hierChild4" presStyleCnt="0"/>
      <dgm:spPr/>
    </dgm:pt>
    <dgm:pt modelId="{4F35C8B6-9511-41E2-A144-89467424412E}" type="pres">
      <dgm:prSet presAssocID="{19D444F5-87A0-40A4-A08C-56732C05D361}" presName="hierChild5" presStyleCnt="0"/>
      <dgm:spPr/>
    </dgm:pt>
    <dgm:pt modelId="{78452686-E857-4404-A58A-A29B933BF593}" type="pres">
      <dgm:prSet presAssocID="{32E729DA-CEC1-4BB0-849D-135300C81244}" presName="hierChild5" presStyleCnt="0"/>
      <dgm:spPr/>
    </dgm:pt>
    <dgm:pt modelId="{6A0B65C3-F8D7-4BA7-B3DA-42BA74FCF468}" type="pres">
      <dgm:prSet presAssocID="{0E4D8AFF-591B-460C-A4C9-67F2C9857CC4}" presName="hierChild5" presStyleCnt="0"/>
      <dgm:spPr/>
    </dgm:pt>
    <dgm:pt modelId="{7FE19125-1452-4D91-84E2-B491F0B1C985}" type="pres">
      <dgm:prSet presAssocID="{D961D356-C423-4930-9CD4-5641A753DEE6}" presName="hierChild3" presStyleCnt="0"/>
      <dgm:spPr/>
    </dgm:pt>
  </dgm:ptLst>
  <dgm:cxnLst>
    <dgm:cxn modelId="{BF446902-A788-4248-AFA7-5F00A5A149D3}" srcId="{D961D356-C423-4930-9CD4-5641A753DEE6}" destId="{3F267390-0E50-4CCC-B005-BC11673CF2A3}" srcOrd="1" destOrd="0" parTransId="{C87D0185-A927-4A83-A9D0-EE494B38E8D3}" sibTransId="{89CED27D-AA41-49C3-9031-B02447B40CB9}"/>
    <dgm:cxn modelId="{C4BF4703-E1D6-453B-9B19-8279D0E7A0C8}" type="presOf" srcId="{4638E7F5-667A-4AEE-9AD2-63AFFFD3B5EA}" destId="{F6CC7D5D-2CB9-4842-B302-3D7FDEFBD912}" srcOrd="0" destOrd="0" presId="urn:microsoft.com/office/officeart/2005/8/layout/orgChart1"/>
    <dgm:cxn modelId="{8B369A03-03DA-4D7C-8889-AD1D45FD5C0C}" srcId="{A24439C4-6CC3-4F0B-AB37-B5F48C404637}" destId="{61ECC715-BBD7-48AE-B78C-19CFC8744BD5}" srcOrd="1" destOrd="0" parTransId="{341F2F63-E235-4C32-A889-E43775508D1F}" sibTransId="{B9197F86-3702-4659-A719-1051D6BD8E3C}"/>
    <dgm:cxn modelId="{3DF80606-EB30-4351-8FAA-EA8977322635}" type="presOf" srcId="{AD4A1B9D-D59B-4884-BF1C-76B0DF222B7F}" destId="{DF9F0C84-570E-41A3-8FCF-F58533551E9C}" srcOrd="1" destOrd="0" presId="urn:microsoft.com/office/officeart/2005/8/layout/orgChart1"/>
    <dgm:cxn modelId="{FC0ABD06-05D5-458A-99D9-1608E9DB647C}" type="presOf" srcId="{D0356A9C-608C-4C78-A2E5-7810B71934A7}" destId="{DA554E03-40BD-44CF-8790-7AA329C45E42}" srcOrd="0" destOrd="0" presId="urn:microsoft.com/office/officeart/2005/8/layout/orgChart1"/>
    <dgm:cxn modelId="{218D5A07-1C4E-401D-9E7E-3C3EC600AB7E}" srcId="{60C487F2-55E9-4051-B835-0507B34F4BF2}" destId="{4638E7F5-667A-4AEE-9AD2-63AFFFD3B5EA}" srcOrd="2" destOrd="0" parTransId="{DC7DE79B-3246-4BD6-B8DF-B2B336389C99}" sibTransId="{7C8A82E6-2EA3-44AD-891A-AD22B94C767E}"/>
    <dgm:cxn modelId="{A3FD8F07-BEEF-47C1-8923-33A582476DE5}" srcId="{D961D356-C423-4930-9CD4-5641A753DEE6}" destId="{0E4D8AFF-591B-460C-A4C9-67F2C9857CC4}" srcOrd="2" destOrd="0" parTransId="{9E4631D8-E89E-4DB4-8066-89781B490F94}" sibTransId="{8C01E186-6DB0-42DA-B57A-39F6EFD0ADF3}"/>
    <dgm:cxn modelId="{B0C03208-F5F3-42FE-829E-4E905E65E149}" srcId="{1166AF32-0F15-49BE-A527-44BF102A5F42}" destId="{F360A459-0493-45A0-BE09-9CB397E4C5EC}" srcOrd="0" destOrd="0" parTransId="{1F314DFF-E2D0-4418-AF4C-F93D09148349}" sibTransId="{658E617B-3163-4A00-8A0F-68A9CF4FA65B}"/>
    <dgm:cxn modelId="{7720CE08-7E54-457B-904D-0EE9173753B2}" type="presOf" srcId="{61ECC715-BBD7-48AE-B78C-19CFC8744BD5}" destId="{730A1844-FDE1-4C92-A72E-79EF655C45D1}" srcOrd="0" destOrd="0" presId="urn:microsoft.com/office/officeart/2005/8/layout/orgChart1"/>
    <dgm:cxn modelId="{4609700B-F2CE-47AB-BECC-313F31DF3597}" type="presOf" srcId="{341F2F63-E235-4C32-A889-E43775508D1F}" destId="{127B7C78-0FD5-41F7-8CAB-19982FCDADE2}" srcOrd="0" destOrd="0" presId="urn:microsoft.com/office/officeart/2005/8/layout/orgChart1"/>
    <dgm:cxn modelId="{6D4E5813-B826-40A5-AEBC-679090EA7D58}" type="presOf" srcId="{CC6307AB-AF08-4FAB-9F22-2A19E759600B}" destId="{17CE2F9B-DF96-4CF8-8289-1791B7CC5B0D}" srcOrd="0" destOrd="0" presId="urn:microsoft.com/office/officeart/2005/8/layout/orgChart1"/>
    <dgm:cxn modelId="{01E2F115-3594-416A-B096-60C086402979}" type="presOf" srcId="{A29D78EA-EACC-4D0A-B7AD-F70145C829A2}" destId="{9C592066-61CB-4BED-83F3-FBEBFEA862AE}" srcOrd="0" destOrd="0" presId="urn:microsoft.com/office/officeart/2005/8/layout/orgChart1"/>
    <dgm:cxn modelId="{428DA61A-4A06-44CB-8155-92DBA5D402F5}" type="presOf" srcId="{5B723C34-F36C-4732-92C1-91E6EAE3A72F}" destId="{A9FFCD47-CBD9-47B4-979F-D71031D197C1}" srcOrd="1" destOrd="0" presId="urn:microsoft.com/office/officeart/2005/8/layout/orgChart1"/>
    <dgm:cxn modelId="{35C4601B-5FF2-43B9-8EE6-382520504A3B}" srcId="{A24439C4-6CC3-4F0B-AB37-B5F48C404637}" destId="{3F8741FC-51E3-4D2D-A1AA-77211F7A629A}" srcOrd="0" destOrd="0" parTransId="{08944449-A2FB-48A9-8E2C-8F48303B840F}" sibTransId="{27E1A2B5-4C63-44F7-B837-2FBCA93C4E71}"/>
    <dgm:cxn modelId="{5042EC1D-1B9A-4A18-84F3-31A89DBDBB11}" srcId="{1166AF32-0F15-49BE-A527-44BF102A5F42}" destId="{6C88C8AE-CFC2-457C-8CD9-41A57B9E70B8}" srcOrd="1" destOrd="0" parTransId="{1A39C80B-73FB-411F-BD4A-249868550A51}" sibTransId="{35E85830-E0CA-4999-8B52-6EB91019E152}"/>
    <dgm:cxn modelId="{64316D1E-6B17-488A-8E67-C32DE24B7B9A}" srcId="{3F267390-0E50-4CCC-B005-BC11673CF2A3}" destId="{A24439C4-6CC3-4F0B-AB37-B5F48C404637}" srcOrd="0" destOrd="0" parTransId="{38F80706-2567-419D-9FB1-EDDA9BE3B306}" sibTransId="{6542A0B3-61CB-4ADB-AD7B-BEF5804B85CE}"/>
    <dgm:cxn modelId="{8E262B20-C0E2-410E-9F08-73AA782CA1E3}" srcId="{60C487F2-55E9-4051-B835-0507B34F4BF2}" destId="{87E1F9D4-E14C-4665-9255-211BBC2DEB2C}" srcOrd="1" destOrd="0" parTransId="{CC6307AB-AF08-4FAB-9F22-2A19E759600B}" sibTransId="{0BB02AAC-3401-4DC2-970B-210542A852D9}"/>
    <dgm:cxn modelId="{D0263821-F265-47EB-AD6A-ABCD69B895C1}" type="presOf" srcId="{32E729DA-CEC1-4BB0-849D-135300C81244}" destId="{9F74311A-9B95-4565-878B-F6EDC0B45604}" srcOrd="1" destOrd="0" presId="urn:microsoft.com/office/officeart/2005/8/layout/orgChart1"/>
    <dgm:cxn modelId="{285CED24-ADA9-41A0-973A-44CDAD401DE8}" type="presOf" srcId="{A29D78EA-EACC-4D0A-B7AD-F70145C829A2}" destId="{29ECC640-2AFE-480C-9597-112D3F0E0AE1}" srcOrd="1" destOrd="0" presId="urn:microsoft.com/office/officeart/2005/8/layout/orgChart1"/>
    <dgm:cxn modelId="{CE26252A-ECC2-4D87-90B9-F313D2E5C18A}" type="presOf" srcId="{41B0165B-41A6-4671-882F-3EEB4528E43B}" destId="{EFA1F3BC-09CC-4868-8853-ECA0AED36E7D}" srcOrd="0" destOrd="0" presId="urn:microsoft.com/office/officeart/2005/8/layout/orgChart1"/>
    <dgm:cxn modelId="{0C4CA52A-16B6-4DC1-8F35-509B54369085}" type="presOf" srcId="{6C88C8AE-CFC2-457C-8CD9-41A57B9E70B8}" destId="{F8D66CDC-2FB9-4C20-9813-1874695C90F4}" srcOrd="1" destOrd="0" presId="urn:microsoft.com/office/officeart/2005/8/layout/orgChart1"/>
    <dgm:cxn modelId="{039FAF2A-7BD7-42E4-AAF4-4B3A426A4AA7}" srcId="{D961D356-C423-4930-9CD4-5641A753DEE6}" destId="{F2D435C7-7B62-44AE-9C4C-A8A6A7D411D3}" srcOrd="0" destOrd="0" parTransId="{8FF0E5E4-0B37-45D2-BCDD-161AC305E7A1}" sibTransId="{B466181B-C350-4123-BB97-DAD7F2BB1880}"/>
    <dgm:cxn modelId="{3CB1272C-432E-4A57-AACA-FD19769AEA77}" type="presOf" srcId="{87E1F9D4-E14C-4665-9255-211BBC2DEB2C}" destId="{060E45BC-2D97-4D0B-9BD1-0C11F43D9493}" srcOrd="1" destOrd="0" presId="urn:microsoft.com/office/officeart/2005/8/layout/orgChart1"/>
    <dgm:cxn modelId="{132C422E-9822-4BBD-95BE-AEE3A3127B6A}" type="presOf" srcId="{201A60C5-138F-48B4-B6ED-01B7380B861F}" destId="{6BC52012-2DCA-4E5D-97ED-4A23D2EB49C6}" srcOrd="0" destOrd="0" presId="urn:microsoft.com/office/officeart/2005/8/layout/orgChart1"/>
    <dgm:cxn modelId="{535A0C30-6926-49DB-82F8-853483328D00}" type="presOf" srcId="{D921CA20-754A-48DB-BCF2-999640E4A922}" destId="{8F79E931-D75A-4D4F-8EF9-58DAB1F40195}" srcOrd="0" destOrd="0" presId="urn:microsoft.com/office/officeart/2005/8/layout/orgChart1"/>
    <dgm:cxn modelId="{5D8A6330-1A8B-449C-973A-2C11CB7BE87F}" type="presOf" srcId="{D4928B97-3175-4C7E-AD16-6F5F787759AE}" destId="{25284607-949C-41B4-984A-37F3AC1C0D34}" srcOrd="0" destOrd="0" presId="urn:microsoft.com/office/officeart/2005/8/layout/orgChart1"/>
    <dgm:cxn modelId="{20108D33-B57A-498E-8FC4-543B96579D6B}" type="presOf" srcId="{6BF80D2A-3003-4519-969E-53AA167DCEE6}" destId="{A0A4BFA2-A2D5-4A25-B2FE-25BFDD94CA11}" srcOrd="0" destOrd="0" presId="urn:microsoft.com/office/officeart/2005/8/layout/orgChart1"/>
    <dgm:cxn modelId="{B5E89035-8D3C-4BDD-B645-441DC6AA8B82}" type="presOf" srcId="{F69F0F7A-C13F-4EC4-A426-F13F4B540846}" destId="{E8F4FF5D-C749-44D7-BC1A-C963819ED6D7}" srcOrd="0" destOrd="0" presId="urn:microsoft.com/office/officeart/2005/8/layout/orgChart1"/>
    <dgm:cxn modelId="{DA354D37-7FE9-4921-BF79-E95528C9303C}" type="presOf" srcId="{3F267390-0E50-4CCC-B005-BC11673CF2A3}" destId="{A9634FF6-2749-44C9-B7B1-E1619ED40DAC}" srcOrd="0" destOrd="0" presId="urn:microsoft.com/office/officeart/2005/8/layout/orgChart1"/>
    <dgm:cxn modelId="{AEAE7839-2DDA-4B98-8AEA-8ACBF815317E}" type="presOf" srcId="{7ECE0D00-5FF8-4FC9-A18E-BD73AFA50EBC}" destId="{16797997-7266-46B4-9CB4-0FC279F486EA}" srcOrd="0" destOrd="0" presId="urn:microsoft.com/office/officeart/2005/8/layout/orgChart1"/>
    <dgm:cxn modelId="{ADA52040-F787-421B-AD88-0883735584E6}" type="presOf" srcId="{760E1814-A9FE-4A38-8663-D8FA9359B0CA}" destId="{D7B08A54-74D1-4387-830F-DD6E97C65B16}" srcOrd="1" destOrd="0" presId="urn:microsoft.com/office/officeart/2005/8/layout/orgChart1"/>
    <dgm:cxn modelId="{28A4EC40-2C80-476A-BBCA-F678EBE053B1}" srcId="{32E729DA-CEC1-4BB0-849D-135300C81244}" destId="{19D444F5-87A0-40A4-A08C-56732C05D361}" srcOrd="4" destOrd="0" parTransId="{61DCFBD3-74BB-4DF2-8F95-BBE8E7AED3DE}" sibTransId="{64870FAD-29C7-4632-9AAF-4C7C2F0BA3CC}"/>
    <dgm:cxn modelId="{2BA51B5C-EF93-4D40-AB87-64F38C3AC865}" type="presOf" srcId="{F2D435C7-7B62-44AE-9C4C-A8A6A7D411D3}" destId="{7406D7BA-634E-43ED-BABB-840ED6680B26}" srcOrd="1" destOrd="0" presId="urn:microsoft.com/office/officeart/2005/8/layout/orgChart1"/>
    <dgm:cxn modelId="{7EEC0E5D-5762-4625-A6EE-BADF3B1BEE82}" type="presOf" srcId="{1166AF32-0F15-49BE-A527-44BF102A5F42}" destId="{ADF3D91C-C56F-4101-A65E-88579DC63B73}" srcOrd="0" destOrd="0" presId="urn:microsoft.com/office/officeart/2005/8/layout/orgChart1"/>
    <dgm:cxn modelId="{B4355960-2FF1-473B-BEFC-443072D76791}" srcId="{867D776B-245D-467F-BD3F-2554245F80B0}" destId="{5B723C34-F36C-4732-92C1-91E6EAE3A72F}" srcOrd="0" destOrd="0" parTransId="{1687D952-81D6-4A0A-A5F4-229A6C5523F0}" sibTransId="{5C1DAF2D-98AC-496B-85D7-AAD460C1A3D6}"/>
    <dgm:cxn modelId="{058AD961-9451-40E5-8687-F7E301198BCB}" srcId="{32E729DA-CEC1-4BB0-849D-135300C81244}" destId="{F3CBBB40-30A1-4751-B177-3A5CDDC7C4A4}" srcOrd="2" destOrd="0" parTransId="{364CCC50-BB28-4AE8-9F19-D67AE86B75E3}" sibTransId="{DF1814A9-5C13-4693-A47E-18F52E1A2F64}"/>
    <dgm:cxn modelId="{1E2D3A65-27B2-43BA-9C17-CE001A7AF830}" type="presOf" srcId="{61DCFBD3-74BB-4DF2-8F95-BBE8E7AED3DE}" destId="{1E9B71B8-5218-48B4-8051-C61B2AAE1194}" srcOrd="0" destOrd="0" presId="urn:microsoft.com/office/officeart/2005/8/layout/orgChart1"/>
    <dgm:cxn modelId="{917A5745-8691-4BEE-9847-63843BBF2ABA}" type="presOf" srcId="{EE2EDF37-688B-4FD0-A3FB-102928A9F920}" destId="{8DC1BEF0-D93E-43FF-8B64-2EDB5EDF1243}" srcOrd="1" destOrd="0" presId="urn:microsoft.com/office/officeart/2005/8/layout/orgChart1"/>
    <dgm:cxn modelId="{684C7C65-E0E6-4B6E-A990-511D77755083}" srcId="{A24439C4-6CC3-4F0B-AB37-B5F48C404637}" destId="{81696D6D-B25E-410E-9009-355A20A1A717}" srcOrd="4" destOrd="0" parTransId="{689036B2-BDFF-45F9-8D17-70D1DA1D1374}" sibTransId="{09045C4B-BF1D-43E1-998E-E18C96173BD4}"/>
    <dgm:cxn modelId="{C9588246-73CB-4698-824C-26BE40DA2C09}" type="presOf" srcId="{689036B2-BDFF-45F9-8D17-70D1DA1D1374}" destId="{DF142F2C-1BE1-4D7A-AD36-9DE1D10F5A04}" srcOrd="0" destOrd="0" presId="urn:microsoft.com/office/officeart/2005/8/layout/orgChart1"/>
    <dgm:cxn modelId="{1EEDA367-77E9-4E18-8C9E-F767B48FB611}" type="presOf" srcId="{60C487F2-55E9-4051-B835-0507B34F4BF2}" destId="{3BF94813-5A36-4666-8B08-54E226EBAE21}" srcOrd="0" destOrd="0" presId="urn:microsoft.com/office/officeart/2005/8/layout/orgChart1"/>
    <dgm:cxn modelId="{F21E5D69-1EC9-4ABC-AF72-AD34BD5CD168}" type="presOf" srcId="{05354665-5CC3-42E3-84BB-CCE5C773D2E5}" destId="{1AA55B47-FD6D-401A-B1D0-C895BA2CA4F4}" srcOrd="1" destOrd="0" presId="urn:microsoft.com/office/officeart/2005/8/layout/orgChart1"/>
    <dgm:cxn modelId="{4153056A-694D-47C1-AA2E-D7D72FAC6F98}" srcId="{F2D435C7-7B62-44AE-9C4C-A8A6A7D411D3}" destId="{1166AF32-0F15-49BE-A527-44BF102A5F42}" srcOrd="1" destOrd="0" parTransId="{AA59950B-DBCA-4304-872E-48194044E7B0}" sibTransId="{B3CA9052-F6AC-40E2-BFBA-C54B25256C05}"/>
    <dgm:cxn modelId="{F1F79C4A-AB0C-45C0-BC97-B863963F9A3B}" type="presOf" srcId="{08944449-A2FB-48A9-8E2C-8F48303B840F}" destId="{A90D7EAC-CA92-46B8-8137-9F6451FED97E}" srcOrd="0" destOrd="0" presId="urn:microsoft.com/office/officeart/2005/8/layout/orgChart1"/>
    <dgm:cxn modelId="{349E8D4B-75AA-4008-A869-2942A82E8A43}" type="presOf" srcId="{AA59950B-DBCA-4304-872E-48194044E7B0}" destId="{9C23DC9A-B1F3-4AD3-A3CF-BA7738EFE431}" srcOrd="0" destOrd="0" presId="urn:microsoft.com/office/officeart/2005/8/layout/orgChart1"/>
    <dgm:cxn modelId="{7E3A806C-84AD-4ECC-A0B2-2EAC1B632484}" type="presOf" srcId="{5B723C34-F36C-4732-92C1-91E6EAE3A72F}" destId="{24F24141-DE10-4AF5-9484-A1735AD8434B}" srcOrd="0" destOrd="0" presId="urn:microsoft.com/office/officeart/2005/8/layout/orgChart1"/>
    <dgm:cxn modelId="{DC6A826D-3715-4270-96EB-7005DF1BA853}" type="presOf" srcId="{A24439C4-6CC3-4F0B-AB37-B5F48C404637}" destId="{C0E5A178-5117-4E98-BB64-AD9E497BE4C4}" srcOrd="0" destOrd="0" presId="urn:microsoft.com/office/officeart/2005/8/layout/orgChart1"/>
    <dgm:cxn modelId="{0696D26D-B420-4F77-9029-9C466F0027FE}" srcId="{7ECE0D00-5FF8-4FC9-A18E-BD73AFA50EBC}" destId="{4432A52E-D9D2-4556-852B-42671DA95ABF}" srcOrd="0" destOrd="0" parTransId="{D39309F4-2A30-4E7B-8131-898F2002A885}" sibTransId="{87887281-CEAA-4894-8D7F-7EB573988221}"/>
    <dgm:cxn modelId="{3DC8756E-BAA3-4D56-966F-F6E43773EE30}" type="presOf" srcId="{0E4D8AFF-591B-460C-A4C9-67F2C9857CC4}" destId="{9F2D6968-14C5-4EF2-8304-BD7B347B8A20}" srcOrd="1" destOrd="0" presId="urn:microsoft.com/office/officeart/2005/8/layout/orgChart1"/>
    <dgm:cxn modelId="{FDF5816F-97D4-46D8-A5D0-2F255454B231}" srcId="{867D776B-245D-467F-BD3F-2554245F80B0}" destId="{41B0165B-41A6-4671-882F-3EEB4528E43B}" srcOrd="1" destOrd="0" parTransId="{D921CA20-754A-48DB-BCF2-999640E4A922}" sibTransId="{6793B451-425F-4EE7-82B2-CCD82A23244F}"/>
    <dgm:cxn modelId="{706A6072-3D4D-47A4-90E3-53237911A7D9}" type="presOf" srcId="{F957F72E-2469-4BA7-AD77-04D9406C06C1}" destId="{EF370A94-3AFF-4958-9E56-BACC626417E1}" srcOrd="0" destOrd="0" presId="urn:microsoft.com/office/officeart/2005/8/layout/orgChart1"/>
    <dgm:cxn modelId="{A015E452-AB0D-443D-B946-18711C93EB44}" type="presOf" srcId="{1D1B4510-CC78-4E88-B3F5-4C9F656F5F83}" destId="{07CCB45D-67CF-40AE-8F50-27292F870F1E}" srcOrd="0" destOrd="0" presId="urn:microsoft.com/office/officeart/2005/8/layout/orgChart1"/>
    <dgm:cxn modelId="{B0D40A54-E933-43D7-89A9-FFD7BFF06257}" type="presOf" srcId="{1F314DFF-E2D0-4418-AF4C-F93D09148349}" destId="{6ED7D0B0-AE7C-48F0-932A-CF7756D1D965}" srcOrd="0" destOrd="0" presId="urn:microsoft.com/office/officeart/2005/8/layout/orgChart1"/>
    <dgm:cxn modelId="{857B4076-BD6D-4543-B3ED-3D32F0FF12C4}" srcId="{60C487F2-55E9-4051-B835-0507B34F4BF2}" destId="{9A9C6070-9D06-4645-844F-813850F3679E}" srcOrd="0" destOrd="0" parTransId="{201A60C5-138F-48B4-B6ED-01B7380B861F}" sibTransId="{C72B786A-B412-4341-9F41-BA328FBEDF45}"/>
    <dgm:cxn modelId="{6CED8456-1815-44F3-8F59-35332AFF1CA8}" type="presOf" srcId="{38F80706-2567-419D-9FB1-EDDA9BE3B306}" destId="{F69CB23E-FA84-42DB-B08B-A21A8DFD06A1}" srcOrd="0" destOrd="0" presId="urn:microsoft.com/office/officeart/2005/8/layout/orgChart1"/>
    <dgm:cxn modelId="{E11AF956-40F0-4D0A-95BC-A3933891148A}" type="presOf" srcId="{9E4631D8-E89E-4DB4-8066-89781B490F94}" destId="{84F32059-3046-49B2-A372-EF6EF86439AC}" srcOrd="0" destOrd="0" presId="urn:microsoft.com/office/officeart/2005/8/layout/orgChart1"/>
    <dgm:cxn modelId="{67C3D778-ECF3-4179-BEF7-F55948937946}" srcId="{867D776B-245D-467F-BD3F-2554245F80B0}" destId="{F957F72E-2469-4BA7-AD77-04D9406C06C1}" srcOrd="3" destOrd="0" parTransId="{D4928B97-3175-4C7E-AD16-6F5F787759AE}" sibTransId="{67AA9921-EDBE-4949-B3CA-B3C4F7DF1D45}"/>
    <dgm:cxn modelId="{A2238B7A-6368-45DD-A4B8-251912C17247}" type="presOf" srcId="{DBCB58F9-2E0A-4046-B208-1A56DFAFB064}" destId="{08020C02-9C7F-41FF-849B-6327EA92921E}" srcOrd="0" destOrd="0" presId="urn:microsoft.com/office/officeart/2005/8/layout/orgChart1"/>
    <dgm:cxn modelId="{BC9C127D-D89D-4675-8966-899BF07A5C1C}" type="presOf" srcId="{87E1F9D4-E14C-4665-9255-211BBC2DEB2C}" destId="{9EB7B49E-8D9E-4AD2-9A4E-ED383079A315}" srcOrd="0" destOrd="0" presId="urn:microsoft.com/office/officeart/2005/8/layout/orgChart1"/>
    <dgm:cxn modelId="{BB16067F-F243-456D-AAE1-35F268D86B36}" type="presOf" srcId="{05354665-5CC3-42E3-84BB-CCE5C773D2E5}" destId="{CDD83C32-7E8A-49F2-902B-DC628C163915}" srcOrd="0" destOrd="0" presId="urn:microsoft.com/office/officeart/2005/8/layout/orgChart1"/>
    <dgm:cxn modelId="{CF8C957F-5ED6-430C-9722-FF3483288E08}" type="presOf" srcId="{867D776B-245D-467F-BD3F-2554245F80B0}" destId="{D4AB2E4D-56B9-42A2-9876-8BED88792A88}" srcOrd="1" destOrd="0" presId="urn:microsoft.com/office/officeart/2005/8/layout/orgChart1"/>
    <dgm:cxn modelId="{77D6E581-5C3D-480B-8489-4E025CEA9B68}" type="presOf" srcId="{AD4A1B9D-D59B-4884-BF1C-76B0DF222B7F}" destId="{A23FE01C-F4FF-4CAC-96BD-BC041F74F53F}" srcOrd="0" destOrd="0" presId="urn:microsoft.com/office/officeart/2005/8/layout/orgChart1"/>
    <dgm:cxn modelId="{963C9382-F5F1-4521-AD5B-7E742028953A}" type="presOf" srcId="{6BF80D2A-3003-4519-969E-53AA167DCEE6}" destId="{3594006E-EDF4-43FA-855D-55C3C5F082AF}" srcOrd="1" destOrd="0" presId="urn:microsoft.com/office/officeart/2005/8/layout/orgChart1"/>
    <dgm:cxn modelId="{F9389386-34E4-4E08-A6E0-E30F62226CDA}" type="presOf" srcId="{6C88C8AE-CFC2-457C-8CD9-41A57B9E70B8}" destId="{35C0DAD1-66C3-4740-98A1-00A4BD0A4564}" srcOrd="0" destOrd="0" presId="urn:microsoft.com/office/officeart/2005/8/layout/orgChart1"/>
    <dgm:cxn modelId="{828D2F89-A722-4267-A2BB-8300FE9BF7BE}" type="presOf" srcId="{305F5364-7F0D-4C6F-B565-5C9833C77CC5}" destId="{F37535CB-5028-4158-B8BB-B599F370A339}" srcOrd="0" destOrd="0" presId="urn:microsoft.com/office/officeart/2005/8/layout/orgChart1"/>
    <dgm:cxn modelId="{40B49289-B69C-46A3-9042-E6AD838BC974}" type="presOf" srcId="{4C708C60-FCE8-4523-A072-6310161B433E}" destId="{E3744603-9B52-4E13-9810-F633262CB01C}" srcOrd="0" destOrd="0" presId="urn:microsoft.com/office/officeart/2005/8/layout/orgChart1"/>
    <dgm:cxn modelId="{798A9B89-6CAA-4694-92A7-07C321710DF1}" type="presOf" srcId="{C87D0185-A927-4A83-A9D0-EE494B38E8D3}" destId="{F75DC991-44CE-406B-BD99-E05CBFC3597C}" srcOrd="0" destOrd="0" presId="urn:microsoft.com/office/officeart/2005/8/layout/orgChart1"/>
    <dgm:cxn modelId="{C07BEF8A-4D4A-479C-B8A7-44B45B912070}" type="presOf" srcId="{1A39C80B-73FB-411F-BD4A-249868550A51}" destId="{647C1275-7891-413D-A763-CEF1DB279D94}" srcOrd="0" destOrd="0" presId="urn:microsoft.com/office/officeart/2005/8/layout/orgChart1"/>
    <dgm:cxn modelId="{D0F5BF8B-4511-489B-BC68-E0503933B2D0}" type="presOf" srcId="{F3CBBB40-30A1-4751-B177-3A5CDDC7C4A4}" destId="{7D6FC79F-BAAA-449D-87DC-E6421092D2A6}" srcOrd="0" destOrd="0" presId="urn:microsoft.com/office/officeart/2005/8/layout/orgChart1"/>
    <dgm:cxn modelId="{CDDCD68E-F2A3-460B-80DF-2635B1617CEF}" type="presOf" srcId="{81696D6D-B25E-410E-9009-355A20A1A717}" destId="{BE20C3D7-5DC1-4444-A965-6834A8741642}" srcOrd="0" destOrd="0" presId="urn:microsoft.com/office/officeart/2005/8/layout/orgChart1"/>
    <dgm:cxn modelId="{F818B694-ED6B-43B5-80F3-88CDC03EBEF7}" type="presOf" srcId="{F3CBBB40-30A1-4751-B177-3A5CDDC7C4A4}" destId="{09020D3C-05C9-4EEC-92A0-53C2CE579AFD}" srcOrd="1" destOrd="0" presId="urn:microsoft.com/office/officeart/2005/8/layout/orgChart1"/>
    <dgm:cxn modelId="{6A4EFB95-B0D1-4665-9A2E-B36E4AD2DD8B}" type="presOf" srcId="{16985E1B-552B-41C6-B98C-79FB3D6DAF1D}" destId="{BEF2EAC9-F187-4EDC-9AEA-E5AABEC0EB1E}" srcOrd="0" destOrd="0" presId="urn:microsoft.com/office/officeart/2005/8/layout/orgChart1"/>
    <dgm:cxn modelId="{40674B96-DBA3-4150-9C85-B8A81B0B3887}" type="presOf" srcId="{7BC3BF3B-6057-4C20-A2B3-8CE35DD05FE4}" destId="{A5234D8F-9E3C-461D-892A-43794FAED207}" srcOrd="1" destOrd="0" presId="urn:microsoft.com/office/officeart/2005/8/layout/orgChart1"/>
    <dgm:cxn modelId="{643C2F9A-8EB9-4130-825B-3549529EF206}" type="presOf" srcId="{32E729DA-CEC1-4BB0-849D-135300C81244}" destId="{75EF16CF-B452-4115-959B-09C378F8DCE5}" srcOrd="0" destOrd="0" presId="urn:microsoft.com/office/officeart/2005/8/layout/orgChart1"/>
    <dgm:cxn modelId="{D22EC89A-ADFE-4FB6-BD62-44050F34AFC0}" type="presOf" srcId="{61ECC715-BBD7-48AE-B78C-19CFC8744BD5}" destId="{16958ECF-82D7-4340-80BE-62E2872E9639}" srcOrd="1" destOrd="0" presId="urn:microsoft.com/office/officeart/2005/8/layout/orgChart1"/>
    <dgm:cxn modelId="{2FCDB59C-2461-4760-9E23-9CBFEB4A83FB}" type="presOf" srcId="{760E1814-A9FE-4A38-8663-D8FA9359B0CA}" destId="{1B0BBB5F-C83B-4069-AEE7-54C2DDF467FF}" srcOrd="0" destOrd="0" presId="urn:microsoft.com/office/officeart/2005/8/layout/orgChart1"/>
    <dgm:cxn modelId="{78EF109E-7448-4A86-AD54-564544FF8C99}" type="presOf" srcId="{9A9C6070-9D06-4645-844F-813850F3679E}" destId="{2DD99029-3C21-4E6E-A9F8-65F189509F28}" srcOrd="0" destOrd="0" presId="urn:microsoft.com/office/officeart/2005/8/layout/orgChart1"/>
    <dgm:cxn modelId="{537BA39E-BE22-4982-8885-555CF327FF44}" type="presOf" srcId="{3853E0C6-3174-45F2-82A9-95E549D39802}" destId="{C7A1DAA0-BD7D-4662-AE61-9D85591C32D8}" srcOrd="0" destOrd="0" presId="urn:microsoft.com/office/officeart/2005/8/layout/orgChart1"/>
    <dgm:cxn modelId="{2446B19F-8118-4569-A58E-6903C9B9C41B}" type="presOf" srcId="{867D776B-245D-467F-BD3F-2554245F80B0}" destId="{708737BF-934E-4C35-91CE-60FA57408673}" srcOrd="0" destOrd="0" presId="urn:microsoft.com/office/officeart/2005/8/layout/orgChart1"/>
    <dgm:cxn modelId="{649924A0-DE5E-4F70-A483-4ECA56AD53DD}" type="presOf" srcId="{D961D356-C423-4930-9CD4-5641A753DEE6}" destId="{D5C976BE-90F4-430A-A970-6B4381FC975B}" srcOrd="0" destOrd="0" presId="urn:microsoft.com/office/officeart/2005/8/layout/orgChart1"/>
    <dgm:cxn modelId="{B2B1B3A0-E956-43BB-BF9E-163C733CF671}" type="presOf" srcId="{CCBA6725-B737-49A1-AD3F-FBB1D0850282}" destId="{06164B65-EAB5-4472-BA32-33521D3460FE}" srcOrd="1" destOrd="0" presId="urn:microsoft.com/office/officeart/2005/8/layout/orgChart1"/>
    <dgm:cxn modelId="{37870DA6-DB9C-4D6B-91E2-3674BF93CBC4}" srcId="{867D776B-245D-467F-BD3F-2554245F80B0}" destId="{A29D78EA-EACC-4D0A-B7AD-F70145C829A2}" srcOrd="2" destOrd="0" parTransId="{DBCB58F9-2E0A-4046-B208-1A56DFAFB064}" sibTransId="{CF0A83AE-B385-4350-BC4A-782B72712A2B}"/>
    <dgm:cxn modelId="{FD8130A8-914F-41FD-9EFC-94E863BB9039}" type="presOf" srcId="{F360A459-0493-45A0-BE09-9CB397E4C5EC}" destId="{117150F1-77AC-487B-B5D6-79D824341F8A}" srcOrd="1" destOrd="0" presId="urn:microsoft.com/office/officeart/2005/8/layout/orgChart1"/>
    <dgm:cxn modelId="{114FB4A8-E3A1-4C63-BCD9-750683D0E0A4}" srcId="{0E4D8AFF-591B-460C-A4C9-67F2C9857CC4}" destId="{32E729DA-CEC1-4BB0-849D-135300C81244}" srcOrd="1" destOrd="0" parTransId="{91FEEABB-DBB4-4847-9263-A7C1CC5180DD}" sibTransId="{DFDE75F2-14D1-4932-90EC-DE1B47BE6212}"/>
    <dgm:cxn modelId="{297C6CA9-2F2E-4825-95B4-317B109BDBAE}" type="presOf" srcId="{DC7DE79B-3246-4BD6-B8DF-B2B336389C99}" destId="{034770C3-9461-4C5D-85D2-55944645916A}" srcOrd="0" destOrd="0" presId="urn:microsoft.com/office/officeart/2005/8/layout/orgChart1"/>
    <dgm:cxn modelId="{51784DA9-40F2-492D-AAA0-48126E5DA0E6}" type="presOf" srcId="{4432A52E-D9D2-4556-852B-42671DA95ABF}" destId="{C314E26F-6362-4AA6-AC20-89CF8A23170C}" srcOrd="0" destOrd="0" presId="urn:microsoft.com/office/officeart/2005/8/layout/orgChart1"/>
    <dgm:cxn modelId="{22B258B4-1239-4601-9DD1-B8CFF712D45D}" type="presOf" srcId="{91FEEABB-DBB4-4847-9263-A7C1CC5180DD}" destId="{17A3FD81-5A2B-4F95-9673-FF298F7075E3}" srcOrd="0" destOrd="0" presId="urn:microsoft.com/office/officeart/2005/8/layout/orgChart1"/>
    <dgm:cxn modelId="{4F3E92B4-4DDC-40E1-B10E-093DEF401C56}" type="presOf" srcId="{60C487F2-55E9-4051-B835-0507B34F4BF2}" destId="{047B165C-EC46-4E7C-B2C5-5C99D519DB62}" srcOrd="1" destOrd="0" presId="urn:microsoft.com/office/officeart/2005/8/layout/orgChart1"/>
    <dgm:cxn modelId="{CF16F0B4-84FF-4CC4-A0E9-A3F93EED4AF1}" type="presOf" srcId="{D39309F4-2A30-4E7B-8131-898F2002A885}" destId="{4177E1FB-1880-49C5-98C6-780ACA90E1B0}" srcOrd="0" destOrd="0" presId="urn:microsoft.com/office/officeart/2005/8/layout/orgChart1"/>
    <dgm:cxn modelId="{E70DC8B5-EC1D-4EE8-BD06-F7B7AED2EE55}" type="presOf" srcId="{364CCC50-BB28-4AE8-9F19-D67AE86B75E3}" destId="{F5FC3E46-0C06-4311-AC9F-CE4959F65759}" srcOrd="0" destOrd="0" presId="urn:microsoft.com/office/officeart/2005/8/layout/orgChart1"/>
    <dgm:cxn modelId="{550662B6-604F-41A2-AA7D-706AA36166F7}" srcId="{32E729DA-CEC1-4BB0-849D-135300C81244}" destId="{6BF80D2A-3003-4519-969E-53AA167DCEE6}" srcOrd="0" destOrd="0" parTransId="{305F5364-7F0D-4C6F-B565-5C9833C77CC5}" sibTransId="{5F35A76F-9CFE-498E-8C47-FBBE1BB3E15B}"/>
    <dgm:cxn modelId="{46678AB7-DB03-4314-A680-7B35281FC022}" type="presOf" srcId="{8FF0E5E4-0B37-45D2-BCDD-161AC305E7A1}" destId="{C893A817-868A-42D6-91D8-C39472590CC2}" srcOrd="0" destOrd="0" presId="urn:microsoft.com/office/officeart/2005/8/layout/orgChart1"/>
    <dgm:cxn modelId="{6A2DDDB7-670E-4A84-89BC-52BD14FBB7DA}" srcId="{32E729DA-CEC1-4BB0-849D-135300C81244}" destId="{4CAFF5B8-B9C9-47F2-900A-8462E0C40682}" srcOrd="1" destOrd="0" parTransId="{22C5A9FE-45C8-483E-8D7E-F72C2005FD6A}" sibTransId="{FC9877AC-ECC5-4AF0-844F-25E8664288A5}"/>
    <dgm:cxn modelId="{13E935BA-640E-4E17-B653-C2B99E9D2A52}" type="presOf" srcId="{C7369B69-F6D1-4824-ACA2-6A155304198B}" destId="{373BB783-128C-4A5F-B09F-2C6B132A3CA3}" srcOrd="0" destOrd="0" presId="urn:microsoft.com/office/officeart/2005/8/layout/orgChart1"/>
    <dgm:cxn modelId="{9A4D39BC-7093-4BA9-9DDB-D2607A91F786}" type="presOf" srcId="{19D444F5-87A0-40A4-A08C-56732C05D361}" destId="{377B6AB1-2E5F-4FBA-866C-1F5B3CE7165C}" srcOrd="0" destOrd="0" presId="urn:microsoft.com/office/officeart/2005/8/layout/orgChart1"/>
    <dgm:cxn modelId="{0A7EDCBC-039A-4E50-AEE3-2A978A9ED844}" type="presOf" srcId="{22C5A9FE-45C8-483E-8D7E-F72C2005FD6A}" destId="{F1F04FE5-60D0-42CE-B901-5B5F51BFA723}" srcOrd="0" destOrd="0" presId="urn:microsoft.com/office/officeart/2005/8/layout/orgChart1"/>
    <dgm:cxn modelId="{F14CE6BF-832B-4A3E-843A-CFF82C244620}" srcId="{F2D435C7-7B62-44AE-9C4C-A8A6A7D411D3}" destId="{7ECE0D00-5FF8-4FC9-A18E-BD73AFA50EBC}" srcOrd="0" destOrd="0" parTransId="{097724E7-8DD8-4059-8D79-86F960544173}" sibTransId="{BE1E7920-381C-4BAF-B699-4127F18DF6BC}"/>
    <dgm:cxn modelId="{063CFFC1-C272-485B-94F3-A2DCEB5B7C6A}" type="presOf" srcId="{9A9C6070-9D06-4645-844F-813850F3679E}" destId="{E5AE67EA-DD41-469C-A41E-4F70B641E098}" srcOrd="1" destOrd="0" presId="urn:microsoft.com/office/officeart/2005/8/layout/orgChart1"/>
    <dgm:cxn modelId="{52F927C2-0FF6-48EF-AF50-DE4C0917E8B6}" type="presOf" srcId="{D961D356-C423-4930-9CD4-5641A753DEE6}" destId="{F2E8EDC4-B0CD-4FDB-8B13-077E8993B6AD}" srcOrd="1" destOrd="0" presId="urn:microsoft.com/office/officeart/2005/8/layout/orgChart1"/>
    <dgm:cxn modelId="{FA5DBFC7-0155-4021-A7DB-79CF32022449}" type="presOf" srcId="{3F8741FC-51E3-4D2D-A1AA-77211F7A629A}" destId="{F24B21A5-C4F5-4DDF-95CB-8BAE3C275280}" srcOrd="0" destOrd="0" presId="urn:microsoft.com/office/officeart/2005/8/layout/orgChart1"/>
    <dgm:cxn modelId="{09431CC8-19D3-422E-B073-4501DD093BD9}" type="presOf" srcId="{6BD5E1AC-0E8F-4628-89F0-780B1B1C928F}" destId="{2E8A66D7-765C-4F9D-A32F-D35362EDA44B}" srcOrd="0" destOrd="0" presId="urn:microsoft.com/office/officeart/2005/8/layout/orgChart1"/>
    <dgm:cxn modelId="{F895FFC8-464A-460B-9F16-C9741973812E}" type="presOf" srcId="{7ECE0D00-5FF8-4FC9-A18E-BD73AFA50EBC}" destId="{F137DA07-46A7-4D16-8613-D5AFB94C406C}" srcOrd="1" destOrd="0" presId="urn:microsoft.com/office/officeart/2005/8/layout/orgChart1"/>
    <dgm:cxn modelId="{31890BC9-009E-469B-B05F-E7C5279C2352}" srcId="{32E729DA-CEC1-4BB0-849D-135300C81244}" destId="{760E1814-A9FE-4A38-8663-D8FA9359B0CA}" srcOrd="3" destOrd="0" parTransId="{F69F0F7A-C13F-4EC4-A426-F13F4B540846}" sibTransId="{DE2A910C-490D-4A61-8D36-A01C1F26C943}"/>
    <dgm:cxn modelId="{FD9E1BCB-E472-43E1-B5DF-FA9FF0BA27A8}" type="presOf" srcId="{19D444F5-87A0-40A4-A08C-56732C05D361}" destId="{4197AA6A-5532-4EBC-9F75-57096D9ECAFF}" srcOrd="1" destOrd="0" presId="urn:microsoft.com/office/officeart/2005/8/layout/orgChart1"/>
    <dgm:cxn modelId="{A9BE14CC-454E-4F18-90F4-853029FEBCD1}" srcId="{A24439C4-6CC3-4F0B-AB37-B5F48C404637}" destId="{05354665-5CC3-42E3-84BB-CCE5C773D2E5}" srcOrd="2" destOrd="0" parTransId="{1D1B4510-CC78-4E88-B3F5-4C9F656F5F83}" sibTransId="{1D98A327-A3A2-4012-97E3-DB9D4D66FFF4}"/>
    <dgm:cxn modelId="{F97DCACF-CAAC-43C6-815F-19E88331DCEA}" type="presOf" srcId="{81696D6D-B25E-410E-9009-355A20A1A717}" destId="{ACEF8E68-9839-4010-94A2-07F12BF68460}" srcOrd="1" destOrd="0" presId="urn:microsoft.com/office/officeart/2005/8/layout/orgChart1"/>
    <dgm:cxn modelId="{D0A8DAD2-6D2B-4488-834A-EC3A492E8257}" type="presOf" srcId="{3F8741FC-51E3-4D2D-A1AA-77211F7A629A}" destId="{ADB9A74E-2ADE-421F-A303-46AEE8DD20FC}" srcOrd="1" destOrd="0" presId="urn:microsoft.com/office/officeart/2005/8/layout/orgChart1"/>
    <dgm:cxn modelId="{9BB215D3-A1E0-4192-A8C0-EE2EFD9E6767}" srcId="{7ECE0D00-5FF8-4FC9-A18E-BD73AFA50EBC}" destId="{EE2EDF37-688B-4FD0-A3FB-102928A9F920}" srcOrd="2" destOrd="0" parTransId="{6BD5E1AC-0E8F-4628-89F0-780B1B1C928F}" sibTransId="{B4703708-24D6-49DD-BAFE-062A2564E2E5}"/>
    <dgm:cxn modelId="{908F83D4-9754-4496-9173-47252845C3F8}" type="presOf" srcId="{41B0165B-41A6-4671-882F-3EEB4528E43B}" destId="{35A08AD2-E758-4E5C-B9D8-58D6CEA0EBC1}" srcOrd="1" destOrd="0" presId="urn:microsoft.com/office/officeart/2005/8/layout/orgChart1"/>
    <dgm:cxn modelId="{D3289FD9-C809-47B9-B11D-406575366CCE}" srcId="{7ECE0D00-5FF8-4FC9-A18E-BD73AFA50EBC}" destId="{7BC3BF3B-6057-4C20-A2B3-8CE35DD05FE4}" srcOrd="1" destOrd="0" parTransId="{D0356A9C-608C-4C78-A2E5-7810B71934A7}" sibTransId="{0B8D8286-9509-4010-8D1E-3F73DB57622D}"/>
    <dgm:cxn modelId="{12E062DC-45E8-4587-8517-D4F9285AF7DB}" type="presOf" srcId="{0E4D8AFF-591B-460C-A4C9-67F2C9857CC4}" destId="{4A23F757-1AAE-41A0-9F49-1D8ECD8B9F2C}" srcOrd="0" destOrd="0" presId="urn:microsoft.com/office/officeart/2005/8/layout/orgChart1"/>
    <dgm:cxn modelId="{0C680FDE-7D25-42B8-8FE4-7F1347AA57CB}" type="presOf" srcId="{4432A52E-D9D2-4556-852B-42671DA95ABF}" destId="{A3FA1DC9-AE88-4487-B093-E7AF94AD100C}" srcOrd="1" destOrd="0" presId="urn:microsoft.com/office/officeart/2005/8/layout/orgChart1"/>
    <dgm:cxn modelId="{7D569DE1-C48F-4B28-97BE-F8601175CA8B}" srcId="{0E4D8AFF-591B-460C-A4C9-67F2C9857CC4}" destId="{60C487F2-55E9-4051-B835-0507B34F4BF2}" srcOrd="0" destOrd="0" parTransId="{C7369B69-F6D1-4824-ACA2-6A155304198B}" sibTransId="{25667E21-E78C-427C-98F4-2950EC6F251B}"/>
    <dgm:cxn modelId="{EB651AE4-97A0-4C7D-961A-93D22AEA6096}" type="presOf" srcId="{2A939374-EEE9-4965-9872-33F17AE331AA}" destId="{B042746A-114F-4FF4-83E0-41B4AE1F0D78}" srcOrd="0" destOrd="0" presId="urn:microsoft.com/office/officeart/2005/8/layout/orgChart1"/>
    <dgm:cxn modelId="{D1BE4CE4-03BB-4DCD-BEB9-84C1F7E26F85}" type="presOf" srcId="{097724E7-8DD8-4059-8D79-86F960544173}" destId="{B26F875D-1D26-46AD-8FC8-DEC1F42F67CD}" srcOrd="0" destOrd="0" presId="urn:microsoft.com/office/officeart/2005/8/layout/orgChart1"/>
    <dgm:cxn modelId="{2C20F8E6-8DE2-4D55-8979-B27BACC0042D}" type="presOf" srcId="{7BC3BF3B-6057-4C20-A2B3-8CE35DD05FE4}" destId="{A9077D6F-A0BD-4C1E-90C6-11C4BD3509B0}" srcOrd="0" destOrd="0" presId="urn:microsoft.com/office/officeart/2005/8/layout/orgChart1"/>
    <dgm:cxn modelId="{DDA344E7-AD9A-4152-9C80-90EDF64A951D}" type="presOf" srcId="{4CAFF5B8-B9C9-47F2-900A-8462E0C40682}" destId="{0A8E184F-924D-4D9A-A40A-80A16F7CDDFD}" srcOrd="1" destOrd="0" presId="urn:microsoft.com/office/officeart/2005/8/layout/orgChart1"/>
    <dgm:cxn modelId="{B71B90E9-96EE-4A2B-8DE1-39203599E0F5}" type="presOf" srcId="{3F267390-0E50-4CCC-B005-BC11673CF2A3}" destId="{620CD522-B0E9-4FD9-842A-2B74F50428F0}" srcOrd="1" destOrd="0" presId="urn:microsoft.com/office/officeart/2005/8/layout/orgChart1"/>
    <dgm:cxn modelId="{651A22EA-78D6-48C5-834C-F84786B1DAB7}" type="presOf" srcId="{CCBA6725-B737-49A1-AD3F-FBB1D0850282}" destId="{967D5775-3315-4711-A3C5-8AA0110AF12C}" srcOrd="0" destOrd="0" presId="urn:microsoft.com/office/officeart/2005/8/layout/orgChart1"/>
    <dgm:cxn modelId="{BFA6FBEA-097F-4F69-A032-91D5CDA6D401}" srcId="{3F267390-0E50-4CCC-B005-BC11673CF2A3}" destId="{867D776B-245D-467F-BD3F-2554245F80B0}" srcOrd="1" destOrd="0" parTransId="{16985E1B-552B-41C6-B98C-79FB3D6DAF1D}" sibTransId="{B879EDBD-BCCE-43FC-B2B4-7057DB0EA39D}"/>
    <dgm:cxn modelId="{D9E89FEC-7DF2-49D8-8AAF-CCD6A5F272FD}" type="presOf" srcId="{1166AF32-0F15-49BE-A527-44BF102A5F42}" destId="{06238041-F4AF-40D9-9C60-6DF44F50767C}" srcOrd="1" destOrd="0" presId="urn:microsoft.com/office/officeart/2005/8/layout/orgChart1"/>
    <dgm:cxn modelId="{787843EE-86AA-4931-A7D4-63ED1A70CB75}" srcId="{A24439C4-6CC3-4F0B-AB37-B5F48C404637}" destId="{AD4A1B9D-D59B-4884-BF1C-76B0DF222B7F}" srcOrd="3" destOrd="0" parTransId="{4C708C60-FCE8-4523-A072-6310161B433E}" sibTransId="{2EE846E0-71BC-49C2-964D-B1805BB147FD}"/>
    <dgm:cxn modelId="{AC2255EE-7809-43C2-A2E5-7220AA8BB958}" type="presOf" srcId="{4638E7F5-667A-4AEE-9AD2-63AFFFD3B5EA}" destId="{D456413B-F5D9-4090-863F-B6D2387D5B5E}" srcOrd="1" destOrd="0" presId="urn:microsoft.com/office/officeart/2005/8/layout/orgChart1"/>
    <dgm:cxn modelId="{31E0B0EE-D7F8-4D44-9150-3E1051E73523}" srcId="{2A939374-EEE9-4965-9872-33F17AE331AA}" destId="{D961D356-C423-4930-9CD4-5641A753DEE6}" srcOrd="0" destOrd="0" parTransId="{DBB362DF-C898-48A7-B307-A03E8070FDA0}" sibTransId="{9A6C63E8-7BB7-4F8D-8A9B-21B04795D8EA}"/>
    <dgm:cxn modelId="{BACBAFEF-5176-4933-9C44-227DFA73E2AA}" type="presOf" srcId="{F2D435C7-7B62-44AE-9C4C-A8A6A7D411D3}" destId="{87D9F988-83C6-418A-A953-4DBA108E893C}" srcOrd="0" destOrd="0" presId="urn:microsoft.com/office/officeart/2005/8/layout/orgChart1"/>
    <dgm:cxn modelId="{0C7403F3-6FF1-44BF-8CD1-CF43ACAA51FE}" srcId="{867D776B-245D-467F-BD3F-2554245F80B0}" destId="{CCBA6725-B737-49A1-AD3F-FBB1D0850282}" srcOrd="4" destOrd="0" parTransId="{3853E0C6-3174-45F2-82A9-95E549D39802}" sibTransId="{9CFD926A-44D3-4C97-A879-4E55CAB26C09}"/>
    <dgm:cxn modelId="{ACD566F4-2DD7-403C-B91B-2D5D4BC9A434}" type="presOf" srcId="{4CAFF5B8-B9C9-47F2-900A-8462E0C40682}" destId="{C22F5DAA-6A58-483D-A786-31C7E8B9C100}" srcOrd="0" destOrd="0" presId="urn:microsoft.com/office/officeart/2005/8/layout/orgChart1"/>
    <dgm:cxn modelId="{C6571CF5-66DE-43CA-8EBF-E51DC54588C9}" type="presOf" srcId="{EE2EDF37-688B-4FD0-A3FB-102928A9F920}" destId="{57D27527-8CC6-49AA-B356-7BC3CEB693FF}" srcOrd="0" destOrd="0" presId="urn:microsoft.com/office/officeart/2005/8/layout/orgChart1"/>
    <dgm:cxn modelId="{1BB5CFF6-ECAD-4B34-8208-59B2F9AED820}" type="presOf" srcId="{A24439C4-6CC3-4F0B-AB37-B5F48C404637}" destId="{7043DE05-9A49-4A04-AEC9-CBECD2CF24F0}" srcOrd="1" destOrd="0" presId="urn:microsoft.com/office/officeart/2005/8/layout/orgChart1"/>
    <dgm:cxn modelId="{649A64F8-D78F-4126-8168-8515042AA380}" type="presOf" srcId="{F360A459-0493-45A0-BE09-9CB397E4C5EC}" destId="{ADE861E2-A031-4E11-A772-B1FAF95DDD31}" srcOrd="0" destOrd="0" presId="urn:microsoft.com/office/officeart/2005/8/layout/orgChart1"/>
    <dgm:cxn modelId="{498392F9-1C5C-48A1-86C0-7B383B9462B3}" type="presOf" srcId="{F957F72E-2469-4BA7-AD77-04D9406C06C1}" destId="{33D4EFE2-2895-4137-BF82-933228E2C18A}" srcOrd="1" destOrd="0" presId="urn:microsoft.com/office/officeart/2005/8/layout/orgChart1"/>
    <dgm:cxn modelId="{681587FD-83CA-48F2-A4D4-815B9656C702}" type="presOf" srcId="{1687D952-81D6-4A0A-A5F4-229A6C5523F0}" destId="{790AED7A-811E-4494-8491-C39EF35ED672}" srcOrd="0" destOrd="0" presId="urn:microsoft.com/office/officeart/2005/8/layout/orgChart1"/>
    <dgm:cxn modelId="{A54CC1E2-75D6-4D82-A07C-3224F5E35014}" type="presParOf" srcId="{B042746A-114F-4FF4-83E0-41B4AE1F0D78}" destId="{8A3164A8-D9A4-41C5-A925-70BDD77D91AC}" srcOrd="0" destOrd="0" presId="urn:microsoft.com/office/officeart/2005/8/layout/orgChart1"/>
    <dgm:cxn modelId="{7189D451-E0C1-458B-BC75-DD88D017AEEF}" type="presParOf" srcId="{8A3164A8-D9A4-41C5-A925-70BDD77D91AC}" destId="{7149557C-E372-4D7C-B8FF-1973C176CB0B}" srcOrd="0" destOrd="0" presId="urn:microsoft.com/office/officeart/2005/8/layout/orgChart1"/>
    <dgm:cxn modelId="{9CC14836-16EE-47D4-949C-A956377BD75B}" type="presParOf" srcId="{7149557C-E372-4D7C-B8FF-1973C176CB0B}" destId="{D5C976BE-90F4-430A-A970-6B4381FC975B}" srcOrd="0" destOrd="0" presId="urn:microsoft.com/office/officeart/2005/8/layout/orgChart1"/>
    <dgm:cxn modelId="{80FCD72D-6C08-4D6F-8F3E-5D55571169AB}" type="presParOf" srcId="{7149557C-E372-4D7C-B8FF-1973C176CB0B}" destId="{F2E8EDC4-B0CD-4FDB-8B13-077E8993B6AD}" srcOrd="1" destOrd="0" presId="urn:microsoft.com/office/officeart/2005/8/layout/orgChart1"/>
    <dgm:cxn modelId="{7ED04081-B917-4E74-84FA-28D233FC9133}" type="presParOf" srcId="{8A3164A8-D9A4-41C5-A925-70BDD77D91AC}" destId="{2B5D1BC1-5CC4-4765-BF27-D7FFF2FEC7D8}" srcOrd="1" destOrd="0" presId="urn:microsoft.com/office/officeart/2005/8/layout/orgChart1"/>
    <dgm:cxn modelId="{4B53C977-9A60-40AF-891F-49B93EEFBC95}" type="presParOf" srcId="{2B5D1BC1-5CC4-4765-BF27-D7FFF2FEC7D8}" destId="{C893A817-868A-42D6-91D8-C39472590CC2}" srcOrd="0" destOrd="0" presId="urn:microsoft.com/office/officeart/2005/8/layout/orgChart1"/>
    <dgm:cxn modelId="{C8557BFB-F4BB-44E2-BF9E-B72DC51E7CB3}" type="presParOf" srcId="{2B5D1BC1-5CC4-4765-BF27-D7FFF2FEC7D8}" destId="{61962F7F-F225-4FBB-8AED-9876DD1699B6}" srcOrd="1" destOrd="0" presId="urn:microsoft.com/office/officeart/2005/8/layout/orgChart1"/>
    <dgm:cxn modelId="{729DE61C-4D43-4F21-9FCC-7D4234B70DEB}" type="presParOf" srcId="{61962F7F-F225-4FBB-8AED-9876DD1699B6}" destId="{77E8DEAC-90AC-4321-BD14-5FE24A87A639}" srcOrd="0" destOrd="0" presId="urn:microsoft.com/office/officeart/2005/8/layout/orgChart1"/>
    <dgm:cxn modelId="{98AA1546-11FF-4B7B-BA33-CD62ED7599DE}" type="presParOf" srcId="{77E8DEAC-90AC-4321-BD14-5FE24A87A639}" destId="{87D9F988-83C6-418A-A953-4DBA108E893C}" srcOrd="0" destOrd="0" presId="urn:microsoft.com/office/officeart/2005/8/layout/orgChart1"/>
    <dgm:cxn modelId="{6D50CAA4-5841-472F-83B4-554CCF23317B}" type="presParOf" srcId="{77E8DEAC-90AC-4321-BD14-5FE24A87A639}" destId="{7406D7BA-634E-43ED-BABB-840ED6680B26}" srcOrd="1" destOrd="0" presId="urn:microsoft.com/office/officeart/2005/8/layout/orgChart1"/>
    <dgm:cxn modelId="{0005D2E2-09AA-42CB-9191-CE71FC39CB94}" type="presParOf" srcId="{61962F7F-F225-4FBB-8AED-9876DD1699B6}" destId="{15AE9F4B-B0C5-4299-8818-5CD00F8820F0}" srcOrd="1" destOrd="0" presId="urn:microsoft.com/office/officeart/2005/8/layout/orgChart1"/>
    <dgm:cxn modelId="{BAB3EEEB-27BF-4413-9779-899C19E1A2E3}" type="presParOf" srcId="{15AE9F4B-B0C5-4299-8818-5CD00F8820F0}" destId="{B26F875D-1D26-46AD-8FC8-DEC1F42F67CD}" srcOrd="0" destOrd="0" presId="urn:microsoft.com/office/officeart/2005/8/layout/orgChart1"/>
    <dgm:cxn modelId="{ABC4A53C-B4E8-4A22-9745-D15F9B1E9995}" type="presParOf" srcId="{15AE9F4B-B0C5-4299-8818-5CD00F8820F0}" destId="{7BC1CA5E-676F-4A01-91A8-7C5E83283D33}" srcOrd="1" destOrd="0" presId="urn:microsoft.com/office/officeart/2005/8/layout/orgChart1"/>
    <dgm:cxn modelId="{017C5A6A-08F2-4A79-859D-72746C55A8FC}" type="presParOf" srcId="{7BC1CA5E-676F-4A01-91A8-7C5E83283D33}" destId="{9AE612D4-6B0C-4BAD-8192-3B2856DDC0F4}" srcOrd="0" destOrd="0" presId="urn:microsoft.com/office/officeart/2005/8/layout/orgChart1"/>
    <dgm:cxn modelId="{B1EB4022-1CEA-4767-8BBA-B4F3696A74EE}" type="presParOf" srcId="{9AE612D4-6B0C-4BAD-8192-3B2856DDC0F4}" destId="{16797997-7266-46B4-9CB4-0FC279F486EA}" srcOrd="0" destOrd="0" presId="urn:microsoft.com/office/officeart/2005/8/layout/orgChart1"/>
    <dgm:cxn modelId="{5C81AEBC-B167-4592-9C00-3631F823A2EF}" type="presParOf" srcId="{9AE612D4-6B0C-4BAD-8192-3B2856DDC0F4}" destId="{F137DA07-46A7-4D16-8613-D5AFB94C406C}" srcOrd="1" destOrd="0" presId="urn:microsoft.com/office/officeart/2005/8/layout/orgChart1"/>
    <dgm:cxn modelId="{28C7EDEC-FFC4-450D-B94C-2AB675D97824}" type="presParOf" srcId="{7BC1CA5E-676F-4A01-91A8-7C5E83283D33}" destId="{71589DB5-B51A-44E0-AE0B-7846494FFA41}" srcOrd="1" destOrd="0" presId="urn:microsoft.com/office/officeart/2005/8/layout/orgChart1"/>
    <dgm:cxn modelId="{2FA18B5F-ECD9-4453-BBD2-081583663FE7}" type="presParOf" srcId="{71589DB5-B51A-44E0-AE0B-7846494FFA41}" destId="{4177E1FB-1880-49C5-98C6-780ACA90E1B0}" srcOrd="0" destOrd="0" presId="urn:microsoft.com/office/officeart/2005/8/layout/orgChart1"/>
    <dgm:cxn modelId="{1A9C56B1-5989-47CE-8357-75BF79C875F3}" type="presParOf" srcId="{71589DB5-B51A-44E0-AE0B-7846494FFA41}" destId="{0EF0A2AF-8205-46E0-9F81-35EF45779776}" srcOrd="1" destOrd="0" presId="urn:microsoft.com/office/officeart/2005/8/layout/orgChart1"/>
    <dgm:cxn modelId="{4040506F-4424-466B-A93A-52CE9EFFC728}" type="presParOf" srcId="{0EF0A2AF-8205-46E0-9F81-35EF45779776}" destId="{9F5F353D-6866-4BD5-B251-0331051E0E03}" srcOrd="0" destOrd="0" presId="urn:microsoft.com/office/officeart/2005/8/layout/orgChart1"/>
    <dgm:cxn modelId="{5F755FDD-4EF4-462F-B19A-568DE26587E2}" type="presParOf" srcId="{9F5F353D-6866-4BD5-B251-0331051E0E03}" destId="{C314E26F-6362-4AA6-AC20-89CF8A23170C}" srcOrd="0" destOrd="0" presId="urn:microsoft.com/office/officeart/2005/8/layout/orgChart1"/>
    <dgm:cxn modelId="{9E46280A-AEDB-480D-9E03-8B116CB99D6F}" type="presParOf" srcId="{9F5F353D-6866-4BD5-B251-0331051E0E03}" destId="{A3FA1DC9-AE88-4487-B093-E7AF94AD100C}" srcOrd="1" destOrd="0" presId="urn:microsoft.com/office/officeart/2005/8/layout/orgChart1"/>
    <dgm:cxn modelId="{F78A385E-8CCC-4181-82D7-3501CDE8E1F5}" type="presParOf" srcId="{0EF0A2AF-8205-46E0-9F81-35EF45779776}" destId="{C4BFA207-9003-40D4-B517-774A24491CEB}" srcOrd="1" destOrd="0" presId="urn:microsoft.com/office/officeart/2005/8/layout/orgChart1"/>
    <dgm:cxn modelId="{95A74583-AA75-4798-88EB-A568E706BD37}" type="presParOf" srcId="{0EF0A2AF-8205-46E0-9F81-35EF45779776}" destId="{27843B41-D2C9-4158-B5F8-624C966D26A3}" srcOrd="2" destOrd="0" presId="urn:microsoft.com/office/officeart/2005/8/layout/orgChart1"/>
    <dgm:cxn modelId="{EEB73CF4-6590-4440-B5AD-C0247A90E3A9}" type="presParOf" srcId="{71589DB5-B51A-44E0-AE0B-7846494FFA41}" destId="{DA554E03-40BD-44CF-8790-7AA329C45E42}" srcOrd="2" destOrd="0" presId="urn:microsoft.com/office/officeart/2005/8/layout/orgChart1"/>
    <dgm:cxn modelId="{C1C1F453-EF58-41AA-A80C-D8B07EF760C6}" type="presParOf" srcId="{71589DB5-B51A-44E0-AE0B-7846494FFA41}" destId="{598B6BF8-736B-4CEB-AA19-C5923B2A174C}" srcOrd="3" destOrd="0" presId="urn:microsoft.com/office/officeart/2005/8/layout/orgChart1"/>
    <dgm:cxn modelId="{7C100519-55AF-4003-98CE-DE565DBF8E4F}" type="presParOf" srcId="{598B6BF8-736B-4CEB-AA19-C5923B2A174C}" destId="{96555ED0-7E77-4EED-B081-5F0DA1BF5CE0}" srcOrd="0" destOrd="0" presId="urn:microsoft.com/office/officeart/2005/8/layout/orgChart1"/>
    <dgm:cxn modelId="{AD9F0AAB-B4D9-4B40-93DA-9A2E7D222006}" type="presParOf" srcId="{96555ED0-7E77-4EED-B081-5F0DA1BF5CE0}" destId="{A9077D6F-A0BD-4C1E-90C6-11C4BD3509B0}" srcOrd="0" destOrd="0" presId="urn:microsoft.com/office/officeart/2005/8/layout/orgChart1"/>
    <dgm:cxn modelId="{D54FC291-F7D9-43F3-ABD6-3844B1C3FBEB}" type="presParOf" srcId="{96555ED0-7E77-4EED-B081-5F0DA1BF5CE0}" destId="{A5234D8F-9E3C-461D-892A-43794FAED207}" srcOrd="1" destOrd="0" presId="urn:microsoft.com/office/officeart/2005/8/layout/orgChart1"/>
    <dgm:cxn modelId="{3B0DDF46-9D9F-44CA-844E-102C0E0391C0}" type="presParOf" srcId="{598B6BF8-736B-4CEB-AA19-C5923B2A174C}" destId="{44D5C491-B503-45D4-983F-871B2FB85CB9}" srcOrd="1" destOrd="0" presId="urn:microsoft.com/office/officeart/2005/8/layout/orgChart1"/>
    <dgm:cxn modelId="{58884EF8-3098-4C94-9C89-D75A3A8C726F}" type="presParOf" srcId="{598B6BF8-736B-4CEB-AA19-C5923B2A174C}" destId="{010B88C1-0A65-449C-AB6D-CD5A38E7937F}" srcOrd="2" destOrd="0" presId="urn:microsoft.com/office/officeart/2005/8/layout/orgChart1"/>
    <dgm:cxn modelId="{04F14B74-7BFD-4492-95B9-EFE3B05E8A3F}" type="presParOf" srcId="{71589DB5-B51A-44E0-AE0B-7846494FFA41}" destId="{2E8A66D7-765C-4F9D-A32F-D35362EDA44B}" srcOrd="4" destOrd="0" presId="urn:microsoft.com/office/officeart/2005/8/layout/orgChart1"/>
    <dgm:cxn modelId="{F61D9EB1-9D6B-4558-A339-430F2E4506EA}" type="presParOf" srcId="{71589DB5-B51A-44E0-AE0B-7846494FFA41}" destId="{31CEB6AE-1798-40C6-B020-8D0C49D064B4}" srcOrd="5" destOrd="0" presId="urn:microsoft.com/office/officeart/2005/8/layout/orgChart1"/>
    <dgm:cxn modelId="{402ED754-FC1E-4841-ADD5-703918EF0B1E}" type="presParOf" srcId="{31CEB6AE-1798-40C6-B020-8D0C49D064B4}" destId="{845068C8-888A-4A03-862E-79C1B1B9A780}" srcOrd="0" destOrd="0" presId="urn:microsoft.com/office/officeart/2005/8/layout/orgChart1"/>
    <dgm:cxn modelId="{1E80DE75-F6E3-4AA3-A4A0-CF745DF88D4F}" type="presParOf" srcId="{845068C8-888A-4A03-862E-79C1B1B9A780}" destId="{57D27527-8CC6-49AA-B356-7BC3CEB693FF}" srcOrd="0" destOrd="0" presId="urn:microsoft.com/office/officeart/2005/8/layout/orgChart1"/>
    <dgm:cxn modelId="{9500B691-7162-46B7-B1D9-53B4EB187538}" type="presParOf" srcId="{845068C8-888A-4A03-862E-79C1B1B9A780}" destId="{8DC1BEF0-D93E-43FF-8B64-2EDB5EDF1243}" srcOrd="1" destOrd="0" presId="urn:microsoft.com/office/officeart/2005/8/layout/orgChart1"/>
    <dgm:cxn modelId="{4EE34132-8491-4844-8FAC-20ED817EA33E}" type="presParOf" srcId="{31CEB6AE-1798-40C6-B020-8D0C49D064B4}" destId="{62C3559E-F8BD-489D-97B1-3FCF4D3BEC51}" srcOrd="1" destOrd="0" presId="urn:microsoft.com/office/officeart/2005/8/layout/orgChart1"/>
    <dgm:cxn modelId="{37FCD806-6A8F-4963-B095-EB60C0425AD3}" type="presParOf" srcId="{31CEB6AE-1798-40C6-B020-8D0C49D064B4}" destId="{C506A52C-6BA8-46FD-BBC5-029081FB2FA2}" srcOrd="2" destOrd="0" presId="urn:microsoft.com/office/officeart/2005/8/layout/orgChart1"/>
    <dgm:cxn modelId="{B60F4DB1-7674-4DAF-B8B1-2F0EBDDDAECC}" type="presParOf" srcId="{7BC1CA5E-676F-4A01-91A8-7C5E83283D33}" destId="{1A5A1CF1-FD66-425C-98A2-B428465B161B}" srcOrd="2" destOrd="0" presId="urn:microsoft.com/office/officeart/2005/8/layout/orgChart1"/>
    <dgm:cxn modelId="{4514C08F-CDBA-4610-BA65-8E5CB174209C}" type="presParOf" srcId="{15AE9F4B-B0C5-4299-8818-5CD00F8820F0}" destId="{9C23DC9A-B1F3-4AD3-A3CF-BA7738EFE431}" srcOrd="2" destOrd="0" presId="urn:microsoft.com/office/officeart/2005/8/layout/orgChart1"/>
    <dgm:cxn modelId="{040BBEDB-0EE9-4527-A1B5-3C536A321A30}" type="presParOf" srcId="{15AE9F4B-B0C5-4299-8818-5CD00F8820F0}" destId="{ED93661A-5C12-4D7F-A326-6502AC104EBB}" srcOrd="3" destOrd="0" presId="urn:microsoft.com/office/officeart/2005/8/layout/orgChart1"/>
    <dgm:cxn modelId="{DB412F28-4180-4D91-8E0E-D05A73441822}" type="presParOf" srcId="{ED93661A-5C12-4D7F-A326-6502AC104EBB}" destId="{F0692296-B77B-4BD9-9894-775DBF7A27DD}" srcOrd="0" destOrd="0" presId="urn:microsoft.com/office/officeart/2005/8/layout/orgChart1"/>
    <dgm:cxn modelId="{5013B44E-1C21-4387-AF45-85914FC41F5C}" type="presParOf" srcId="{F0692296-B77B-4BD9-9894-775DBF7A27DD}" destId="{ADF3D91C-C56F-4101-A65E-88579DC63B73}" srcOrd="0" destOrd="0" presId="urn:microsoft.com/office/officeart/2005/8/layout/orgChart1"/>
    <dgm:cxn modelId="{A4CBD1A7-77DD-409C-A4A8-AE57A9F0A5AC}" type="presParOf" srcId="{F0692296-B77B-4BD9-9894-775DBF7A27DD}" destId="{06238041-F4AF-40D9-9C60-6DF44F50767C}" srcOrd="1" destOrd="0" presId="urn:microsoft.com/office/officeart/2005/8/layout/orgChart1"/>
    <dgm:cxn modelId="{5E10FBFE-17AF-4132-BECB-ADB29C10B1B6}" type="presParOf" srcId="{ED93661A-5C12-4D7F-A326-6502AC104EBB}" destId="{3CF116C4-F031-4A9A-AF9D-85E1A823795D}" srcOrd="1" destOrd="0" presId="urn:microsoft.com/office/officeart/2005/8/layout/orgChart1"/>
    <dgm:cxn modelId="{BACADAD3-6CD6-4EEE-BD96-DF4B6A75C6BF}" type="presParOf" srcId="{3CF116C4-F031-4A9A-AF9D-85E1A823795D}" destId="{6ED7D0B0-AE7C-48F0-932A-CF7756D1D965}" srcOrd="0" destOrd="0" presId="urn:microsoft.com/office/officeart/2005/8/layout/orgChart1"/>
    <dgm:cxn modelId="{EC9C4409-4683-40BF-A80F-A963032E35DE}" type="presParOf" srcId="{3CF116C4-F031-4A9A-AF9D-85E1A823795D}" destId="{5D1AA017-1B74-449F-9DAA-44493D95D7FA}" srcOrd="1" destOrd="0" presId="urn:microsoft.com/office/officeart/2005/8/layout/orgChart1"/>
    <dgm:cxn modelId="{9E56F4DA-ED0C-4FF6-B3E0-1B699A6FE555}" type="presParOf" srcId="{5D1AA017-1B74-449F-9DAA-44493D95D7FA}" destId="{B3288C67-BF6E-4921-B1BE-489913E4DED8}" srcOrd="0" destOrd="0" presId="urn:microsoft.com/office/officeart/2005/8/layout/orgChart1"/>
    <dgm:cxn modelId="{4E6998DA-8CC2-4AB7-B8F5-1234FE321FFB}" type="presParOf" srcId="{B3288C67-BF6E-4921-B1BE-489913E4DED8}" destId="{ADE861E2-A031-4E11-A772-B1FAF95DDD31}" srcOrd="0" destOrd="0" presId="urn:microsoft.com/office/officeart/2005/8/layout/orgChart1"/>
    <dgm:cxn modelId="{D507727F-DF41-48C8-A185-3D96D777D2B8}" type="presParOf" srcId="{B3288C67-BF6E-4921-B1BE-489913E4DED8}" destId="{117150F1-77AC-487B-B5D6-79D824341F8A}" srcOrd="1" destOrd="0" presId="urn:microsoft.com/office/officeart/2005/8/layout/orgChart1"/>
    <dgm:cxn modelId="{EF024D9B-B018-47FE-AA85-895D2519137B}" type="presParOf" srcId="{5D1AA017-1B74-449F-9DAA-44493D95D7FA}" destId="{5D1CF707-5B08-4A11-9AD9-79AA86B3EBB0}" srcOrd="1" destOrd="0" presId="urn:microsoft.com/office/officeart/2005/8/layout/orgChart1"/>
    <dgm:cxn modelId="{490B017C-8D27-4859-8E09-CEF2328676B3}" type="presParOf" srcId="{5D1AA017-1B74-449F-9DAA-44493D95D7FA}" destId="{AD3DED53-CD59-410C-9CFD-C81B8034B7A0}" srcOrd="2" destOrd="0" presId="urn:microsoft.com/office/officeart/2005/8/layout/orgChart1"/>
    <dgm:cxn modelId="{4F56D65C-B880-4427-9690-6DB0ABBA47E6}" type="presParOf" srcId="{3CF116C4-F031-4A9A-AF9D-85E1A823795D}" destId="{647C1275-7891-413D-A763-CEF1DB279D94}" srcOrd="2" destOrd="0" presId="urn:microsoft.com/office/officeart/2005/8/layout/orgChart1"/>
    <dgm:cxn modelId="{B88B8433-2C9B-4AF1-B6CA-6468E98AD550}" type="presParOf" srcId="{3CF116C4-F031-4A9A-AF9D-85E1A823795D}" destId="{EDAB69C0-1BFC-47AB-A2B6-91BC8B826606}" srcOrd="3" destOrd="0" presId="urn:microsoft.com/office/officeart/2005/8/layout/orgChart1"/>
    <dgm:cxn modelId="{A2AE1900-C249-462B-9C1F-395B9BCFE4EC}" type="presParOf" srcId="{EDAB69C0-1BFC-47AB-A2B6-91BC8B826606}" destId="{8F5CD488-7A31-4531-9A43-3E33C4BF7326}" srcOrd="0" destOrd="0" presId="urn:microsoft.com/office/officeart/2005/8/layout/orgChart1"/>
    <dgm:cxn modelId="{501924EA-B7F2-472C-9FF9-168B56BFD053}" type="presParOf" srcId="{8F5CD488-7A31-4531-9A43-3E33C4BF7326}" destId="{35C0DAD1-66C3-4740-98A1-00A4BD0A4564}" srcOrd="0" destOrd="0" presId="urn:microsoft.com/office/officeart/2005/8/layout/orgChart1"/>
    <dgm:cxn modelId="{E3669170-F5E5-4551-814C-CD53340F36DD}" type="presParOf" srcId="{8F5CD488-7A31-4531-9A43-3E33C4BF7326}" destId="{F8D66CDC-2FB9-4C20-9813-1874695C90F4}" srcOrd="1" destOrd="0" presId="urn:microsoft.com/office/officeart/2005/8/layout/orgChart1"/>
    <dgm:cxn modelId="{36A66820-BCB4-4AB8-ACBC-66A0B47F60AC}" type="presParOf" srcId="{EDAB69C0-1BFC-47AB-A2B6-91BC8B826606}" destId="{DFFEADA8-8E2D-4BF3-A372-880B713F23C2}" srcOrd="1" destOrd="0" presId="urn:microsoft.com/office/officeart/2005/8/layout/orgChart1"/>
    <dgm:cxn modelId="{D3CC07D4-EA7E-434F-B0D5-E9D67B965ADB}" type="presParOf" srcId="{EDAB69C0-1BFC-47AB-A2B6-91BC8B826606}" destId="{3EB286FB-9E50-4F22-AEBC-68CDB7F9F8B3}" srcOrd="2" destOrd="0" presId="urn:microsoft.com/office/officeart/2005/8/layout/orgChart1"/>
    <dgm:cxn modelId="{ACBAABA3-BE00-4FA4-9F6D-30F825ECE7DD}" type="presParOf" srcId="{ED93661A-5C12-4D7F-A326-6502AC104EBB}" destId="{BBE22042-6906-4393-9531-D27D8370A218}" srcOrd="2" destOrd="0" presId="urn:microsoft.com/office/officeart/2005/8/layout/orgChart1"/>
    <dgm:cxn modelId="{5919B587-DAFE-44E6-A1D5-D2E25F53DF2B}" type="presParOf" srcId="{61962F7F-F225-4FBB-8AED-9876DD1699B6}" destId="{247D9EFE-18C9-48C1-B53C-6C0BDE370A74}" srcOrd="2" destOrd="0" presId="urn:microsoft.com/office/officeart/2005/8/layout/orgChart1"/>
    <dgm:cxn modelId="{EAA0FBC9-315A-4FC5-86DE-5DD0D44D6793}" type="presParOf" srcId="{2B5D1BC1-5CC4-4765-BF27-D7FFF2FEC7D8}" destId="{F75DC991-44CE-406B-BD99-E05CBFC3597C}" srcOrd="2" destOrd="0" presId="urn:microsoft.com/office/officeart/2005/8/layout/orgChart1"/>
    <dgm:cxn modelId="{EDE89787-D735-4015-99DF-1DAAF8664547}" type="presParOf" srcId="{2B5D1BC1-5CC4-4765-BF27-D7FFF2FEC7D8}" destId="{1281182B-B909-4DE9-BF81-6A0B9F505676}" srcOrd="3" destOrd="0" presId="urn:microsoft.com/office/officeart/2005/8/layout/orgChart1"/>
    <dgm:cxn modelId="{E8F71DD8-73FD-419C-9FBA-455BA12A3E57}" type="presParOf" srcId="{1281182B-B909-4DE9-BF81-6A0B9F505676}" destId="{40EF262E-AA9C-47B0-BAEF-A0718B2FE6E2}" srcOrd="0" destOrd="0" presId="urn:microsoft.com/office/officeart/2005/8/layout/orgChart1"/>
    <dgm:cxn modelId="{CE80E106-8502-4B88-9685-D49D0C51F69D}" type="presParOf" srcId="{40EF262E-AA9C-47B0-BAEF-A0718B2FE6E2}" destId="{A9634FF6-2749-44C9-B7B1-E1619ED40DAC}" srcOrd="0" destOrd="0" presId="urn:microsoft.com/office/officeart/2005/8/layout/orgChart1"/>
    <dgm:cxn modelId="{38041B96-7501-43E7-8A94-B5A7A09A5BD8}" type="presParOf" srcId="{40EF262E-AA9C-47B0-BAEF-A0718B2FE6E2}" destId="{620CD522-B0E9-4FD9-842A-2B74F50428F0}" srcOrd="1" destOrd="0" presId="urn:microsoft.com/office/officeart/2005/8/layout/orgChart1"/>
    <dgm:cxn modelId="{8F08FA71-CD3C-45B3-934B-E439C277AB46}" type="presParOf" srcId="{1281182B-B909-4DE9-BF81-6A0B9F505676}" destId="{1EDC6B36-E10C-4486-A610-F902600CF3F9}" srcOrd="1" destOrd="0" presId="urn:microsoft.com/office/officeart/2005/8/layout/orgChart1"/>
    <dgm:cxn modelId="{53AC4A0E-7B03-466F-99C4-A6729ED910E7}" type="presParOf" srcId="{1EDC6B36-E10C-4486-A610-F902600CF3F9}" destId="{F69CB23E-FA84-42DB-B08B-A21A8DFD06A1}" srcOrd="0" destOrd="0" presId="urn:microsoft.com/office/officeart/2005/8/layout/orgChart1"/>
    <dgm:cxn modelId="{2033094E-BCFF-4317-95EE-BE9D8FF264AD}" type="presParOf" srcId="{1EDC6B36-E10C-4486-A610-F902600CF3F9}" destId="{67DFB851-6E13-4513-915A-581E4051B9C5}" srcOrd="1" destOrd="0" presId="urn:microsoft.com/office/officeart/2005/8/layout/orgChart1"/>
    <dgm:cxn modelId="{09FB902F-5529-4435-89AD-E2F61F108482}" type="presParOf" srcId="{67DFB851-6E13-4513-915A-581E4051B9C5}" destId="{5A463CB9-B709-4AAC-BF31-E2F9C7719A0C}" srcOrd="0" destOrd="0" presId="urn:microsoft.com/office/officeart/2005/8/layout/orgChart1"/>
    <dgm:cxn modelId="{75EDE5EA-341E-4483-A859-3EAE4EF6D702}" type="presParOf" srcId="{5A463CB9-B709-4AAC-BF31-E2F9C7719A0C}" destId="{C0E5A178-5117-4E98-BB64-AD9E497BE4C4}" srcOrd="0" destOrd="0" presId="urn:microsoft.com/office/officeart/2005/8/layout/orgChart1"/>
    <dgm:cxn modelId="{F4B49DA7-322F-4C21-8A70-F427A3472992}" type="presParOf" srcId="{5A463CB9-B709-4AAC-BF31-E2F9C7719A0C}" destId="{7043DE05-9A49-4A04-AEC9-CBECD2CF24F0}" srcOrd="1" destOrd="0" presId="urn:microsoft.com/office/officeart/2005/8/layout/orgChart1"/>
    <dgm:cxn modelId="{D18D468A-90EF-4186-AC0F-2294C5B305C4}" type="presParOf" srcId="{67DFB851-6E13-4513-915A-581E4051B9C5}" destId="{0B36FBB8-856C-4E39-B81C-05FBC969231D}" srcOrd="1" destOrd="0" presId="urn:microsoft.com/office/officeart/2005/8/layout/orgChart1"/>
    <dgm:cxn modelId="{4A3CAD18-9D5A-4E11-9E93-39276838479D}" type="presParOf" srcId="{0B36FBB8-856C-4E39-B81C-05FBC969231D}" destId="{A90D7EAC-CA92-46B8-8137-9F6451FED97E}" srcOrd="0" destOrd="0" presId="urn:microsoft.com/office/officeart/2005/8/layout/orgChart1"/>
    <dgm:cxn modelId="{21F65D43-4490-4801-9A48-8FE7674A3DAB}" type="presParOf" srcId="{0B36FBB8-856C-4E39-B81C-05FBC969231D}" destId="{6098E0A0-92FA-4ADE-8F9F-D92213B741DB}" srcOrd="1" destOrd="0" presId="urn:microsoft.com/office/officeart/2005/8/layout/orgChart1"/>
    <dgm:cxn modelId="{DED33A96-3894-4A71-9067-F7392D503E16}" type="presParOf" srcId="{6098E0A0-92FA-4ADE-8F9F-D92213B741DB}" destId="{88F56A3D-4391-4781-847C-D4948CB70BFC}" srcOrd="0" destOrd="0" presId="urn:microsoft.com/office/officeart/2005/8/layout/orgChart1"/>
    <dgm:cxn modelId="{60C70556-7DD0-46EF-8F04-5C7A02E7AF3A}" type="presParOf" srcId="{88F56A3D-4391-4781-847C-D4948CB70BFC}" destId="{F24B21A5-C4F5-4DDF-95CB-8BAE3C275280}" srcOrd="0" destOrd="0" presId="urn:microsoft.com/office/officeart/2005/8/layout/orgChart1"/>
    <dgm:cxn modelId="{F9712904-35B6-4045-B4D4-E358513A089C}" type="presParOf" srcId="{88F56A3D-4391-4781-847C-D4948CB70BFC}" destId="{ADB9A74E-2ADE-421F-A303-46AEE8DD20FC}" srcOrd="1" destOrd="0" presId="urn:microsoft.com/office/officeart/2005/8/layout/orgChart1"/>
    <dgm:cxn modelId="{4D1A4317-7391-4BD7-9787-D98F7FC3E1F0}" type="presParOf" srcId="{6098E0A0-92FA-4ADE-8F9F-D92213B741DB}" destId="{5DB71849-9697-4AF5-86D0-F94B61C60A1B}" srcOrd="1" destOrd="0" presId="urn:microsoft.com/office/officeart/2005/8/layout/orgChart1"/>
    <dgm:cxn modelId="{590FCB17-5937-4C66-8852-6A80F2B1587D}" type="presParOf" srcId="{6098E0A0-92FA-4ADE-8F9F-D92213B741DB}" destId="{082CE84F-ED96-46F4-B50A-28AC951C8FB2}" srcOrd="2" destOrd="0" presId="urn:microsoft.com/office/officeart/2005/8/layout/orgChart1"/>
    <dgm:cxn modelId="{9F0A34FB-E5AE-4EFB-9A4D-B3D682FE2CF0}" type="presParOf" srcId="{0B36FBB8-856C-4E39-B81C-05FBC969231D}" destId="{127B7C78-0FD5-41F7-8CAB-19982FCDADE2}" srcOrd="2" destOrd="0" presId="urn:microsoft.com/office/officeart/2005/8/layout/orgChart1"/>
    <dgm:cxn modelId="{A46C91C8-9F73-4916-BC09-231399EF8309}" type="presParOf" srcId="{0B36FBB8-856C-4E39-B81C-05FBC969231D}" destId="{605D10C2-36EE-4718-9F09-A02247DA4969}" srcOrd="3" destOrd="0" presId="urn:microsoft.com/office/officeart/2005/8/layout/orgChart1"/>
    <dgm:cxn modelId="{FAF41FF9-31E5-4D2C-BC3F-E6D1F5CC1982}" type="presParOf" srcId="{605D10C2-36EE-4718-9F09-A02247DA4969}" destId="{31C0D811-B65E-4167-B6CD-7607AEFA10CF}" srcOrd="0" destOrd="0" presId="urn:microsoft.com/office/officeart/2005/8/layout/orgChart1"/>
    <dgm:cxn modelId="{EB381C61-F07A-4784-B713-BEA541559705}" type="presParOf" srcId="{31C0D811-B65E-4167-B6CD-7607AEFA10CF}" destId="{730A1844-FDE1-4C92-A72E-79EF655C45D1}" srcOrd="0" destOrd="0" presId="urn:microsoft.com/office/officeart/2005/8/layout/orgChart1"/>
    <dgm:cxn modelId="{C5EFD8E4-411F-46C1-9C65-618D7B70A02B}" type="presParOf" srcId="{31C0D811-B65E-4167-B6CD-7607AEFA10CF}" destId="{16958ECF-82D7-4340-80BE-62E2872E9639}" srcOrd="1" destOrd="0" presId="urn:microsoft.com/office/officeart/2005/8/layout/orgChart1"/>
    <dgm:cxn modelId="{FED9EBCB-854D-4815-83B3-B741EC501103}" type="presParOf" srcId="{605D10C2-36EE-4718-9F09-A02247DA4969}" destId="{5B75B567-062D-49EC-98F0-76C8D97D24CE}" srcOrd="1" destOrd="0" presId="urn:microsoft.com/office/officeart/2005/8/layout/orgChart1"/>
    <dgm:cxn modelId="{2C4EAF69-149D-42D7-BC56-E4F57D3F083E}" type="presParOf" srcId="{605D10C2-36EE-4718-9F09-A02247DA4969}" destId="{D1628E4D-61AB-423E-B2EE-FC9C22EFC2C3}" srcOrd="2" destOrd="0" presId="urn:microsoft.com/office/officeart/2005/8/layout/orgChart1"/>
    <dgm:cxn modelId="{68440993-0A65-45D3-9C9F-D67F215AB81F}" type="presParOf" srcId="{0B36FBB8-856C-4E39-B81C-05FBC969231D}" destId="{07CCB45D-67CF-40AE-8F50-27292F870F1E}" srcOrd="4" destOrd="0" presId="urn:microsoft.com/office/officeart/2005/8/layout/orgChart1"/>
    <dgm:cxn modelId="{6F2F2319-2E90-4A8C-96C2-86B0531716A5}" type="presParOf" srcId="{0B36FBB8-856C-4E39-B81C-05FBC969231D}" destId="{F272ABEF-C00B-4F20-949B-C3ED86640CC3}" srcOrd="5" destOrd="0" presId="urn:microsoft.com/office/officeart/2005/8/layout/orgChart1"/>
    <dgm:cxn modelId="{A54BC300-8C1B-4399-8E74-FD4D7422E3A1}" type="presParOf" srcId="{F272ABEF-C00B-4F20-949B-C3ED86640CC3}" destId="{34C68C69-8B6F-42C8-A25A-95E000D588C2}" srcOrd="0" destOrd="0" presId="urn:microsoft.com/office/officeart/2005/8/layout/orgChart1"/>
    <dgm:cxn modelId="{9C78C220-A02E-408B-841B-C6BA3D695102}" type="presParOf" srcId="{34C68C69-8B6F-42C8-A25A-95E000D588C2}" destId="{CDD83C32-7E8A-49F2-902B-DC628C163915}" srcOrd="0" destOrd="0" presId="urn:microsoft.com/office/officeart/2005/8/layout/orgChart1"/>
    <dgm:cxn modelId="{75B7BCC1-768B-4B43-A847-9C5688B9DAFE}" type="presParOf" srcId="{34C68C69-8B6F-42C8-A25A-95E000D588C2}" destId="{1AA55B47-FD6D-401A-B1D0-C895BA2CA4F4}" srcOrd="1" destOrd="0" presId="urn:microsoft.com/office/officeart/2005/8/layout/orgChart1"/>
    <dgm:cxn modelId="{AFB42BF0-63B3-4526-B6F3-5B8031B24011}" type="presParOf" srcId="{F272ABEF-C00B-4F20-949B-C3ED86640CC3}" destId="{FE192F33-5E11-436A-A29C-3628DDE2ACD4}" srcOrd="1" destOrd="0" presId="urn:microsoft.com/office/officeart/2005/8/layout/orgChart1"/>
    <dgm:cxn modelId="{B0D44FB2-8939-4447-89F1-757D81649C2C}" type="presParOf" srcId="{F272ABEF-C00B-4F20-949B-C3ED86640CC3}" destId="{2389919D-64DE-4770-8F37-853E3F702F42}" srcOrd="2" destOrd="0" presId="urn:microsoft.com/office/officeart/2005/8/layout/orgChart1"/>
    <dgm:cxn modelId="{4CEA3ABC-1061-4C4A-B28D-7077A7F1F145}" type="presParOf" srcId="{0B36FBB8-856C-4E39-B81C-05FBC969231D}" destId="{E3744603-9B52-4E13-9810-F633262CB01C}" srcOrd="6" destOrd="0" presId="urn:microsoft.com/office/officeart/2005/8/layout/orgChart1"/>
    <dgm:cxn modelId="{61C855FA-B095-448D-B55F-2CDB65D4E275}" type="presParOf" srcId="{0B36FBB8-856C-4E39-B81C-05FBC969231D}" destId="{B8A92A3F-C75E-481A-8813-FD658328180B}" srcOrd="7" destOrd="0" presId="urn:microsoft.com/office/officeart/2005/8/layout/orgChart1"/>
    <dgm:cxn modelId="{114834EA-5BF2-46C8-A2ED-80B46E9BC2B3}" type="presParOf" srcId="{B8A92A3F-C75E-481A-8813-FD658328180B}" destId="{D32ABAF2-5603-4DFA-82C9-D85E393CC3B4}" srcOrd="0" destOrd="0" presId="urn:microsoft.com/office/officeart/2005/8/layout/orgChart1"/>
    <dgm:cxn modelId="{F5286DCD-F7AF-47F4-971B-F7924652F675}" type="presParOf" srcId="{D32ABAF2-5603-4DFA-82C9-D85E393CC3B4}" destId="{A23FE01C-F4FF-4CAC-96BD-BC041F74F53F}" srcOrd="0" destOrd="0" presId="urn:microsoft.com/office/officeart/2005/8/layout/orgChart1"/>
    <dgm:cxn modelId="{711AC172-F085-41DB-A3A8-1CD9E47E1F12}" type="presParOf" srcId="{D32ABAF2-5603-4DFA-82C9-D85E393CC3B4}" destId="{DF9F0C84-570E-41A3-8FCF-F58533551E9C}" srcOrd="1" destOrd="0" presId="urn:microsoft.com/office/officeart/2005/8/layout/orgChart1"/>
    <dgm:cxn modelId="{D34A6427-F8E3-4351-8410-3040F320CC80}" type="presParOf" srcId="{B8A92A3F-C75E-481A-8813-FD658328180B}" destId="{ADDC27D1-0130-4CC0-BED3-748FB03B0683}" srcOrd="1" destOrd="0" presId="urn:microsoft.com/office/officeart/2005/8/layout/orgChart1"/>
    <dgm:cxn modelId="{D6F5FE23-1567-498B-8BB5-CED10C297BE0}" type="presParOf" srcId="{B8A92A3F-C75E-481A-8813-FD658328180B}" destId="{CE275EE9-5C9C-466F-AAAD-339374A1D480}" srcOrd="2" destOrd="0" presId="urn:microsoft.com/office/officeart/2005/8/layout/orgChart1"/>
    <dgm:cxn modelId="{1BDA36E7-C343-41D7-AADA-A096EB6C1DAA}" type="presParOf" srcId="{0B36FBB8-856C-4E39-B81C-05FBC969231D}" destId="{DF142F2C-1BE1-4D7A-AD36-9DE1D10F5A04}" srcOrd="8" destOrd="0" presId="urn:microsoft.com/office/officeart/2005/8/layout/orgChart1"/>
    <dgm:cxn modelId="{6AD3F0D3-3036-4F6F-8A51-5B90C485124E}" type="presParOf" srcId="{0B36FBB8-856C-4E39-B81C-05FBC969231D}" destId="{BC8FDFF5-82E8-45E3-BCD9-CD6582C26F15}" srcOrd="9" destOrd="0" presId="urn:microsoft.com/office/officeart/2005/8/layout/orgChart1"/>
    <dgm:cxn modelId="{4F2D1BA4-7D8E-4037-90C5-97C8D4665158}" type="presParOf" srcId="{BC8FDFF5-82E8-45E3-BCD9-CD6582C26F15}" destId="{EBCC46BF-3D2B-4EBE-B47D-FE084EBB98D3}" srcOrd="0" destOrd="0" presId="urn:microsoft.com/office/officeart/2005/8/layout/orgChart1"/>
    <dgm:cxn modelId="{8552ECDF-F838-4F86-BC45-83C1C65AB51B}" type="presParOf" srcId="{EBCC46BF-3D2B-4EBE-B47D-FE084EBB98D3}" destId="{BE20C3D7-5DC1-4444-A965-6834A8741642}" srcOrd="0" destOrd="0" presId="urn:microsoft.com/office/officeart/2005/8/layout/orgChart1"/>
    <dgm:cxn modelId="{47D505FF-191B-404C-B591-C32176C37722}" type="presParOf" srcId="{EBCC46BF-3D2B-4EBE-B47D-FE084EBB98D3}" destId="{ACEF8E68-9839-4010-94A2-07F12BF68460}" srcOrd="1" destOrd="0" presId="urn:microsoft.com/office/officeart/2005/8/layout/orgChart1"/>
    <dgm:cxn modelId="{6A342F5F-B58D-4E46-B381-7D4D4E541B18}" type="presParOf" srcId="{BC8FDFF5-82E8-45E3-BCD9-CD6582C26F15}" destId="{92CFD63B-E3C0-4115-B829-DE0279194D4F}" srcOrd="1" destOrd="0" presId="urn:microsoft.com/office/officeart/2005/8/layout/orgChart1"/>
    <dgm:cxn modelId="{8DD036DF-F27D-4081-A4EC-82C55BCDC2AF}" type="presParOf" srcId="{BC8FDFF5-82E8-45E3-BCD9-CD6582C26F15}" destId="{FD9B308B-6A1E-4649-A5B7-7FDD92DC70B1}" srcOrd="2" destOrd="0" presId="urn:microsoft.com/office/officeart/2005/8/layout/orgChart1"/>
    <dgm:cxn modelId="{F0959ABE-8702-4C1B-AECD-565B68749371}" type="presParOf" srcId="{67DFB851-6E13-4513-915A-581E4051B9C5}" destId="{5A940879-13C3-4295-9FF0-3A668E7444DE}" srcOrd="2" destOrd="0" presId="urn:microsoft.com/office/officeart/2005/8/layout/orgChart1"/>
    <dgm:cxn modelId="{7077C562-8DB8-4292-BB9C-795AA4A34D89}" type="presParOf" srcId="{1EDC6B36-E10C-4486-A610-F902600CF3F9}" destId="{BEF2EAC9-F187-4EDC-9AEA-E5AABEC0EB1E}" srcOrd="2" destOrd="0" presId="urn:microsoft.com/office/officeart/2005/8/layout/orgChart1"/>
    <dgm:cxn modelId="{0AF83EFB-D857-41C3-AED6-755135D04BF8}" type="presParOf" srcId="{1EDC6B36-E10C-4486-A610-F902600CF3F9}" destId="{23216D17-3777-49B2-ADBF-3BE880D7CD8F}" srcOrd="3" destOrd="0" presId="urn:microsoft.com/office/officeart/2005/8/layout/orgChart1"/>
    <dgm:cxn modelId="{90B34011-DF7A-4445-8211-E93C1DFD817B}" type="presParOf" srcId="{23216D17-3777-49B2-ADBF-3BE880D7CD8F}" destId="{2A60CCEB-D855-487C-9FD6-8A1DED0A2450}" srcOrd="0" destOrd="0" presId="urn:microsoft.com/office/officeart/2005/8/layout/orgChart1"/>
    <dgm:cxn modelId="{D38F2CBE-934F-401F-A24E-D03C14B844EE}" type="presParOf" srcId="{2A60CCEB-D855-487C-9FD6-8A1DED0A2450}" destId="{708737BF-934E-4C35-91CE-60FA57408673}" srcOrd="0" destOrd="0" presId="urn:microsoft.com/office/officeart/2005/8/layout/orgChart1"/>
    <dgm:cxn modelId="{17CBFB43-6689-40A5-AAA5-F70F035AFBC5}" type="presParOf" srcId="{2A60CCEB-D855-487C-9FD6-8A1DED0A2450}" destId="{D4AB2E4D-56B9-42A2-9876-8BED88792A88}" srcOrd="1" destOrd="0" presId="urn:microsoft.com/office/officeart/2005/8/layout/orgChart1"/>
    <dgm:cxn modelId="{BE4865FE-706F-4619-89A1-37FDC26FABB1}" type="presParOf" srcId="{23216D17-3777-49B2-ADBF-3BE880D7CD8F}" destId="{765F6CBD-E008-4327-A671-BF4CFD49F52A}" srcOrd="1" destOrd="0" presId="urn:microsoft.com/office/officeart/2005/8/layout/orgChart1"/>
    <dgm:cxn modelId="{C8B59026-1803-4A79-A30D-E618AAC8AF6B}" type="presParOf" srcId="{765F6CBD-E008-4327-A671-BF4CFD49F52A}" destId="{790AED7A-811E-4494-8491-C39EF35ED672}" srcOrd="0" destOrd="0" presId="urn:microsoft.com/office/officeart/2005/8/layout/orgChart1"/>
    <dgm:cxn modelId="{F7724767-61AC-4552-A116-8B5DD23B939E}" type="presParOf" srcId="{765F6CBD-E008-4327-A671-BF4CFD49F52A}" destId="{7DF4FA8C-AE53-4F12-A14B-117392B81135}" srcOrd="1" destOrd="0" presId="urn:microsoft.com/office/officeart/2005/8/layout/orgChart1"/>
    <dgm:cxn modelId="{8EA4814A-4E5F-4125-A732-A7813B067616}" type="presParOf" srcId="{7DF4FA8C-AE53-4F12-A14B-117392B81135}" destId="{76E19975-A72F-4C8E-8584-849203BDFBF4}" srcOrd="0" destOrd="0" presId="urn:microsoft.com/office/officeart/2005/8/layout/orgChart1"/>
    <dgm:cxn modelId="{581AF7E3-E3C4-452D-8E9C-03907F3EA601}" type="presParOf" srcId="{76E19975-A72F-4C8E-8584-849203BDFBF4}" destId="{24F24141-DE10-4AF5-9484-A1735AD8434B}" srcOrd="0" destOrd="0" presId="urn:microsoft.com/office/officeart/2005/8/layout/orgChart1"/>
    <dgm:cxn modelId="{F65F3FFA-BE6F-4678-B2F8-D5C2F8C72BBC}" type="presParOf" srcId="{76E19975-A72F-4C8E-8584-849203BDFBF4}" destId="{A9FFCD47-CBD9-47B4-979F-D71031D197C1}" srcOrd="1" destOrd="0" presId="urn:microsoft.com/office/officeart/2005/8/layout/orgChart1"/>
    <dgm:cxn modelId="{48F4188C-DB83-4A3A-802A-FB9DF9FF9921}" type="presParOf" srcId="{7DF4FA8C-AE53-4F12-A14B-117392B81135}" destId="{4BC6B5E0-4E9D-441D-BDEF-201F8CBD7287}" srcOrd="1" destOrd="0" presId="urn:microsoft.com/office/officeart/2005/8/layout/orgChart1"/>
    <dgm:cxn modelId="{ACFA62AA-FF77-4207-BA04-E3A2116102F2}" type="presParOf" srcId="{7DF4FA8C-AE53-4F12-A14B-117392B81135}" destId="{9C183D66-CAD1-43A4-8369-09091F954776}" srcOrd="2" destOrd="0" presId="urn:microsoft.com/office/officeart/2005/8/layout/orgChart1"/>
    <dgm:cxn modelId="{91691F3A-BE0D-4784-9D91-B006987970DA}" type="presParOf" srcId="{765F6CBD-E008-4327-A671-BF4CFD49F52A}" destId="{8F79E931-D75A-4D4F-8EF9-58DAB1F40195}" srcOrd="2" destOrd="0" presId="urn:microsoft.com/office/officeart/2005/8/layout/orgChart1"/>
    <dgm:cxn modelId="{4DBA2004-EC4C-4915-803B-7AA38B86FAEA}" type="presParOf" srcId="{765F6CBD-E008-4327-A671-BF4CFD49F52A}" destId="{51ECB85A-D80D-4DD3-9E67-EDAD305FE3D2}" srcOrd="3" destOrd="0" presId="urn:microsoft.com/office/officeart/2005/8/layout/orgChart1"/>
    <dgm:cxn modelId="{B6B807AE-E4B0-4265-9360-784428A9771A}" type="presParOf" srcId="{51ECB85A-D80D-4DD3-9E67-EDAD305FE3D2}" destId="{47E7BB14-4C2C-462F-8DA3-9F54D44C4E13}" srcOrd="0" destOrd="0" presId="urn:microsoft.com/office/officeart/2005/8/layout/orgChart1"/>
    <dgm:cxn modelId="{44EFE19F-7675-4CB7-983D-E975C7FE7504}" type="presParOf" srcId="{47E7BB14-4C2C-462F-8DA3-9F54D44C4E13}" destId="{EFA1F3BC-09CC-4868-8853-ECA0AED36E7D}" srcOrd="0" destOrd="0" presId="urn:microsoft.com/office/officeart/2005/8/layout/orgChart1"/>
    <dgm:cxn modelId="{04FE8DE3-93BF-4BB6-9DAB-604D15EA94EE}" type="presParOf" srcId="{47E7BB14-4C2C-462F-8DA3-9F54D44C4E13}" destId="{35A08AD2-E758-4E5C-B9D8-58D6CEA0EBC1}" srcOrd="1" destOrd="0" presId="urn:microsoft.com/office/officeart/2005/8/layout/orgChart1"/>
    <dgm:cxn modelId="{F8EFF3B9-A2B8-4D5F-8987-9EEE9EC77AD3}" type="presParOf" srcId="{51ECB85A-D80D-4DD3-9E67-EDAD305FE3D2}" destId="{18D69920-E703-4C88-9374-F733B60158B8}" srcOrd="1" destOrd="0" presId="urn:microsoft.com/office/officeart/2005/8/layout/orgChart1"/>
    <dgm:cxn modelId="{44CD95E4-BC30-4F6C-8526-D201FA7597CF}" type="presParOf" srcId="{51ECB85A-D80D-4DD3-9E67-EDAD305FE3D2}" destId="{E17C7049-6D7F-43B6-8839-23A23C5F510B}" srcOrd="2" destOrd="0" presId="urn:microsoft.com/office/officeart/2005/8/layout/orgChart1"/>
    <dgm:cxn modelId="{F71545A8-C523-496D-B790-1542C32139E4}" type="presParOf" srcId="{765F6CBD-E008-4327-A671-BF4CFD49F52A}" destId="{08020C02-9C7F-41FF-849B-6327EA92921E}" srcOrd="4" destOrd="0" presId="urn:microsoft.com/office/officeart/2005/8/layout/orgChart1"/>
    <dgm:cxn modelId="{50BB668B-BC69-4869-A9A5-CE7DDA6F406D}" type="presParOf" srcId="{765F6CBD-E008-4327-A671-BF4CFD49F52A}" destId="{27EB09AE-9E72-4000-AE22-917A1A6C8930}" srcOrd="5" destOrd="0" presId="urn:microsoft.com/office/officeart/2005/8/layout/orgChart1"/>
    <dgm:cxn modelId="{40F3100C-4FD0-4A79-A966-5B58243EB419}" type="presParOf" srcId="{27EB09AE-9E72-4000-AE22-917A1A6C8930}" destId="{E52B7CD5-BFD1-4689-B783-E31C24C091C1}" srcOrd="0" destOrd="0" presId="urn:microsoft.com/office/officeart/2005/8/layout/orgChart1"/>
    <dgm:cxn modelId="{569C5D7B-9702-416D-8755-2B87464485B5}" type="presParOf" srcId="{E52B7CD5-BFD1-4689-B783-E31C24C091C1}" destId="{9C592066-61CB-4BED-83F3-FBEBFEA862AE}" srcOrd="0" destOrd="0" presId="urn:microsoft.com/office/officeart/2005/8/layout/orgChart1"/>
    <dgm:cxn modelId="{6D83BA69-7A39-4E33-BDEC-0086A38904BF}" type="presParOf" srcId="{E52B7CD5-BFD1-4689-B783-E31C24C091C1}" destId="{29ECC640-2AFE-480C-9597-112D3F0E0AE1}" srcOrd="1" destOrd="0" presId="urn:microsoft.com/office/officeart/2005/8/layout/orgChart1"/>
    <dgm:cxn modelId="{2EB11728-D427-4984-923A-3CF0C84E50AD}" type="presParOf" srcId="{27EB09AE-9E72-4000-AE22-917A1A6C8930}" destId="{42D04521-36FE-4F72-80C6-BAE944BF990C}" srcOrd="1" destOrd="0" presId="urn:microsoft.com/office/officeart/2005/8/layout/orgChart1"/>
    <dgm:cxn modelId="{A93AD134-FC92-406C-996D-C8DC2D6472DE}" type="presParOf" srcId="{27EB09AE-9E72-4000-AE22-917A1A6C8930}" destId="{20E38A68-1AD0-44EA-8751-BCFCED263F10}" srcOrd="2" destOrd="0" presId="urn:microsoft.com/office/officeart/2005/8/layout/orgChart1"/>
    <dgm:cxn modelId="{5F61B65F-57D7-4ADB-A32B-30323010BB7C}" type="presParOf" srcId="{765F6CBD-E008-4327-A671-BF4CFD49F52A}" destId="{25284607-949C-41B4-984A-37F3AC1C0D34}" srcOrd="6" destOrd="0" presId="urn:microsoft.com/office/officeart/2005/8/layout/orgChart1"/>
    <dgm:cxn modelId="{357CEAE8-33B7-464C-BB58-A59822D73130}" type="presParOf" srcId="{765F6CBD-E008-4327-A671-BF4CFD49F52A}" destId="{667D6C09-92BD-43BA-86E7-659F82C1C48A}" srcOrd="7" destOrd="0" presId="urn:microsoft.com/office/officeart/2005/8/layout/orgChart1"/>
    <dgm:cxn modelId="{11D1CAFF-4D8D-4B24-BC3F-039621E5FC2C}" type="presParOf" srcId="{667D6C09-92BD-43BA-86E7-659F82C1C48A}" destId="{70FD2B77-7D26-455F-9A6E-6526C704A5CB}" srcOrd="0" destOrd="0" presId="urn:microsoft.com/office/officeart/2005/8/layout/orgChart1"/>
    <dgm:cxn modelId="{EE919B5A-CFB2-4181-915A-E0B1CB6CB1CA}" type="presParOf" srcId="{70FD2B77-7D26-455F-9A6E-6526C704A5CB}" destId="{EF370A94-3AFF-4958-9E56-BACC626417E1}" srcOrd="0" destOrd="0" presId="urn:microsoft.com/office/officeart/2005/8/layout/orgChart1"/>
    <dgm:cxn modelId="{901F7DD3-E99C-456A-BCD6-E06DE4295EB6}" type="presParOf" srcId="{70FD2B77-7D26-455F-9A6E-6526C704A5CB}" destId="{33D4EFE2-2895-4137-BF82-933228E2C18A}" srcOrd="1" destOrd="0" presId="urn:microsoft.com/office/officeart/2005/8/layout/orgChart1"/>
    <dgm:cxn modelId="{3DCBB462-8290-405D-91E0-7AD1C4B6B65D}" type="presParOf" srcId="{667D6C09-92BD-43BA-86E7-659F82C1C48A}" destId="{14BCA519-1F31-4456-A71C-B9120D15F554}" srcOrd="1" destOrd="0" presId="urn:microsoft.com/office/officeart/2005/8/layout/orgChart1"/>
    <dgm:cxn modelId="{0DE989CA-ED74-4688-B3B6-771982C7D62E}" type="presParOf" srcId="{667D6C09-92BD-43BA-86E7-659F82C1C48A}" destId="{848F367F-85B9-4404-B0CE-C0A4CA3FA86C}" srcOrd="2" destOrd="0" presId="urn:microsoft.com/office/officeart/2005/8/layout/orgChart1"/>
    <dgm:cxn modelId="{91743299-84BE-4065-8BAA-0E55937C02A7}" type="presParOf" srcId="{765F6CBD-E008-4327-A671-BF4CFD49F52A}" destId="{C7A1DAA0-BD7D-4662-AE61-9D85591C32D8}" srcOrd="8" destOrd="0" presId="urn:microsoft.com/office/officeart/2005/8/layout/orgChart1"/>
    <dgm:cxn modelId="{2D213628-6817-4C90-86DB-CB0CC1601C66}" type="presParOf" srcId="{765F6CBD-E008-4327-A671-BF4CFD49F52A}" destId="{3423DBD7-69A0-46E9-B029-BD150C822DC7}" srcOrd="9" destOrd="0" presId="urn:microsoft.com/office/officeart/2005/8/layout/orgChart1"/>
    <dgm:cxn modelId="{ED4831FA-2D13-4F93-B05F-5EA70F726FC3}" type="presParOf" srcId="{3423DBD7-69A0-46E9-B029-BD150C822DC7}" destId="{144D1603-2BF0-4148-87B5-F37551B4FED6}" srcOrd="0" destOrd="0" presId="urn:microsoft.com/office/officeart/2005/8/layout/orgChart1"/>
    <dgm:cxn modelId="{A8A32E05-ADFF-4B4B-A13D-78754F29C84F}" type="presParOf" srcId="{144D1603-2BF0-4148-87B5-F37551B4FED6}" destId="{967D5775-3315-4711-A3C5-8AA0110AF12C}" srcOrd="0" destOrd="0" presId="urn:microsoft.com/office/officeart/2005/8/layout/orgChart1"/>
    <dgm:cxn modelId="{00E75256-F52A-4843-B1B1-CB84F5101306}" type="presParOf" srcId="{144D1603-2BF0-4148-87B5-F37551B4FED6}" destId="{06164B65-EAB5-4472-BA32-33521D3460FE}" srcOrd="1" destOrd="0" presId="urn:microsoft.com/office/officeart/2005/8/layout/orgChart1"/>
    <dgm:cxn modelId="{A72BED48-8026-4E1D-9196-A20C103455D0}" type="presParOf" srcId="{3423DBD7-69A0-46E9-B029-BD150C822DC7}" destId="{830B2D79-4626-45FC-9174-7F5A059163B3}" srcOrd="1" destOrd="0" presId="urn:microsoft.com/office/officeart/2005/8/layout/orgChart1"/>
    <dgm:cxn modelId="{84F9042A-35F1-459C-86A7-6A59DE3A590B}" type="presParOf" srcId="{3423DBD7-69A0-46E9-B029-BD150C822DC7}" destId="{14DC8581-378C-458E-8176-B4131C99AD55}" srcOrd="2" destOrd="0" presId="urn:microsoft.com/office/officeart/2005/8/layout/orgChart1"/>
    <dgm:cxn modelId="{A82463B6-917E-4397-8D05-98C556BB989D}" type="presParOf" srcId="{23216D17-3777-49B2-ADBF-3BE880D7CD8F}" destId="{7F49EC79-8752-4ADB-BDB4-13D555077E64}" srcOrd="2" destOrd="0" presId="urn:microsoft.com/office/officeart/2005/8/layout/orgChart1"/>
    <dgm:cxn modelId="{059A507C-DCE0-42BC-817D-CA6512566A4C}" type="presParOf" srcId="{1281182B-B909-4DE9-BF81-6A0B9F505676}" destId="{E6524B58-73C3-401A-AC6C-60E20A8B6211}" srcOrd="2" destOrd="0" presId="urn:microsoft.com/office/officeart/2005/8/layout/orgChart1"/>
    <dgm:cxn modelId="{7C02F87C-5E50-4839-A29B-8E35504F7E08}" type="presParOf" srcId="{2B5D1BC1-5CC4-4765-BF27-D7FFF2FEC7D8}" destId="{84F32059-3046-49B2-A372-EF6EF86439AC}" srcOrd="4" destOrd="0" presId="urn:microsoft.com/office/officeart/2005/8/layout/orgChart1"/>
    <dgm:cxn modelId="{32826316-B32B-40D9-869F-E8613EB925A3}" type="presParOf" srcId="{2B5D1BC1-5CC4-4765-BF27-D7FFF2FEC7D8}" destId="{3A58DFE0-8B37-42AE-B37D-AF1A2A9F8C20}" srcOrd="5" destOrd="0" presId="urn:microsoft.com/office/officeart/2005/8/layout/orgChart1"/>
    <dgm:cxn modelId="{F19C5D82-3529-46C5-A24C-6DC3DE537DC1}" type="presParOf" srcId="{3A58DFE0-8B37-42AE-B37D-AF1A2A9F8C20}" destId="{C597C812-8A95-4308-8916-DF720047DE09}" srcOrd="0" destOrd="0" presId="urn:microsoft.com/office/officeart/2005/8/layout/orgChart1"/>
    <dgm:cxn modelId="{6E65FE9D-F798-4C41-8787-81B15268F5CF}" type="presParOf" srcId="{C597C812-8A95-4308-8916-DF720047DE09}" destId="{4A23F757-1AAE-41A0-9F49-1D8ECD8B9F2C}" srcOrd="0" destOrd="0" presId="urn:microsoft.com/office/officeart/2005/8/layout/orgChart1"/>
    <dgm:cxn modelId="{287D3E10-FB19-4A49-8156-834F616A3875}" type="presParOf" srcId="{C597C812-8A95-4308-8916-DF720047DE09}" destId="{9F2D6968-14C5-4EF2-8304-BD7B347B8A20}" srcOrd="1" destOrd="0" presId="urn:microsoft.com/office/officeart/2005/8/layout/orgChart1"/>
    <dgm:cxn modelId="{0A0BC129-95A3-4ED4-A035-C54D3B2F8DEF}" type="presParOf" srcId="{3A58DFE0-8B37-42AE-B37D-AF1A2A9F8C20}" destId="{994766E5-87BD-4906-9DD0-0C0006570390}" srcOrd="1" destOrd="0" presId="urn:microsoft.com/office/officeart/2005/8/layout/orgChart1"/>
    <dgm:cxn modelId="{946A7921-79FE-4182-B482-056BF52D80C9}" type="presParOf" srcId="{994766E5-87BD-4906-9DD0-0C0006570390}" destId="{373BB783-128C-4A5F-B09F-2C6B132A3CA3}" srcOrd="0" destOrd="0" presId="urn:microsoft.com/office/officeart/2005/8/layout/orgChart1"/>
    <dgm:cxn modelId="{DB0B9AA7-C5B9-4CB4-BBAC-8F218BC50B69}" type="presParOf" srcId="{994766E5-87BD-4906-9DD0-0C0006570390}" destId="{E5B0D4B9-A118-487E-85C9-7CB2C89FBB20}" srcOrd="1" destOrd="0" presId="urn:microsoft.com/office/officeart/2005/8/layout/orgChart1"/>
    <dgm:cxn modelId="{F58D61C5-B972-45C5-ADD0-02EC02852580}" type="presParOf" srcId="{E5B0D4B9-A118-487E-85C9-7CB2C89FBB20}" destId="{4EE006F1-417C-4E8F-9F05-91FD30CBD070}" srcOrd="0" destOrd="0" presId="urn:microsoft.com/office/officeart/2005/8/layout/orgChart1"/>
    <dgm:cxn modelId="{C6EC6910-99D3-4A9D-AB7A-69645BF0118D}" type="presParOf" srcId="{4EE006F1-417C-4E8F-9F05-91FD30CBD070}" destId="{3BF94813-5A36-4666-8B08-54E226EBAE21}" srcOrd="0" destOrd="0" presId="urn:microsoft.com/office/officeart/2005/8/layout/orgChart1"/>
    <dgm:cxn modelId="{F1C0B740-2B2D-43E0-BA6C-6AFBE029CF19}" type="presParOf" srcId="{4EE006F1-417C-4E8F-9F05-91FD30CBD070}" destId="{047B165C-EC46-4E7C-B2C5-5C99D519DB62}" srcOrd="1" destOrd="0" presId="urn:microsoft.com/office/officeart/2005/8/layout/orgChart1"/>
    <dgm:cxn modelId="{E16C93B7-0C0B-4AAE-BA9B-E8DE012AA00E}" type="presParOf" srcId="{E5B0D4B9-A118-487E-85C9-7CB2C89FBB20}" destId="{3D4B2032-8BE0-4AC7-9D7C-B77B076C4672}" srcOrd="1" destOrd="0" presId="urn:microsoft.com/office/officeart/2005/8/layout/orgChart1"/>
    <dgm:cxn modelId="{5421198C-BCCB-472B-ABE9-61DA43EB03B0}" type="presParOf" srcId="{3D4B2032-8BE0-4AC7-9D7C-B77B076C4672}" destId="{6BC52012-2DCA-4E5D-97ED-4A23D2EB49C6}" srcOrd="0" destOrd="0" presId="urn:microsoft.com/office/officeart/2005/8/layout/orgChart1"/>
    <dgm:cxn modelId="{F12D5509-7F27-48DC-8493-680064A4A778}" type="presParOf" srcId="{3D4B2032-8BE0-4AC7-9D7C-B77B076C4672}" destId="{5329EF6B-8DDE-4DB4-8B1F-33A3D1B902EC}" srcOrd="1" destOrd="0" presId="urn:microsoft.com/office/officeart/2005/8/layout/orgChart1"/>
    <dgm:cxn modelId="{94AB0094-840C-4974-ABC1-D58054AFB1C3}" type="presParOf" srcId="{5329EF6B-8DDE-4DB4-8B1F-33A3D1B902EC}" destId="{26B0FC0C-4BAA-41A3-958D-D52CBA5458EA}" srcOrd="0" destOrd="0" presId="urn:microsoft.com/office/officeart/2005/8/layout/orgChart1"/>
    <dgm:cxn modelId="{94303ADA-3443-41A2-8155-FBCF75CE156F}" type="presParOf" srcId="{26B0FC0C-4BAA-41A3-958D-D52CBA5458EA}" destId="{2DD99029-3C21-4E6E-A9F8-65F189509F28}" srcOrd="0" destOrd="0" presId="urn:microsoft.com/office/officeart/2005/8/layout/orgChart1"/>
    <dgm:cxn modelId="{6747CFD8-10CD-49F4-8BDF-8AFFB869719E}" type="presParOf" srcId="{26B0FC0C-4BAA-41A3-958D-D52CBA5458EA}" destId="{E5AE67EA-DD41-469C-A41E-4F70B641E098}" srcOrd="1" destOrd="0" presId="urn:microsoft.com/office/officeart/2005/8/layout/orgChart1"/>
    <dgm:cxn modelId="{100CA5B0-A8DD-4C3E-B701-C9C274251DA4}" type="presParOf" srcId="{5329EF6B-8DDE-4DB4-8B1F-33A3D1B902EC}" destId="{003E9498-0B8F-4AEF-B9C0-92EA53F90D97}" srcOrd="1" destOrd="0" presId="urn:microsoft.com/office/officeart/2005/8/layout/orgChart1"/>
    <dgm:cxn modelId="{BD59FDB8-C9D0-4168-BA1F-90DA35DC40D6}" type="presParOf" srcId="{5329EF6B-8DDE-4DB4-8B1F-33A3D1B902EC}" destId="{03614CD7-4F42-4265-96B7-551796CF1C82}" srcOrd="2" destOrd="0" presId="urn:microsoft.com/office/officeart/2005/8/layout/orgChart1"/>
    <dgm:cxn modelId="{FBF1DCD0-1B89-4C4A-BB22-F19AFED2C4DB}" type="presParOf" srcId="{3D4B2032-8BE0-4AC7-9D7C-B77B076C4672}" destId="{17CE2F9B-DF96-4CF8-8289-1791B7CC5B0D}" srcOrd="2" destOrd="0" presId="urn:microsoft.com/office/officeart/2005/8/layout/orgChart1"/>
    <dgm:cxn modelId="{22E40C23-E2E5-4A23-B87C-2A74D8EECCE6}" type="presParOf" srcId="{3D4B2032-8BE0-4AC7-9D7C-B77B076C4672}" destId="{A785657D-180B-4F56-B784-EE24FBE8802F}" srcOrd="3" destOrd="0" presId="urn:microsoft.com/office/officeart/2005/8/layout/orgChart1"/>
    <dgm:cxn modelId="{7EC597C3-D9A2-416B-9DE6-FEF5B5899922}" type="presParOf" srcId="{A785657D-180B-4F56-B784-EE24FBE8802F}" destId="{321D5D02-7E12-4A30-BA8A-997A60E8CC9F}" srcOrd="0" destOrd="0" presId="urn:microsoft.com/office/officeart/2005/8/layout/orgChart1"/>
    <dgm:cxn modelId="{E44E5B70-230A-4424-B8C7-0AF21DBB1BCA}" type="presParOf" srcId="{321D5D02-7E12-4A30-BA8A-997A60E8CC9F}" destId="{9EB7B49E-8D9E-4AD2-9A4E-ED383079A315}" srcOrd="0" destOrd="0" presId="urn:microsoft.com/office/officeart/2005/8/layout/orgChart1"/>
    <dgm:cxn modelId="{11740686-288E-40BA-BBE2-BDD6422225B7}" type="presParOf" srcId="{321D5D02-7E12-4A30-BA8A-997A60E8CC9F}" destId="{060E45BC-2D97-4D0B-9BD1-0C11F43D9493}" srcOrd="1" destOrd="0" presId="urn:microsoft.com/office/officeart/2005/8/layout/orgChart1"/>
    <dgm:cxn modelId="{47AACBCE-785E-447E-8A6A-2656C210B78F}" type="presParOf" srcId="{A785657D-180B-4F56-B784-EE24FBE8802F}" destId="{2FA3021B-1D03-43AC-BB55-2632578961C9}" srcOrd="1" destOrd="0" presId="urn:microsoft.com/office/officeart/2005/8/layout/orgChart1"/>
    <dgm:cxn modelId="{6011D664-2398-4EFD-AE06-EC5345CF1A92}" type="presParOf" srcId="{A785657D-180B-4F56-B784-EE24FBE8802F}" destId="{B1B3538E-05B5-4E9D-AF6E-17D4F40C4FD7}" srcOrd="2" destOrd="0" presId="urn:microsoft.com/office/officeart/2005/8/layout/orgChart1"/>
    <dgm:cxn modelId="{2FF5DE68-6D2D-4827-A4D1-E452500A8184}" type="presParOf" srcId="{3D4B2032-8BE0-4AC7-9D7C-B77B076C4672}" destId="{034770C3-9461-4C5D-85D2-55944645916A}" srcOrd="4" destOrd="0" presId="urn:microsoft.com/office/officeart/2005/8/layout/orgChart1"/>
    <dgm:cxn modelId="{66543E61-2513-4BCE-8D27-B4F48063BE40}" type="presParOf" srcId="{3D4B2032-8BE0-4AC7-9D7C-B77B076C4672}" destId="{9D5DC338-2565-4BA1-999F-AF4A52F09E05}" srcOrd="5" destOrd="0" presId="urn:microsoft.com/office/officeart/2005/8/layout/orgChart1"/>
    <dgm:cxn modelId="{4D8EDD85-1145-4291-B691-AD0B1829B468}" type="presParOf" srcId="{9D5DC338-2565-4BA1-999F-AF4A52F09E05}" destId="{A46EC632-C8C2-4EF4-92AC-A68EAC9CB8D2}" srcOrd="0" destOrd="0" presId="urn:microsoft.com/office/officeart/2005/8/layout/orgChart1"/>
    <dgm:cxn modelId="{CC2B6FD1-024C-4F3E-A51B-E3211D98FFC5}" type="presParOf" srcId="{A46EC632-C8C2-4EF4-92AC-A68EAC9CB8D2}" destId="{F6CC7D5D-2CB9-4842-B302-3D7FDEFBD912}" srcOrd="0" destOrd="0" presId="urn:microsoft.com/office/officeart/2005/8/layout/orgChart1"/>
    <dgm:cxn modelId="{CCFA1E9E-2396-4D0A-A8D9-34254A128C6B}" type="presParOf" srcId="{A46EC632-C8C2-4EF4-92AC-A68EAC9CB8D2}" destId="{D456413B-F5D9-4090-863F-B6D2387D5B5E}" srcOrd="1" destOrd="0" presId="urn:microsoft.com/office/officeart/2005/8/layout/orgChart1"/>
    <dgm:cxn modelId="{C6AB2545-19F2-41A6-8981-2466680BF37A}" type="presParOf" srcId="{9D5DC338-2565-4BA1-999F-AF4A52F09E05}" destId="{DA57BEDD-0DCE-45E3-9B9B-D80D78C693C2}" srcOrd="1" destOrd="0" presId="urn:microsoft.com/office/officeart/2005/8/layout/orgChart1"/>
    <dgm:cxn modelId="{D7814467-023A-4C50-B2F3-622B52A3DFF1}" type="presParOf" srcId="{9D5DC338-2565-4BA1-999F-AF4A52F09E05}" destId="{7426CFC8-17F9-44BC-940D-70476A5F3F30}" srcOrd="2" destOrd="0" presId="urn:microsoft.com/office/officeart/2005/8/layout/orgChart1"/>
    <dgm:cxn modelId="{8D752E13-C853-4CDD-A860-203738D99708}" type="presParOf" srcId="{E5B0D4B9-A118-487E-85C9-7CB2C89FBB20}" destId="{9845DD14-3D79-4533-B854-F6CF13CCB4E9}" srcOrd="2" destOrd="0" presId="urn:microsoft.com/office/officeart/2005/8/layout/orgChart1"/>
    <dgm:cxn modelId="{AD417A03-151A-4E9D-A804-0590D325C3DF}" type="presParOf" srcId="{994766E5-87BD-4906-9DD0-0C0006570390}" destId="{17A3FD81-5A2B-4F95-9673-FF298F7075E3}" srcOrd="2" destOrd="0" presId="urn:microsoft.com/office/officeart/2005/8/layout/orgChart1"/>
    <dgm:cxn modelId="{23CF7B8C-93EF-4FE7-8430-346DF4B885FB}" type="presParOf" srcId="{994766E5-87BD-4906-9DD0-0C0006570390}" destId="{4110CEA1-2AC1-43ED-A0C3-F8850AE01FEA}" srcOrd="3" destOrd="0" presId="urn:microsoft.com/office/officeart/2005/8/layout/orgChart1"/>
    <dgm:cxn modelId="{496E259B-E4E4-4D48-AE26-CAF7895C1C6D}" type="presParOf" srcId="{4110CEA1-2AC1-43ED-A0C3-F8850AE01FEA}" destId="{D74166A1-7715-4528-96EB-82F04ECB8A3F}" srcOrd="0" destOrd="0" presId="urn:microsoft.com/office/officeart/2005/8/layout/orgChart1"/>
    <dgm:cxn modelId="{14440C76-23DF-4F9E-B673-52AEF085B551}" type="presParOf" srcId="{D74166A1-7715-4528-96EB-82F04ECB8A3F}" destId="{75EF16CF-B452-4115-959B-09C378F8DCE5}" srcOrd="0" destOrd="0" presId="urn:microsoft.com/office/officeart/2005/8/layout/orgChart1"/>
    <dgm:cxn modelId="{4B430B5E-1967-4497-96C9-EA4513BB17CB}" type="presParOf" srcId="{D74166A1-7715-4528-96EB-82F04ECB8A3F}" destId="{9F74311A-9B95-4565-878B-F6EDC0B45604}" srcOrd="1" destOrd="0" presId="urn:microsoft.com/office/officeart/2005/8/layout/orgChart1"/>
    <dgm:cxn modelId="{E032D97E-56FC-4154-9EDB-205233A96B21}" type="presParOf" srcId="{4110CEA1-2AC1-43ED-A0C3-F8850AE01FEA}" destId="{E29E4F80-0F54-4AE8-874C-AD0546A20516}" srcOrd="1" destOrd="0" presId="urn:microsoft.com/office/officeart/2005/8/layout/orgChart1"/>
    <dgm:cxn modelId="{EE4694CC-4899-4677-BAC1-33C850CAA0E9}" type="presParOf" srcId="{E29E4F80-0F54-4AE8-874C-AD0546A20516}" destId="{F37535CB-5028-4158-B8BB-B599F370A339}" srcOrd="0" destOrd="0" presId="urn:microsoft.com/office/officeart/2005/8/layout/orgChart1"/>
    <dgm:cxn modelId="{7C6CCA14-B4AC-4FEB-AFFF-B8C3D7A48222}" type="presParOf" srcId="{E29E4F80-0F54-4AE8-874C-AD0546A20516}" destId="{34B9CEB7-E4FD-405A-B5BE-4EF017A7DB10}" srcOrd="1" destOrd="0" presId="urn:microsoft.com/office/officeart/2005/8/layout/orgChart1"/>
    <dgm:cxn modelId="{3FEB37A4-F20B-4213-9436-49BDABA4EF6F}" type="presParOf" srcId="{34B9CEB7-E4FD-405A-B5BE-4EF017A7DB10}" destId="{08DCBB0E-099B-4ED6-B3BC-FE4A49FE5EE0}" srcOrd="0" destOrd="0" presId="urn:microsoft.com/office/officeart/2005/8/layout/orgChart1"/>
    <dgm:cxn modelId="{B7C02F65-9E66-487D-B2D1-35AF42B80BE8}" type="presParOf" srcId="{08DCBB0E-099B-4ED6-B3BC-FE4A49FE5EE0}" destId="{A0A4BFA2-A2D5-4A25-B2FE-25BFDD94CA11}" srcOrd="0" destOrd="0" presId="urn:microsoft.com/office/officeart/2005/8/layout/orgChart1"/>
    <dgm:cxn modelId="{0B99E24F-56BB-4619-8FFD-C559F1CEB610}" type="presParOf" srcId="{08DCBB0E-099B-4ED6-B3BC-FE4A49FE5EE0}" destId="{3594006E-EDF4-43FA-855D-55C3C5F082AF}" srcOrd="1" destOrd="0" presId="urn:microsoft.com/office/officeart/2005/8/layout/orgChart1"/>
    <dgm:cxn modelId="{6B7B0E21-AE72-4A14-9B61-519B49A75F71}" type="presParOf" srcId="{34B9CEB7-E4FD-405A-B5BE-4EF017A7DB10}" destId="{8156866F-E970-41D3-B85D-3198AE8BE346}" srcOrd="1" destOrd="0" presId="urn:microsoft.com/office/officeart/2005/8/layout/orgChart1"/>
    <dgm:cxn modelId="{6490D8B8-C33D-49F3-A265-4FF5D2346BD5}" type="presParOf" srcId="{34B9CEB7-E4FD-405A-B5BE-4EF017A7DB10}" destId="{78CD3636-07B2-4FFD-A597-6289E0061640}" srcOrd="2" destOrd="0" presId="urn:microsoft.com/office/officeart/2005/8/layout/orgChart1"/>
    <dgm:cxn modelId="{425FFD4B-EF53-4DFE-9842-5E357BFF53DD}" type="presParOf" srcId="{E29E4F80-0F54-4AE8-874C-AD0546A20516}" destId="{F1F04FE5-60D0-42CE-B901-5B5F51BFA723}" srcOrd="2" destOrd="0" presId="urn:microsoft.com/office/officeart/2005/8/layout/orgChart1"/>
    <dgm:cxn modelId="{A39DF3B8-1AFE-4923-B630-FA67BD570316}" type="presParOf" srcId="{E29E4F80-0F54-4AE8-874C-AD0546A20516}" destId="{306F733D-C2FD-4BED-AF30-ECC7089CF8CD}" srcOrd="3" destOrd="0" presId="urn:microsoft.com/office/officeart/2005/8/layout/orgChart1"/>
    <dgm:cxn modelId="{D0FE018A-8567-4ED3-ABCC-3CC1A29CBE94}" type="presParOf" srcId="{306F733D-C2FD-4BED-AF30-ECC7089CF8CD}" destId="{43DED390-0C31-40B8-AB94-1E2C632CC137}" srcOrd="0" destOrd="0" presId="urn:microsoft.com/office/officeart/2005/8/layout/orgChart1"/>
    <dgm:cxn modelId="{294750E3-70DA-4344-9407-75A78D1F7AE6}" type="presParOf" srcId="{43DED390-0C31-40B8-AB94-1E2C632CC137}" destId="{C22F5DAA-6A58-483D-A786-31C7E8B9C100}" srcOrd="0" destOrd="0" presId="urn:microsoft.com/office/officeart/2005/8/layout/orgChart1"/>
    <dgm:cxn modelId="{B24A8B3C-ADBC-41AE-BE7E-DC8108E44424}" type="presParOf" srcId="{43DED390-0C31-40B8-AB94-1E2C632CC137}" destId="{0A8E184F-924D-4D9A-A40A-80A16F7CDDFD}" srcOrd="1" destOrd="0" presId="urn:microsoft.com/office/officeart/2005/8/layout/orgChart1"/>
    <dgm:cxn modelId="{8AC36E7F-B916-4C7D-B4D7-9E5935FA9A01}" type="presParOf" srcId="{306F733D-C2FD-4BED-AF30-ECC7089CF8CD}" destId="{1AD712B6-5A0C-43B4-A709-C1101CF20DD3}" srcOrd="1" destOrd="0" presId="urn:microsoft.com/office/officeart/2005/8/layout/orgChart1"/>
    <dgm:cxn modelId="{60DE2BAA-1FAC-49AF-9B13-F4082DEF2AF7}" type="presParOf" srcId="{306F733D-C2FD-4BED-AF30-ECC7089CF8CD}" destId="{515E2ED7-2C86-4D72-8785-82E111E761BF}" srcOrd="2" destOrd="0" presId="urn:microsoft.com/office/officeart/2005/8/layout/orgChart1"/>
    <dgm:cxn modelId="{C3660F98-2D47-4512-B8B7-363B81AC599E}" type="presParOf" srcId="{E29E4F80-0F54-4AE8-874C-AD0546A20516}" destId="{F5FC3E46-0C06-4311-AC9F-CE4959F65759}" srcOrd="4" destOrd="0" presId="urn:microsoft.com/office/officeart/2005/8/layout/orgChart1"/>
    <dgm:cxn modelId="{EC15CC73-D9B0-4993-BE8E-B7FCB9B03D6E}" type="presParOf" srcId="{E29E4F80-0F54-4AE8-874C-AD0546A20516}" destId="{DDB0AEEA-0B3F-4687-94AE-7ABA1DD8DDFC}" srcOrd="5" destOrd="0" presId="urn:microsoft.com/office/officeart/2005/8/layout/orgChart1"/>
    <dgm:cxn modelId="{3FF69F97-D5C2-49B0-AE3B-306A2A98D9D7}" type="presParOf" srcId="{DDB0AEEA-0B3F-4687-94AE-7ABA1DD8DDFC}" destId="{48F40FE5-B71D-4144-A41C-C922CCB7B043}" srcOrd="0" destOrd="0" presId="urn:microsoft.com/office/officeart/2005/8/layout/orgChart1"/>
    <dgm:cxn modelId="{B32561D5-C48A-4045-B704-E9B504846B7A}" type="presParOf" srcId="{48F40FE5-B71D-4144-A41C-C922CCB7B043}" destId="{7D6FC79F-BAAA-449D-87DC-E6421092D2A6}" srcOrd="0" destOrd="0" presId="urn:microsoft.com/office/officeart/2005/8/layout/orgChart1"/>
    <dgm:cxn modelId="{085F2C63-AADA-428A-88A9-871EB4DE5BCF}" type="presParOf" srcId="{48F40FE5-B71D-4144-A41C-C922CCB7B043}" destId="{09020D3C-05C9-4EEC-92A0-53C2CE579AFD}" srcOrd="1" destOrd="0" presId="urn:microsoft.com/office/officeart/2005/8/layout/orgChart1"/>
    <dgm:cxn modelId="{89CE1BFA-4CC3-4403-BA44-A5A4E4CE759C}" type="presParOf" srcId="{DDB0AEEA-0B3F-4687-94AE-7ABA1DD8DDFC}" destId="{FD65616C-07F8-4073-A8BA-4A26CAAB727F}" srcOrd="1" destOrd="0" presId="urn:microsoft.com/office/officeart/2005/8/layout/orgChart1"/>
    <dgm:cxn modelId="{54CAE162-9685-407B-ABAB-E965CC06071A}" type="presParOf" srcId="{DDB0AEEA-0B3F-4687-94AE-7ABA1DD8DDFC}" destId="{2CEB46A6-AC69-4313-BA6F-C9BFDE8A1FAD}" srcOrd="2" destOrd="0" presId="urn:microsoft.com/office/officeart/2005/8/layout/orgChart1"/>
    <dgm:cxn modelId="{66CE3A97-40DF-46AE-A467-2C2A7FEA4635}" type="presParOf" srcId="{E29E4F80-0F54-4AE8-874C-AD0546A20516}" destId="{E8F4FF5D-C749-44D7-BC1A-C963819ED6D7}" srcOrd="6" destOrd="0" presId="urn:microsoft.com/office/officeart/2005/8/layout/orgChart1"/>
    <dgm:cxn modelId="{41A62612-80C4-4C6D-83C4-B0F6413488D4}" type="presParOf" srcId="{E29E4F80-0F54-4AE8-874C-AD0546A20516}" destId="{6372D811-123A-4013-AA9C-B3E2687A3339}" srcOrd="7" destOrd="0" presId="urn:microsoft.com/office/officeart/2005/8/layout/orgChart1"/>
    <dgm:cxn modelId="{585A1825-D47D-461D-A681-3A6EC852E203}" type="presParOf" srcId="{6372D811-123A-4013-AA9C-B3E2687A3339}" destId="{028F6774-5662-4FDB-A89E-AB203A3EEEFC}" srcOrd="0" destOrd="0" presId="urn:microsoft.com/office/officeart/2005/8/layout/orgChart1"/>
    <dgm:cxn modelId="{FEA5F892-4E1B-488C-AFD9-454FD62E7DCD}" type="presParOf" srcId="{028F6774-5662-4FDB-A89E-AB203A3EEEFC}" destId="{1B0BBB5F-C83B-4069-AEE7-54C2DDF467FF}" srcOrd="0" destOrd="0" presId="urn:microsoft.com/office/officeart/2005/8/layout/orgChart1"/>
    <dgm:cxn modelId="{13528490-9421-4E28-82C4-9BA9D43A6ABC}" type="presParOf" srcId="{028F6774-5662-4FDB-A89E-AB203A3EEEFC}" destId="{D7B08A54-74D1-4387-830F-DD6E97C65B16}" srcOrd="1" destOrd="0" presId="urn:microsoft.com/office/officeart/2005/8/layout/orgChart1"/>
    <dgm:cxn modelId="{A3E244A9-69CF-45FB-841B-04C2FEA68DA4}" type="presParOf" srcId="{6372D811-123A-4013-AA9C-B3E2687A3339}" destId="{9ABC5384-F72B-4EE2-BB47-45B027D887A9}" srcOrd="1" destOrd="0" presId="urn:microsoft.com/office/officeart/2005/8/layout/orgChart1"/>
    <dgm:cxn modelId="{593180D2-025D-4B34-92D1-9C5B468B6496}" type="presParOf" srcId="{6372D811-123A-4013-AA9C-B3E2687A3339}" destId="{048BDC28-96B7-45F6-9FDF-8DE717AC0AA9}" srcOrd="2" destOrd="0" presId="urn:microsoft.com/office/officeart/2005/8/layout/orgChart1"/>
    <dgm:cxn modelId="{C1808DD6-F500-467B-8F6D-33C698298AE8}" type="presParOf" srcId="{E29E4F80-0F54-4AE8-874C-AD0546A20516}" destId="{1E9B71B8-5218-48B4-8051-C61B2AAE1194}" srcOrd="8" destOrd="0" presId="urn:microsoft.com/office/officeart/2005/8/layout/orgChart1"/>
    <dgm:cxn modelId="{57970AF7-DCA9-4143-8D5F-C495645F0E33}" type="presParOf" srcId="{E29E4F80-0F54-4AE8-874C-AD0546A20516}" destId="{97C06495-C092-45DE-9FCF-E3793CFB33DE}" srcOrd="9" destOrd="0" presId="urn:microsoft.com/office/officeart/2005/8/layout/orgChart1"/>
    <dgm:cxn modelId="{570A251D-41A1-4695-BC24-A787701D017E}" type="presParOf" srcId="{97C06495-C092-45DE-9FCF-E3793CFB33DE}" destId="{018C40EE-2FBB-4672-8EF3-966AB9CE8738}" srcOrd="0" destOrd="0" presId="urn:microsoft.com/office/officeart/2005/8/layout/orgChart1"/>
    <dgm:cxn modelId="{C8C90F64-0CF8-434F-9AE6-09B99E666D09}" type="presParOf" srcId="{018C40EE-2FBB-4672-8EF3-966AB9CE8738}" destId="{377B6AB1-2E5F-4FBA-866C-1F5B3CE7165C}" srcOrd="0" destOrd="0" presId="urn:microsoft.com/office/officeart/2005/8/layout/orgChart1"/>
    <dgm:cxn modelId="{1B9BE751-2ED1-4D55-B605-A6881DB6FC57}" type="presParOf" srcId="{018C40EE-2FBB-4672-8EF3-966AB9CE8738}" destId="{4197AA6A-5532-4EBC-9F75-57096D9ECAFF}" srcOrd="1" destOrd="0" presId="urn:microsoft.com/office/officeart/2005/8/layout/orgChart1"/>
    <dgm:cxn modelId="{4AF77FF7-E3C6-4274-8066-6517CEDC6F4F}" type="presParOf" srcId="{97C06495-C092-45DE-9FCF-E3793CFB33DE}" destId="{098B5B57-CAAB-4082-9CB0-0B4FAEC2325B}" srcOrd="1" destOrd="0" presId="urn:microsoft.com/office/officeart/2005/8/layout/orgChart1"/>
    <dgm:cxn modelId="{F928DDE2-5EA2-4901-AE6F-96D9C258DDE1}" type="presParOf" srcId="{97C06495-C092-45DE-9FCF-E3793CFB33DE}" destId="{4F35C8B6-9511-41E2-A144-89467424412E}" srcOrd="2" destOrd="0" presId="urn:microsoft.com/office/officeart/2005/8/layout/orgChart1"/>
    <dgm:cxn modelId="{F94E5FB4-22E4-4FF6-B117-661F54C3DB99}" type="presParOf" srcId="{4110CEA1-2AC1-43ED-A0C3-F8850AE01FEA}" destId="{78452686-E857-4404-A58A-A29B933BF593}" srcOrd="2" destOrd="0" presId="urn:microsoft.com/office/officeart/2005/8/layout/orgChart1"/>
    <dgm:cxn modelId="{9C9AD342-997D-4ED1-9A81-10A704B6E807}" type="presParOf" srcId="{3A58DFE0-8B37-42AE-B37D-AF1A2A9F8C20}" destId="{6A0B65C3-F8D7-4BA7-B3DA-42BA74FCF468}" srcOrd="2" destOrd="0" presId="urn:microsoft.com/office/officeart/2005/8/layout/orgChart1"/>
    <dgm:cxn modelId="{1FC855E6-CC32-42DF-89E0-BD53C88EE3E3}" type="presParOf" srcId="{8A3164A8-D9A4-41C5-A925-70BDD77D91AC}" destId="{7FE19125-1452-4D91-84E2-B491F0B1C985}" srcOrd="2" destOrd="0" presId="urn:microsoft.com/office/officeart/2005/8/layout/orgChart1"/>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939374-EEE9-4965-9872-33F17AE331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D961D356-C423-4930-9CD4-5641A753DEE6}">
      <dgm:prSet phldrT="[Text]" custT="1"/>
      <dgm:spPr>
        <a:xfrm>
          <a:off x="1214175" y="466906"/>
          <a:ext cx="5880042" cy="666042"/>
        </a:xfrm>
        <a:prstGeom prst="rect">
          <a:avLst/>
        </a:prstGeom>
        <a:solidFill>
          <a:srgbClr val="FFC000">
            <a:lumMod val="75000"/>
          </a:srgbClr>
        </a:solidFill>
        <a:ln w="12700" cap="flat" cmpd="sng" algn="ctr">
          <a:solidFill>
            <a:sysClr val="windowText" lastClr="000000"/>
          </a:solidFill>
          <a:prstDash val="solid"/>
          <a:miter lim="800000"/>
        </a:ln>
        <a:effectLst/>
      </dgm:spPr>
      <dgm:t>
        <a:bodyPr/>
        <a:lstStyle/>
        <a:p>
          <a:pPr>
            <a:buNone/>
          </a:pPr>
          <a:r>
            <a:rPr lang="cs-CZ" sz="1400" b="1" i="0" u="none">
              <a:solidFill>
                <a:sysClr val="windowText" lastClr="000000"/>
              </a:solidFill>
              <a:latin typeface="Calibri" panose="020F0502020204030204"/>
              <a:ea typeface="+mn-ea"/>
              <a:cs typeface="+mn-cs"/>
            </a:rPr>
            <a:t>VOLNÝ ČAS</a:t>
          </a:r>
        </a:p>
      </dgm:t>
    </dgm:pt>
    <dgm:pt modelId="{DBB362DF-C898-48A7-B307-A03E8070FDA0}" type="parTrans" cxnId="{31E0B0EE-D7F8-4D44-9150-3E1051E73523}">
      <dgm:prSet/>
      <dgm:spPr/>
      <dgm:t>
        <a:bodyPr/>
        <a:lstStyle/>
        <a:p>
          <a:endParaRPr lang="cs-CZ" sz="900" i="0" u="none">
            <a:solidFill>
              <a:sysClr val="windowText" lastClr="000000"/>
            </a:solidFill>
          </a:endParaRPr>
        </a:p>
      </dgm:t>
    </dgm:pt>
    <dgm:pt modelId="{9A6C63E8-7BB7-4F8D-8A9B-21B04795D8EA}" type="sibTrans" cxnId="{31E0B0EE-D7F8-4D44-9150-3E1051E73523}">
      <dgm:prSet/>
      <dgm:spPr/>
      <dgm:t>
        <a:bodyPr/>
        <a:lstStyle/>
        <a:p>
          <a:endParaRPr lang="cs-CZ" sz="900" i="0" u="none">
            <a:solidFill>
              <a:sysClr val="windowText" lastClr="000000"/>
            </a:solidFill>
          </a:endParaRPr>
        </a:p>
      </dgm:t>
    </dgm:pt>
    <dgm:pt modelId="{3F267390-0E50-4CCC-B005-BC11673CF2A3}">
      <dgm:prSet custT="1"/>
      <dgm:spPr>
        <a:xfrm>
          <a:off x="492498" y="1369297"/>
          <a:ext cx="2991241" cy="556924"/>
        </a:xfrm>
        <a:prstGeom prst="rect">
          <a:avLst/>
        </a:prstGeom>
        <a:solidFill>
          <a:srgbClr val="FFC000">
            <a:lumMod val="60000"/>
            <a:lumOff val="40000"/>
          </a:srgbClr>
        </a:solidFill>
        <a:ln w="12700" cap="flat" cmpd="sng" algn="ctr">
          <a:solidFill>
            <a:sysClr val="windowText" lastClr="000000"/>
          </a:solidFill>
          <a:prstDash val="solid"/>
          <a:miter lim="800000"/>
        </a:ln>
        <a:effectLst/>
      </dgm:spPr>
      <dgm:t>
        <a:bodyPr/>
        <a:lstStyle/>
        <a:p>
          <a:pPr>
            <a:buNone/>
          </a:pPr>
          <a:r>
            <a:rPr lang="cs-CZ" sz="900" b="1" i="0" u="none" baseline="0">
              <a:solidFill>
                <a:sysClr val="windowText" lastClr="000000"/>
              </a:solidFill>
              <a:latin typeface="Calibri" panose="020F0502020204030204"/>
              <a:ea typeface="+mn-ea"/>
              <a:cs typeface="+mn-cs"/>
            </a:rPr>
            <a:t>Strategický cíl 3.1</a:t>
          </a:r>
        </a:p>
        <a:p>
          <a:pPr>
            <a:buNone/>
          </a:pPr>
          <a:r>
            <a:rPr lang="cs-CZ" sz="900" b="1" u="none">
              <a:solidFill>
                <a:sysClr val="windowText" lastClr="000000"/>
              </a:solidFill>
              <a:latin typeface="Calibri" panose="020F0502020204030204"/>
              <a:ea typeface="+mn-ea"/>
              <a:cs typeface="+mn-cs"/>
            </a:rPr>
            <a:t>Zvýšit nabídku možností souvisejících s trávením volného času</a:t>
          </a:r>
          <a:endParaRPr lang="cs-CZ" sz="900" b="1" i="0" u="none" baseline="0">
            <a:solidFill>
              <a:sysClr val="windowText" lastClr="000000"/>
            </a:solidFill>
            <a:latin typeface="Calibri" panose="020F0502020204030204"/>
            <a:ea typeface="+mn-ea"/>
            <a:cs typeface="+mn-cs"/>
          </a:endParaRPr>
        </a:p>
      </dgm:t>
    </dgm:pt>
    <dgm:pt modelId="{C87D0185-A927-4A83-A9D0-EE494B38E8D3}" type="parTrans" cxnId="{BF446902-A788-4248-AFA7-5F00A5A149D3}">
      <dgm:prSet>
        <dgm:style>
          <a:lnRef idx="1">
            <a:schemeClr val="accent1"/>
          </a:lnRef>
          <a:fillRef idx="0">
            <a:schemeClr val="accent1"/>
          </a:fillRef>
          <a:effectRef idx="0">
            <a:schemeClr val="accent1"/>
          </a:effectRef>
          <a:fontRef idx="minor">
            <a:schemeClr val="tx1"/>
          </a:fontRef>
        </dgm:style>
      </dgm:prSet>
      <dgm:spPr>
        <a:xfrm>
          <a:off x="1988119" y="1132949"/>
          <a:ext cx="2166077" cy="236347"/>
        </a:xfrm>
        <a:custGeom>
          <a:avLst/>
          <a:gdLst/>
          <a:ahLst/>
          <a:cxnLst/>
          <a:rect l="0" t="0" r="0" b="0"/>
          <a:pathLst>
            <a:path>
              <a:moveTo>
                <a:pt x="2166077" y="0"/>
              </a:moveTo>
              <a:lnTo>
                <a:pt x="2166077" y="119393"/>
              </a:lnTo>
              <a:lnTo>
                <a:pt x="0" y="119393"/>
              </a:lnTo>
              <a:lnTo>
                <a:pt x="0" y="236347"/>
              </a:lnTo>
            </a:path>
          </a:pathLst>
        </a:custGeom>
        <a:noFill/>
        <a:ln w="28575" cap="flat" cmpd="sng" algn="ctr">
          <a:solidFill>
            <a:srgbClr val="FFC000">
              <a:lumMod val="60000"/>
              <a:lumOff val="40000"/>
            </a:srgbClr>
          </a:solidFill>
          <a:prstDash val="solid"/>
          <a:miter lim="800000"/>
        </a:ln>
        <a:effectLst/>
      </dgm:spPr>
      <dgm:t>
        <a:bodyPr/>
        <a:lstStyle/>
        <a:p>
          <a:endParaRPr lang="cs-CZ" sz="900" i="0" u="none">
            <a:solidFill>
              <a:sysClr val="windowText" lastClr="000000"/>
            </a:solidFill>
          </a:endParaRPr>
        </a:p>
      </dgm:t>
    </dgm:pt>
    <dgm:pt modelId="{89CED27D-AA41-49C3-9031-B02447B40CB9}" type="sibTrans" cxnId="{BF446902-A788-4248-AFA7-5F00A5A149D3}">
      <dgm:prSet/>
      <dgm:spPr/>
      <dgm:t>
        <a:bodyPr/>
        <a:lstStyle/>
        <a:p>
          <a:endParaRPr lang="cs-CZ" sz="900" i="0" u="none">
            <a:solidFill>
              <a:sysClr val="windowText" lastClr="000000"/>
            </a:solidFill>
          </a:endParaRPr>
        </a:p>
      </dgm:t>
    </dgm:pt>
    <dgm:pt modelId="{A24439C4-6CC3-4F0B-AB37-B5F48C404637}">
      <dgm:prSet custT="1"/>
      <dgm:spPr>
        <a:xfrm>
          <a:off x="2067057" y="2110168"/>
          <a:ext cx="1867791" cy="556924"/>
        </a:xfrm>
        <a:prstGeom prst="rect">
          <a:avLst/>
        </a:prstGeom>
        <a:solidFill>
          <a:srgbClr val="FFC000">
            <a:lumMod val="40000"/>
            <a:lumOff val="60000"/>
          </a:srgbClr>
        </a:solidFill>
        <a:ln w="12700" cap="flat" cmpd="sng" algn="ctr">
          <a:solidFill>
            <a:sysClr val="windowText" lastClr="000000"/>
          </a:solidFill>
          <a:prstDash val="solid"/>
          <a:miter lim="800000"/>
        </a:ln>
        <a:effectLst/>
      </dgm:spPr>
      <dgm:t>
        <a:bodyPr/>
        <a:lstStyle/>
        <a:p>
          <a:pPr>
            <a:spcAft>
              <a:spcPts val="0"/>
            </a:spcAft>
            <a:buNone/>
          </a:pPr>
          <a:r>
            <a:rPr lang="cs-CZ" sz="900" b="1" u="none">
              <a:solidFill>
                <a:sysClr val="windowText" lastClr="000000"/>
              </a:solidFill>
              <a:latin typeface="Calibri" panose="020F0502020204030204"/>
              <a:ea typeface="+mn-ea"/>
              <a:cs typeface="+mn-cs"/>
            </a:rPr>
            <a:t>Zvyšovat variabilitu dostupné volnočasové infrastruktury</a:t>
          </a:r>
          <a:endParaRPr lang="cs-CZ" sz="900" b="1" i="0" u="none">
            <a:solidFill>
              <a:sysClr val="windowText" lastClr="000000"/>
            </a:solidFill>
            <a:latin typeface="Calibri" panose="020F0502020204030204"/>
            <a:ea typeface="+mn-ea"/>
            <a:cs typeface="+mn-cs"/>
          </a:endParaRPr>
        </a:p>
      </dgm:t>
    </dgm:pt>
    <dgm:pt modelId="{38F80706-2567-419D-9FB1-EDDA9BE3B306}" type="parTrans" cxnId="{64316D1E-6B17-488A-8E67-C32DE24B7B9A}">
      <dgm:prSet>
        <dgm:style>
          <a:lnRef idx="1">
            <a:schemeClr val="accent1"/>
          </a:lnRef>
          <a:fillRef idx="0">
            <a:schemeClr val="accent1"/>
          </a:fillRef>
          <a:effectRef idx="0">
            <a:schemeClr val="accent1"/>
          </a:effectRef>
          <a:fontRef idx="minor">
            <a:schemeClr val="tx1"/>
          </a:fontRef>
        </dgm:style>
      </dgm:prSet>
      <dgm:spPr>
        <a:xfrm>
          <a:off x="1988119" y="1926221"/>
          <a:ext cx="1012834" cy="183946"/>
        </a:xfrm>
        <a:custGeom>
          <a:avLst/>
          <a:gdLst/>
          <a:ahLst/>
          <a:cxnLst/>
          <a:rect l="0" t="0" r="0" b="0"/>
          <a:pathLst>
            <a:path>
              <a:moveTo>
                <a:pt x="0" y="0"/>
              </a:moveTo>
              <a:lnTo>
                <a:pt x="0" y="66992"/>
              </a:lnTo>
              <a:lnTo>
                <a:pt x="1012834" y="66992"/>
              </a:lnTo>
              <a:lnTo>
                <a:pt x="1012834" y="183946"/>
              </a:lnTo>
            </a:path>
          </a:pathLst>
        </a:custGeom>
        <a:noFill/>
        <a:ln w="19050" cap="flat" cmpd="sng" algn="ctr">
          <a:solidFill>
            <a:srgbClr val="FFC000">
              <a:lumMod val="60000"/>
              <a:lumOff val="40000"/>
            </a:srgbClr>
          </a:solidFill>
          <a:prstDash val="solid"/>
          <a:miter lim="800000"/>
        </a:ln>
        <a:effectLst/>
      </dgm:spPr>
      <dgm:t>
        <a:bodyPr/>
        <a:lstStyle/>
        <a:p>
          <a:endParaRPr lang="cs-CZ" sz="900" i="0" u="none">
            <a:solidFill>
              <a:sysClr val="windowText" lastClr="000000"/>
            </a:solidFill>
          </a:endParaRPr>
        </a:p>
      </dgm:t>
    </dgm:pt>
    <dgm:pt modelId="{6542A0B3-61CB-4ADB-AD7B-BEF5804B85CE}" type="sibTrans" cxnId="{64316D1E-6B17-488A-8E67-C32DE24B7B9A}">
      <dgm:prSet/>
      <dgm:spPr/>
      <dgm:t>
        <a:bodyPr/>
        <a:lstStyle/>
        <a:p>
          <a:endParaRPr lang="cs-CZ" sz="900" i="0" u="none">
            <a:solidFill>
              <a:sysClr val="windowText" lastClr="000000"/>
            </a:solidFill>
          </a:endParaRPr>
        </a:p>
      </dgm:t>
    </dgm:pt>
    <dgm:pt modelId="{0E4D8AFF-591B-460C-A4C9-67F2C9857CC4}">
      <dgm:prSet custT="1"/>
      <dgm:spPr>
        <a:xfrm>
          <a:off x="4791337" y="1370388"/>
          <a:ext cx="3081374" cy="557414"/>
        </a:xfrm>
        <a:prstGeom prst="rect">
          <a:avLst/>
        </a:prstGeom>
        <a:solidFill>
          <a:srgbClr val="FFC000">
            <a:lumMod val="60000"/>
            <a:lumOff val="40000"/>
          </a:srgbClr>
        </a:solidFill>
        <a:ln w="12700" cap="flat" cmpd="sng" algn="ctr">
          <a:solidFill>
            <a:sysClr val="windowText" lastClr="000000"/>
          </a:solidFill>
          <a:prstDash val="solid"/>
          <a:miter lim="800000"/>
        </a:ln>
        <a:effectLst/>
      </dgm:spPr>
      <dgm:t>
        <a:bodyPr/>
        <a:lstStyle/>
        <a:p>
          <a:pPr>
            <a:buNone/>
          </a:pPr>
          <a:r>
            <a:rPr lang="cs-CZ" sz="900" b="1" i="0" u="none" baseline="0">
              <a:solidFill>
                <a:sysClr val="windowText" lastClr="000000"/>
              </a:solidFill>
              <a:latin typeface="Calibri" panose="020F0502020204030204"/>
              <a:ea typeface="+mn-ea"/>
              <a:cs typeface="+mn-cs"/>
            </a:rPr>
            <a:t>Strategický cíl 3.2</a:t>
          </a:r>
        </a:p>
        <a:p>
          <a:pPr>
            <a:buNone/>
          </a:pPr>
          <a:r>
            <a:rPr lang="cs-CZ" sz="900" b="1" u="none">
              <a:solidFill>
                <a:sysClr val="windowText" lastClr="000000"/>
              </a:solidFill>
              <a:latin typeface="Calibri" panose="020F0502020204030204"/>
              <a:ea typeface="+mn-ea"/>
              <a:cs typeface="+mn-cs"/>
            </a:rPr>
            <a:t>Rozvíjet komunitní život v obci formou podpory aktivního trávení volného času a zapojení do dění v obci</a:t>
          </a:r>
          <a:endParaRPr lang="cs-CZ" sz="900" b="1" i="0" u="none" baseline="0">
            <a:solidFill>
              <a:sysClr val="windowText" lastClr="000000"/>
            </a:solidFill>
            <a:latin typeface="Calibri" panose="020F0502020204030204"/>
            <a:ea typeface="+mn-ea"/>
            <a:cs typeface="+mn-cs"/>
          </a:endParaRPr>
        </a:p>
      </dgm:t>
    </dgm:pt>
    <dgm:pt modelId="{9E4631D8-E89E-4DB4-8066-89781B490F94}" type="parTrans" cxnId="{A3FD8F07-BEEF-47C1-8923-33A582476DE5}">
      <dgm:prSet>
        <dgm:style>
          <a:lnRef idx="1">
            <a:schemeClr val="accent1"/>
          </a:lnRef>
          <a:fillRef idx="0">
            <a:schemeClr val="accent1"/>
          </a:fillRef>
          <a:effectRef idx="0">
            <a:schemeClr val="accent1"/>
          </a:effectRef>
          <a:fontRef idx="minor">
            <a:schemeClr val="tx1"/>
          </a:fontRef>
        </dgm:style>
      </dgm:prSet>
      <dgm:spPr>
        <a:xfrm>
          <a:off x="4154196" y="1132949"/>
          <a:ext cx="2177828" cy="237439"/>
        </a:xfrm>
        <a:custGeom>
          <a:avLst/>
          <a:gdLst/>
          <a:ahLst/>
          <a:cxnLst/>
          <a:rect l="0" t="0" r="0" b="0"/>
          <a:pathLst>
            <a:path>
              <a:moveTo>
                <a:pt x="0" y="0"/>
              </a:moveTo>
              <a:lnTo>
                <a:pt x="0" y="120485"/>
              </a:lnTo>
              <a:lnTo>
                <a:pt x="2177828" y="120485"/>
              </a:lnTo>
              <a:lnTo>
                <a:pt x="2177828" y="237439"/>
              </a:lnTo>
            </a:path>
          </a:pathLst>
        </a:custGeom>
        <a:noFill/>
        <a:ln w="28575" cap="flat" cmpd="sng" algn="ctr">
          <a:solidFill>
            <a:srgbClr val="FFC000">
              <a:lumMod val="60000"/>
              <a:lumOff val="40000"/>
            </a:srgbClr>
          </a:solidFill>
          <a:prstDash val="solid"/>
          <a:miter lim="800000"/>
        </a:ln>
        <a:effectLst/>
      </dgm:spPr>
      <dgm:t>
        <a:bodyPr/>
        <a:lstStyle/>
        <a:p>
          <a:endParaRPr lang="cs-CZ" sz="900" i="0" u="none">
            <a:solidFill>
              <a:sysClr val="windowText" lastClr="000000"/>
            </a:solidFill>
          </a:endParaRPr>
        </a:p>
      </dgm:t>
    </dgm:pt>
    <dgm:pt modelId="{8C01E186-6DB0-42DA-B57A-39F6EFD0ADF3}" type="sibTrans" cxnId="{A3FD8F07-BEEF-47C1-8923-33A582476DE5}">
      <dgm:prSet/>
      <dgm:spPr/>
      <dgm:t>
        <a:bodyPr/>
        <a:lstStyle/>
        <a:p>
          <a:endParaRPr lang="cs-CZ" sz="900" i="0" u="none">
            <a:solidFill>
              <a:sysClr val="windowText" lastClr="000000"/>
            </a:solidFill>
          </a:endParaRPr>
        </a:p>
      </dgm:t>
    </dgm:pt>
    <dgm:pt modelId="{60C487F2-55E9-4051-B835-0507B34F4BF2}">
      <dgm:prSet custT="1"/>
      <dgm:spPr>
        <a:xfrm>
          <a:off x="4263668" y="2106737"/>
          <a:ext cx="1993399" cy="558500"/>
        </a:xfrm>
        <a:prstGeom prst="rect">
          <a:avLst/>
        </a:prstGeom>
        <a:solidFill>
          <a:srgbClr val="FFC000">
            <a:lumMod val="40000"/>
            <a:lumOff val="60000"/>
          </a:srgbClr>
        </a:solidFill>
        <a:ln w="12700" cap="flat" cmpd="sng" algn="ctr">
          <a:solidFill>
            <a:sysClr val="windowText" lastClr="000000"/>
          </a:solidFill>
          <a:prstDash val="solid"/>
          <a:miter lim="800000"/>
        </a:ln>
        <a:effectLst/>
      </dgm:spPr>
      <dgm:t>
        <a:bodyPr/>
        <a:lstStyle/>
        <a:p>
          <a:pPr>
            <a:spcAft>
              <a:spcPts val="0"/>
            </a:spcAft>
            <a:buNone/>
          </a:pPr>
          <a:r>
            <a:rPr lang="cs-CZ" sz="900" b="1" u="none">
              <a:solidFill>
                <a:sysClr val="windowText" lastClr="000000"/>
              </a:solidFill>
              <a:latin typeface="Calibri" panose="020F0502020204030204"/>
              <a:ea typeface="+mn-ea"/>
              <a:cs typeface="+mn-cs"/>
            </a:rPr>
            <a:t>Usilovat o posílení sepjetí a soudržnosti místních obyvatel</a:t>
          </a:r>
          <a:endParaRPr lang="cs-CZ" sz="900" b="1" i="0" u="none">
            <a:solidFill>
              <a:sysClr val="windowText" lastClr="000000"/>
            </a:solidFill>
            <a:latin typeface="Calibri" panose="020F0502020204030204"/>
            <a:ea typeface="+mn-ea"/>
            <a:cs typeface="+mn-cs"/>
          </a:endParaRPr>
        </a:p>
      </dgm:t>
    </dgm:pt>
    <dgm:pt modelId="{C7369B69-F6D1-4824-ACA2-6A155304198B}" type="parTrans" cxnId="{7D569DE1-C48F-4B28-97BE-F8601175CA8B}">
      <dgm:prSet>
        <dgm:style>
          <a:lnRef idx="1">
            <a:schemeClr val="accent1"/>
          </a:lnRef>
          <a:fillRef idx="0">
            <a:schemeClr val="accent1"/>
          </a:fillRef>
          <a:effectRef idx="0">
            <a:schemeClr val="accent1"/>
          </a:effectRef>
          <a:fontRef idx="minor">
            <a:schemeClr val="tx1"/>
          </a:fontRef>
        </dgm:style>
      </dgm:prSet>
      <dgm:spPr>
        <a:xfrm>
          <a:off x="5260368" y="1927803"/>
          <a:ext cx="1071656" cy="178934"/>
        </a:xfrm>
        <a:custGeom>
          <a:avLst/>
          <a:gdLst/>
          <a:ahLst/>
          <a:cxnLst/>
          <a:rect l="0" t="0" r="0" b="0"/>
          <a:pathLst>
            <a:path>
              <a:moveTo>
                <a:pt x="1071656" y="0"/>
              </a:moveTo>
              <a:lnTo>
                <a:pt x="1071656" y="61980"/>
              </a:lnTo>
              <a:lnTo>
                <a:pt x="0" y="61980"/>
              </a:lnTo>
              <a:lnTo>
                <a:pt x="0" y="178934"/>
              </a:lnTo>
            </a:path>
          </a:pathLst>
        </a:custGeom>
        <a:noFill/>
        <a:ln w="19050" cap="flat" cmpd="sng" algn="ctr">
          <a:solidFill>
            <a:srgbClr val="FFC000">
              <a:lumMod val="60000"/>
              <a:lumOff val="40000"/>
            </a:srgbClr>
          </a:solidFill>
          <a:prstDash val="solid"/>
          <a:miter lim="800000"/>
        </a:ln>
        <a:effectLst/>
      </dgm:spPr>
      <dgm:t>
        <a:bodyPr/>
        <a:lstStyle/>
        <a:p>
          <a:endParaRPr lang="cs-CZ" sz="900" i="0" u="none">
            <a:solidFill>
              <a:sysClr val="windowText" lastClr="000000"/>
            </a:solidFill>
          </a:endParaRPr>
        </a:p>
      </dgm:t>
    </dgm:pt>
    <dgm:pt modelId="{25667E21-E78C-427C-98F4-2950EC6F251B}" type="sibTrans" cxnId="{7D569DE1-C48F-4B28-97BE-F8601175CA8B}">
      <dgm:prSet/>
      <dgm:spPr/>
      <dgm:t>
        <a:bodyPr/>
        <a:lstStyle/>
        <a:p>
          <a:endParaRPr lang="cs-CZ" sz="900" i="0" u="none">
            <a:solidFill>
              <a:sysClr val="windowText" lastClr="000000"/>
            </a:solidFill>
          </a:endParaRPr>
        </a:p>
      </dgm:t>
    </dgm:pt>
    <dgm:pt modelId="{610C6564-3FC9-4907-95F5-3E8D818E9365}">
      <dgm:prSet custT="1"/>
      <dgm:spPr>
        <a:xfrm>
          <a:off x="6414065" y="2106737"/>
          <a:ext cx="2149372" cy="558500"/>
        </a:xfrm>
        <a:prstGeom prst="rect">
          <a:avLst/>
        </a:prstGeom>
        <a:solidFill>
          <a:srgbClr val="FFC000">
            <a:lumMod val="40000"/>
            <a:lumOff val="60000"/>
          </a:srgbClr>
        </a:solidFill>
        <a:ln w="12700" cap="flat" cmpd="sng" algn="ctr">
          <a:solidFill>
            <a:sysClr val="windowText" lastClr="000000"/>
          </a:solidFill>
          <a:prstDash val="solid"/>
          <a:miter lim="800000"/>
        </a:ln>
        <a:effectLst/>
      </dgm:spPr>
      <dgm:t>
        <a:bodyPr/>
        <a:lstStyle/>
        <a:p>
          <a:pPr>
            <a:spcAft>
              <a:spcPts val="0"/>
            </a:spcAft>
            <a:buNone/>
          </a:pPr>
          <a:r>
            <a:rPr lang="cs-CZ" sz="900" b="1" u="none">
              <a:solidFill>
                <a:sysClr val="windowText" lastClr="000000"/>
              </a:solidFill>
              <a:latin typeface="Calibri" panose="020F0502020204030204"/>
              <a:ea typeface="+mn-ea"/>
              <a:cs typeface="+mn-cs"/>
            </a:rPr>
            <a:t>Podporovat a usilovat o zvýšení zapojení obyvatel do dění v obci</a:t>
          </a:r>
          <a:endParaRPr lang="cs-CZ" sz="900" b="1" i="0" u="none">
            <a:solidFill>
              <a:sysClr val="windowText" lastClr="000000"/>
            </a:solidFill>
            <a:latin typeface="Calibri" panose="020F0502020204030204"/>
            <a:ea typeface="+mn-ea"/>
            <a:cs typeface="+mn-cs"/>
          </a:endParaRPr>
        </a:p>
      </dgm:t>
    </dgm:pt>
    <dgm:pt modelId="{FA34676A-FE7D-40FC-A7BA-9CB4F04AB78F}" type="parTrans" cxnId="{26D75513-D307-4798-9879-AB59AB8E1552}">
      <dgm:prSet>
        <dgm:style>
          <a:lnRef idx="1">
            <a:schemeClr val="accent1"/>
          </a:lnRef>
          <a:fillRef idx="0">
            <a:schemeClr val="accent1"/>
          </a:fillRef>
          <a:effectRef idx="0">
            <a:schemeClr val="accent1"/>
          </a:effectRef>
          <a:fontRef idx="minor">
            <a:schemeClr val="tx1"/>
          </a:fontRef>
        </dgm:style>
      </dgm:prSet>
      <dgm:spPr>
        <a:xfrm>
          <a:off x="6332024" y="1927803"/>
          <a:ext cx="1156726" cy="178934"/>
        </a:xfrm>
        <a:custGeom>
          <a:avLst/>
          <a:gdLst/>
          <a:ahLst/>
          <a:cxnLst/>
          <a:rect l="0" t="0" r="0" b="0"/>
          <a:pathLst>
            <a:path>
              <a:moveTo>
                <a:pt x="0" y="0"/>
              </a:moveTo>
              <a:lnTo>
                <a:pt x="0" y="61980"/>
              </a:lnTo>
              <a:lnTo>
                <a:pt x="1156726" y="61980"/>
              </a:lnTo>
              <a:lnTo>
                <a:pt x="1156726" y="178934"/>
              </a:lnTo>
            </a:path>
          </a:pathLst>
        </a:custGeom>
        <a:noFill/>
        <a:ln w="19050" cap="flat" cmpd="sng" algn="ctr">
          <a:solidFill>
            <a:srgbClr val="FFC000">
              <a:lumMod val="60000"/>
              <a:lumOff val="40000"/>
            </a:srgbClr>
          </a:solidFill>
          <a:prstDash val="solid"/>
          <a:miter lim="800000"/>
        </a:ln>
        <a:effectLst/>
      </dgm:spPr>
      <dgm:t>
        <a:bodyPr/>
        <a:lstStyle/>
        <a:p>
          <a:endParaRPr lang="cs-CZ" sz="900" i="0" u="none">
            <a:solidFill>
              <a:sysClr val="windowText" lastClr="000000"/>
            </a:solidFill>
          </a:endParaRPr>
        </a:p>
      </dgm:t>
    </dgm:pt>
    <dgm:pt modelId="{45814F3D-18BA-418C-AB01-8132906164AF}" type="sibTrans" cxnId="{26D75513-D307-4798-9879-AB59AB8E1552}">
      <dgm:prSet/>
      <dgm:spPr/>
      <dgm:t>
        <a:bodyPr/>
        <a:lstStyle/>
        <a:p>
          <a:endParaRPr lang="cs-CZ" sz="900" i="0" u="none">
            <a:solidFill>
              <a:sysClr val="windowText" lastClr="000000"/>
            </a:solidFill>
          </a:endParaRPr>
        </a:p>
      </dgm:t>
    </dgm:pt>
    <dgm:pt modelId="{05354665-5CC3-42E3-84BB-CCE5C773D2E5}">
      <dgm:prSet custT="1"/>
      <dgm:spPr>
        <a:xfrm>
          <a:off x="2349273" y="2741280"/>
          <a:ext cx="1584004" cy="446397"/>
        </a:xfrm>
        <a:prstGeom prst="rect">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spcAft>
              <a:spcPts val="0"/>
            </a:spcAft>
            <a:buNone/>
          </a:pPr>
          <a:r>
            <a:rPr lang="cs-CZ" sz="900" u="none">
              <a:solidFill>
                <a:sysClr val="windowText" lastClr="000000"/>
              </a:solidFill>
              <a:latin typeface="Calibri" panose="020F0502020204030204"/>
              <a:ea typeface="+mn-ea"/>
              <a:cs typeface="+mn-cs"/>
            </a:rPr>
            <a:t>Vybudovat trailové či pumptrackové hřiště</a:t>
          </a:r>
          <a:endParaRPr lang="cs-CZ" sz="900" i="0" u="none">
            <a:solidFill>
              <a:sysClr val="windowText" lastClr="000000"/>
            </a:solidFill>
            <a:latin typeface="Calibri" panose="020F0502020204030204"/>
            <a:ea typeface="+mn-ea"/>
            <a:cs typeface="+mn-cs"/>
          </a:endParaRPr>
        </a:p>
      </dgm:t>
    </dgm:pt>
    <dgm:pt modelId="{1D1B4510-CC78-4E88-B3F5-4C9F656F5F83}" type="parTrans" cxnId="{A9BE14CC-454E-4F18-90F4-853029FEBCD1}">
      <dgm:prSet>
        <dgm:style>
          <a:lnRef idx="1">
            <a:schemeClr val="accent1"/>
          </a:lnRef>
          <a:fillRef idx="0">
            <a:schemeClr val="accent1"/>
          </a:fillRef>
          <a:effectRef idx="0">
            <a:schemeClr val="accent1"/>
          </a:effectRef>
          <a:fontRef idx="minor">
            <a:schemeClr val="tx1"/>
          </a:fontRef>
        </dgm:style>
      </dgm:prSet>
      <dgm:spPr>
        <a:xfrm>
          <a:off x="2253836" y="2667092"/>
          <a:ext cx="95436" cy="297386"/>
        </a:xfrm>
        <a:custGeom>
          <a:avLst/>
          <a:gdLst/>
          <a:ahLst/>
          <a:cxnLst/>
          <a:rect l="0" t="0" r="0" b="0"/>
          <a:pathLst>
            <a:path>
              <a:moveTo>
                <a:pt x="0" y="0"/>
              </a:moveTo>
              <a:lnTo>
                <a:pt x="0" y="297386"/>
              </a:lnTo>
              <a:lnTo>
                <a:pt x="95436" y="297386"/>
              </a:lnTo>
            </a:path>
          </a:pathLst>
        </a:custGeom>
        <a:noFill/>
        <a:ln w="12700" cap="flat" cmpd="sng" algn="ctr">
          <a:solidFill>
            <a:srgbClr val="FFC000">
              <a:lumMod val="60000"/>
              <a:lumOff val="40000"/>
            </a:srgbClr>
          </a:solidFill>
          <a:prstDash val="solid"/>
          <a:miter lim="800000"/>
        </a:ln>
        <a:effectLst/>
      </dgm:spPr>
      <dgm:t>
        <a:bodyPr/>
        <a:lstStyle/>
        <a:p>
          <a:endParaRPr lang="cs-CZ" sz="900" i="0" u="none">
            <a:solidFill>
              <a:sysClr val="windowText" lastClr="000000"/>
            </a:solidFill>
          </a:endParaRPr>
        </a:p>
      </dgm:t>
    </dgm:pt>
    <dgm:pt modelId="{1D98A327-A3A2-4012-97E3-DB9D4D66FFF4}" type="sibTrans" cxnId="{A9BE14CC-454E-4F18-90F4-853029FEBCD1}">
      <dgm:prSet/>
      <dgm:spPr/>
      <dgm:t>
        <a:bodyPr/>
        <a:lstStyle/>
        <a:p>
          <a:endParaRPr lang="cs-CZ" sz="900" i="0" u="none">
            <a:solidFill>
              <a:sysClr val="windowText" lastClr="000000"/>
            </a:solidFill>
          </a:endParaRPr>
        </a:p>
      </dgm:t>
    </dgm:pt>
    <dgm:pt modelId="{9A9C6070-9D06-4645-844F-813850F3679E}">
      <dgm:prSet custT="1"/>
      <dgm:spPr>
        <a:xfrm>
          <a:off x="4530259" y="2739615"/>
          <a:ext cx="1722266" cy="528588"/>
        </a:xfrm>
        <a:prstGeom prst="rect">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spcAft>
              <a:spcPts val="0"/>
            </a:spcAft>
            <a:buNone/>
          </a:pPr>
          <a:r>
            <a:rPr lang="cs-CZ" sz="900" u="none">
              <a:solidFill>
                <a:sysClr val="windowText" lastClr="000000"/>
              </a:solidFill>
              <a:latin typeface="Calibri" panose="020F0502020204030204"/>
              <a:ea typeface="+mn-ea"/>
              <a:cs typeface="+mn-cs"/>
            </a:rPr>
            <a:t>Podporovat aktivní spolky/osoby pořádající různorodé společenské aktivity</a:t>
          </a:r>
          <a:endParaRPr lang="cs-CZ" sz="900" i="0" u="none">
            <a:solidFill>
              <a:sysClr val="windowText" lastClr="000000"/>
            </a:solidFill>
            <a:latin typeface="Calibri" panose="020F0502020204030204"/>
            <a:ea typeface="+mn-ea"/>
            <a:cs typeface="+mn-cs"/>
          </a:endParaRPr>
        </a:p>
      </dgm:t>
    </dgm:pt>
    <dgm:pt modelId="{201A60C5-138F-48B4-B6ED-01B7380B861F}" type="parTrans" cxnId="{857B4076-BD6D-4543-B3ED-3D32F0FF12C4}">
      <dgm:prSet>
        <dgm:style>
          <a:lnRef idx="1">
            <a:schemeClr val="accent1"/>
          </a:lnRef>
          <a:fillRef idx="0">
            <a:schemeClr val="accent1"/>
          </a:fillRef>
          <a:effectRef idx="0">
            <a:schemeClr val="accent1"/>
          </a:effectRef>
          <a:fontRef idx="minor">
            <a:schemeClr val="tx1"/>
          </a:fontRef>
        </dgm:style>
      </dgm:prSet>
      <dgm:spPr>
        <a:xfrm>
          <a:off x="4417288" y="2665238"/>
          <a:ext cx="91440" cy="338671"/>
        </a:xfrm>
        <a:custGeom>
          <a:avLst/>
          <a:gdLst/>
          <a:ahLst/>
          <a:cxnLst/>
          <a:rect l="0" t="0" r="0" b="0"/>
          <a:pathLst>
            <a:path>
              <a:moveTo>
                <a:pt x="45720" y="0"/>
              </a:moveTo>
              <a:lnTo>
                <a:pt x="45720" y="338671"/>
              </a:lnTo>
              <a:lnTo>
                <a:pt x="112971" y="338671"/>
              </a:lnTo>
            </a:path>
          </a:pathLst>
        </a:custGeom>
        <a:noFill/>
        <a:ln w="12700" cap="flat" cmpd="sng" algn="ctr">
          <a:solidFill>
            <a:srgbClr val="FFC000">
              <a:lumMod val="60000"/>
              <a:lumOff val="40000"/>
            </a:srgbClr>
          </a:solidFill>
          <a:prstDash val="solid"/>
          <a:miter lim="800000"/>
        </a:ln>
        <a:effectLst/>
      </dgm:spPr>
      <dgm:t>
        <a:bodyPr/>
        <a:lstStyle/>
        <a:p>
          <a:endParaRPr lang="cs-CZ" sz="900" i="0" u="none">
            <a:solidFill>
              <a:sysClr val="windowText" lastClr="000000"/>
            </a:solidFill>
          </a:endParaRPr>
        </a:p>
      </dgm:t>
    </dgm:pt>
    <dgm:pt modelId="{C72B786A-B412-4341-9F41-BA328FBEDF45}" type="sibTrans" cxnId="{857B4076-BD6D-4543-B3ED-3D32F0FF12C4}">
      <dgm:prSet/>
      <dgm:spPr/>
      <dgm:t>
        <a:bodyPr/>
        <a:lstStyle/>
        <a:p>
          <a:endParaRPr lang="cs-CZ" sz="900" i="0" u="none">
            <a:solidFill>
              <a:sysClr val="windowText" lastClr="000000"/>
            </a:solidFill>
          </a:endParaRPr>
        </a:p>
      </dgm:t>
    </dgm:pt>
    <dgm:pt modelId="{05CCB0E0-15C3-4D31-B06C-E8A0BC981F47}">
      <dgm:prSet custT="1"/>
      <dgm:spPr>
        <a:xfrm>
          <a:off x="4537210" y="3348328"/>
          <a:ext cx="1720796" cy="408816"/>
        </a:xfrm>
        <a:prstGeom prst="rect">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spcAft>
              <a:spcPts val="0"/>
            </a:spcAft>
            <a:buNone/>
          </a:pPr>
          <a:r>
            <a:rPr lang="cs-CZ" sz="900" u="none">
              <a:solidFill>
                <a:sysClr val="windowText" lastClr="000000"/>
              </a:solidFill>
              <a:latin typeface="Calibri" panose="020F0502020204030204"/>
              <a:ea typeface="+mn-ea"/>
              <a:cs typeface="+mn-cs"/>
            </a:rPr>
            <a:t>Vyhlašovat dobrovolnické brigády</a:t>
          </a:r>
          <a:endParaRPr lang="cs-CZ" sz="900" i="0" u="none">
            <a:solidFill>
              <a:sysClr val="windowText" lastClr="000000"/>
            </a:solidFill>
            <a:latin typeface="Calibri" panose="020F0502020204030204"/>
            <a:ea typeface="+mn-ea"/>
            <a:cs typeface="+mn-cs"/>
          </a:endParaRPr>
        </a:p>
      </dgm:t>
    </dgm:pt>
    <dgm:pt modelId="{C88FA440-EDDE-4703-99B3-1DBC69F1824F}" type="parTrans" cxnId="{3C816F11-93D6-4F4C-A32B-080B5B57F658}">
      <dgm:prSet>
        <dgm:style>
          <a:lnRef idx="1">
            <a:schemeClr val="accent1"/>
          </a:lnRef>
          <a:fillRef idx="0">
            <a:schemeClr val="accent1"/>
          </a:fillRef>
          <a:effectRef idx="0">
            <a:schemeClr val="accent1"/>
          </a:effectRef>
          <a:fontRef idx="minor">
            <a:schemeClr val="tx1"/>
          </a:fontRef>
        </dgm:style>
      </dgm:prSet>
      <dgm:spPr>
        <a:xfrm>
          <a:off x="4417288" y="2665238"/>
          <a:ext cx="91440" cy="887498"/>
        </a:xfrm>
        <a:custGeom>
          <a:avLst/>
          <a:gdLst/>
          <a:ahLst/>
          <a:cxnLst/>
          <a:rect l="0" t="0" r="0" b="0"/>
          <a:pathLst>
            <a:path>
              <a:moveTo>
                <a:pt x="45720" y="0"/>
              </a:moveTo>
              <a:lnTo>
                <a:pt x="45720" y="887498"/>
              </a:lnTo>
              <a:lnTo>
                <a:pt x="119921" y="887498"/>
              </a:lnTo>
            </a:path>
          </a:pathLst>
        </a:custGeom>
        <a:noFill/>
        <a:ln w="12700" cap="flat" cmpd="sng" algn="ctr">
          <a:solidFill>
            <a:srgbClr val="FFC000">
              <a:lumMod val="60000"/>
              <a:lumOff val="40000"/>
            </a:srgbClr>
          </a:solidFill>
          <a:prstDash val="solid"/>
          <a:miter lim="800000"/>
        </a:ln>
        <a:effectLst/>
      </dgm:spPr>
      <dgm:t>
        <a:bodyPr/>
        <a:lstStyle/>
        <a:p>
          <a:endParaRPr lang="cs-CZ" sz="900" i="0" u="none">
            <a:solidFill>
              <a:sysClr val="windowText" lastClr="000000"/>
            </a:solidFill>
          </a:endParaRPr>
        </a:p>
      </dgm:t>
    </dgm:pt>
    <dgm:pt modelId="{2FF89EE0-B6A9-4E52-BBAD-6A331BD5DBDE}" type="sibTrans" cxnId="{3C816F11-93D6-4F4C-A32B-080B5B57F658}">
      <dgm:prSet/>
      <dgm:spPr/>
      <dgm:t>
        <a:bodyPr/>
        <a:lstStyle/>
        <a:p>
          <a:endParaRPr lang="cs-CZ" sz="900" i="0" u="none">
            <a:solidFill>
              <a:sysClr val="windowText" lastClr="000000"/>
            </a:solidFill>
          </a:endParaRPr>
        </a:p>
      </dgm:t>
    </dgm:pt>
    <dgm:pt modelId="{76DFBE9C-E73B-4C32-918F-3E5B4C2ADEF2}">
      <dgm:prSet custT="1"/>
      <dgm:spPr>
        <a:xfrm>
          <a:off x="6692371" y="2748225"/>
          <a:ext cx="1872770" cy="494671"/>
        </a:xfrm>
        <a:prstGeom prst="rect">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spcAft>
              <a:spcPts val="0"/>
            </a:spcAft>
            <a:buNone/>
          </a:pPr>
          <a:r>
            <a:rPr lang="cs-CZ" sz="900" u="none">
              <a:solidFill>
                <a:sysClr val="windowText" lastClr="000000"/>
              </a:solidFill>
              <a:latin typeface="Calibri" panose="020F0502020204030204"/>
              <a:ea typeface="+mn-ea"/>
              <a:cs typeface="+mn-cs"/>
            </a:rPr>
            <a:t>Zavést průběžné vyhodnocování plnění dlouhodobých plánů týkajících se rozvoje a správy obce</a:t>
          </a:r>
          <a:endParaRPr lang="cs-CZ" sz="900" i="0" u="none">
            <a:solidFill>
              <a:sysClr val="windowText" lastClr="000000"/>
            </a:solidFill>
            <a:latin typeface="Calibri" panose="020F0502020204030204"/>
            <a:ea typeface="+mn-ea"/>
            <a:cs typeface="+mn-cs"/>
          </a:endParaRPr>
        </a:p>
      </dgm:t>
    </dgm:pt>
    <dgm:pt modelId="{ED12324C-1BFC-48AE-BF0B-BE926096B2E9}" type="parTrans" cxnId="{147F8CBB-9742-4129-B2E5-9F1E85EC328F}">
      <dgm:prSet>
        <dgm:style>
          <a:lnRef idx="1">
            <a:schemeClr val="accent1"/>
          </a:lnRef>
          <a:fillRef idx="0">
            <a:schemeClr val="accent1"/>
          </a:fillRef>
          <a:effectRef idx="0">
            <a:schemeClr val="accent1"/>
          </a:effectRef>
          <a:fontRef idx="minor">
            <a:schemeClr val="tx1"/>
          </a:fontRef>
        </dgm:style>
      </dgm:prSet>
      <dgm:spPr>
        <a:xfrm>
          <a:off x="6583282" y="2665238"/>
          <a:ext cx="91440" cy="330323"/>
        </a:xfrm>
        <a:custGeom>
          <a:avLst/>
          <a:gdLst/>
          <a:ahLst/>
          <a:cxnLst/>
          <a:rect l="0" t="0" r="0" b="0"/>
          <a:pathLst>
            <a:path>
              <a:moveTo>
                <a:pt x="45720" y="0"/>
              </a:moveTo>
              <a:lnTo>
                <a:pt x="45720" y="330323"/>
              </a:lnTo>
              <a:lnTo>
                <a:pt x="109089" y="330323"/>
              </a:lnTo>
            </a:path>
          </a:pathLst>
        </a:custGeom>
        <a:noFill/>
        <a:ln w="12700" cap="flat" cmpd="sng" algn="ctr">
          <a:solidFill>
            <a:srgbClr val="FFC000">
              <a:lumMod val="60000"/>
              <a:lumOff val="40000"/>
            </a:srgbClr>
          </a:solidFill>
          <a:prstDash val="solid"/>
          <a:miter lim="800000"/>
        </a:ln>
        <a:effectLst/>
      </dgm:spPr>
      <dgm:t>
        <a:bodyPr/>
        <a:lstStyle/>
        <a:p>
          <a:endParaRPr lang="cs-CZ" sz="900" i="0" u="none">
            <a:solidFill>
              <a:sysClr val="windowText" lastClr="000000"/>
            </a:solidFill>
          </a:endParaRPr>
        </a:p>
      </dgm:t>
    </dgm:pt>
    <dgm:pt modelId="{94BD38FA-157E-43D5-8D16-86781F4884B2}" type="sibTrans" cxnId="{147F8CBB-9742-4129-B2E5-9F1E85EC328F}">
      <dgm:prSet/>
      <dgm:spPr/>
      <dgm:t>
        <a:bodyPr/>
        <a:lstStyle/>
        <a:p>
          <a:endParaRPr lang="cs-CZ" sz="900" i="0" u="none">
            <a:solidFill>
              <a:sysClr val="windowText" lastClr="000000"/>
            </a:solidFill>
          </a:endParaRPr>
        </a:p>
      </dgm:t>
    </dgm:pt>
    <dgm:pt modelId="{24DEB0F7-5B53-4057-8071-2D8FB2E64264}">
      <dgm:prSet custT="1"/>
      <dgm:spPr>
        <a:xfrm>
          <a:off x="2349084" y="3264839"/>
          <a:ext cx="1584004" cy="457201"/>
        </a:xfrm>
        <a:prstGeom prst="rect">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spcAft>
              <a:spcPts val="0"/>
            </a:spcAft>
            <a:buNone/>
          </a:pPr>
          <a:r>
            <a:rPr lang="cs-CZ" sz="900" u="none">
              <a:solidFill>
                <a:sysClr val="windowText" lastClr="000000"/>
              </a:solidFill>
              <a:latin typeface="Calibri" panose="020F0502020204030204"/>
              <a:ea typeface="+mn-ea"/>
              <a:cs typeface="+mn-cs"/>
            </a:rPr>
            <a:t>Uvažovat o vytvoření workoutového hřiště</a:t>
          </a:r>
          <a:endParaRPr lang="cs-CZ" sz="900" i="0" u="none">
            <a:solidFill>
              <a:sysClr val="windowText" lastClr="000000"/>
            </a:solidFill>
            <a:latin typeface="Calibri" panose="020F0502020204030204"/>
            <a:ea typeface="+mn-ea"/>
            <a:cs typeface="+mn-cs"/>
          </a:endParaRPr>
        </a:p>
      </dgm:t>
    </dgm:pt>
    <dgm:pt modelId="{5589CED0-BDC0-4ED5-AB20-F41A1123DEB3}" type="parTrans" cxnId="{18209E2C-4A42-41DD-AE59-386ACDCDC8A3}">
      <dgm:prSet>
        <dgm:style>
          <a:lnRef idx="1">
            <a:schemeClr val="accent1"/>
          </a:lnRef>
          <a:fillRef idx="0">
            <a:schemeClr val="accent1"/>
          </a:fillRef>
          <a:effectRef idx="0">
            <a:schemeClr val="accent1"/>
          </a:effectRef>
          <a:fontRef idx="minor">
            <a:schemeClr val="tx1"/>
          </a:fontRef>
        </dgm:style>
      </dgm:prSet>
      <dgm:spPr>
        <a:xfrm>
          <a:off x="2253836" y="2667092"/>
          <a:ext cx="95247" cy="826347"/>
        </a:xfrm>
        <a:custGeom>
          <a:avLst/>
          <a:gdLst/>
          <a:ahLst/>
          <a:cxnLst/>
          <a:rect l="0" t="0" r="0" b="0"/>
          <a:pathLst>
            <a:path>
              <a:moveTo>
                <a:pt x="0" y="0"/>
              </a:moveTo>
              <a:lnTo>
                <a:pt x="0" y="826347"/>
              </a:lnTo>
              <a:lnTo>
                <a:pt x="95247" y="826347"/>
              </a:lnTo>
            </a:path>
          </a:pathLst>
        </a:custGeom>
        <a:noFill/>
        <a:ln w="12700" cap="flat" cmpd="sng" algn="ctr">
          <a:solidFill>
            <a:srgbClr val="FFC000">
              <a:lumMod val="60000"/>
              <a:lumOff val="40000"/>
            </a:srgbClr>
          </a:solidFill>
          <a:prstDash val="solid"/>
          <a:miter lim="800000"/>
        </a:ln>
        <a:effectLst/>
      </dgm:spPr>
      <dgm:t>
        <a:bodyPr/>
        <a:lstStyle/>
        <a:p>
          <a:endParaRPr lang="cs-CZ" sz="900" i="0" u="none">
            <a:solidFill>
              <a:sysClr val="windowText" lastClr="000000"/>
            </a:solidFill>
          </a:endParaRPr>
        </a:p>
      </dgm:t>
    </dgm:pt>
    <dgm:pt modelId="{4A652C94-8382-420C-B895-5839FB140233}" type="sibTrans" cxnId="{18209E2C-4A42-41DD-AE59-386ACDCDC8A3}">
      <dgm:prSet/>
      <dgm:spPr/>
      <dgm:t>
        <a:bodyPr/>
        <a:lstStyle/>
        <a:p>
          <a:endParaRPr lang="cs-CZ" sz="900" i="0" u="none">
            <a:solidFill>
              <a:sysClr val="windowText" lastClr="000000"/>
            </a:solidFill>
          </a:endParaRPr>
        </a:p>
      </dgm:t>
    </dgm:pt>
    <dgm:pt modelId="{78A845B5-5FE2-4EC0-A6C9-E5919C308ADA}">
      <dgm:prSet custT="1"/>
      <dgm:spPr>
        <a:xfrm>
          <a:off x="38192" y="2109756"/>
          <a:ext cx="1875164" cy="558500"/>
        </a:xfrm>
        <a:prstGeom prst="rect">
          <a:avLst/>
        </a:prstGeom>
        <a:solidFill>
          <a:srgbClr val="FFC000">
            <a:lumMod val="40000"/>
            <a:lumOff val="60000"/>
          </a:srgbClr>
        </a:solidFill>
        <a:ln w="12700" cap="flat" cmpd="sng" algn="ctr">
          <a:solidFill>
            <a:sysClr val="windowText" lastClr="000000"/>
          </a:solidFill>
          <a:prstDash val="solid"/>
          <a:miter lim="800000"/>
        </a:ln>
        <a:effectLst/>
      </dgm:spPr>
      <dgm:t>
        <a:bodyPr/>
        <a:lstStyle/>
        <a:p>
          <a:pPr>
            <a:buNone/>
          </a:pPr>
          <a:r>
            <a:rPr lang="cs-CZ" sz="900" b="1" u="none">
              <a:solidFill>
                <a:sysClr val="windowText" lastClr="000000"/>
              </a:solidFill>
              <a:latin typeface="Calibri" panose="020F0502020204030204"/>
              <a:ea typeface="+mn-ea"/>
              <a:cs typeface="+mn-cs"/>
            </a:rPr>
            <a:t>Zvýšit variabilitu kulturně-společenského vyžití</a:t>
          </a:r>
          <a:r>
            <a:rPr lang="cs-CZ" sz="900" u="none">
              <a:solidFill>
                <a:sysClr val="windowText" lastClr="000000"/>
              </a:solidFill>
              <a:latin typeface="Calibri" panose="020F0502020204030204"/>
              <a:ea typeface="+mn-ea"/>
              <a:cs typeface="+mn-cs"/>
            </a:rPr>
            <a:t> </a:t>
          </a:r>
          <a:r>
            <a:rPr lang="cs-CZ" sz="900" b="1" u="none">
              <a:solidFill>
                <a:sysClr val="windowText" lastClr="000000"/>
              </a:solidFill>
              <a:latin typeface="Calibri" panose="020F0502020204030204"/>
              <a:ea typeface="+mn-ea"/>
              <a:cs typeface="+mn-cs"/>
            </a:rPr>
            <a:t>v obci</a:t>
          </a:r>
          <a:endParaRPr lang="cs-CZ" sz="900" u="none">
            <a:solidFill>
              <a:sysClr val="windowText" lastClr="000000"/>
            </a:solidFill>
            <a:latin typeface="Calibri" panose="020F0502020204030204"/>
            <a:ea typeface="+mn-ea"/>
            <a:cs typeface="+mn-cs"/>
          </a:endParaRPr>
        </a:p>
      </dgm:t>
    </dgm:pt>
    <dgm:pt modelId="{1A8C9A99-C5FF-4FB6-B53D-1E6A3224A061}" type="parTrans" cxnId="{613C2CF1-D4E5-4F24-94DB-92A6A6109554}">
      <dgm:prSet/>
      <dgm:spPr>
        <a:xfrm>
          <a:off x="975775" y="1926221"/>
          <a:ext cx="1012344" cy="183534"/>
        </a:xfrm>
        <a:custGeom>
          <a:avLst/>
          <a:gdLst/>
          <a:ahLst/>
          <a:cxnLst/>
          <a:rect l="0" t="0" r="0" b="0"/>
          <a:pathLst>
            <a:path>
              <a:moveTo>
                <a:pt x="1012344" y="0"/>
              </a:moveTo>
              <a:lnTo>
                <a:pt x="1012344" y="66580"/>
              </a:lnTo>
              <a:lnTo>
                <a:pt x="0" y="66580"/>
              </a:lnTo>
              <a:lnTo>
                <a:pt x="0" y="183534"/>
              </a:lnTo>
            </a:path>
          </a:pathLst>
        </a:custGeom>
        <a:noFill/>
        <a:ln w="19050" cap="flat" cmpd="sng" algn="ctr">
          <a:solidFill>
            <a:srgbClr val="FFC000">
              <a:lumMod val="60000"/>
              <a:lumOff val="40000"/>
            </a:srgbClr>
          </a:solidFill>
          <a:prstDash val="solid"/>
          <a:miter lim="800000"/>
        </a:ln>
        <a:effectLst/>
      </dgm:spPr>
      <dgm:t>
        <a:bodyPr/>
        <a:lstStyle/>
        <a:p>
          <a:endParaRPr lang="cs-CZ" sz="900" u="none">
            <a:solidFill>
              <a:sysClr val="windowText" lastClr="000000"/>
            </a:solidFill>
          </a:endParaRPr>
        </a:p>
      </dgm:t>
    </dgm:pt>
    <dgm:pt modelId="{34E0C8B1-345E-4EC4-A4F6-5416CF4D6AAA}" type="sibTrans" cxnId="{613C2CF1-D4E5-4F24-94DB-92A6A6109554}">
      <dgm:prSet/>
      <dgm:spPr/>
      <dgm:t>
        <a:bodyPr/>
        <a:lstStyle/>
        <a:p>
          <a:endParaRPr lang="cs-CZ" sz="900" u="none">
            <a:solidFill>
              <a:sysClr val="windowText" lastClr="000000"/>
            </a:solidFill>
          </a:endParaRPr>
        </a:p>
      </dgm:t>
    </dgm:pt>
    <dgm:pt modelId="{0ECEC20B-E90C-483D-8A62-4E9CAA8AF126}">
      <dgm:prSet custT="1"/>
      <dgm:spPr>
        <a:xfrm>
          <a:off x="327008" y="2728538"/>
          <a:ext cx="1584004" cy="380424"/>
        </a:xfrm>
        <a:prstGeom prst="rect">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Pořádat každoročně Den obce</a:t>
          </a:r>
        </a:p>
      </dgm:t>
    </dgm:pt>
    <dgm:pt modelId="{15640A5B-116B-43CB-B487-84C580B4CB2D}" type="parTrans" cxnId="{ACDBC605-A75A-436B-9097-C6C1AEDCB568}">
      <dgm:prSet/>
      <dgm:spPr>
        <a:xfrm>
          <a:off x="225709" y="2668256"/>
          <a:ext cx="101299" cy="250493"/>
        </a:xfrm>
        <a:custGeom>
          <a:avLst/>
          <a:gdLst/>
          <a:ahLst/>
          <a:cxnLst/>
          <a:rect l="0" t="0" r="0" b="0"/>
          <a:pathLst>
            <a:path>
              <a:moveTo>
                <a:pt x="0" y="0"/>
              </a:moveTo>
              <a:lnTo>
                <a:pt x="0" y="250493"/>
              </a:lnTo>
              <a:lnTo>
                <a:pt x="101299" y="250493"/>
              </a:lnTo>
            </a:path>
          </a:pathLst>
        </a:custGeom>
        <a:noFill/>
        <a:ln w="12700" cap="flat" cmpd="sng" algn="ctr">
          <a:solidFill>
            <a:srgbClr val="FFC000">
              <a:lumMod val="60000"/>
              <a:lumOff val="40000"/>
            </a:srgbClr>
          </a:solidFill>
          <a:prstDash val="solid"/>
          <a:miter lim="800000"/>
        </a:ln>
        <a:effectLst/>
      </dgm:spPr>
      <dgm:t>
        <a:bodyPr/>
        <a:lstStyle/>
        <a:p>
          <a:endParaRPr lang="cs-CZ" sz="900" u="none">
            <a:solidFill>
              <a:sysClr val="windowText" lastClr="000000"/>
            </a:solidFill>
          </a:endParaRPr>
        </a:p>
      </dgm:t>
    </dgm:pt>
    <dgm:pt modelId="{82C9952B-558D-4FE7-B36E-7E76A5E2935A}" type="sibTrans" cxnId="{ACDBC605-A75A-436B-9097-C6C1AEDCB568}">
      <dgm:prSet/>
      <dgm:spPr/>
      <dgm:t>
        <a:bodyPr/>
        <a:lstStyle/>
        <a:p>
          <a:endParaRPr lang="cs-CZ" sz="900" u="none">
            <a:solidFill>
              <a:sysClr val="windowText" lastClr="000000"/>
            </a:solidFill>
          </a:endParaRPr>
        </a:p>
      </dgm:t>
    </dgm:pt>
    <dgm:pt modelId="{A609E4C3-2034-4010-9BC8-5388E03AF6A9}">
      <dgm:prSet custT="1"/>
      <dgm:spPr>
        <a:xfrm>
          <a:off x="326997" y="3184035"/>
          <a:ext cx="1584004" cy="398195"/>
        </a:xfrm>
        <a:prstGeom prst="rect">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Pořádat více kulturně-společenských aktivit v obci</a:t>
          </a:r>
        </a:p>
      </dgm:t>
    </dgm:pt>
    <dgm:pt modelId="{62888A7B-C5AD-40CB-8FEA-FAB6E2F4E470}" type="parTrans" cxnId="{15C0A2CE-FF24-4106-A7C3-45FAEB59B54F}">
      <dgm:prSet/>
      <dgm:spPr>
        <a:xfrm>
          <a:off x="225709" y="2668256"/>
          <a:ext cx="101287" cy="714876"/>
        </a:xfrm>
        <a:custGeom>
          <a:avLst/>
          <a:gdLst/>
          <a:ahLst/>
          <a:cxnLst/>
          <a:rect l="0" t="0" r="0" b="0"/>
          <a:pathLst>
            <a:path>
              <a:moveTo>
                <a:pt x="0" y="0"/>
              </a:moveTo>
              <a:lnTo>
                <a:pt x="0" y="714876"/>
              </a:lnTo>
              <a:lnTo>
                <a:pt x="101287" y="714876"/>
              </a:lnTo>
            </a:path>
          </a:pathLst>
        </a:custGeom>
        <a:noFill/>
        <a:ln w="12700" cap="flat" cmpd="sng" algn="ctr">
          <a:solidFill>
            <a:srgbClr val="FFC000">
              <a:lumMod val="60000"/>
              <a:lumOff val="40000"/>
            </a:srgbClr>
          </a:solidFill>
          <a:prstDash val="solid"/>
          <a:miter lim="800000"/>
        </a:ln>
        <a:effectLst/>
      </dgm:spPr>
      <dgm:t>
        <a:bodyPr/>
        <a:lstStyle/>
        <a:p>
          <a:endParaRPr lang="cs-CZ" sz="900" u="none">
            <a:solidFill>
              <a:sysClr val="windowText" lastClr="000000"/>
            </a:solidFill>
          </a:endParaRPr>
        </a:p>
      </dgm:t>
    </dgm:pt>
    <dgm:pt modelId="{8EF63043-2626-46D7-900A-D00A3A6146C6}" type="sibTrans" cxnId="{15C0A2CE-FF24-4106-A7C3-45FAEB59B54F}">
      <dgm:prSet/>
      <dgm:spPr/>
      <dgm:t>
        <a:bodyPr/>
        <a:lstStyle/>
        <a:p>
          <a:endParaRPr lang="cs-CZ" sz="900" u="none">
            <a:solidFill>
              <a:sysClr val="windowText" lastClr="000000"/>
            </a:solidFill>
          </a:endParaRPr>
        </a:p>
      </dgm:t>
    </dgm:pt>
    <dgm:pt modelId="{58A4827A-D285-48BD-9DDE-5A89F626AFFC}">
      <dgm:prSet custT="1"/>
      <dgm:spPr>
        <a:xfrm>
          <a:off x="327008" y="3659331"/>
          <a:ext cx="1584004" cy="642819"/>
        </a:xfrm>
        <a:prstGeom prst="rect">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Podporovat činnosti ze strany zájmových spolků formou snahy existence více aktivit a akcí pro mládež</a:t>
          </a:r>
        </a:p>
      </dgm:t>
    </dgm:pt>
    <dgm:pt modelId="{C6F199DD-BA42-4A2B-A22F-D8BFCF400CB8}" type="parTrans" cxnId="{6F1D6E83-F323-4DF2-8C00-C93259766F00}">
      <dgm:prSet/>
      <dgm:spPr>
        <a:xfrm>
          <a:off x="225709" y="2668256"/>
          <a:ext cx="101299" cy="1312484"/>
        </a:xfrm>
        <a:custGeom>
          <a:avLst/>
          <a:gdLst/>
          <a:ahLst/>
          <a:cxnLst/>
          <a:rect l="0" t="0" r="0" b="0"/>
          <a:pathLst>
            <a:path>
              <a:moveTo>
                <a:pt x="0" y="0"/>
              </a:moveTo>
              <a:lnTo>
                <a:pt x="0" y="1312484"/>
              </a:lnTo>
              <a:lnTo>
                <a:pt x="101299" y="1312484"/>
              </a:lnTo>
            </a:path>
          </a:pathLst>
        </a:custGeom>
        <a:noFill/>
        <a:ln w="12700" cap="flat" cmpd="sng" algn="ctr">
          <a:solidFill>
            <a:srgbClr val="FFC000">
              <a:lumMod val="60000"/>
              <a:lumOff val="40000"/>
            </a:srgbClr>
          </a:solidFill>
          <a:prstDash val="solid"/>
          <a:miter lim="800000"/>
        </a:ln>
        <a:effectLst/>
      </dgm:spPr>
      <dgm:t>
        <a:bodyPr/>
        <a:lstStyle/>
        <a:p>
          <a:endParaRPr lang="cs-CZ" sz="900" u="none">
            <a:solidFill>
              <a:sysClr val="windowText" lastClr="000000"/>
            </a:solidFill>
          </a:endParaRPr>
        </a:p>
      </dgm:t>
    </dgm:pt>
    <dgm:pt modelId="{90CA4895-6CDC-48A3-856C-FC1A25D22401}" type="sibTrans" cxnId="{6F1D6E83-F323-4DF2-8C00-C93259766F00}">
      <dgm:prSet/>
      <dgm:spPr/>
      <dgm:t>
        <a:bodyPr/>
        <a:lstStyle/>
        <a:p>
          <a:endParaRPr lang="cs-CZ" sz="900" u="none">
            <a:solidFill>
              <a:sysClr val="windowText" lastClr="000000"/>
            </a:solidFill>
          </a:endParaRPr>
        </a:p>
      </dgm:t>
    </dgm:pt>
    <dgm:pt modelId="{43D8C9F0-895A-4F7A-B69A-351836FEE936}">
      <dgm:prSet custT="1"/>
      <dgm:spPr>
        <a:xfrm>
          <a:off x="6692048" y="3320760"/>
          <a:ext cx="1872001" cy="488634"/>
        </a:xfrm>
        <a:prstGeom prst="rect">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Usilovat o větší zapojení mladších skupin obyvatel do rozhodovacích mechanismů obce</a:t>
          </a:r>
          <a:endParaRPr lang="cs-CZ" sz="900" i="0" u="none">
            <a:solidFill>
              <a:sysClr val="windowText" lastClr="000000"/>
            </a:solidFill>
            <a:latin typeface="Calibri" panose="020F0502020204030204"/>
            <a:ea typeface="+mn-ea"/>
            <a:cs typeface="+mn-cs"/>
          </a:endParaRPr>
        </a:p>
      </dgm:t>
    </dgm:pt>
    <dgm:pt modelId="{FD326964-1779-4009-B805-0D483A316853}" type="parTrans" cxnId="{6B7740D6-C19E-4740-9E9D-D3FAF5BBACBA}">
      <dgm:prSet/>
      <dgm:spPr>
        <a:xfrm>
          <a:off x="6583282" y="2665238"/>
          <a:ext cx="91440" cy="899839"/>
        </a:xfrm>
        <a:custGeom>
          <a:avLst/>
          <a:gdLst/>
          <a:ahLst/>
          <a:cxnLst/>
          <a:rect l="0" t="0" r="0" b="0"/>
          <a:pathLst>
            <a:path>
              <a:moveTo>
                <a:pt x="45720" y="0"/>
              </a:moveTo>
              <a:lnTo>
                <a:pt x="45720" y="899839"/>
              </a:lnTo>
              <a:lnTo>
                <a:pt x="108766" y="899839"/>
              </a:lnTo>
            </a:path>
          </a:pathLst>
        </a:custGeom>
        <a:noFill/>
        <a:ln w="12700" cap="flat" cmpd="sng" algn="ctr">
          <a:solidFill>
            <a:srgbClr val="FFC000">
              <a:lumMod val="60000"/>
              <a:lumOff val="40000"/>
            </a:srgbClr>
          </a:solidFill>
          <a:prstDash val="solid"/>
          <a:miter lim="800000"/>
        </a:ln>
        <a:effectLst/>
      </dgm:spPr>
      <dgm:t>
        <a:bodyPr/>
        <a:lstStyle/>
        <a:p>
          <a:endParaRPr lang="cs-CZ" sz="900" u="none">
            <a:solidFill>
              <a:sysClr val="windowText" lastClr="000000"/>
            </a:solidFill>
          </a:endParaRPr>
        </a:p>
      </dgm:t>
    </dgm:pt>
    <dgm:pt modelId="{3DCA2980-7EB4-448B-9BC6-D35D86C1163A}" type="sibTrans" cxnId="{6B7740D6-C19E-4740-9E9D-D3FAF5BBACBA}">
      <dgm:prSet/>
      <dgm:spPr/>
      <dgm:t>
        <a:bodyPr/>
        <a:lstStyle/>
        <a:p>
          <a:endParaRPr lang="cs-CZ" sz="900" u="none">
            <a:solidFill>
              <a:sysClr val="windowText" lastClr="000000"/>
            </a:solidFill>
          </a:endParaRPr>
        </a:p>
      </dgm:t>
    </dgm:pt>
    <dgm:pt modelId="{918287A3-20B5-4380-B959-A2225943D882}">
      <dgm:prSet custT="1"/>
      <dgm:spPr>
        <a:xfrm>
          <a:off x="4537210" y="3842860"/>
          <a:ext cx="1720796" cy="408036"/>
        </a:xfrm>
        <a:prstGeom prst="rect">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cs-CZ" sz="900" u="none">
              <a:solidFill>
                <a:sysClr val="windowText" lastClr="000000"/>
              </a:solidFill>
              <a:latin typeface="Calibri" panose="020F0502020204030204"/>
              <a:ea typeface="+mn-ea"/>
              <a:cs typeface="+mn-cs"/>
            </a:rPr>
            <a:t>Uvažovat o pořízení obecního mikrobusu či tranzitu</a:t>
          </a:r>
          <a:endParaRPr lang="cs-CZ" sz="900" i="0" u="none">
            <a:solidFill>
              <a:sysClr val="windowText" lastClr="000000"/>
            </a:solidFill>
            <a:latin typeface="Calibri" panose="020F0502020204030204"/>
            <a:ea typeface="+mn-ea"/>
            <a:cs typeface="+mn-cs"/>
          </a:endParaRPr>
        </a:p>
      </dgm:t>
    </dgm:pt>
    <dgm:pt modelId="{33C8E0CA-5228-4A6F-A010-992AD11BF739}" type="parTrans" cxnId="{6030E41E-5107-48B8-A608-8C78652ECB88}">
      <dgm:prSet/>
      <dgm:spPr>
        <a:xfrm>
          <a:off x="4417288" y="2665238"/>
          <a:ext cx="91440" cy="1381640"/>
        </a:xfrm>
        <a:custGeom>
          <a:avLst/>
          <a:gdLst/>
          <a:ahLst/>
          <a:cxnLst/>
          <a:rect l="0" t="0" r="0" b="0"/>
          <a:pathLst>
            <a:path>
              <a:moveTo>
                <a:pt x="45720" y="0"/>
              </a:moveTo>
              <a:lnTo>
                <a:pt x="45720" y="1381640"/>
              </a:lnTo>
              <a:lnTo>
                <a:pt x="119921" y="1381640"/>
              </a:lnTo>
            </a:path>
          </a:pathLst>
        </a:custGeom>
        <a:noFill/>
        <a:ln w="12700" cap="flat" cmpd="sng" algn="ctr">
          <a:solidFill>
            <a:srgbClr val="FFC000">
              <a:lumMod val="60000"/>
              <a:lumOff val="40000"/>
            </a:srgbClr>
          </a:solidFill>
          <a:prstDash val="solid"/>
          <a:miter lim="800000"/>
        </a:ln>
        <a:effectLst/>
      </dgm:spPr>
      <dgm:t>
        <a:bodyPr/>
        <a:lstStyle/>
        <a:p>
          <a:endParaRPr lang="cs-CZ" sz="900" u="none">
            <a:solidFill>
              <a:sysClr val="windowText" lastClr="000000"/>
            </a:solidFill>
          </a:endParaRPr>
        </a:p>
      </dgm:t>
    </dgm:pt>
    <dgm:pt modelId="{0BB27037-2C43-4378-B381-71770A903627}" type="sibTrans" cxnId="{6030E41E-5107-48B8-A608-8C78652ECB88}">
      <dgm:prSet/>
      <dgm:spPr/>
      <dgm:t>
        <a:bodyPr/>
        <a:lstStyle/>
        <a:p>
          <a:endParaRPr lang="cs-CZ" sz="900" u="none">
            <a:solidFill>
              <a:sysClr val="windowText" lastClr="000000"/>
            </a:solidFill>
          </a:endParaRPr>
        </a:p>
      </dgm:t>
    </dgm:pt>
    <dgm:pt modelId="{B042746A-114F-4FF4-83E0-41B4AE1F0D78}" type="pres">
      <dgm:prSet presAssocID="{2A939374-EEE9-4965-9872-33F17AE331AA}" presName="hierChild1" presStyleCnt="0">
        <dgm:presLayoutVars>
          <dgm:orgChart val="1"/>
          <dgm:chPref val="1"/>
          <dgm:dir/>
          <dgm:animOne val="branch"/>
          <dgm:animLvl val="lvl"/>
          <dgm:resizeHandles/>
        </dgm:presLayoutVars>
      </dgm:prSet>
      <dgm:spPr/>
    </dgm:pt>
    <dgm:pt modelId="{8A3164A8-D9A4-41C5-A925-70BDD77D91AC}" type="pres">
      <dgm:prSet presAssocID="{D961D356-C423-4930-9CD4-5641A753DEE6}" presName="hierRoot1" presStyleCnt="0">
        <dgm:presLayoutVars>
          <dgm:hierBranch val="init"/>
        </dgm:presLayoutVars>
      </dgm:prSet>
      <dgm:spPr/>
    </dgm:pt>
    <dgm:pt modelId="{7149557C-E372-4D7C-B8FF-1973C176CB0B}" type="pres">
      <dgm:prSet presAssocID="{D961D356-C423-4930-9CD4-5641A753DEE6}" presName="rootComposite1" presStyleCnt="0"/>
      <dgm:spPr/>
    </dgm:pt>
    <dgm:pt modelId="{D5C976BE-90F4-430A-A970-6B4381FC975B}" type="pres">
      <dgm:prSet presAssocID="{D961D356-C423-4930-9CD4-5641A753DEE6}" presName="rootText1" presStyleLbl="node0" presStyleIdx="0" presStyleCnt="1" custScaleX="527903" custScaleY="119593" custLinFactNeighborX="-6056" custLinFactNeighborY="-438">
        <dgm:presLayoutVars>
          <dgm:chPref val="3"/>
        </dgm:presLayoutVars>
      </dgm:prSet>
      <dgm:spPr/>
    </dgm:pt>
    <dgm:pt modelId="{F2E8EDC4-B0CD-4FDB-8B13-077E8993B6AD}" type="pres">
      <dgm:prSet presAssocID="{D961D356-C423-4930-9CD4-5641A753DEE6}" presName="rootConnector1" presStyleLbl="node1" presStyleIdx="0" presStyleCnt="0"/>
      <dgm:spPr/>
    </dgm:pt>
    <dgm:pt modelId="{2B5D1BC1-5CC4-4765-BF27-D7FFF2FEC7D8}" type="pres">
      <dgm:prSet presAssocID="{D961D356-C423-4930-9CD4-5641A753DEE6}" presName="hierChild2" presStyleCnt="0"/>
      <dgm:spPr/>
    </dgm:pt>
    <dgm:pt modelId="{F75DC991-44CE-406B-BD99-E05CBFC3597C}" type="pres">
      <dgm:prSet presAssocID="{C87D0185-A927-4A83-A9D0-EE494B38E8D3}" presName="Name37" presStyleLbl="parChTrans1D2" presStyleIdx="0" presStyleCnt="2"/>
      <dgm:spPr/>
    </dgm:pt>
    <dgm:pt modelId="{1281182B-B909-4DE9-BF81-6A0B9F505676}" type="pres">
      <dgm:prSet presAssocID="{3F267390-0E50-4CCC-B005-BC11673CF2A3}" presName="hierRoot2" presStyleCnt="0">
        <dgm:presLayoutVars>
          <dgm:hierBranch val="init"/>
        </dgm:presLayoutVars>
      </dgm:prSet>
      <dgm:spPr/>
    </dgm:pt>
    <dgm:pt modelId="{40EF262E-AA9C-47B0-BAEF-A0718B2FE6E2}" type="pres">
      <dgm:prSet presAssocID="{3F267390-0E50-4CCC-B005-BC11673CF2A3}" presName="rootComposite" presStyleCnt="0"/>
      <dgm:spPr/>
    </dgm:pt>
    <dgm:pt modelId="{A9634FF6-2749-44C9-B7B1-E1619ED40DAC}" type="pres">
      <dgm:prSet presAssocID="{3F267390-0E50-4CCC-B005-BC11673CF2A3}" presName="rootText" presStyleLbl="node2" presStyleIdx="0" presStyleCnt="2" custScaleX="268550" custLinFactNeighborX="-508" custLinFactNeighborY="0">
        <dgm:presLayoutVars>
          <dgm:chPref val="3"/>
        </dgm:presLayoutVars>
      </dgm:prSet>
      <dgm:spPr/>
    </dgm:pt>
    <dgm:pt modelId="{620CD522-B0E9-4FD9-842A-2B74F50428F0}" type="pres">
      <dgm:prSet presAssocID="{3F267390-0E50-4CCC-B005-BC11673CF2A3}" presName="rootConnector" presStyleLbl="node2" presStyleIdx="0" presStyleCnt="2"/>
      <dgm:spPr/>
    </dgm:pt>
    <dgm:pt modelId="{1EDC6B36-E10C-4486-A610-F902600CF3F9}" type="pres">
      <dgm:prSet presAssocID="{3F267390-0E50-4CCC-B005-BC11673CF2A3}" presName="hierChild4" presStyleCnt="0"/>
      <dgm:spPr/>
    </dgm:pt>
    <dgm:pt modelId="{B0A6D7CF-35FF-4940-89C3-A2DC58746B91}" type="pres">
      <dgm:prSet presAssocID="{1A8C9A99-C5FF-4FB6-B53D-1E6A3224A061}" presName="Name37" presStyleLbl="parChTrans1D3" presStyleIdx="0" presStyleCnt="4"/>
      <dgm:spPr/>
    </dgm:pt>
    <dgm:pt modelId="{A634EA95-30E3-4B15-B027-D6B356D4CF26}" type="pres">
      <dgm:prSet presAssocID="{78A845B5-5FE2-4EC0-A6C9-E5919C308ADA}" presName="hierRoot2" presStyleCnt="0">
        <dgm:presLayoutVars>
          <dgm:hierBranch val="init"/>
        </dgm:presLayoutVars>
      </dgm:prSet>
      <dgm:spPr/>
    </dgm:pt>
    <dgm:pt modelId="{BFB58A0A-A5A3-42FE-99D7-28E7FFF541B4}" type="pres">
      <dgm:prSet presAssocID="{78A845B5-5FE2-4EC0-A6C9-E5919C308ADA}" presName="rootComposite" presStyleCnt="0"/>
      <dgm:spPr/>
    </dgm:pt>
    <dgm:pt modelId="{3F0C645D-09A6-4107-BF22-15AAFB9ACFFA}" type="pres">
      <dgm:prSet presAssocID="{78A845B5-5FE2-4EC0-A6C9-E5919C308ADA}" presName="rootText" presStyleLbl="node3" presStyleIdx="0" presStyleCnt="4" custScaleX="168350" custScaleY="100283" custLinFactNeighborX="2949" custLinFactNeighborY="-9045">
        <dgm:presLayoutVars>
          <dgm:chPref val="3"/>
        </dgm:presLayoutVars>
      </dgm:prSet>
      <dgm:spPr/>
    </dgm:pt>
    <dgm:pt modelId="{0B63E6A1-1774-43C7-B46B-69094591BA1D}" type="pres">
      <dgm:prSet presAssocID="{78A845B5-5FE2-4EC0-A6C9-E5919C308ADA}" presName="rootConnector" presStyleLbl="node3" presStyleIdx="0" presStyleCnt="4"/>
      <dgm:spPr/>
    </dgm:pt>
    <dgm:pt modelId="{78E41371-DE82-4302-A817-DAF5FB4851C5}" type="pres">
      <dgm:prSet presAssocID="{78A845B5-5FE2-4EC0-A6C9-E5919C308ADA}" presName="hierChild4" presStyleCnt="0"/>
      <dgm:spPr/>
    </dgm:pt>
    <dgm:pt modelId="{39BAB92D-7DB4-4153-8480-F22BF970DE0A}" type="pres">
      <dgm:prSet presAssocID="{15640A5B-116B-43CB-B487-84C580B4CB2D}" presName="Name37" presStyleLbl="parChTrans1D4" presStyleIdx="0" presStyleCnt="10"/>
      <dgm:spPr/>
    </dgm:pt>
    <dgm:pt modelId="{A7A2B1C8-9F33-4102-9CBB-E6F96B92B0EC}" type="pres">
      <dgm:prSet presAssocID="{0ECEC20B-E90C-483D-8A62-4E9CAA8AF126}" presName="hierRoot2" presStyleCnt="0">
        <dgm:presLayoutVars>
          <dgm:hierBranch val="init"/>
        </dgm:presLayoutVars>
      </dgm:prSet>
      <dgm:spPr/>
    </dgm:pt>
    <dgm:pt modelId="{182EA43A-9143-48F8-AD1F-4F9EF4C4714C}" type="pres">
      <dgm:prSet presAssocID="{0ECEC20B-E90C-483D-8A62-4E9CAA8AF126}" presName="rootComposite" presStyleCnt="0"/>
      <dgm:spPr/>
    </dgm:pt>
    <dgm:pt modelId="{24F06410-C849-4451-AE48-47B3D592D2A4}" type="pres">
      <dgm:prSet presAssocID="{0ECEC20B-E90C-483D-8A62-4E9CAA8AF126}" presName="rootText" presStyleLbl="node4" presStyleIdx="0" presStyleCnt="10" custScaleX="142210" custScaleY="68308" custLinFactNeighborX="-13209" custLinFactNeighborY="-40221">
        <dgm:presLayoutVars>
          <dgm:chPref val="3"/>
        </dgm:presLayoutVars>
      </dgm:prSet>
      <dgm:spPr/>
    </dgm:pt>
    <dgm:pt modelId="{C8510F4A-8210-4553-B22D-6B77245FD154}" type="pres">
      <dgm:prSet presAssocID="{0ECEC20B-E90C-483D-8A62-4E9CAA8AF126}" presName="rootConnector" presStyleLbl="node4" presStyleIdx="0" presStyleCnt="10"/>
      <dgm:spPr/>
    </dgm:pt>
    <dgm:pt modelId="{D5D1EA1D-D37A-427E-913F-BAE36FC1328F}" type="pres">
      <dgm:prSet presAssocID="{0ECEC20B-E90C-483D-8A62-4E9CAA8AF126}" presName="hierChild4" presStyleCnt="0"/>
      <dgm:spPr/>
    </dgm:pt>
    <dgm:pt modelId="{69F5C070-D1FC-4641-B6E2-05C23CD62652}" type="pres">
      <dgm:prSet presAssocID="{0ECEC20B-E90C-483D-8A62-4E9CAA8AF126}" presName="hierChild5" presStyleCnt="0"/>
      <dgm:spPr/>
    </dgm:pt>
    <dgm:pt modelId="{83062F33-33D2-4492-9EFA-A7813A2E89E4}" type="pres">
      <dgm:prSet presAssocID="{62888A7B-C5AD-40CB-8FEA-FAB6E2F4E470}" presName="Name37" presStyleLbl="parChTrans1D4" presStyleIdx="1" presStyleCnt="10"/>
      <dgm:spPr/>
    </dgm:pt>
    <dgm:pt modelId="{663125FC-FEEB-42D7-98EA-81F2E8523615}" type="pres">
      <dgm:prSet presAssocID="{A609E4C3-2034-4010-9BC8-5388E03AF6A9}" presName="hierRoot2" presStyleCnt="0">
        <dgm:presLayoutVars>
          <dgm:hierBranch val="init"/>
        </dgm:presLayoutVars>
      </dgm:prSet>
      <dgm:spPr/>
    </dgm:pt>
    <dgm:pt modelId="{F82B41D4-E5A3-4395-A2E8-A44A9028FF51}" type="pres">
      <dgm:prSet presAssocID="{A609E4C3-2034-4010-9BC8-5388E03AF6A9}" presName="rootComposite" presStyleCnt="0"/>
      <dgm:spPr/>
    </dgm:pt>
    <dgm:pt modelId="{4EEDE7BC-7228-43B0-9AE3-5E03274333E0}" type="pres">
      <dgm:prSet presAssocID="{A609E4C3-2034-4010-9BC8-5388E03AF6A9}" presName="rootText" presStyleLbl="node4" presStyleIdx="1" presStyleCnt="10" custScaleX="142210" custScaleY="71499" custLinFactNeighborX="-13210" custLinFactNeighborY="-68741">
        <dgm:presLayoutVars>
          <dgm:chPref val="3"/>
        </dgm:presLayoutVars>
      </dgm:prSet>
      <dgm:spPr/>
    </dgm:pt>
    <dgm:pt modelId="{8EB907BF-A032-46A0-860F-D27243DB11F5}" type="pres">
      <dgm:prSet presAssocID="{A609E4C3-2034-4010-9BC8-5388E03AF6A9}" presName="rootConnector" presStyleLbl="node4" presStyleIdx="1" presStyleCnt="10"/>
      <dgm:spPr/>
    </dgm:pt>
    <dgm:pt modelId="{37DF22AB-357F-46B5-9B13-1797C55302F4}" type="pres">
      <dgm:prSet presAssocID="{A609E4C3-2034-4010-9BC8-5388E03AF6A9}" presName="hierChild4" presStyleCnt="0"/>
      <dgm:spPr/>
    </dgm:pt>
    <dgm:pt modelId="{33B6899E-E7C8-448B-921F-9BB04D9EA30B}" type="pres">
      <dgm:prSet presAssocID="{A609E4C3-2034-4010-9BC8-5388E03AF6A9}" presName="hierChild5" presStyleCnt="0"/>
      <dgm:spPr/>
    </dgm:pt>
    <dgm:pt modelId="{82BC4C0D-9041-43C7-8345-B38FEEE216C5}" type="pres">
      <dgm:prSet presAssocID="{C6F199DD-BA42-4A2B-A22F-D8BFCF400CB8}" presName="Name37" presStyleLbl="parChTrans1D4" presStyleIdx="2" presStyleCnt="10"/>
      <dgm:spPr/>
    </dgm:pt>
    <dgm:pt modelId="{0200E0A1-A985-4D06-9AAA-0745E47EC6BE}" type="pres">
      <dgm:prSet presAssocID="{58A4827A-D285-48BD-9DDE-5A89F626AFFC}" presName="hierRoot2" presStyleCnt="0">
        <dgm:presLayoutVars>
          <dgm:hierBranch val="init"/>
        </dgm:presLayoutVars>
      </dgm:prSet>
      <dgm:spPr/>
    </dgm:pt>
    <dgm:pt modelId="{4307DF90-CEB4-42AE-AFA6-334B958D2C34}" type="pres">
      <dgm:prSet presAssocID="{58A4827A-D285-48BD-9DDE-5A89F626AFFC}" presName="rootComposite" presStyleCnt="0"/>
      <dgm:spPr/>
    </dgm:pt>
    <dgm:pt modelId="{C5674344-5283-4103-B0CB-F8A168FE5E6A}" type="pres">
      <dgm:prSet presAssocID="{58A4827A-D285-48BD-9DDE-5A89F626AFFC}" presName="rootText" presStyleLbl="node4" presStyleIdx="2" presStyleCnt="10" custScaleX="142210" custScaleY="115423" custLinFactNeighborX="-13209" custLinFactNeighborY="-96897">
        <dgm:presLayoutVars>
          <dgm:chPref val="3"/>
        </dgm:presLayoutVars>
      </dgm:prSet>
      <dgm:spPr/>
    </dgm:pt>
    <dgm:pt modelId="{74E7088C-0E33-4D7A-BF4C-895C2E7A8F04}" type="pres">
      <dgm:prSet presAssocID="{58A4827A-D285-48BD-9DDE-5A89F626AFFC}" presName="rootConnector" presStyleLbl="node4" presStyleIdx="2" presStyleCnt="10"/>
      <dgm:spPr/>
    </dgm:pt>
    <dgm:pt modelId="{3338B853-2FE7-4A17-B929-973019CFD267}" type="pres">
      <dgm:prSet presAssocID="{58A4827A-D285-48BD-9DDE-5A89F626AFFC}" presName="hierChild4" presStyleCnt="0"/>
      <dgm:spPr/>
    </dgm:pt>
    <dgm:pt modelId="{C628DF43-6D53-4D20-B8BB-BB91CFC8B166}" type="pres">
      <dgm:prSet presAssocID="{58A4827A-D285-48BD-9DDE-5A89F626AFFC}" presName="hierChild5" presStyleCnt="0"/>
      <dgm:spPr/>
    </dgm:pt>
    <dgm:pt modelId="{8523EAE7-B7B8-4895-AD84-825F14D6AA20}" type="pres">
      <dgm:prSet presAssocID="{78A845B5-5FE2-4EC0-A6C9-E5919C308ADA}" presName="hierChild5" presStyleCnt="0"/>
      <dgm:spPr/>
    </dgm:pt>
    <dgm:pt modelId="{F69CB23E-FA84-42DB-B08B-A21A8DFD06A1}" type="pres">
      <dgm:prSet presAssocID="{38F80706-2567-419D-9FB1-EDDA9BE3B306}" presName="Name37" presStyleLbl="parChTrans1D3" presStyleIdx="1" presStyleCnt="4"/>
      <dgm:spPr/>
    </dgm:pt>
    <dgm:pt modelId="{67DFB851-6E13-4513-915A-581E4051B9C5}" type="pres">
      <dgm:prSet presAssocID="{A24439C4-6CC3-4F0B-AB37-B5F48C404637}" presName="hierRoot2" presStyleCnt="0">
        <dgm:presLayoutVars>
          <dgm:hierBranch val="init"/>
        </dgm:presLayoutVars>
      </dgm:prSet>
      <dgm:spPr/>
    </dgm:pt>
    <dgm:pt modelId="{5A463CB9-B709-4AAC-BF31-E2F9C7719A0C}" type="pres">
      <dgm:prSet presAssocID="{A24439C4-6CC3-4F0B-AB37-B5F48C404637}" presName="rootComposite" presStyleCnt="0"/>
      <dgm:spPr/>
    </dgm:pt>
    <dgm:pt modelId="{C0E5A178-5117-4E98-BB64-AD9E497BE4C4}" type="pres">
      <dgm:prSet presAssocID="{A24439C4-6CC3-4F0B-AB37-B5F48C404637}" presName="rootText" presStyleLbl="node3" presStyleIdx="1" presStyleCnt="4" custScaleX="167688" custLinFactNeighborX="-4252" custLinFactNeighborY="-8971">
        <dgm:presLayoutVars>
          <dgm:chPref val="3"/>
        </dgm:presLayoutVars>
      </dgm:prSet>
      <dgm:spPr/>
    </dgm:pt>
    <dgm:pt modelId="{7043DE05-9A49-4A04-AEC9-CBECD2CF24F0}" type="pres">
      <dgm:prSet presAssocID="{A24439C4-6CC3-4F0B-AB37-B5F48C404637}" presName="rootConnector" presStyleLbl="node3" presStyleIdx="1" presStyleCnt="4"/>
      <dgm:spPr/>
    </dgm:pt>
    <dgm:pt modelId="{0B36FBB8-856C-4E39-B81C-05FBC969231D}" type="pres">
      <dgm:prSet presAssocID="{A24439C4-6CC3-4F0B-AB37-B5F48C404637}" presName="hierChild4" presStyleCnt="0"/>
      <dgm:spPr/>
    </dgm:pt>
    <dgm:pt modelId="{07CCB45D-67CF-40AE-8F50-27292F870F1E}" type="pres">
      <dgm:prSet presAssocID="{1D1B4510-CC78-4E88-B3F5-4C9F656F5F83}" presName="Name37" presStyleLbl="parChTrans1D4" presStyleIdx="3" presStyleCnt="10"/>
      <dgm:spPr/>
    </dgm:pt>
    <dgm:pt modelId="{F272ABEF-C00B-4F20-949B-C3ED86640CC3}" type="pres">
      <dgm:prSet presAssocID="{05354665-5CC3-42E3-84BB-CCE5C773D2E5}" presName="hierRoot2" presStyleCnt="0">
        <dgm:presLayoutVars>
          <dgm:hierBranch val="init"/>
        </dgm:presLayoutVars>
      </dgm:prSet>
      <dgm:spPr/>
    </dgm:pt>
    <dgm:pt modelId="{34C68C69-8B6F-42C8-A25A-95E000D588C2}" type="pres">
      <dgm:prSet presAssocID="{05354665-5CC3-42E3-84BB-CCE5C773D2E5}" presName="rootComposite" presStyleCnt="0"/>
      <dgm:spPr/>
    </dgm:pt>
    <dgm:pt modelId="{CDD83C32-7E8A-49F2-902B-DC628C163915}" type="pres">
      <dgm:prSet presAssocID="{05354665-5CC3-42E3-84BB-CCE5C773D2E5}" presName="rootText" presStyleLbl="node4" presStyleIdx="3" presStyleCnt="10" custScaleX="142210" custScaleY="80154" custLinFactNeighborX="-20837" custLinFactNeighborY="-37650">
        <dgm:presLayoutVars>
          <dgm:chPref val="3"/>
        </dgm:presLayoutVars>
      </dgm:prSet>
      <dgm:spPr/>
    </dgm:pt>
    <dgm:pt modelId="{1AA55B47-FD6D-401A-B1D0-C895BA2CA4F4}" type="pres">
      <dgm:prSet presAssocID="{05354665-5CC3-42E3-84BB-CCE5C773D2E5}" presName="rootConnector" presStyleLbl="node4" presStyleIdx="3" presStyleCnt="10"/>
      <dgm:spPr/>
    </dgm:pt>
    <dgm:pt modelId="{FE192F33-5E11-436A-A29C-3628DDE2ACD4}" type="pres">
      <dgm:prSet presAssocID="{05354665-5CC3-42E3-84BB-CCE5C773D2E5}" presName="hierChild4" presStyleCnt="0"/>
      <dgm:spPr/>
    </dgm:pt>
    <dgm:pt modelId="{2389919D-64DE-4770-8F37-853E3F702F42}" type="pres">
      <dgm:prSet presAssocID="{05354665-5CC3-42E3-84BB-CCE5C773D2E5}" presName="hierChild5" presStyleCnt="0"/>
      <dgm:spPr/>
    </dgm:pt>
    <dgm:pt modelId="{8053D7BA-0AAC-4061-9098-C74E85CC8E2A}" type="pres">
      <dgm:prSet presAssocID="{5589CED0-BDC0-4ED5-AB20-F41A1123DEB3}" presName="Name37" presStyleLbl="parChTrans1D4" presStyleIdx="4" presStyleCnt="10"/>
      <dgm:spPr/>
    </dgm:pt>
    <dgm:pt modelId="{00560F1E-A48C-4685-BF6A-5554AD9E75F0}" type="pres">
      <dgm:prSet presAssocID="{24DEB0F7-5B53-4057-8071-2D8FB2E64264}" presName="hierRoot2" presStyleCnt="0">
        <dgm:presLayoutVars>
          <dgm:hierBranch val="init"/>
        </dgm:presLayoutVars>
      </dgm:prSet>
      <dgm:spPr/>
    </dgm:pt>
    <dgm:pt modelId="{3AB6F442-6E4E-4581-B3A2-E16F5A0EF15F}" type="pres">
      <dgm:prSet presAssocID="{24DEB0F7-5B53-4057-8071-2D8FB2E64264}" presName="rootComposite" presStyleCnt="0"/>
      <dgm:spPr/>
    </dgm:pt>
    <dgm:pt modelId="{CD3EE751-C580-4084-B005-D8166A280A5B}" type="pres">
      <dgm:prSet presAssocID="{24DEB0F7-5B53-4057-8071-2D8FB2E64264}" presName="rootText" presStyleLbl="node4" presStyleIdx="4" presStyleCnt="10" custScaleX="142210" custScaleY="82094" custLinFactNeighborX="-20854" custLinFactNeighborY="-65795">
        <dgm:presLayoutVars>
          <dgm:chPref val="3"/>
        </dgm:presLayoutVars>
      </dgm:prSet>
      <dgm:spPr/>
    </dgm:pt>
    <dgm:pt modelId="{4CAD08D3-8162-4547-AA25-CB32C89385AF}" type="pres">
      <dgm:prSet presAssocID="{24DEB0F7-5B53-4057-8071-2D8FB2E64264}" presName="rootConnector" presStyleLbl="node4" presStyleIdx="4" presStyleCnt="10"/>
      <dgm:spPr/>
    </dgm:pt>
    <dgm:pt modelId="{70B100FC-5D00-4630-9FE0-6246E46B2674}" type="pres">
      <dgm:prSet presAssocID="{24DEB0F7-5B53-4057-8071-2D8FB2E64264}" presName="hierChild4" presStyleCnt="0"/>
      <dgm:spPr/>
    </dgm:pt>
    <dgm:pt modelId="{FB0BD96A-18C6-4E3A-9D14-077C343AD8DE}" type="pres">
      <dgm:prSet presAssocID="{24DEB0F7-5B53-4057-8071-2D8FB2E64264}" presName="hierChild5" presStyleCnt="0"/>
      <dgm:spPr/>
    </dgm:pt>
    <dgm:pt modelId="{5A940879-13C3-4295-9FF0-3A668E7444DE}" type="pres">
      <dgm:prSet presAssocID="{A24439C4-6CC3-4F0B-AB37-B5F48C404637}" presName="hierChild5" presStyleCnt="0"/>
      <dgm:spPr/>
    </dgm:pt>
    <dgm:pt modelId="{E6524B58-73C3-401A-AC6C-60E20A8B6211}" type="pres">
      <dgm:prSet presAssocID="{3F267390-0E50-4CCC-B005-BC11673CF2A3}" presName="hierChild5" presStyleCnt="0"/>
      <dgm:spPr/>
    </dgm:pt>
    <dgm:pt modelId="{84F32059-3046-49B2-A372-EF6EF86439AC}" type="pres">
      <dgm:prSet presAssocID="{9E4631D8-E89E-4DB4-8066-89781B490F94}" presName="Name37" presStyleLbl="parChTrans1D2" presStyleIdx="1" presStyleCnt="2"/>
      <dgm:spPr/>
    </dgm:pt>
    <dgm:pt modelId="{3A58DFE0-8B37-42AE-B37D-AF1A2A9F8C20}" type="pres">
      <dgm:prSet presAssocID="{0E4D8AFF-591B-460C-A4C9-67F2C9857CC4}" presName="hierRoot2" presStyleCnt="0">
        <dgm:presLayoutVars>
          <dgm:hierBranch val="init"/>
        </dgm:presLayoutVars>
      </dgm:prSet>
      <dgm:spPr/>
    </dgm:pt>
    <dgm:pt modelId="{C597C812-8A95-4308-8916-DF720047DE09}" type="pres">
      <dgm:prSet presAssocID="{0E4D8AFF-591B-460C-A4C9-67F2C9857CC4}" presName="rootComposite" presStyleCnt="0"/>
      <dgm:spPr/>
    </dgm:pt>
    <dgm:pt modelId="{4A23F757-1AAE-41A0-9F49-1D8ECD8B9F2C}" type="pres">
      <dgm:prSet presAssocID="{0E4D8AFF-591B-460C-A4C9-67F2C9857CC4}" presName="rootText" presStyleLbl="node2" presStyleIdx="1" presStyleCnt="2" custScaleX="276642" custScaleY="100088" custLinFactNeighborX="-6503" custLinFactNeighborY="196">
        <dgm:presLayoutVars>
          <dgm:chPref val="3"/>
        </dgm:presLayoutVars>
      </dgm:prSet>
      <dgm:spPr/>
    </dgm:pt>
    <dgm:pt modelId="{9F2D6968-14C5-4EF2-8304-BD7B347B8A20}" type="pres">
      <dgm:prSet presAssocID="{0E4D8AFF-591B-460C-A4C9-67F2C9857CC4}" presName="rootConnector" presStyleLbl="node2" presStyleIdx="1" presStyleCnt="2"/>
      <dgm:spPr/>
    </dgm:pt>
    <dgm:pt modelId="{994766E5-87BD-4906-9DD0-0C0006570390}" type="pres">
      <dgm:prSet presAssocID="{0E4D8AFF-591B-460C-A4C9-67F2C9857CC4}" presName="hierChild4" presStyleCnt="0"/>
      <dgm:spPr/>
    </dgm:pt>
    <dgm:pt modelId="{373BB783-128C-4A5F-B09F-2C6B132A3CA3}" type="pres">
      <dgm:prSet presAssocID="{C7369B69-F6D1-4824-ACA2-6A155304198B}" presName="Name37" presStyleLbl="parChTrans1D3" presStyleIdx="2" presStyleCnt="4"/>
      <dgm:spPr/>
    </dgm:pt>
    <dgm:pt modelId="{E5B0D4B9-A118-487E-85C9-7CB2C89FBB20}" type="pres">
      <dgm:prSet presAssocID="{60C487F2-55E9-4051-B835-0507B34F4BF2}" presName="hierRoot2" presStyleCnt="0">
        <dgm:presLayoutVars>
          <dgm:hierBranch val="init"/>
        </dgm:presLayoutVars>
      </dgm:prSet>
      <dgm:spPr/>
    </dgm:pt>
    <dgm:pt modelId="{4EE006F1-417C-4E8F-9F05-91FD30CBD070}" type="pres">
      <dgm:prSet presAssocID="{60C487F2-55E9-4051-B835-0507B34F4BF2}" presName="rootComposite" presStyleCnt="0"/>
      <dgm:spPr/>
    </dgm:pt>
    <dgm:pt modelId="{3BF94813-5A36-4666-8B08-54E226EBAE21}" type="pres">
      <dgm:prSet presAssocID="{60C487F2-55E9-4051-B835-0507B34F4BF2}" presName="rootText" presStyleLbl="node3" presStyleIdx="2" presStyleCnt="4" custScaleX="178965" custScaleY="100283" custLinFactNeighborX="4269" custLinFactNeighborY="-9675">
        <dgm:presLayoutVars>
          <dgm:chPref val="3"/>
        </dgm:presLayoutVars>
      </dgm:prSet>
      <dgm:spPr/>
    </dgm:pt>
    <dgm:pt modelId="{047B165C-EC46-4E7C-B2C5-5C99D519DB62}" type="pres">
      <dgm:prSet presAssocID="{60C487F2-55E9-4051-B835-0507B34F4BF2}" presName="rootConnector" presStyleLbl="node3" presStyleIdx="2" presStyleCnt="4"/>
      <dgm:spPr/>
    </dgm:pt>
    <dgm:pt modelId="{3D4B2032-8BE0-4AC7-9D7C-B77B076C4672}" type="pres">
      <dgm:prSet presAssocID="{60C487F2-55E9-4051-B835-0507B34F4BF2}" presName="hierChild4" presStyleCnt="0"/>
      <dgm:spPr/>
    </dgm:pt>
    <dgm:pt modelId="{6BC52012-2DCA-4E5D-97ED-4A23D2EB49C6}" type="pres">
      <dgm:prSet presAssocID="{201A60C5-138F-48B4-B6ED-01B7380B861F}" presName="Name37" presStyleLbl="parChTrans1D4" presStyleIdx="5" presStyleCnt="10"/>
      <dgm:spPr/>
    </dgm:pt>
    <dgm:pt modelId="{5329EF6B-8DDE-4DB4-8B1F-33A3D1B902EC}" type="pres">
      <dgm:prSet presAssocID="{9A9C6070-9D06-4645-844F-813850F3679E}" presName="hierRoot2" presStyleCnt="0">
        <dgm:presLayoutVars>
          <dgm:hierBranch val="init"/>
        </dgm:presLayoutVars>
      </dgm:prSet>
      <dgm:spPr/>
    </dgm:pt>
    <dgm:pt modelId="{26B0FC0C-4BAA-41A3-958D-D52CBA5458EA}" type="pres">
      <dgm:prSet presAssocID="{9A9C6070-9D06-4645-844F-813850F3679E}" presName="rootComposite" presStyleCnt="0"/>
      <dgm:spPr/>
    </dgm:pt>
    <dgm:pt modelId="{2DD99029-3C21-4E6E-A9F8-65F189509F28}" type="pres">
      <dgm:prSet presAssocID="{9A9C6070-9D06-4645-844F-813850F3679E}" presName="rootText" presStyleLbl="node4" presStyleIdx="5" presStyleCnt="10" custScaleX="154623" custScaleY="94912" custLinFactNeighborX="-16538" custLinFactNeighborY="-38320">
        <dgm:presLayoutVars>
          <dgm:chPref val="3"/>
        </dgm:presLayoutVars>
      </dgm:prSet>
      <dgm:spPr/>
    </dgm:pt>
    <dgm:pt modelId="{E5AE67EA-DD41-469C-A41E-4F70B641E098}" type="pres">
      <dgm:prSet presAssocID="{9A9C6070-9D06-4645-844F-813850F3679E}" presName="rootConnector" presStyleLbl="node4" presStyleIdx="5" presStyleCnt="10"/>
      <dgm:spPr/>
    </dgm:pt>
    <dgm:pt modelId="{003E9498-0B8F-4AEF-B9C0-92EA53F90D97}" type="pres">
      <dgm:prSet presAssocID="{9A9C6070-9D06-4645-844F-813850F3679E}" presName="hierChild4" presStyleCnt="0"/>
      <dgm:spPr/>
    </dgm:pt>
    <dgm:pt modelId="{03614CD7-4F42-4265-96B7-551796CF1C82}" type="pres">
      <dgm:prSet presAssocID="{9A9C6070-9D06-4645-844F-813850F3679E}" presName="hierChild5" presStyleCnt="0"/>
      <dgm:spPr/>
    </dgm:pt>
    <dgm:pt modelId="{A3399598-0C37-4D07-890D-AAC486F0B0D5}" type="pres">
      <dgm:prSet presAssocID="{C88FA440-EDDE-4703-99B3-1DBC69F1824F}" presName="Name37" presStyleLbl="parChTrans1D4" presStyleIdx="6" presStyleCnt="10"/>
      <dgm:spPr/>
    </dgm:pt>
    <dgm:pt modelId="{130919BC-AB06-4C5C-8F9E-10A38C1E2297}" type="pres">
      <dgm:prSet presAssocID="{05CCB0E0-15C3-4D31-B06C-E8A0BC981F47}" presName="hierRoot2" presStyleCnt="0">
        <dgm:presLayoutVars>
          <dgm:hierBranch val="init"/>
        </dgm:presLayoutVars>
      </dgm:prSet>
      <dgm:spPr/>
    </dgm:pt>
    <dgm:pt modelId="{52F5E342-3675-498E-9571-8E50614D529F}" type="pres">
      <dgm:prSet presAssocID="{05CCB0E0-15C3-4D31-B06C-E8A0BC981F47}" presName="rootComposite" presStyleCnt="0"/>
      <dgm:spPr/>
    </dgm:pt>
    <dgm:pt modelId="{09A8ABC1-6B7F-4D04-A468-1B779E529D97}" type="pres">
      <dgm:prSet presAssocID="{05CCB0E0-15C3-4D31-B06C-E8A0BC981F47}" presName="rootText" presStyleLbl="node4" presStyleIdx="6" presStyleCnt="10" custScaleX="154491" custScaleY="73406" custLinFactNeighborX="-15914" custLinFactNeighborY="-65933">
        <dgm:presLayoutVars>
          <dgm:chPref val="3"/>
        </dgm:presLayoutVars>
      </dgm:prSet>
      <dgm:spPr/>
    </dgm:pt>
    <dgm:pt modelId="{2E80F65E-CAA5-4C09-9B5A-29C0B3E6E4B0}" type="pres">
      <dgm:prSet presAssocID="{05CCB0E0-15C3-4D31-B06C-E8A0BC981F47}" presName="rootConnector" presStyleLbl="node4" presStyleIdx="6" presStyleCnt="10"/>
      <dgm:spPr/>
    </dgm:pt>
    <dgm:pt modelId="{578B5893-D3EF-4AA2-9351-263B36BBF201}" type="pres">
      <dgm:prSet presAssocID="{05CCB0E0-15C3-4D31-B06C-E8A0BC981F47}" presName="hierChild4" presStyleCnt="0"/>
      <dgm:spPr/>
    </dgm:pt>
    <dgm:pt modelId="{A509575F-9F02-424F-9B75-2A74212DF118}" type="pres">
      <dgm:prSet presAssocID="{05CCB0E0-15C3-4D31-B06C-E8A0BC981F47}" presName="hierChild5" presStyleCnt="0"/>
      <dgm:spPr/>
    </dgm:pt>
    <dgm:pt modelId="{3715EF79-074E-4BD8-9C00-AA877AD83E79}" type="pres">
      <dgm:prSet presAssocID="{33C8E0CA-5228-4A6F-A010-992AD11BF739}" presName="Name37" presStyleLbl="parChTrans1D4" presStyleIdx="7" presStyleCnt="10"/>
      <dgm:spPr/>
    </dgm:pt>
    <dgm:pt modelId="{74A09C4B-A870-42E7-8F68-79F033198E1B}" type="pres">
      <dgm:prSet presAssocID="{918287A3-20B5-4380-B959-A2225943D882}" presName="hierRoot2" presStyleCnt="0">
        <dgm:presLayoutVars>
          <dgm:hierBranch val="init"/>
        </dgm:presLayoutVars>
      </dgm:prSet>
      <dgm:spPr/>
    </dgm:pt>
    <dgm:pt modelId="{FC5732FC-76E8-4E0F-B8C9-B65740613211}" type="pres">
      <dgm:prSet presAssocID="{918287A3-20B5-4380-B959-A2225943D882}" presName="rootComposite" presStyleCnt="0"/>
      <dgm:spPr/>
    </dgm:pt>
    <dgm:pt modelId="{AF0C0D7E-5C81-4B64-A32D-368C42321683}" type="pres">
      <dgm:prSet presAssocID="{918287A3-20B5-4380-B959-A2225943D882}" presName="rootText" presStyleLbl="node4" presStyleIdx="7" presStyleCnt="10" custScaleX="154491" custScaleY="73266" custLinFactNeighborX="-15914" custLinFactNeighborY="-92542">
        <dgm:presLayoutVars>
          <dgm:chPref val="3"/>
        </dgm:presLayoutVars>
      </dgm:prSet>
      <dgm:spPr/>
    </dgm:pt>
    <dgm:pt modelId="{C652F539-03EB-40EF-80AC-9C58D2872C76}" type="pres">
      <dgm:prSet presAssocID="{918287A3-20B5-4380-B959-A2225943D882}" presName="rootConnector" presStyleLbl="node4" presStyleIdx="7" presStyleCnt="10"/>
      <dgm:spPr/>
    </dgm:pt>
    <dgm:pt modelId="{35A8C66D-1579-4744-BFF8-B89F91D372E0}" type="pres">
      <dgm:prSet presAssocID="{918287A3-20B5-4380-B959-A2225943D882}" presName="hierChild4" presStyleCnt="0"/>
      <dgm:spPr/>
    </dgm:pt>
    <dgm:pt modelId="{FC8FAFD3-AAA7-49A8-A861-F297141784E7}" type="pres">
      <dgm:prSet presAssocID="{918287A3-20B5-4380-B959-A2225943D882}" presName="hierChild5" presStyleCnt="0"/>
      <dgm:spPr/>
    </dgm:pt>
    <dgm:pt modelId="{9845DD14-3D79-4533-B854-F6CF13CCB4E9}" type="pres">
      <dgm:prSet presAssocID="{60C487F2-55E9-4051-B835-0507B34F4BF2}" presName="hierChild5" presStyleCnt="0"/>
      <dgm:spPr/>
    </dgm:pt>
    <dgm:pt modelId="{BFB2037B-EDC3-4F21-9449-3A8298A3E653}" type="pres">
      <dgm:prSet presAssocID="{FA34676A-FE7D-40FC-A7BA-9CB4F04AB78F}" presName="Name37" presStyleLbl="parChTrans1D3" presStyleIdx="3" presStyleCnt="4"/>
      <dgm:spPr/>
    </dgm:pt>
    <dgm:pt modelId="{4AC559BF-7723-46C0-95BE-2716F26F3CFC}" type="pres">
      <dgm:prSet presAssocID="{610C6564-3FC9-4907-95F5-3E8D818E9365}" presName="hierRoot2" presStyleCnt="0">
        <dgm:presLayoutVars>
          <dgm:hierBranch val="init"/>
        </dgm:presLayoutVars>
      </dgm:prSet>
      <dgm:spPr/>
    </dgm:pt>
    <dgm:pt modelId="{1FDAD2B6-71BD-4F04-A4DF-2D743DC8B32E}" type="pres">
      <dgm:prSet presAssocID="{610C6564-3FC9-4907-95F5-3E8D818E9365}" presName="rootComposite" presStyleCnt="0"/>
      <dgm:spPr/>
    </dgm:pt>
    <dgm:pt modelId="{ED2C96D0-2A4B-40FD-B089-1A44C2E31C3B}" type="pres">
      <dgm:prSet presAssocID="{610C6564-3FC9-4907-95F5-3E8D818E9365}" presName="rootText" presStyleLbl="node3" presStyleIdx="3" presStyleCnt="4" custScaleX="192968" custScaleY="100283" custLinFactNeighborX="-2636" custLinFactNeighborY="-9675">
        <dgm:presLayoutVars>
          <dgm:chPref val="3"/>
        </dgm:presLayoutVars>
      </dgm:prSet>
      <dgm:spPr/>
    </dgm:pt>
    <dgm:pt modelId="{BEF80CAA-CE96-4598-A965-50B9089C83E3}" type="pres">
      <dgm:prSet presAssocID="{610C6564-3FC9-4907-95F5-3E8D818E9365}" presName="rootConnector" presStyleLbl="node3" presStyleIdx="3" presStyleCnt="4"/>
      <dgm:spPr/>
    </dgm:pt>
    <dgm:pt modelId="{88BCBC99-CED6-419F-ABDD-E357B783F5B6}" type="pres">
      <dgm:prSet presAssocID="{610C6564-3FC9-4907-95F5-3E8D818E9365}" presName="hierChild4" presStyleCnt="0"/>
      <dgm:spPr/>
    </dgm:pt>
    <dgm:pt modelId="{1CE3B32B-4612-4579-9A92-6A312BD2A8EB}" type="pres">
      <dgm:prSet presAssocID="{ED12324C-1BFC-48AE-BF0B-BE926096B2E9}" presName="Name37" presStyleLbl="parChTrans1D4" presStyleIdx="8" presStyleCnt="10"/>
      <dgm:spPr/>
    </dgm:pt>
    <dgm:pt modelId="{AFAC3BCD-9ED9-4A47-83DA-1CE8E10E76EA}" type="pres">
      <dgm:prSet presAssocID="{76DFBE9C-E73B-4C32-918F-3E5B4C2ADEF2}" presName="hierRoot2" presStyleCnt="0">
        <dgm:presLayoutVars>
          <dgm:hierBranch val="init"/>
        </dgm:presLayoutVars>
      </dgm:prSet>
      <dgm:spPr/>
    </dgm:pt>
    <dgm:pt modelId="{A4879CC5-72B1-4D1F-80C1-2AD32B7381D5}" type="pres">
      <dgm:prSet presAssocID="{76DFBE9C-E73B-4C32-918F-3E5B4C2ADEF2}" presName="rootComposite" presStyleCnt="0"/>
      <dgm:spPr/>
    </dgm:pt>
    <dgm:pt modelId="{886ED62E-6269-4868-AF59-227ED6ACB34B}" type="pres">
      <dgm:prSet presAssocID="{76DFBE9C-E73B-4C32-918F-3E5B4C2ADEF2}" presName="rootText" presStyleLbl="node4" presStyleIdx="8" presStyleCnt="10" custScaleX="168135" custScaleY="88822" custLinFactNeighborX="-25892" custLinFactNeighborY="-36774">
        <dgm:presLayoutVars>
          <dgm:chPref val="3"/>
        </dgm:presLayoutVars>
      </dgm:prSet>
      <dgm:spPr/>
    </dgm:pt>
    <dgm:pt modelId="{D69C9F1A-A768-4E24-BCD6-D73856AD9A69}" type="pres">
      <dgm:prSet presAssocID="{76DFBE9C-E73B-4C32-918F-3E5B4C2ADEF2}" presName="rootConnector" presStyleLbl="node4" presStyleIdx="8" presStyleCnt="10"/>
      <dgm:spPr/>
    </dgm:pt>
    <dgm:pt modelId="{57990FF5-E78D-43FE-AD78-A33575A7076F}" type="pres">
      <dgm:prSet presAssocID="{76DFBE9C-E73B-4C32-918F-3E5B4C2ADEF2}" presName="hierChild4" presStyleCnt="0"/>
      <dgm:spPr/>
    </dgm:pt>
    <dgm:pt modelId="{49812CB9-4FEB-4F03-B6FE-8F3039C55358}" type="pres">
      <dgm:prSet presAssocID="{76DFBE9C-E73B-4C32-918F-3E5B4C2ADEF2}" presName="hierChild5" presStyleCnt="0"/>
      <dgm:spPr/>
    </dgm:pt>
    <dgm:pt modelId="{9AF45A03-C7C8-43A1-B6FB-9EE30877EFDD}" type="pres">
      <dgm:prSet presAssocID="{FD326964-1779-4009-B805-0D483A316853}" presName="Name37" presStyleLbl="parChTrans1D4" presStyleIdx="9" presStyleCnt="10"/>
      <dgm:spPr/>
    </dgm:pt>
    <dgm:pt modelId="{6889DDFD-3DB3-4CA1-8026-AB60EC87F6D5}" type="pres">
      <dgm:prSet presAssocID="{43D8C9F0-895A-4F7A-B69A-351836FEE936}" presName="hierRoot2" presStyleCnt="0">
        <dgm:presLayoutVars>
          <dgm:hierBranch val="init"/>
        </dgm:presLayoutVars>
      </dgm:prSet>
      <dgm:spPr/>
    </dgm:pt>
    <dgm:pt modelId="{B7FF7F07-F891-44BC-BA59-31071372D38B}" type="pres">
      <dgm:prSet presAssocID="{43D8C9F0-895A-4F7A-B69A-351836FEE936}" presName="rootComposite" presStyleCnt="0"/>
      <dgm:spPr/>
    </dgm:pt>
    <dgm:pt modelId="{1D367995-2E38-47E4-ABE4-2E6E480B0583}" type="pres">
      <dgm:prSet presAssocID="{43D8C9F0-895A-4F7A-B69A-351836FEE936}" presName="rootText" presStyleLbl="node4" presStyleIdx="9" presStyleCnt="10" custScaleX="168066" custScaleY="87738" custLinFactNeighborX="-25921" custLinFactNeighborY="-64793">
        <dgm:presLayoutVars>
          <dgm:chPref val="3"/>
        </dgm:presLayoutVars>
      </dgm:prSet>
      <dgm:spPr/>
    </dgm:pt>
    <dgm:pt modelId="{D55F724C-1757-4E50-804C-6980DE73874B}" type="pres">
      <dgm:prSet presAssocID="{43D8C9F0-895A-4F7A-B69A-351836FEE936}" presName="rootConnector" presStyleLbl="node4" presStyleIdx="9" presStyleCnt="10"/>
      <dgm:spPr/>
    </dgm:pt>
    <dgm:pt modelId="{308FFB97-3133-4C65-A014-713497A6DC0B}" type="pres">
      <dgm:prSet presAssocID="{43D8C9F0-895A-4F7A-B69A-351836FEE936}" presName="hierChild4" presStyleCnt="0"/>
      <dgm:spPr/>
    </dgm:pt>
    <dgm:pt modelId="{036ADCB5-912A-45C1-B600-1E458E667788}" type="pres">
      <dgm:prSet presAssocID="{43D8C9F0-895A-4F7A-B69A-351836FEE936}" presName="hierChild5" presStyleCnt="0"/>
      <dgm:spPr/>
    </dgm:pt>
    <dgm:pt modelId="{D71CF5A2-43FA-4F3F-867E-AFE7919777FF}" type="pres">
      <dgm:prSet presAssocID="{610C6564-3FC9-4907-95F5-3E8D818E9365}" presName="hierChild5" presStyleCnt="0"/>
      <dgm:spPr/>
    </dgm:pt>
    <dgm:pt modelId="{6A0B65C3-F8D7-4BA7-B3DA-42BA74FCF468}" type="pres">
      <dgm:prSet presAssocID="{0E4D8AFF-591B-460C-A4C9-67F2C9857CC4}" presName="hierChild5" presStyleCnt="0"/>
      <dgm:spPr/>
    </dgm:pt>
    <dgm:pt modelId="{7FE19125-1452-4D91-84E2-B491F0B1C985}" type="pres">
      <dgm:prSet presAssocID="{D961D356-C423-4930-9CD4-5641A753DEE6}" presName="hierChild3" presStyleCnt="0"/>
      <dgm:spPr/>
    </dgm:pt>
  </dgm:ptLst>
  <dgm:cxnLst>
    <dgm:cxn modelId="{BF446902-A788-4248-AFA7-5F00A5A149D3}" srcId="{D961D356-C423-4930-9CD4-5641A753DEE6}" destId="{3F267390-0E50-4CCC-B005-BC11673CF2A3}" srcOrd="0" destOrd="0" parTransId="{C87D0185-A927-4A83-A9D0-EE494B38E8D3}" sibTransId="{89CED27D-AA41-49C3-9031-B02447B40CB9}"/>
    <dgm:cxn modelId="{ACDBC605-A75A-436B-9097-C6C1AEDCB568}" srcId="{78A845B5-5FE2-4EC0-A6C9-E5919C308ADA}" destId="{0ECEC20B-E90C-483D-8A62-4E9CAA8AF126}" srcOrd="0" destOrd="0" parTransId="{15640A5B-116B-43CB-B487-84C580B4CB2D}" sibTransId="{82C9952B-558D-4FE7-B36E-7E76A5E2935A}"/>
    <dgm:cxn modelId="{EDEDDC05-D88B-4F5A-99E3-F4BCD058A9BF}" type="presOf" srcId="{2A939374-EEE9-4965-9872-33F17AE331AA}" destId="{B042746A-114F-4FF4-83E0-41B4AE1F0D78}" srcOrd="0" destOrd="0" presId="urn:microsoft.com/office/officeart/2005/8/layout/orgChart1"/>
    <dgm:cxn modelId="{A3FD8F07-BEEF-47C1-8923-33A582476DE5}" srcId="{D961D356-C423-4930-9CD4-5641A753DEE6}" destId="{0E4D8AFF-591B-460C-A4C9-67F2C9857CC4}" srcOrd="1" destOrd="0" parTransId="{9E4631D8-E89E-4DB4-8066-89781B490F94}" sibTransId="{8C01E186-6DB0-42DA-B57A-39F6EFD0ADF3}"/>
    <dgm:cxn modelId="{6CA0200B-76F5-4A75-8878-D5FC9831252D}" type="presOf" srcId="{05CCB0E0-15C3-4D31-B06C-E8A0BC981F47}" destId="{09A8ABC1-6B7F-4D04-A468-1B779E529D97}" srcOrd="0" destOrd="0" presId="urn:microsoft.com/office/officeart/2005/8/layout/orgChart1"/>
    <dgm:cxn modelId="{3320880E-5DE9-45F5-B70C-774E5FDC56ED}" type="presOf" srcId="{60C487F2-55E9-4051-B835-0507B34F4BF2}" destId="{3BF94813-5A36-4666-8B08-54E226EBAE21}" srcOrd="0" destOrd="0" presId="urn:microsoft.com/office/officeart/2005/8/layout/orgChart1"/>
    <dgm:cxn modelId="{A7C4970F-01E9-4DB9-8C58-732FF3D7848D}" type="presOf" srcId="{1D1B4510-CC78-4E88-B3F5-4C9F656F5F83}" destId="{07CCB45D-67CF-40AE-8F50-27292F870F1E}" srcOrd="0" destOrd="0" presId="urn:microsoft.com/office/officeart/2005/8/layout/orgChart1"/>
    <dgm:cxn modelId="{3C816F11-93D6-4F4C-A32B-080B5B57F658}" srcId="{60C487F2-55E9-4051-B835-0507B34F4BF2}" destId="{05CCB0E0-15C3-4D31-B06C-E8A0BC981F47}" srcOrd="1" destOrd="0" parTransId="{C88FA440-EDDE-4703-99B3-1DBC69F1824F}" sibTransId="{2FF89EE0-B6A9-4E52-BBAD-6A331BD5DBDE}"/>
    <dgm:cxn modelId="{D6C23412-AC9A-4854-A964-C8977D7020DF}" type="presOf" srcId="{5589CED0-BDC0-4ED5-AB20-F41A1123DEB3}" destId="{8053D7BA-0AAC-4061-9098-C74E85CC8E2A}" srcOrd="0" destOrd="0" presId="urn:microsoft.com/office/officeart/2005/8/layout/orgChart1"/>
    <dgm:cxn modelId="{26D75513-D307-4798-9879-AB59AB8E1552}" srcId="{0E4D8AFF-591B-460C-A4C9-67F2C9857CC4}" destId="{610C6564-3FC9-4907-95F5-3E8D818E9365}" srcOrd="1" destOrd="0" parTransId="{FA34676A-FE7D-40FC-A7BA-9CB4F04AB78F}" sibTransId="{45814F3D-18BA-418C-AB01-8132906164AF}"/>
    <dgm:cxn modelId="{485DC415-8A3B-4FC5-8B4E-93C6DF2CE194}" type="presOf" srcId="{0E4D8AFF-591B-460C-A4C9-67F2C9857CC4}" destId="{4A23F757-1AAE-41A0-9F49-1D8ECD8B9F2C}" srcOrd="0" destOrd="0" presId="urn:microsoft.com/office/officeart/2005/8/layout/orgChart1"/>
    <dgm:cxn modelId="{E2969816-E6C3-4075-94D6-352548C80CD0}" type="presOf" srcId="{38F80706-2567-419D-9FB1-EDDA9BE3B306}" destId="{F69CB23E-FA84-42DB-B08B-A21A8DFD06A1}" srcOrd="0" destOrd="0" presId="urn:microsoft.com/office/officeart/2005/8/layout/orgChart1"/>
    <dgm:cxn modelId="{A4C02F19-3C16-490C-B397-777CD5A49548}" type="presOf" srcId="{C87D0185-A927-4A83-A9D0-EE494B38E8D3}" destId="{F75DC991-44CE-406B-BD99-E05CBFC3597C}" srcOrd="0" destOrd="0" presId="urn:microsoft.com/office/officeart/2005/8/layout/orgChart1"/>
    <dgm:cxn modelId="{ED5C851A-6F08-4CFE-A918-9FD2B33D6DCF}" type="presOf" srcId="{C88FA440-EDDE-4703-99B3-1DBC69F1824F}" destId="{A3399598-0C37-4D07-890D-AAC486F0B0D5}" srcOrd="0" destOrd="0" presId="urn:microsoft.com/office/officeart/2005/8/layout/orgChart1"/>
    <dgm:cxn modelId="{64316D1E-6B17-488A-8E67-C32DE24B7B9A}" srcId="{3F267390-0E50-4CCC-B005-BC11673CF2A3}" destId="{A24439C4-6CC3-4F0B-AB37-B5F48C404637}" srcOrd="1" destOrd="0" parTransId="{38F80706-2567-419D-9FB1-EDDA9BE3B306}" sibTransId="{6542A0B3-61CB-4ADB-AD7B-BEF5804B85CE}"/>
    <dgm:cxn modelId="{6030E41E-5107-48B8-A608-8C78652ECB88}" srcId="{60C487F2-55E9-4051-B835-0507B34F4BF2}" destId="{918287A3-20B5-4380-B959-A2225943D882}" srcOrd="2" destOrd="0" parTransId="{33C8E0CA-5228-4A6F-A010-992AD11BF739}" sibTransId="{0BB27037-2C43-4378-B381-71770A903627}"/>
    <dgm:cxn modelId="{58E5FD23-0328-4AFF-B47C-FCD1DF2C9998}" type="presOf" srcId="{C6F199DD-BA42-4A2B-A22F-D8BFCF400CB8}" destId="{82BC4C0D-9041-43C7-8345-B38FEEE216C5}" srcOrd="0" destOrd="0" presId="urn:microsoft.com/office/officeart/2005/8/layout/orgChart1"/>
    <dgm:cxn modelId="{41B2DF2A-87AC-4E28-9990-1C2FE65C910F}" type="presOf" srcId="{76DFBE9C-E73B-4C32-918F-3E5B4C2ADEF2}" destId="{886ED62E-6269-4868-AF59-227ED6ACB34B}" srcOrd="0" destOrd="0" presId="urn:microsoft.com/office/officeart/2005/8/layout/orgChart1"/>
    <dgm:cxn modelId="{18209E2C-4A42-41DD-AE59-386ACDCDC8A3}" srcId="{A24439C4-6CC3-4F0B-AB37-B5F48C404637}" destId="{24DEB0F7-5B53-4057-8071-2D8FB2E64264}" srcOrd="1" destOrd="0" parTransId="{5589CED0-BDC0-4ED5-AB20-F41A1123DEB3}" sibTransId="{4A652C94-8382-420C-B895-5839FB140233}"/>
    <dgm:cxn modelId="{097F1D2E-7FE1-49D7-B225-C5521A605645}" type="presOf" srcId="{C7369B69-F6D1-4824-ACA2-6A155304198B}" destId="{373BB783-128C-4A5F-B09F-2C6B132A3CA3}" srcOrd="0" destOrd="0" presId="urn:microsoft.com/office/officeart/2005/8/layout/orgChart1"/>
    <dgm:cxn modelId="{6DB2F133-33D7-4486-BA85-B6E3C30B1B6B}" type="presOf" srcId="{0ECEC20B-E90C-483D-8A62-4E9CAA8AF126}" destId="{C8510F4A-8210-4553-B22D-6B77245FD154}" srcOrd="1" destOrd="0" presId="urn:microsoft.com/office/officeart/2005/8/layout/orgChart1"/>
    <dgm:cxn modelId="{25199C35-02FB-4A5B-9959-13C167FBF47A}" type="presOf" srcId="{33C8E0CA-5228-4A6F-A010-992AD11BF739}" destId="{3715EF79-074E-4BD8-9C00-AA877AD83E79}" srcOrd="0" destOrd="0" presId="urn:microsoft.com/office/officeart/2005/8/layout/orgChart1"/>
    <dgm:cxn modelId="{4280723C-0346-4CC5-9A83-FA67AD554BC7}" type="presOf" srcId="{3F267390-0E50-4CCC-B005-BC11673CF2A3}" destId="{620CD522-B0E9-4FD9-842A-2B74F50428F0}" srcOrd="1" destOrd="0" presId="urn:microsoft.com/office/officeart/2005/8/layout/orgChart1"/>
    <dgm:cxn modelId="{64445D3E-20D2-4994-8957-1186E6DB1DC5}" type="presOf" srcId="{62888A7B-C5AD-40CB-8FEA-FAB6E2F4E470}" destId="{83062F33-33D2-4492-9EFA-A7813A2E89E4}" srcOrd="0" destOrd="0" presId="urn:microsoft.com/office/officeart/2005/8/layout/orgChart1"/>
    <dgm:cxn modelId="{EC4E4E68-94EC-4039-A99A-BC0F3569B4F2}" type="presOf" srcId="{A24439C4-6CC3-4F0B-AB37-B5F48C404637}" destId="{C0E5A178-5117-4E98-BB64-AD9E497BE4C4}" srcOrd="0" destOrd="0" presId="urn:microsoft.com/office/officeart/2005/8/layout/orgChart1"/>
    <dgm:cxn modelId="{A1049068-BC8A-4159-99D3-B11F74CB33CE}" type="presOf" srcId="{05354665-5CC3-42E3-84BB-CCE5C773D2E5}" destId="{1AA55B47-FD6D-401A-B1D0-C895BA2CA4F4}" srcOrd="1" destOrd="0" presId="urn:microsoft.com/office/officeart/2005/8/layout/orgChart1"/>
    <dgm:cxn modelId="{37C10169-A34B-4421-B256-6451C4B3B1E8}" type="presOf" srcId="{918287A3-20B5-4380-B959-A2225943D882}" destId="{AF0C0D7E-5C81-4B64-A32D-368C42321683}" srcOrd="0" destOrd="0" presId="urn:microsoft.com/office/officeart/2005/8/layout/orgChart1"/>
    <dgm:cxn modelId="{F0A0DA69-A2F0-4B18-A5A9-50FE7EB781C0}" type="presOf" srcId="{78A845B5-5FE2-4EC0-A6C9-E5919C308ADA}" destId="{0B63E6A1-1774-43C7-B46B-69094591BA1D}" srcOrd="1" destOrd="0" presId="urn:microsoft.com/office/officeart/2005/8/layout/orgChart1"/>
    <dgm:cxn modelId="{DCDEA86A-5E0A-4D37-A6F3-75B5A60CB50B}" type="presOf" srcId="{610C6564-3FC9-4907-95F5-3E8D818E9365}" destId="{BEF80CAA-CE96-4598-A965-50B9089C83E3}" srcOrd="1" destOrd="0" presId="urn:microsoft.com/office/officeart/2005/8/layout/orgChart1"/>
    <dgm:cxn modelId="{8C9F116C-BA20-4B1F-B4AB-E6F23C631BB4}" type="presOf" srcId="{15640A5B-116B-43CB-B487-84C580B4CB2D}" destId="{39BAB92D-7DB4-4153-8480-F22BF970DE0A}" srcOrd="0" destOrd="0" presId="urn:microsoft.com/office/officeart/2005/8/layout/orgChart1"/>
    <dgm:cxn modelId="{C16B2D4C-0C50-4F57-B46A-BDE2A3A7AD37}" type="presOf" srcId="{43D8C9F0-895A-4F7A-B69A-351836FEE936}" destId="{1D367995-2E38-47E4-ABE4-2E6E480B0583}" srcOrd="0" destOrd="0" presId="urn:microsoft.com/office/officeart/2005/8/layout/orgChart1"/>
    <dgm:cxn modelId="{A4D23B4E-5995-4477-B261-447405FE13FD}" type="presOf" srcId="{3F267390-0E50-4CCC-B005-BC11673CF2A3}" destId="{A9634FF6-2749-44C9-B7B1-E1619ED40DAC}" srcOrd="0" destOrd="0" presId="urn:microsoft.com/office/officeart/2005/8/layout/orgChart1"/>
    <dgm:cxn modelId="{2EBE6F4F-7BE5-4D60-8214-ABB0EF7B4954}" type="presOf" srcId="{24DEB0F7-5B53-4057-8071-2D8FB2E64264}" destId="{4CAD08D3-8162-4547-AA25-CB32C89385AF}" srcOrd="1" destOrd="0" presId="urn:microsoft.com/office/officeart/2005/8/layout/orgChart1"/>
    <dgm:cxn modelId="{D63FCD52-B9E2-497A-8338-EFCDFA747EE0}" type="presOf" srcId="{24DEB0F7-5B53-4057-8071-2D8FB2E64264}" destId="{CD3EE751-C580-4084-B005-D8166A280A5B}" srcOrd="0" destOrd="0" presId="urn:microsoft.com/office/officeart/2005/8/layout/orgChart1"/>
    <dgm:cxn modelId="{75CAED53-AC6F-438C-B941-8D89F96F62BA}" type="presOf" srcId="{FA34676A-FE7D-40FC-A7BA-9CB4F04AB78F}" destId="{BFB2037B-EDC3-4F21-9449-3A8298A3E653}" srcOrd="0" destOrd="0" presId="urn:microsoft.com/office/officeart/2005/8/layout/orgChart1"/>
    <dgm:cxn modelId="{9F92E055-5100-425F-985B-16254534E4B0}" type="presOf" srcId="{D961D356-C423-4930-9CD4-5641A753DEE6}" destId="{D5C976BE-90F4-430A-A970-6B4381FC975B}" srcOrd="0" destOrd="0" presId="urn:microsoft.com/office/officeart/2005/8/layout/orgChart1"/>
    <dgm:cxn modelId="{857B4076-BD6D-4543-B3ED-3D32F0FF12C4}" srcId="{60C487F2-55E9-4051-B835-0507B34F4BF2}" destId="{9A9C6070-9D06-4645-844F-813850F3679E}" srcOrd="0" destOrd="0" parTransId="{201A60C5-138F-48B4-B6ED-01B7380B861F}" sibTransId="{C72B786A-B412-4341-9F41-BA328FBEDF45}"/>
    <dgm:cxn modelId="{17596876-44CA-4C47-8AEC-A7934747914C}" type="presOf" srcId="{58A4827A-D285-48BD-9DDE-5A89F626AFFC}" destId="{74E7088C-0E33-4D7A-BF4C-895C2E7A8F04}" srcOrd="1" destOrd="0" presId="urn:microsoft.com/office/officeart/2005/8/layout/orgChart1"/>
    <dgm:cxn modelId="{B0389E58-A692-4339-88BD-B7E6B17526A4}" type="presOf" srcId="{610C6564-3FC9-4907-95F5-3E8D818E9365}" destId="{ED2C96D0-2A4B-40FD-B089-1A44C2E31C3B}" srcOrd="0" destOrd="0" presId="urn:microsoft.com/office/officeart/2005/8/layout/orgChart1"/>
    <dgm:cxn modelId="{6F1D6E83-F323-4DF2-8C00-C93259766F00}" srcId="{78A845B5-5FE2-4EC0-A6C9-E5919C308ADA}" destId="{58A4827A-D285-48BD-9DDE-5A89F626AFFC}" srcOrd="2" destOrd="0" parTransId="{C6F199DD-BA42-4A2B-A22F-D8BFCF400CB8}" sibTransId="{90CA4895-6CDC-48A3-856C-FC1A25D22401}"/>
    <dgm:cxn modelId="{5B91C684-B0EE-47E7-8DF4-F5FE5BC08575}" type="presOf" srcId="{A609E4C3-2034-4010-9BC8-5388E03AF6A9}" destId="{4EEDE7BC-7228-43B0-9AE3-5E03274333E0}" srcOrd="0" destOrd="0" presId="urn:microsoft.com/office/officeart/2005/8/layout/orgChart1"/>
    <dgm:cxn modelId="{B848F487-18E9-4ACA-B353-413BDBE96BC0}" type="presOf" srcId="{9E4631D8-E89E-4DB4-8066-89781B490F94}" destId="{84F32059-3046-49B2-A372-EF6EF86439AC}" srcOrd="0" destOrd="0" presId="urn:microsoft.com/office/officeart/2005/8/layout/orgChart1"/>
    <dgm:cxn modelId="{7864BB8F-AA0B-4AD4-B880-F0C092D3FD86}" type="presOf" srcId="{A609E4C3-2034-4010-9BC8-5388E03AF6A9}" destId="{8EB907BF-A032-46A0-860F-D27243DB11F5}" srcOrd="1" destOrd="0" presId="urn:microsoft.com/office/officeart/2005/8/layout/orgChart1"/>
    <dgm:cxn modelId="{0FD78092-55F3-4FB7-9D59-212A9155E75A}" type="presOf" srcId="{60C487F2-55E9-4051-B835-0507B34F4BF2}" destId="{047B165C-EC46-4E7C-B2C5-5C99D519DB62}" srcOrd="1" destOrd="0" presId="urn:microsoft.com/office/officeart/2005/8/layout/orgChart1"/>
    <dgm:cxn modelId="{B3F7F194-4214-4319-A030-41FB279D357B}" type="presOf" srcId="{918287A3-20B5-4380-B959-A2225943D882}" destId="{C652F539-03EB-40EF-80AC-9C58D2872C76}" srcOrd="1" destOrd="0" presId="urn:microsoft.com/office/officeart/2005/8/layout/orgChart1"/>
    <dgm:cxn modelId="{9DE52197-041E-4A03-B9C0-92512A516042}" type="presOf" srcId="{0ECEC20B-E90C-483D-8A62-4E9CAA8AF126}" destId="{24F06410-C849-4451-AE48-47B3D592D2A4}" srcOrd="0" destOrd="0" presId="urn:microsoft.com/office/officeart/2005/8/layout/orgChart1"/>
    <dgm:cxn modelId="{61BFEDA0-9753-43CC-B93B-1DFED26D9F51}" type="presOf" srcId="{FD326964-1779-4009-B805-0D483A316853}" destId="{9AF45A03-C7C8-43A1-B6FB-9EE30877EFDD}" srcOrd="0" destOrd="0" presId="urn:microsoft.com/office/officeart/2005/8/layout/orgChart1"/>
    <dgm:cxn modelId="{D47E55A7-E0C9-476F-96BE-DCC95F12F644}" type="presOf" srcId="{05CCB0E0-15C3-4D31-B06C-E8A0BC981F47}" destId="{2E80F65E-CAA5-4C09-9B5A-29C0B3E6E4B0}" srcOrd="1" destOrd="0" presId="urn:microsoft.com/office/officeart/2005/8/layout/orgChart1"/>
    <dgm:cxn modelId="{058E3FAB-6476-4868-9707-2DDCD7A65A2B}" type="presOf" srcId="{43D8C9F0-895A-4F7A-B69A-351836FEE936}" destId="{D55F724C-1757-4E50-804C-6980DE73874B}" srcOrd="1" destOrd="0" presId="urn:microsoft.com/office/officeart/2005/8/layout/orgChart1"/>
    <dgm:cxn modelId="{AD4D18B6-2435-47C8-9211-49E4EA7603DC}" type="presOf" srcId="{0E4D8AFF-591B-460C-A4C9-67F2C9857CC4}" destId="{9F2D6968-14C5-4EF2-8304-BD7B347B8A20}" srcOrd="1" destOrd="0" presId="urn:microsoft.com/office/officeart/2005/8/layout/orgChart1"/>
    <dgm:cxn modelId="{27410DB7-523F-4E47-8E66-8194627DB569}" type="presOf" srcId="{ED12324C-1BFC-48AE-BF0B-BE926096B2E9}" destId="{1CE3B32B-4612-4579-9A92-6A312BD2A8EB}" srcOrd="0" destOrd="0" presId="urn:microsoft.com/office/officeart/2005/8/layout/orgChart1"/>
    <dgm:cxn modelId="{213717B8-C146-48E4-A3C1-CE17089A57DD}" type="presOf" srcId="{9A9C6070-9D06-4645-844F-813850F3679E}" destId="{2DD99029-3C21-4E6E-A9F8-65F189509F28}" srcOrd="0" destOrd="0" presId="urn:microsoft.com/office/officeart/2005/8/layout/orgChart1"/>
    <dgm:cxn modelId="{147F8CBB-9742-4129-B2E5-9F1E85EC328F}" srcId="{610C6564-3FC9-4907-95F5-3E8D818E9365}" destId="{76DFBE9C-E73B-4C32-918F-3E5B4C2ADEF2}" srcOrd="0" destOrd="0" parTransId="{ED12324C-1BFC-48AE-BF0B-BE926096B2E9}" sibTransId="{94BD38FA-157E-43D5-8D16-86781F4884B2}"/>
    <dgm:cxn modelId="{7A0995BE-9E58-492C-A7A6-31E8AFA148FE}" type="presOf" srcId="{58A4827A-D285-48BD-9DDE-5A89F626AFFC}" destId="{C5674344-5283-4103-B0CB-F8A168FE5E6A}" srcOrd="0" destOrd="0" presId="urn:microsoft.com/office/officeart/2005/8/layout/orgChart1"/>
    <dgm:cxn modelId="{8C8C25BF-B26E-4F88-9CD1-2DDEAD074DC7}" type="presOf" srcId="{D961D356-C423-4930-9CD4-5641A753DEE6}" destId="{F2E8EDC4-B0CD-4FDB-8B13-077E8993B6AD}" srcOrd="1" destOrd="0" presId="urn:microsoft.com/office/officeart/2005/8/layout/orgChart1"/>
    <dgm:cxn modelId="{818B29C1-9004-4D9E-A9E1-2EF061B3234C}" type="presOf" srcId="{A24439C4-6CC3-4F0B-AB37-B5F48C404637}" destId="{7043DE05-9A49-4A04-AEC9-CBECD2CF24F0}" srcOrd="1" destOrd="0" presId="urn:microsoft.com/office/officeart/2005/8/layout/orgChart1"/>
    <dgm:cxn modelId="{D9B6D2C1-5CDE-4A66-87DA-2084A2B4879A}" type="presOf" srcId="{9A9C6070-9D06-4645-844F-813850F3679E}" destId="{E5AE67EA-DD41-469C-A41E-4F70B641E098}" srcOrd="1" destOrd="0" presId="urn:microsoft.com/office/officeart/2005/8/layout/orgChart1"/>
    <dgm:cxn modelId="{73FBDCC8-1A0C-4BBB-BC97-DDE7E3CF5795}" type="presOf" srcId="{76DFBE9C-E73B-4C32-918F-3E5B4C2ADEF2}" destId="{D69C9F1A-A768-4E24-BCD6-D73856AD9A69}" srcOrd="1" destOrd="0" presId="urn:microsoft.com/office/officeart/2005/8/layout/orgChart1"/>
    <dgm:cxn modelId="{A9BE14CC-454E-4F18-90F4-853029FEBCD1}" srcId="{A24439C4-6CC3-4F0B-AB37-B5F48C404637}" destId="{05354665-5CC3-42E3-84BB-CCE5C773D2E5}" srcOrd="0" destOrd="0" parTransId="{1D1B4510-CC78-4E88-B3F5-4C9F656F5F83}" sibTransId="{1D98A327-A3A2-4012-97E3-DB9D4D66FFF4}"/>
    <dgm:cxn modelId="{15C0A2CE-FF24-4106-A7C3-45FAEB59B54F}" srcId="{78A845B5-5FE2-4EC0-A6C9-E5919C308ADA}" destId="{A609E4C3-2034-4010-9BC8-5388E03AF6A9}" srcOrd="1" destOrd="0" parTransId="{62888A7B-C5AD-40CB-8FEA-FAB6E2F4E470}" sibTransId="{8EF63043-2626-46D7-900A-D00A3A6146C6}"/>
    <dgm:cxn modelId="{802E1DCF-3184-45F5-8D2C-7056D8F74575}" type="presOf" srcId="{1A8C9A99-C5FF-4FB6-B53D-1E6A3224A061}" destId="{B0A6D7CF-35FF-4940-89C3-A2DC58746B91}" srcOrd="0" destOrd="0" presId="urn:microsoft.com/office/officeart/2005/8/layout/orgChart1"/>
    <dgm:cxn modelId="{37D9F5D0-C8A0-4DBD-A9C4-4AC5CDFAFB27}" type="presOf" srcId="{05354665-5CC3-42E3-84BB-CCE5C773D2E5}" destId="{CDD83C32-7E8A-49F2-902B-DC628C163915}" srcOrd="0" destOrd="0" presId="urn:microsoft.com/office/officeart/2005/8/layout/orgChart1"/>
    <dgm:cxn modelId="{D7BE57D4-641F-45D6-B507-31276FF3475E}" type="presOf" srcId="{201A60C5-138F-48B4-B6ED-01B7380B861F}" destId="{6BC52012-2DCA-4E5D-97ED-4A23D2EB49C6}" srcOrd="0" destOrd="0" presId="urn:microsoft.com/office/officeart/2005/8/layout/orgChart1"/>
    <dgm:cxn modelId="{6B7740D6-C19E-4740-9E9D-D3FAF5BBACBA}" srcId="{610C6564-3FC9-4907-95F5-3E8D818E9365}" destId="{43D8C9F0-895A-4F7A-B69A-351836FEE936}" srcOrd="1" destOrd="0" parTransId="{FD326964-1779-4009-B805-0D483A316853}" sibTransId="{3DCA2980-7EB4-448B-9BC6-D35D86C1163A}"/>
    <dgm:cxn modelId="{7D569DE1-C48F-4B28-97BE-F8601175CA8B}" srcId="{0E4D8AFF-591B-460C-A4C9-67F2C9857CC4}" destId="{60C487F2-55E9-4051-B835-0507B34F4BF2}" srcOrd="0" destOrd="0" parTransId="{C7369B69-F6D1-4824-ACA2-6A155304198B}" sibTransId="{25667E21-E78C-427C-98F4-2950EC6F251B}"/>
    <dgm:cxn modelId="{31E0B0EE-D7F8-4D44-9150-3E1051E73523}" srcId="{2A939374-EEE9-4965-9872-33F17AE331AA}" destId="{D961D356-C423-4930-9CD4-5641A753DEE6}" srcOrd="0" destOrd="0" parTransId="{DBB362DF-C898-48A7-B307-A03E8070FDA0}" sibTransId="{9A6C63E8-7BB7-4F8D-8A9B-21B04795D8EA}"/>
    <dgm:cxn modelId="{613C2CF1-D4E5-4F24-94DB-92A6A6109554}" srcId="{3F267390-0E50-4CCC-B005-BC11673CF2A3}" destId="{78A845B5-5FE2-4EC0-A6C9-E5919C308ADA}" srcOrd="0" destOrd="0" parTransId="{1A8C9A99-C5FF-4FB6-B53D-1E6A3224A061}" sibTransId="{34E0C8B1-345E-4EC4-A4F6-5416CF4D6AAA}"/>
    <dgm:cxn modelId="{4C0B99F9-44AF-460B-AB46-CF1436A9E183}" type="presOf" srcId="{78A845B5-5FE2-4EC0-A6C9-E5919C308ADA}" destId="{3F0C645D-09A6-4107-BF22-15AAFB9ACFFA}" srcOrd="0" destOrd="0" presId="urn:microsoft.com/office/officeart/2005/8/layout/orgChart1"/>
    <dgm:cxn modelId="{2F04114F-5AFC-40DF-AF27-4A4C929823C4}" type="presParOf" srcId="{B042746A-114F-4FF4-83E0-41B4AE1F0D78}" destId="{8A3164A8-D9A4-41C5-A925-70BDD77D91AC}" srcOrd="0" destOrd="0" presId="urn:microsoft.com/office/officeart/2005/8/layout/orgChart1"/>
    <dgm:cxn modelId="{A5EFAAF0-BC34-4BF2-BBB6-5A8F77AAADD3}" type="presParOf" srcId="{8A3164A8-D9A4-41C5-A925-70BDD77D91AC}" destId="{7149557C-E372-4D7C-B8FF-1973C176CB0B}" srcOrd="0" destOrd="0" presId="urn:microsoft.com/office/officeart/2005/8/layout/orgChart1"/>
    <dgm:cxn modelId="{18E26D4F-871D-42D9-8EC7-B13FA970C1BE}" type="presParOf" srcId="{7149557C-E372-4D7C-B8FF-1973C176CB0B}" destId="{D5C976BE-90F4-430A-A970-6B4381FC975B}" srcOrd="0" destOrd="0" presId="urn:microsoft.com/office/officeart/2005/8/layout/orgChart1"/>
    <dgm:cxn modelId="{03FE26CC-C3BF-4EE6-A41D-B281FF2E7271}" type="presParOf" srcId="{7149557C-E372-4D7C-B8FF-1973C176CB0B}" destId="{F2E8EDC4-B0CD-4FDB-8B13-077E8993B6AD}" srcOrd="1" destOrd="0" presId="urn:microsoft.com/office/officeart/2005/8/layout/orgChart1"/>
    <dgm:cxn modelId="{91EE2F1B-9E97-446C-9BA1-D57EA5F51ED8}" type="presParOf" srcId="{8A3164A8-D9A4-41C5-A925-70BDD77D91AC}" destId="{2B5D1BC1-5CC4-4765-BF27-D7FFF2FEC7D8}" srcOrd="1" destOrd="0" presId="urn:microsoft.com/office/officeart/2005/8/layout/orgChart1"/>
    <dgm:cxn modelId="{BF33F7A1-AE30-4DD7-A378-BEEAE3C2D836}" type="presParOf" srcId="{2B5D1BC1-5CC4-4765-BF27-D7FFF2FEC7D8}" destId="{F75DC991-44CE-406B-BD99-E05CBFC3597C}" srcOrd="0" destOrd="0" presId="urn:microsoft.com/office/officeart/2005/8/layout/orgChart1"/>
    <dgm:cxn modelId="{B290B1BA-816A-400D-972C-2934826D21FA}" type="presParOf" srcId="{2B5D1BC1-5CC4-4765-BF27-D7FFF2FEC7D8}" destId="{1281182B-B909-4DE9-BF81-6A0B9F505676}" srcOrd="1" destOrd="0" presId="urn:microsoft.com/office/officeart/2005/8/layout/orgChart1"/>
    <dgm:cxn modelId="{E9F5B8E4-F01E-4DC9-B8AA-6399FD09AE08}" type="presParOf" srcId="{1281182B-B909-4DE9-BF81-6A0B9F505676}" destId="{40EF262E-AA9C-47B0-BAEF-A0718B2FE6E2}" srcOrd="0" destOrd="0" presId="urn:microsoft.com/office/officeart/2005/8/layout/orgChart1"/>
    <dgm:cxn modelId="{8FE91738-D925-4C83-B0F3-8E03C6CE24FB}" type="presParOf" srcId="{40EF262E-AA9C-47B0-BAEF-A0718B2FE6E2}" destId="{A9634FF6-2749-44C9-B7B1-E1619ED40DAC}" srcOrd="0" destOrd="0" presId="urn:microsoft.com/office/officeart/2005/8/layout/orgChart1"/>
    <dgm:cxn modelId="{0D4A9B3E-8AAA-49F5-A9EC-A27E4E777B30}" type="presParOf" srcId="{40EF262E-AA9C-47B0-BAEF-A0718B2FE6E2}" destId="{620CD522-B0E9-4FD9-842A-2B74F50428F0}" srcOrd="1" destOrd="0" presId="urn:microsoft.com/office/officeart/2005/8/layout/orgChart1"/>
    <dgm:cxn modelId="{E02077F7-3161-4793-A8DD-EE94EAA9E60E}" type="presParOf" srcId="{1281182B-B909-4DE9-BF81-6A0B9F505676}" destId="{1EDC6B36-E10C-4486-A610-F902600CF3F9}" srcOrd="1" destOrd="0" presId="urn:microsoft.com/office/officeart/2005/8/layout/orgChart1"/>
    <dgm:cxn modelId="{B127F94E-F4FC-49F6-88B3-C0F05E21B102}" type="presParOf" srcId="{1EDC6B36-E10C-4486-A610-F902600CF3F9}" destId="{B0A6D7CF-35FF-4940-89C3-A2DC58746B91}" srcOrd="0" destOrd="0" presId="urn:microsoft.com/office/officeart/2005/8/layout/orgChart1"/>
    <dgm:cxn modelId="{534A3E9D-0D99-4B6D-B77F-918E43A28E37}" type="presParOf" srcId="{1EDC6B36-E10C-4486-A610-F902600CF3F9}" destId="{A634EA95-30E3-4B15-B027-D6B356D4CF26}" srcOrd="1" destOrd="0" presId="urn:microsoft.com/office/officeart/2005/8/layout/orgChart1"/>
    <dgm:cxn modelId="{3CD6BABB-2F80-4FD6-9F93-5F3C3275BDFD}" type="presParOf" srcId="{A634EA95-30E3-4B15-B027-D6B356D4CF26}" destId="{BFB58A0A-A5A3-42FE-99D7-28E7FFF541B4}" srcOrd="0" destOrd="0" presId="urn:microsoft.com/office/officeart/2005/8/layout/orgChart1"/>
    <dgm:cxn modelId="{E806F55D-4398-404F-930D-74A94F47D35E}" type="presParOf" srcId="{BFB58A0A-A5A3-42FE-99D7-28E7FFF541B4}" destId="{3F0C645D-09A6-4107-BF22-15AAFB9ACFFA}" srcOrd="0" destOrd="0" presId="urn:microsoft.com/office/officeart/2005/8/layout/orgChart1"/>
    <dgm:cxn modelId="{BFB72B67-6E36-49B5-84E3-0CFC16383BDD}" type="presParOf" srcId="{BFB58A0A-A5A3-42FE-99D7-28E7FFF541B4}" destId="{0B63E6A1-1774-43C7-B46B-69094591BA1D}" srcOrd="1" destOrd="0" presId="urn:microsoft.com/office/officeart/2005/8/layout/orgChart1"/>
    <dgm:cxn modelId="{EC9EC456-5524-4D18-94F5-FE12F4D835E3}" type="presParOf" srcId="{A634EA95-30E3-4B15-B027-D6B356D4CF26}" destId="{78E41371-DE82-4302-A817-DAF5FB4851C5}" srcOrd="1" destOrd="0" presId="urn:microsoft.com/office/officeart/2005/8/layout/orgChart1"/>
    <dgm:cxn modelId="{6FB776E3-8599-40C6-925F-CF0A8A1CF1AC}" type="presParOf" srcId="{78E41371-DE82-4302-A817-DAF5FB4851C5}" destId="{39BAB92D-7DB4-4153-8480-F22BF970DE0A}" srcOrd="0" destOrd="0" presId="urn:microsoft.com/office/officeart/2005/8/layout/orgChart1"/>
    <dgm:cxn modelId="{C2BDA272-7EE5-4440-9416-1D77FE217E2D}" type="presParOf" srcId="{78E41371-DE82-4302-A817-DAF5FB4851C5}" destId="{A7A2B1C8-9F33-4102-9CBB-E6F96B92B0EC}" srcOrd="1" destOrd="0" presId="urn:microsoft.com/office/officeart/2005/8/layout/orgChart1"/>
    <dgm:cxn modelId="{CE9F0491-0EEA-4044-AFE9-680C39D01420}" type="presParOf" srcId="{A7A2B1C8-9F33-4102-9CBB-E6F96B92B0EC}" destId="{182EA43A-9143-48F8-AD1F-4F9EF4C4714C}" srcOrd="0" destOrd="0" presId="urn:microsoft.com/office/officeart/2005/8/layout/orgChart1"/>
    <dgm:cxn modelId="{39C56E6A-AEA6-4755-BFAD-DC4777786E6B}" type="presParOf" srcId="{182EA43A-9143-48F8-AD1F-4F9EF4C4714C}" destId="{24F06410-C849-4451-AE48-47B3D592D2A4}" srcOrd="0" destOrd="0" presId="urn:microsoft.com/office/officeart/2005/8/layout/orgChart1"/>
    <dgm:cxn modelId="{96C03267-70C1-4B5A-ACED-7C6E89FC0077}" type="presParOf" srcId="{182EA43A-9143-48F8-AD1F-4F9EF4C4714C}" destId="{C8510F4A-8210-4553-B22D-6B77245FD154}" srcOrd="1" destOrd="0" presId="urn:microsoft.com/office/officeart/2005/8/layout/orgChart1"/>
    <dgm:cxn modelId="{96F72592-0788-4015-9069-2779A912A2A9}" type="presParOf" srcId="{A7A2B1C8-9F33-4102-9CBB-E6F96B92B0EC}" destId="{D5D1EA1D-D37A-427E-913F-BAE36FC1328F}" srcOrd="1" destOrd="0" presId="urn:microsoft.com/office/officeart/2005/8/layout/orgChart1"/>
    <dgm:cxn modelId="{6CA3DAB0-E2F1-4E73-9135-165C9EEF41B4}" type="presParOf" srcId="{A7A2B1C8-9F33-4102-9CBB-E6F96B92B0EC}" destId="{69F5C070-D1FC-4641-B6E2-05C23CD62652}" srcOrd="2" destOrd="0" presId="urn:microsoft.com/office/officeart/2005/8/layout/orgChart1"/>
    <dgm:cxn modelId="{5DF107B3-6DF4-46E5-8338-A2B628CCC484}" type="presParOf" srcId="{78E41371-DE82-4302-A817-DAF5FB4851C5}" destId="{83062F33-33D2-4492-9EFA-A7813A2E89E4}" srcOrd="2" destOrd="0" presId="urn:microsoft.com/office/officeart/2005/8/layout/orgChart1"/>
    <dgm:cxn modelId="{70394026-5EC8-45B4-8D96-EA17F4CFC674}" type="presParOf" srcId="{78E41371-DE82-4302-A817-DAF5FB4851C5}" destId="{663125FC-FEEB-42D7-98EA-81F2E8523615}" srcOrd="3" destOrd="0" presId="urn:microsoft.com/office/officeart/2005/8/layout/orgChart1"/>
    <dgm:cxn modelId="{02184258-CD75-4F54-9070-63138266421D}" type="presParOf" srcId="{663125FC-FEEB-42D7-98EA-81F2E8523615}" destId="{F82B41D4-E5A3-4395-A2E8-A44A9028FF51}" srcOrd="0" destOrd="0" presId="urn:microsoft.com/office/officeart/2005/8/layout/orgChart1"/>
    <dgm:cxn modelId="{E4D239B1-D068-4869-B804-ADFD5C85DF18}" type="presParOf" srcId="{F82B41D4-E5A3-4395-A2E8-A44A9028FF51}" destId="{4EEDE7BC-7228-43B0-9AE3-5E03274333E0}" srcOrd="0" destOrd="0" presId="urn:microsoft.com/office/officeart/2005/8/layout/orgChart1"/>
    <dgm:cxn modelId="{07E41F4E-C0E1-47F3-A37B-1C619403CAD9}" type="presParOf" srcId="{F82B41D4-E5A3-4395-A2E8-A44A9028FF51}" destId="{8EB907BF-A032-46A0-860F-D27243DB11F5}" srcOrd="1" destOrd="0" presId="urn:microsoft.com/office/officeart/2005/8/layout/orgChart1"/>
    <dgm:cxn modelId="{AAEACCBD-0A99-4DA8-9663-07E96EEB5864}" type="presParOf" srcId="{663125FC-FEEB-42D7-98EA-81F2E8523615}" destId="{37DF22AB-357F-46B5-9B13-1797C55302F4}" srcOrd="1" destOrd="0" presId="urn:microsoft.com/office/officeart/2005/8/layout/orgChart1"/>
    <dgm:cxn modelId="{2788CCF0-F640-4FB5-88B8-224CC67E7E81}" type="presParOf" srcId="{663125FC-FEEB-42D7-98EA-81F2E8523615}" destId="{33B6899E-E7C8-448B-921F-9BB04D9EA30B}" srcOrd="2" destOrd="0" presId="urn:microsoft.com/office/officeart/2005/8/layout/orgChart1"/>
    <dgm:cxn modelId="{9F99C1A4-C2C7-4E6F-AEAC-72F77F82536B}" type="presParOf" srcId="{78E41371-DE82-4302-A817-DAF5FB4851C5}" destId="{82BC4C0D-9041-43C7-8345-B38FEEE216C5}" srcOrd="4" destOrd="0" presId="urn:microsoft.com/office/officeart/2005/8/layout/orgChart1"/>
    <dgm:cxn modelId="{FA7F0664-2C66-49A4-8B1A-53C5590513C5}" type="presParOf" srcId="{78E41371-DE82-4302-A817-DAF5FB4851C5}" destId="{0200E0A1-A985-4D06-9AAA-0745E47EC6BE}" srcOrd="5" destOrd="0" presId="urn:microsoft.com/office/officeart/2005/8/layout/orgChart1"/>
    <dgm:cxn modelId="{3D3D01DF-8C7D-4607-A737-2565220CC1A2}" type="presParOf" srcId="{0200E0A1-A985-4D06-9AAA-0745E47EC6BE}" destId="{4307DF90-CEB4-42AE-AFA6-334B958D2C34}" srcOrd="0" destOrd="0" presId="urn:microsoft.com/office/officeart/2005/8/layout/orgChart1"/>
    <dgm:cxn modelId="{AD7B08D5-A607-4676-A45A-9892E0DF840B}" type="presParOf" srcId="{4307DF90-CEB4-42AE-AFA6-334B958D2C34}" destId="{C5674344-5283-4103-B0CB-F8A168FE5E6A}" srcOrd="0" destOrd="0" presId="urn:microsoft.com/office/officeart/2005/8/layout/orgChart1"/>
    <dgm:cxn modelId="{C11637D0-C665-439B-87DE-43C359AB1B4A}" type="presParOf" srcId="{4307DF90-CEB4-42AE-AFA6-334B958D2C34}" destId="{74E7088C-0E33-4D7A-BF4C-895C2E7A8F04}" srcOrd="1" destOrd="0" presId="urn:microsoft.com/office/officeart/2005/8/layout/orgChart1"/>
    <dgm:cxn modelId="{C1B526EE-0572-497E-AA6A-B1E7310E1305}" type="presParOf" srcId="{0200E0A1-A985-4D06-9AAA-0745E47EC6BE}" destId="{3338B853-2FE7-4A17-B929-973019CFD267}" srcOrd="1" destOrd="0" presId="urn:microsoft.com/office/officeart/2005/8/layout/orgChart1"/>
    <dgm:cxn modelId="{180A721D-56A4-48F3-8738-89D3B8E1092D}" type="presParOf" srcId="{0200E0A1-A985-4D06-9AAA-0745E47EC6BE}" destId="{C628DF43-6D53-4D20-B8BB-BB91CFC8B166}" srcOrd="2" destOrd="0" presId="urn:microsoft.com/office/officeart/2005/8/layout/orgChart1"/>
    <dgm:cxn modelId="{2454605F-B355-43CE-8085-D3B27EAE6690}" type="presParOf" srcId="{A634EA95-30E3-4B15-B027-D6B356D4CF26}" destId="{8523EAE7-B7B8-4895-AD84-825F14D6AA20}" srcOrd="2" destOrd="0" presId="urn:microsoft.com/office/officeart/2005/8/layout/orgChart1"/>
    <dgm:cxn modelId="{83D4678C-9E86-4862-B064-63E6B24A6830}" type="presParOf" srcId="{1EDC6B36-E10C-4486-A610-F902600CF3F9}" destId="{F69CB23E-FA84-42DB-B08B-A21A8DFD06A1}" srcOrd="2" destOrd="0" presId="urn:microsoft.com/office/officeart/2005/8/layout/orgChart1"/>
    <dgm:cxn modelId="{95E00796-9F55-4048-8C78-E2B6D0559F2F}" type="presParOf" srcId="{1EDC6B36-E10C-4486-A610-F902600CF3F9}" destId="{67DFB851-6E13-4513-915A-581E4051B9C5}" srcOrd="3" destOrd="0" presId="urn:microsoft.com/office/officeart/2005/8/layout/orgChart1"/>
    <dgm:cxn modelId="{9CA2E375-968A-49A9-860E-D6B5D92F399C}" type="presParOf" srcId="{67DFB851-6E13-4513-915A-581E4051B9C5}" destId="{5A463CB9-B709-4AAC-BF31-E2F9C7719A0C}" srcOrd="0" destOrd="0" presId="urn:microsoft.com/office/officeart/2005/8/layout/orgChart1"/>
    <dgm:cxn modelId="{8B9AEDA0-EF3E-4D60-A6A9-ACAB5C9E1A1C}" type="presParOf" srcId="{5A463CB9-B709-4AAC-BF31-E2F9C7719A0C}" destId="{C0E5A178-5117-4E98-BB64-AD9E497BE4C4}" srcOrd="0" destOrd="0" presId="urn:microsoft.com/office/officeart/2005/8/layout/orgChart1"/>
    <dgm:cxn modelId="{418CCF40-47E5-4086-A76B-F32171635038}" type="presParOf" srcId="{5A463CB9-B709-4AAC-BF31-E2F9C7719A0C}" destId="{7043DE05-9A49-4A04-AEC9-CBECD2CF24F0}" srcOrd="1" destOrd="0" presId="urn:microsoft.com/office/officeart/2005/8/layout/orgChart1"/>
    <dgm:cxn modelId="{96B4BAC6-6B2F-4820-8076-653DFACE8F5F}" type="presParOf" srcId="{67DFB851-6E13-4513-915A-581E4051B9C5}" destId="{0B36FBB8-856C-4E39-B81C-05FBC969231D}" srcOrd="1" destOrd="0" presId="urn:microsoft.com/office/officeart/2005/8/layout/orgChart1"/>
    <dgm:cxn modelId="{FEC5404B-4C08-46E7-A53E-187F2CC92606}" type="presParOf" srcId="{0B36FBB8-856C-4E39-B81C-05FBC969231D}" destId="{07CCB45D-67CF-40AE-8F50-27292F870F1E}" srcOrd="0" destOrd="0" presId="urn:microsoft.com/office/officeart/2005/8/layout/orgChart1"/>
    <dgm:cxn modelId="{8202E85B-6FCB-4622-A532-E26A415C388F}" type="presParOf" srcId="{0B36FBB8-856C-4E39-B81C-05FBC969231D}" destId="{F272ABEF-C00B-4F20-949B-C3ED86640CC3}" srcOrd="1" destOrd="0" presId="urn:microsoft.com/office/officeart/2005/8/layout/orgChart1"/>
    <dgm:cxn modelId="{29D39A90-960C-48F8-A35B-65CCE5E3252B}" type="presParOf" srcId="{F272ABEF-C00B-4F20-949B-C3ED86640CC3}" destId="{34C68C69-8B6F-42C8-A25A-95E000D588C2}" srcOrd="0" destOrd="0" presId="urn:microsoft.com/office/officeart/2005/8/layout/orgChart1"/>
    <dgm:cxn modelId="{0908C974-39C4-4985-8166-FD5D19292A9B}" type="presParOf" srcId="{34C68C69-8B6F-42C8-A25A-95E000D588C2}" destId="{CDD83C32-7E8A-49F2-902B-DC628C163915}" srcOrd="0" destOrd="0" presId="urn:microsoft.com/office/officeart/2005/8/layout/orgChart1"/>
    <dgm:cxn modelId="{5363B7A3-A009-4845-87EB-60391D11E461}" type="presParOf" srcId="{34C68C69-8B6F-42C8-A25A-95E000D588C2}" destId="{1AA55B47-FD6D-401A-B1D0-C895BA2CA4F4}" srcOrd="1" destOrd="0" presId="urn:microsoft.com/office/officeart/2005/8/layout/orgChart1"/>
    <dgm:cxn modelId="{6F74B9AD-BB2D-434B-B882-3DFB5C7ECE0C}" type="presParOf" srcId="{F272ABEF-C00B-4F20-949B-C3ED86640CC3}" destId="{FE192F33-5E11-436A-A29C-3628DDE2ACD4}" srcOrd="1" destOrd="0" presId="urn:microsoft.com/office/officeart/2005/8/layout/orgChart1"/>
    <dgm:cxn modelId="{3CFDE4C4-177A-4689-B909-95D458CC056F}" type="presParOf" srcId="{F272ABEF-C00B-4F20-949B-C3ED86640CC3}" destId="{2389919D-64DE-4770-8F37-853E3F702F42}" srcOrd="2" destOrd="0" presId="urn:microsoft.com/office/officeart/2005/8/layout/orgChart1"/>
    <dgm:cxn modelId="{848D9F64-6137-430D-A90D-CDDA10C2DE67}" type="presParOf" srcId="{0B36FBB8-856C-4E39-B81C-05FBC969231D}" destId="{8053D7BA-0AAC-4061-9098-C74E85CC8E2A}" srcOrd="2" destOrd="0" presId="urn:microsoft.com/office/officeart/2005/8/layout/orgChart1"/>
    <dgm:cxn modelId="{D979F118-67FD-46C0-A813-287B7F4EDF6E}" type="presParOf" srcId="{0B36FBB8-856C-4E39-B81C-05FBC969231D}" destId="{00560F1E-A48C-4685-BF6A-5554AD9E75F0}" srcOrd="3" destOrd="0" presId="urn:microsoft.com/office/officeart/2005/8/layout/orgChart1"/>
    <dgm:cxn modelId="{D8D101D6-385E-4886-8805-4C87AA070CF0}" type="presParOf" srcId="{00560F1E-A48C-4685-BF6A-5554AD9E75F0}" destId="{3AB6F442-6E4E-4581-B3A2-E16F5A0EF15F}" srcOrd="0" destOrd="0" presId="urn:microsoft.com/office/officeart/2005/8/layout/orgChart1"/>
    <dgm:cxn modelId="{E2DE6491-1CA8-4F90-8BB4-03714E41A1C3}" type="presParOf" srcId="{3AB6F442-6E4E-4581-B3A2-E16F5A0EF15F}" destId="{CD3EE751-C580-4084-B005-D8166A280A5B}" srcOrd="0" destOrd="0" presId="urn:microsoft.com/office/officeart/2005/8/layout/orgChart1"/>
    <dgm:cxn modelId="{9C576167-B477-490B-9375-A3512168CA0C}" type="presParOf" srcId="{3AB6F442-6E4E-4581-B3A2-E16F5A0EF15F}" destId="{4CAD08D3-8162-4547-AA25-CB32C89385AF}" srcOrd="1" destOrd="0" presId="urn:microsoft.com/office/officeart/2005/8/layout/orgChart1"/>
    <dgm:cxn modelId="{0CB94874-8445-45EC-9B7B-BB653BEF018B}" type="presParOf" srcId="{00560F1E-A48C-4685-BF6A-5554AD9E75F0}" destId="{70B100FC-5D00-4630-9FE0-6246E46B2674}" srcOrd="1" destOrd="0" presId="urn:microsoft.com/office/officeart/2005/8/layout/orgChart1"/>
    <dgm:cxn modelId="{5C3336E3-B50D-45CC-83CD-A927FACE27F2}" type="presParOf" srcId="{00560F1E-A48C-4685-BF6A-5554AD9E75F0}" destId="{FB0BD96A-18C6-4E3A-9D14-077C343AD8DE}" srcOrd="2" destOrd="0" presId="urn:microsoft.com/office/officeart/2005/8/layout/orgChart1"/>
    <dgm:cxn modelId="{293145CD-894D-414B-B361-5423F7785B2B}" type="presParOf" srcId="{67DFB851-6E13-4513-915A-581E4051B9C5}" destId="{5A940879-13C3-4295-9FF0-3A668E7444DE}" srcOrd="2" destOrd="0" presId="urn:microsoft.com/office/officeart/2005/8/layout/orgChart1"/>
    <dgm:cxn modelId="{B420A4DF-F66E-409B-8163-9529F4B5B382}" type="presParOf" srcId="{1281182B-B909-4DE9-BF81-6A0B9F505676}" destId="{E6524B58-73C3-401A-AC6C-60E20A8B6211}" srcOrd="2" destOrd="0" presId="urn:microsoft.com/office/officeart/2005/8/layout/orgChart1"/>
    <dgm:cxn modelId="{DAF844FD-F054-4768-B617-67396553BE12}" type="presParOf" srcId="{2B5D1BC1-5CC4-4765-BF27-D7FFF2FEC7D8}" destId="{84F32059-3046-49B2-A372-EF6EF86439AC}" srcOrd="2" destOrd="0" presId="urn:microsoft.com/office/officeart/2005/8/layout/orgChart1"/>
    <dgm:cxn modelId="{5B38BCA4-E541-4998-851D-F461741EEA7E}" type="presParOf" srcId="{2B5D1BC1-5CC4-4765-BF27-D7FFF2FEC7D8}" destId="{3A58DFE0-8B37-42AE-B37D-AF1A2A9F8C20}" srcOrd="3" destOrd="0" presId="urn:microsoft.com/office/officeart/2005/8/layout/orgChart1"/>
    <dgm:cxn modelId="{6A18CC48-517E-4F99-A716-6723DD74F88C}" type="presParOf" srcId="{3A58DFE0-8B37-42AE-B37D-AF1A2A9F8C20}" destId="{C597C812-8A95-4308-8916-DF720047DE09}" srcOrd="0" destOrd="0" presId="urn:microsoft.com/office/officeart/2005/8/layout/orgChart1"/>
    <dgm:cxn modelId="{FDE87024-425A-4494-8205-F3FE5CDF7BE5}" type="presParOf" srcId="{C597C812-8A95-4308-8916-DF720047DE09}" destId="{4A23F757-1AAE-41A0-9F49-1D8ECD8B9F2C}" srcOrd="0" destOrd="0" presId="urn:microsoft.com/office/officeart/2005/8/layout/orgChart1"/>
    <dgm:cxn modelId="{D9D44D89-AA9B-4AD4-B16E-4EB76707579F}" type="presParOf" srcId="{C597C812-8A95-4308-8916-DF720047DE09}" destId="{9F2D6968-14C5-4EF2-8304-BD7B347B8A20}" srcOrd="1" destOrd="0" presId="urn:microsoft.com/office/officeart/2005/8/layout/orgChart1"/>
    <dgm:cxn modelId="{C732DADE-BE68-47E7-89F7-13C417982FD1}" type="presParOf" srcId="{3A58DFE0-8B37-42AE-B37D-AF1A2A9F8C20}" destId="{994766E5-87BD-4906-9DD0-0C0006570390}" srcOrd="1" destOrd="0" presId="urn:microsoft.com/office/officeart/2005/8/layout/orgChart1"/>
    <dgm:cxn modelId="{4BF04B39-F9EA-4447-9A4B-155FBA64A879}" type="presParOf" srcId="{994766E5-87BD-4906-9DD0-0C0006570390}" destId="{373BB783-128C-4A5F-B09F-2C6B132A3CA3}" srcOrd="0" destOrd="0" presId="urn:microsoft.com/office/officeart/2005/8/layout/orgChart1"/>
    <dgm:cxn modelId="{48DF1A20-5239-4100-9F7C-05FCEED054F4}" type="presParOf" srcId="{994766E5-87BD-4906-9DD0-0C0006570390}" destId="{E5B0D4B9-A118-487E-85C9-7CB2C89FBB20}" srcOrd="1" destOrd="0" presId="urn:microsoft.com/office/officeart/2005/8/layout/orgChart1"/>
    <dgm:cxn modelId="{58C04BAD-B18A-4723-99FC-39589A9BF0B9}" type="presParOf" srcId="{E5B0D4B9-A118-487E-85C9-7CB2C89FBB20}" destId="{4EE006F1-417C-4E8F-9F05-91FD30CBD070}" srcOrd="0" destOrd="0" presId="urn:microsoft.com/office/officeart/2005/8/layout/orgChart1"/>
    <dgm:cxn modelId="{B67D5DAF-B28A-4D00-B7D2-BFEAF3DA5BE7}" type="presParOf" srcId="{4EE006F1-417C-4E8F-9F05-91FD30CBD070}" destId="{3BF94813-5A36-4666-8B08-54E226EBAE21}" srcOrd="0" destOrd="0" presId="urn:microsoft.com/office/officeart/2005/8/layout/orgChart1"/>
    <dgm:cxn modelId="{D6221EF6-166B-48FC-8347-E7B366E81012}" type="presParOf" srcId="{4EE006F1-417C-4E8F-9F05-91FD30CBD070}" destId="{047B165C-EC46-4E7C-B2C5-5C99D519DB62}" srcOrd="1" destOrd="0" presId="urn:microsoft.com/office/officeart/2005/8/layout/orgChart1"/>
    <dgm:cxn modelId="{3F579FAB-F10B-4667-ADF8-1154AAB6CCDE}" type="presParOf" srcId="{E5B0D4B9-A118-487E-85C9-7CB2C89FBB20}" destId="{3D4B2032-8BE0-4AC7-9D7C-B77B076C4672}" srcOrd="1" destOrd="0" presId="urn:microsoft.com/office/officeart/2005/8/layout/orgChart1"/>
    <dgm:cxn modelId="{6CF8FA40-F061-4D9D-817A-025725F999EF}" type="presParOf" srcId="{3D4B2032-8BE0-4AC7-9D7C-B77B076C4672}" destId="{6BC52012-2DCA-4E5D-97ED-4A23D2EB49C6}" srcOrd="0" destOrd="0" presId="urn:microsoft.com/office/officeart/2005/8/layout/orgChart1"/>
    <dgm:cxn modelId="{682FF617-E6B4-490A-AF3D-DFB3DB3A7156}" type="presParOf" srcId="{3D4B2032-8BE0-4AC7-9D7C-B77B076C4672}" destId="{5329EF6B-8DDE-4DB4-8B1F-33A3D1B902EC}" srcOrd="1" destOrd="0" presId="urn:microsoft.com/office/officeart/2005/8/layout/orgChart1"/>
    <dgm:cxn modelId="{927240A1-41CB-4E33-8A74-1BA6B90E874A}" type="presParOf" srcId="{5329EF6B-8DDE-4DB4-8B1F-33A3D1B902EC}" destId="{26B0FC0C-4BAA-41A3-958D-D52CBA5458EA}" srcOrd="0" destOrd="0" presId="urn:microsoft.com/office/officeart/2005/8/layout/orgChart1"/>
    <dgm:cxn modelId="{47227B11-4A95-4699-B4C4-9F50D73A8AD7}" type="presParOf" srcId="{26B0FC0C-4BAA-41A3-958D-D52CBA5458EA}" destId="{2DD99029-3C21-4E6E-A9F8-65F189509F28}" srcOrd="0" destOrd="0" presId="urn:microsoft.com/office/officeart/2005/8/layout/orgChart1"/>
    <dgm:cxn modelId="{1F1C5789-E706-475E-938A-C201E841A8EC}" type="presParOf" srcId="{26B0FC0C-4BAA-41A3-958D-D52CBA5458EA}" destId="{E5AE67EA-DD41-469C-A41E-4F70B641E098}" srcOrd="1" destOrd="0" presId="urn:microsoft.com/office/officeart/2005/8/layout/orgChart1"/>
    <dgm:cxn modelId="{9A62637F-78E7-4706-A8FD-77B802E0D2CF}" type="presParOf" srcId="{5329EF6B-8DDE-4DB4-8B1F-33A3D1B902EC}" destId="{003E9498-0B8F-4AEF-B9C0-92EA53F90D97}" srcOrd="1" destOrd="0" presId="urn:microsoft.com/office/officeart/2005/8/layout/orgChart1"/>
    <dgm:cxn modelId="{E0819A56-D370-4BF8-B91B-501CE044AFBB}" type="presParOf" srcId="{5329EF6B-8DDE-4DB4-8B1F-33A3D1B902EC}" destId="{03614CD7-4F42-4265-96B7-551796CF1C82}" srcOrd="2" destOrd="0" presId="urn:microsoft.com/office/officeart/2005/8/layout/orgChart1"/>
    <dgm:cxn modelId="{98C5F6C3-AAB7-4723-9E01-89711C14277C}" type="presParOf" srcId="{3D4B2032-8BE0-4AC7-9D7C-B77B076C4672}" destId="{A3399598-0C37-4D07-890D-AAC486F0B0D5}" srcOrd="2" destOrd="0" presId="urn:microsoft.com/office/officeart/2005/8/layout/orgChart1"/>
    <dgm:cxn modelId="{0831F649-76F1-44AC-BE52-8EEEA17E003B}" type="presParOf" srcId="{3D4B2032-8BE0-4AC7-9D7C-B77B076C4672}" destId="{130919BC-AB06-4C5C-8F9E-10A38C1E2297}" srcOrd="3" destOrd="0" presId="urn:microsoft.com/office/officeart/2005/8/layout/orgChart1"/>
    <dgm:cxn modelId="{A03781A5-75CC-4FC6-90A6-865443ABDF43}" type="presParOf" srcId="{130919BC-AB06-4C5C-8F9E-10A38C1E2297}" destId="{52F5E342-3675-498E-9571-8E50614D529F}" srcOrd="0" destOrd="0" presId="urn:microsoft.com/office/officeart/2005/8/layout/orgChart1"/>
    <dgm:cxn modelId="{9F89536B-03DD-49DD-9568-D78082DBC1E2}" type="presParOf" srcId="{52F5E342-3675-498E-9571-8E50614D529F}" destId="{09A8ABC1-6B7F-4D04-A468-1B779E529D97}" srcOrd="0" destOrd="0" presId="urn:microsoft.com/office/officeart/2005/8/layout/orgChart1"/>
    <dgm:cxn modelId="{3197B4F1-F57B-4884-AECE-B1FA35524390}" type="presParOf" srcId="{52F5E342-3675-498E-9571-8E50614D529F}" destId="{2E80F65E-CAA5-4C09-9B5A-29C0B3E6E4B0}" srcOrd="1" destOrd="0" presId="urn:microsoft.com/office/officeart/2005/8/layout/orgChart1"/>
    <dgm:cxn modelId="{13D495B4-484C-4F27-84F5-A239110B942D}" type="presParOf" srcId="{130919BC-AB06-4C5C-8F9E-10A38C1E2297}" destId="{578B5893-D3EF-4AA2-9351-263B36BBF201}" srcOrd="1" destOrd="0" presId="urn:microsoft.com/office/officeart/2005/8/layout/orgChart1"/>
    <dgm:cxn modelId="{90F6601B-A5CA-430B-BBEC-448BA5F1DBEA}" type="presParOf" srcId="{130919BC-AB06-4C5C-8F9E-10A38C1E2297}" destId="{A509575F-9F02-424F-9B75-2A74212DF118}" srcOrd="2" destOrd="0" presId="urn:microsoft.com/office/officeart/2005/8/layout/orgChart1"/>
    <dgm:cxn modelId="{F67F84C0-063C-4D6D-846E-B56FE9FD27C7}" type="presParOf" srcId="{3D4B2032-8BE0-4AC7-9D7C-B77B076C4672}" destId="{3715EF79-074E-4BD8-9C00-AA877AD83E79}" srcOrd="4" destOrd="0" presId="urn:microsoft.com/office/officeart/2005/8/layout/orgChart1"/>
    <dgm:cxn modelId="{974BE3B8-DD12-4F77-B295-9D817F9E0F5D}" type="presParOf" srcId="{3D4B2032-8BE0-4AC7-9D7C-B77B076C4672}" destId="{74A09C4B-A870-42E7-8F68-79F033198E1B}" srcOrd="5" destOrd="0" presId="urn:microsoft.com/office/officeart/2005/8/layout/orgChart1"/>
    <dgm:cxn modelId="{F45C4592-A860-425C-B9D0-F0F810FDF40E}" type="presParOf" srcId="{74A09C4B-A870-42E7-8F68-79F033198E1B}" destId="{FC5732FC-76E8-4E0F-B8C9-B65740613211}" srcOrd="0" destOrd="0" presId="urn:microsoft.com/office/officeart/2005/8/layout/orgChart1"/>
    <dgm:cxn modelId="{18D7E7EF-C1CD-406E-B310-82DC38DE6A16}" type="presParOf" srcId="{FC5732FC-76E8-4E0F-B8C9-B65740613211}" destId="{AF0C0D7E-5C81-4B64-A32D-368C42321683}" srcOrd="0" destOrd="0" presId="urn:microsoft.com/office/officeart/2005/8/layout/orgChart1"/>
    <dgm:cxn modelId="{AC6083DD-24AE-4F1C-A7C5-E853FB0320DE}" type="presParOf" srcId="{FC5732FC-76E8-4E0F-B8C9-B65740613211}" destId="{C652F539-03EB-40EF-80AC-9C58D2872C76}" srcOrd="1" destOrd="0" presId="urn:microsoft.com/office/officeart/2005/8/layout/orgChart1"/>
    <dgm:cxn modelId="{58049173-EE4E-493A-AD62-1EED49516F1D}" type="presParOf" srcId="{74A09C4B-A870-42E7-8F68-79F033198E1B}" destId="{35A8C66D-1579-4744-BFF8-B89F91D372E0}" srcOrd="1" destOrd="0" presId="urn:microsoft.com/office/officeart/2005/8/layout/orgChart1"/>
    <dgm:cxn modelId="{4135DDAF-F2DF-4B23-8F8E-39F4D2A95DEE}" type="presParOf" srcId="{74A09C4B-A870-42E7-8F68-79F033198E1B}" destId="{FC8FAFD3-AAA7-49A8-A861-F297141784E7}" srcOrd="2" destOrd="0" presId="urn:microsoft.com/office/officeart/2005/8/layout/orgChart1"/>
    <dgm:cxn modelId="{EA76CB27-F1E3-4BC0-86A7-EAABD4D6F56D}" type="presParOf" srcId="{E5B0D4B9-A118-487E-85C9-7CB2C89FBB20}" destId="{9845DD14-3D79-4533-B854-F6CF13CCB4E9}" srcOrd="2" destOrd="0" presId="urn:microsoft.com/office/officeart/2005/8/layout/orgChart1"/>
    <dgm:cxn modelId="{F4970699-0277-421B-A262-E1912B0ECC29}" type="presParOf" srcId="{994766E5-87BD-4906-9DD0-0C0006570390}" destId="{BFB2037B-EDC3-4F21-9449-3A8298A3E653}" srcOrd="2" destOrd="0" presId="urn:microsoft.com/office/officeart/2005/8/layout/orgChart1"/>
    <dgm:cxn modelId="{E33FBFA1-BE67-4AE7-A4DA-28DD90F85D19}" type="presParOf" srcId="{994766E5-87BD-4906-9DD0-0C0006570390}" destId="{4AC559BF-7723-46C0-95BE-2716F26F3CFC}" srcOrd="3" destOrd="0" presId="urn:microsoft.com/office/officeart/2005/8/layout/orgChart1"/>
    <dgm:cxn modelId="{12E77B55-2221-4AC2-8E8B-98C7CCAFB6A8}" type="presParOf" srcId="{4AC559BF-7723-46C0-95BE-2716F26F3CFC}" destId="{1FDAD2B6-71BD-4F04-A4DF-2D743DC8B32E}" srcOrd="0" destOrd="0" presId="urn:microsoft.com/office/officeart/2005/8/layout/orgChart1"/>
    <dgm:cxn modelId="{69DBF1B8-2865-4238-8C9D-8E49F24FDA2B}" type="presParOf" srcId="{1FDAD2B6-71BD-4F04-A4DF-2D743DC8B32E}" destId="{ED2C96D0-2A4B-40FD-B089-1A44C2E31C3B}" srcOrd="0" destOrd="0" presId="urn:microsoft.com/office/officeart/2005/8/layout/orgChart1"/>
    <dgm:cxn modelId="{DBF63523-1029-499A-A415-4C01E490ACE5}" type="presParOf" srcId="{1FDAD2B6-71BD-4F04-A4DF-2D743DC8B32E}" destId="{BEF80CAA-CE96-4598-A965-50B9089C83E3}" srcOrd="1" destOrd="0" presId="urn:microsoft.com/office/officeart/2005/8/layout/orgChart1"/>
    <dgm:cxn modelId="{80D18D25-F2D9-45D1-9484-88171DC10AF0}" type="presParOf" srcId="{4AC559BF-7723-46C0-95BE-2716F26F3CFC}" destId="{88BCBC99-CED6-419F-ABDD-E357B783F5B6}" srcOrd="1" destOrd="0" presId="urn:microsoft.com/office/officeart/2005/8/layout/orgChart1"/>
    <dgm:cxn modelId="{E01F7DDD-D4B3-4F72-A04D-0BA3DBFA6BB4}" type="presParOf" srcId="{88BCBC99-CED6-419F-ABDD-E357B783F5B6}" destId="{1CE3B32B-4612-4579-9A92-6A312BD2A8EB}" srcOrd="0" destOrd="0" presId="urn:microsoft.com/office/officeart/2005/8/layout/orgChart1"/>
    <dgm:cxn modelId="{C2CF0242-5AC6-45BB-8366-C6220C3F810F}" type="presParOf" srcId="{88BCBC99-CED6-419F-ABDD-E357B783F5B6}" destId="{AFAC3BCD-9ED9-4A47-83DA-1CE8E10E76EA}" srcOrd="1" destOrd="0" presId="urn:microsoft.com/office/officeart/2005/8/layout/orgChart1"/>
    <dgm:cxn modelId="{7795C440-9E5A-4AC0-B6B4-5D6C883B547A}" type="presParOf" srcId="{AFAC3BCD-9ED9-4A47-83DA-1CE8E10E76EA}" destId="{A4879CC5-72B1-4D1F-80C1-2AD32B7381D5}" srcOrd="0" destOrd="0" presId="urn:microsoft.com/office/officeart/2005/8/layout/orgChart1"/>
    <dgm:cxn modelId="{F37FDDEB-2761-48D3-B989-3C78CE231473}" type="presParOf" srcId="{A4879CC5-72B1-4D1F-80C1-2AD32B7381D5}" destId="{886ED62E-6269-4868-AF59-227ED6ACB34B}" srcOrd="0" destOrd="0" presId="urn:microsoft.com/office/officeart/2005/8/layout/orgChart1"/>
    <dgm:cxn modelId="{8A04461F-4F45-44DF-8165-7C77E1B3F3B6}" type="presParOf" srcId="{A4879CC5-72B1-4D1F-80C1-2AD32B7381D5}" destId="{D69C9F1A-A768-4E24-BCD6-D73856AD9A69}" srcOrd="1" destOrd="0" presId="urn:microsoft.com/office/officeart/2005/8/layout/orgChart1"/>
    <dgm:cxn modelId="{881D7EEC-287F-4593-8784-CE60D3447646}" type="presParOf" srcId="{AFAC3BCD-9ED9-4A47-83DA-1CE8E10E76EA}" destId="{57990FF5-E78D-43FE-AD78-A33575A7076F}" srcOrd="1" destOrd="0" presId="urn:microsoft.com/office/officeart/2005/8/layout/orgChart1"/>
    <dgm:cxn modelId="{CA3219E5-05B6-4F24-9086-283C1A9A69C5}" type="presParOf" srcId="{AFAC3BCD-9ED9-4A47-83DA-1CE8E10E76EA}" destId="{49812CB9-4FEB-4F03-B6FE-8F3039C55358}" srcOrd="2" destOrd="0" presId="urn:microsoft.com/office/officeart/2005/8/layout/orgChart1"/>
    <dgm:cxn modelId="{47E9A3C1-4EFC-45C0-87B9-87AD1D2A2AE9}" type="presParOf" srcId="{88BCBC99-CED6-419F-ABDD-E357B783F5B6}" destId="{9AF45A03-C7C8-43A1-B6FB-9EE30877EFDD}" srcOrd="2" destOrd="0" presId="urn:microsoft.com/office/officeart/2005/8/layout/orgChart1"/>
    <dgm:cxn modelId="{C078C545-8032-4E1E-9936-49FF9055EBA8}" type="presParOf" srcId="{88BCBC99-CED6-419F-ABDD-E357B783F5B6}" destId="{6889DDFD-3DB3-4CA1-8026-AB60EC87F6D5}" srcOrd="3" destOrd="0" presId="urn:microsoft.com/office/officeart/2005/8/layout/orgChart1"/>
    <dgm:cxn modelId="{F1BDC38A-A518-4B27-B06E-9AF1DC601831}" type="presParOf" srcId="{6889DDFD-3DB3-4CA1-8026-AB60EC87F6D5}" destId="{B7FF7F07-F891-44BC-BA59-31071372D38B}" srcOrd="0" destOrd="0" presId="urn:microsoft.com/office/officeart/2005/8/layout/orgChart1"/>
    <dgm:cxn modelId="{F7E511B5-4641-456B-B9A6-A8DF09E1EDC2}" type="presParOf" srcId="{B7FF7F07-F891-44BC-BA59-31071372D38B}" destId="{1D367995-2E38-47E4-ABE4-2E6E480B0583}" srcOrd="0" destOrd="0" presId="urn:microsoft.com/office/officeart/2005/8/layout/orgChart1"/>
    <dgm:cxn modelId="{E802D75D-93C8-4CD9-B2E1-54E8C97DF805}" type="presParOf" srcId="{B7FF7F07-F891-44BC-BA59-31071372D38B}" destId="{D55F724C-1757-4E50-804C-6980DE73874B}" srcOrd="1" destOrd="0" presId="urn:microsoft.com/office/officeart/2005/8/layout/orgChart1"/>
    <dgm:cxn modelId="{2C526452-FB5D-4E80-A114-17AF835A3360}" type="presParOf" srcId="{6889DDFD-3DB3-4CA1-8026-AB60EC87F6D5}" destId="{308FFB97-3133-4C65-A014-713497A6DC0B}" srcOrd="1" destOrd="0" presId="urn:microsoft.com/office/officeart/2005/8/layout/orgChart1"/>
    <dgm:cxn modelId="{4EC75FA7-A3B9-4C8A-95FD-037A2E4528C5}" type="presParOf" srcId="{6889DDFD-3DB3-4CA1-8026-AB60EC87F6D5}" destId="{036ADCB5-912A-45C1-B600-1E458E667788}" srcOrd="2" destOrd="0" presId="urn:microsoft.com/office/officeart/2005/8/layout/orgChart1"/>
    <dgm:cxn modelId="{39D78823-B41C-4CAF-B433-0D5E85368FC8}" type="presParOf" srcId="{4AC559BF-7723-46C0-95BE-2716F26F3CFC}" destId="{D71CF5A2-43FA-4F3F-867E-AFE7919777FF}" srcOrd="2" destOrd="0" presId="urn:microsoft.com/office/officeart/2005/8/layout/orgChart1"/>
    <dgm:cxn modelId="{E4AE3A03-A89A-41E9-A2C9-702DBA2F87DE}" type="presParOf" srcId="{3A58DFE0-8B37-42AE-B37D-AF1A2A9F8C20}" destId="{6A0B65C3-F8D7-4BA7-B3DA-42BA74FCF468}" srcOrd="2" destOrd="0" presId="urn:microsoft.com/office/officeart/2005/8/layout/orgChart1"/>
    <dgm:cxn modelId="{88C40238-A39E-4F2F-B279-3164B7657565}" type="presParOf" srcId="{8A3164A8-D9A4-41C5-A925-70BDD77D91AC}" destId="{7FE19125-1452-4D91-84E2-B491F0B1C985}" srcOrd="2" destOrd="0" presId="urn:microsoft.com/office/officeart/2005/8/layout/orgChart1"/>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1FB01B-2A88-43F8-B7A5-7C7984EE3E00}"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cs-CZ"/>
        </a:p>
      </dgm:t>
    </dgm:pt>
    <dgm:pt modelId="{376CF868-75D2-49DE-9764-BE463D5772A4}">
      <dgm:prSet phldrT="[Text]" custT="1"/>
      <dgm:spPr>
        <a:xfrm>
          <a:off x="120644" y="391116"/>
          <a:ext cx="1232362" cy="1225371"/>
        </a:xfrm>
        <a:prstGeom prst="roundRect">
          <a:avLst>
            <a:gd name="adj" fmla="val 10000"/>
          </a:avLst>
        </a:prstGeom>
        <a:solidFill>
          <a:srgbClr val="FFC000"/>
        </a:solidFill>
        <a:ln w="9525" cap="flat" cmpd="sng" algn="ctr">
          <a:solidFill>
            <a:schemeClr val="tx1"/>
          </a:solidFill>
          <a:prstDash val="solid"/>
          <a:miter lim="800000"/>
        </a:ln>
        <a:effectLst/>
      </dgm:spPr>
      <dgm:t>
        <a:bodyPr/>
        <a:lstStyle/>
        <a:p>
          <a:pPr>
            <a:buNone/>
          </a:pPr>
          <a:r>
            <a:rPr lang="cs-CZ" sz="1200" b="1">
              <a:solidFill>
                <a:sysClr val="windowText" lastClr="000000"/>
              </a:solidFill>
              <a:latin typeface="Calibri" panose="020F0502020204030204"/>
              <a:ea typeface="+mn-ea"/>
              <a:cs typeface="+mn-cs"/>
            </a:rPr>
            <a:t>Zastupitelstvo obce Staré Buky</a:t>
          </a:r>
        </a:p>
      </dgm:t>
    </dgm:pt>
    <dgm:pt modelId="{B733F2CC-0C18-4C81-A4CB-8EA6F2CEBD5B}" type="parTrans" cxnId="{9A4A7A08-7A3C-4B48-B732-49012CFE1F02}">
      <dgm:prSet/>
      <dgm:spPr/>
      <dgm:t>
        <a:bodyPr/>
        <a:lstStyle/>
        <a:p>
          <a:endParaRPr lang="cs-CZ" sz="1100">
            <a:solidFill>
              <a:sysClr val="windowText" lastClr="000000"/>
            </a:solidFill>
          </a:endParaRPr>
        </a:p>
      </dgm:t>
    </dgm:pt>
    <dgm:pt modelId="{C1FC9D45-CD87-4B33-AA8F-9C55F2B5F6A9}" type="sibTrans" cxnId="{9A4A7A08-7A3C-4B48-B732-49012CFE1F02}">
      <dgm:prSet/>
      <dgm:spPr/>
      <dgm:t>
        <a:bodyPr/>
        <a:lstStyle/>
        <a:p>
          <a:endParaRPr lang="cs-CZ" sz="1100">
            <a:solidFill>
              <a:sysClr val="windowText" lastClr="000000"/>
            </a:solidFill>
          </a:endParaRPr>
        </a:p>
      </dgm:t>
    </dgm:pt>
    <dgm:pt modelId="{C253EB41-B2B0-4DFD-9748-66AC48A50944}">
      <dgm:prSet phldrT="[Text]" custT="1"/>
      <dgm:spPr>
        <a:xfrm>
          <a:off x="1750602" y="371099"/>
          <a:ext cx="3852000" cy="352799"/>
        </a:xfrm>
        <a:prstGeom prst="roundRect">
          <a:avLst>
            <a:gd name="adj" fmla="val 10000"/>
          </a:avLst>
        </a:prstGeom>
        <a:solidFill>
          <a:srgbClr val="FFC000"/>
        </a:solidFill>
        <a:ln w="9525" cap="flat" cmpd="sng" algn="ctr">
          <a:solidFill>
            <a:schemeClr val="tx1"/>
          </a:solidFill>
          <a:prstDash val="solid"/>
          <a:miter lim="800000"/>
        </a:ln>
        <a:effectLst/>
      </dgm:spPr>
      <dgm:t>
        <a:bodyPr/>
        <a:lstStyle/>
        <a:p>
          <a:pPr>
            <a:lnSpc>
              <a:spcPct val="100000"/>
            </a:lnSpc>
            <a:buNone/>
          </a:pPr>
          <a:r>
            <a:rPr lang="cs-CZ" sz="1200" b="1">
              <a:solidFill>
                <a:sysClr val="windowText" lastClr="000000"/>
              </a:solidFill>
              <a:latin typeface="Calibri" panose="020F0502020204030204"/>
              <a:ea typeface="+mn-ea"/>
              <a:cs typeface="+mn-cs"/>
            </a:rPr>
            <a:t>Starostka</a:t>
          </a:r>
        </a:p>
      </dgm:t>
    </dgm:pt>
    <dgm:pt modelId="{DAAF1233-8B39-47CB-8420-ECC9F81CC54F}" type="parTrans" cxnId="{4F9D8D88-1F4A-4C42-A588-442C209272EB}">
      <dgm:prSet custT="1"/>
      <dgm:spPr>
        <a:xfrm rot="18664019">
          <a:off x="1249193" y="767048"/>
          <a:ext cx="605223" cy="17204"/>
        </a:xfrm>
        <a:custGeom>
          <a:avLst/>
          <a:gdLst/>
          <a:ahLst/>
          <a:cxnLst/>
          <a:rect l="0" t="0" r="0" b="0"/>
          <a:pathLst>
            <a:path>
              <a:moveTo>
                <a:pt x="0" y="8602"/>
              </a:moveTo>
              <a:lnTo>
                <a:pt x="605223" y="8602"/>
              </a:lnTo>
            </a:path>
          </a:pathLst>
        </a:custGeom>
        <a:noFill/>
        <a:ln w="12700" cap="flat" cmpd="sng" algn="ctr">
          <a:solidFill>
            <a:sysClr val="windowText" lastClr="000000"/>
          </a:solidFill>
          <a:prstDash val="solid"/>
          <a:miter lim="800000"/>
        </a:ln>
        <a:effectLst/>
      </dgm:spPr>
      <dgm:t>
        <a:bodyPr/>
        <a:lstStyle/>
        <a:p>
          <a:pPr>
            <a:buNone/>
          </a:pPr>
          <a:endParaRPr lang="cs-CZ" sz="1100">
            <a:solidFill>
              <a:sysClr val="windowText" lastClr="000000"/>
            </a:solidFill>
            <a:latin typeface="Calibri" panose="020F0502020204030204"/>
            <a:ea typeface="+mn-ea"/>
            <a:cs typeface="+mn-cs"/>
          </a:endParaRPr>
        </a:p>
      </dgm:t>
    </dgm:pt>
    <dgm:pt modelId="{F9E5113D-C037-4D31-8B3F-5267419265E6}" type="sibTrans" cxnId="{4F9D8D88-1F4A-4C42-A588-442C209272EB}">
      <dgm:prSet/>
      <dgm:spPr/>
      <dgm:t>
        <a:bodyPr/>
        <a:lstStyle/>
        <a:p>
          <a:endParaRPr lang="cs-CZ" sz="1100">
            <a:solidFill>
              <a:sysClr val="windowText" lastClr="000000"/>
            </a:solidFill>
          </a:endParaRPr>
        </a:p>
      </dgm:t>
    </dgm:pt>
    <dgm:pt modelId="{6C9F43B8-49A9-47CF-BBA0-D23C19ACDDA2}">
      <dgm:prSet phldrT="[Text]" custT="1"/>
      <dgm:spPr>
        <a:xfrm>
          <a:off x="1749910" y="810766"/>
          <a:ext cx="3852000" cy="331199"/>
        </a:xfrm>
        <a:prstGeom prst="roundRect">
          <a:avLst>
            <a:gd name="adj" fmla="val 10000"/>
          </a:avLst>
        </a:prstGeom>
        <a:solidFill>
          <a:srgbClr val="FFC000"/>
        </a:solidFill>
        <a:ln w="9525" cap="flat" cmpd="sng" algn="ctr">
          <a:solidFill>
            <a:schemeClr val="tx1"/>
          </a:solidFill>
          <a:prstDash val="solid"/>
          <a:miter lim="800000"/>
        </a:ln>
        <a:effectLst/>
      </dgm:spPr>
      <dgm:t>
        <a:bodyPr/>
        <a:lstStyle/>
        <a:p>
          <a:pPr>
            <a:lnSpc>
              <a:spcPct val="100000"/>
            </a:lnSpc>
            <a:buNone/>
          </a:pPr>
          <a:r>
            <a:rPr lang="cs-CZ" sz="1200" b="1">
              <a:solidFill>
                <a:sysClr val="windowText" lastClr="000000"/>
              </a:solidFill>
              <a:latin typeface="Calibri" panose="020F0502020204030204"/>
              <a:ea typeface="+mn-ea"/>
              <a:cs typeface="+mn-cs"/>
            </a:rPr>
            <a:t>Místostarostové</a:t>
          </a:r>
        </a:p>
      </dgm:t>
    </dgm:pt>
    <dgm:pt modelId="{6644BD41-F142-454B-93F0-0648F81D5CEE}" type="parTrans" cxnId="{78E87A1F-47E5-4015-AEFF-CFC087483DED}">
      <dgm:prSet custT="1"/>
      <dgm:spPr>
        <a:xfrm rot="21362740">
          <a:off x="1352533" y="981482"/>
          <a:ext cx="397850" cy="17204"/>
        </a:xfrm>
        <a:custGeom>
          <a:avLst/>
          <a:gdLst/>
          <a:ahLst/>
          <a:cxnLst/>
          <a:rect l="0" t="0" r="0" b="0"/>
          <a:pathLst>
            <a:path>
              <a:moveTo>
                <a:pt x="0" y="8602"/>
              </a:moveTo>
              <a:lnTo>
                <a:pt x="397850" y="8602"/>
              </a:lnTo>
            </a:path>
          </a:pathLst>
        </a:custGeom>
        <a:noFill/>
        <a:ln w="12700" cap="flat" cmpd="sng" algn="ctr">
          <a:solidFill>
            <a:sysClr val="windowText" lastClr="000000"/>
          </a:solidFill>
          <a:prstDash val="solid"/>
          <a:miter lim="800000"/>
        </a:ln>
        <a:effectLst/>
      </dgm:spPr>
      <dgm:t>
        <a:bodyPr/>
        <a:lstStyle/>
        <a:p>
          <a:pPr>
            <a:buNone/>
          </a:pPr>
          <a:endParaRPr lang="cs-CZ" sz="1100">
            <a:solidFill>
              <a:sysClr val="windowText" lastClr="000000"/>
            </a:solidFill>
            <a:latin typeface="Calibri" panose="020F0502020204030204"/>
            <a:ea typeface="+mn-ea"/>
            <a:cs typeface="+mn-cs"/>
          </a:endParaRPr>
        </a:p>
      </dgm:t>
    </dgm:pt>
    <dgm:pt modelId="{6AD2EE88-403D-47E8-924C-2DB95727EFCD}" type="sibTrans" cxnId="{78E87A1F-47E5-4015-AEFF-CFC087483DED}">
      <dgm:prSet/>
      <dgm:spPr/>
      <dgm:t>
        <a:bodyPr/>
        <a:lstStyle/>
        <a:p>
          <a:endParaRPr lang="cs-CZ" sz="1100">
            <a:solidFill>
              <a:sysClr val="windowText" lastClr="000000"/>
            </a:solidFill>
          </a:endParaRPr>
        </a:p>
      </dgm:t>
    </dgm:pt>
    <dgm:pt modelId="{3A6C96BC-E556-4EF4-B613-EDF82C1BEA78}">
      <dgm:prSet phldrT="[Text]" custT="1"/>
      <dgm:spPr>
        <a:xfrm>
          <a:off x="0" y="0"/>
          <a:ext cx="1463183" cy="1857375"/>
        </a:xfrm>
        <a:prstGeom prst="roundRect">
          <a:avLst>
            <a:gd name="adj" fmla="val 10000"/>
          </a:avLst>
        </a:prstGeom>
        <a:solidFill>
          <a:srgbClr val="92D050"/>
        </a:solidFill>
        <a:ln>
          <a:solidFill>
            <a:schemeClr val="tx1"/>
          </a:solidFill>
        </a:ln>
        <a:effectLst/>
      </dgm:spPr>
      <dgm:t>
        <a:bodyPr/>
        <a:lstStyle/>
        <a:p>
          <a:pPr>
            <a:lnSpc>
              <a:spcPct val="0"/>
            </a:lnSpc>
            <a:spcAft>
              <a:spcPts val="0"/>
            </a:spcAft>
            <a:buNone/>
          </a:pPr>
          <a:r>
            <a:rPr lang="cs-CZ" sz="1600">
              <a:solidFill>
                <a:sysClr val="windowText" lastClr="000000"/>
              </a:solidFill>
              <a:latin typeface="Calibri" panose="020F0502020204030204"/>
              <a:ea typeface="+mn-ea"/>
              <a:cs typeface="+mn-cs"/>
            </a:rPr>
            <a:t>Řídící skupina</a:t>
          </a:r>
        </a:p>
      </dgm:t>
    </dgm:pt>
    <dgm:pt modelId="{3305DE14-1F75-445F-9FCA-DEBF98762CB9}" type="parTrans" cxnId="{A620667B-2033-437B-88E9-A04DEF54EDA4}">
      <dgm:prSet/>
      <dgm:spPr/>
      <dgm:t>
        <a:bodyPr/>
        <a:lstStyle/>
        <a:p>
          <a:endParaRPr lang="cs-CZ" sz="1100">
            <a:solidFill>
              <a:sysClr val="windowText" lastClr="000000"/>
            </a:solidFill>
          </a:endParaRPr>
        </a:p>
      </dgm:t>
    </dgm:pt>
    <dgm:pt modelId="{8F8198A8-26B9-4101-A880-3B92B5BC6F3E}" type="sibTrans" cxnId="{A620667B-2033-437B-88E9-A04DEF54EDA4}">
      <dgm:prSet/>
      <dgm:spPr/>
      <dgm:t>
        <a:bodyPr/>
        <a:lstStyle/>
        <a:p>
          <a:endParaRPr lang="cs-CZ" sz="1100">
            <a:solidFill>
              <a:sysClr val="windowText" lastClr="000000"/>
            </a:solidFill>
          </a:endParaRPr>
        </a:p>
      </dgm:t>
    </dgm:pt>
    <dgm:pt modelId="{BA6A6911-A93D-4C3A-9EFB-C99CA795C888}">
      <dgm:prSet phldrT="[Text]" custT="1"/>
      <dgm:spPr>
        <a:xfrm>
          <a:off x="1536747" y="0"/>
          <a:ext cx="4223325" cy="1857375"/>
        </a:xfrm>
        <a:prstGeom prst="roundRect">
          <a:avLst>
            <a:gd name="adj" fmla="val 10000"/>
          </a:avLst>
        </a:prstGeom>
        <a:solidFill>
          <a:srgbClr val="92D050"/>
        </a:solidFill>
        <a:ln>
          <a:solidFill>
            <a:schemeClr val="tx1"/>
          </a:solidFill>
        </a:ln>
        <a:effectLst/>
      </dgm:spPr>
      <dgm:t>
        <a:bodyPr/>
        <a:lstStyle/>
        <a:p>
          <a:pPr>
            <a:lnSpc>
              <a:spcPct val="0"/>
            </a:lnSpc>
            <a:spcAft>
              <a:spcPts val="0"/>
            </a:spcAft>
            <a:buNone/>
          </a:pPr>
          <a:r>
            <a:rPr lang="cs-CZ" sz="1600">
              <a:solidFill>
                <a:sysClr val="windowText" lastClr="000000"/>
              </a:solidFill>
              <a:latin typeface="Calibri" panose="020F0502020204030204"/>
              <a:ea typeface="+mn-ea"/>
              <a:cs typeface="+mn-cs"/>
            </a:rPr>
            <a:t>Výkonný tým</a:t>
          </a:r>
        </a:p>
      </dgm:t>
    </dgm:pt>
    <dgm:pt modelId="{01D5B03C-5E21-434E-BD4B-1371B332DA0E}" type="parTrans" cxnId="{50695D33-F323-4866-8620-8BAB4E3748EA}">
      <dgm:prSet/>
      <dgm:spPr/>
      <dgm:t>
        <a:bodyPr/>
        <a:lstStyle/>
        <a:p>
          <a:endParaRPr lang="cs-CZ" sz="1100">
            <a:solidFill>
              <a:sysClr val="windowText" lastClr="000000"/>
            </a:solidFill>
          </a:endParaRPr>
        </a:p>
      </dgm:t>
    </dgm:pt>
    <dgm:pt modelId="{EB387C21-FD4E-488C-896B-EE2930B3BDD9}" type="sibTrans" cxnId="{50695D33-F323-4866-8620-8BAB4E3748EA}">
      <dgm:prSet/>
      <dgm:spPr/>
      <dgm:t>
        <a:bodyPr/>
        <a:lstStyle/>
        <a:p>
          <a:endParaRPr lang="cs-CZ" sz="1100">
            <a:solidFill>
              <a:sysClr val="windowText" lastClr="000000"/>
            </a:solidFill>
          </a:endParaRPr>
        </a:p>
      </dgm:t>
    </dgm:pt>
    <dgm:pt modelId="{E21FCA89-6C92-4CEC-BED8-62AE57AB764A}">
      <dgm:prSet custT="1"/>
      <dgm:spPr>
        <a:xfrm>
          <a:off x="1757714" y="1219337"/>
          <a:ext cx="3852000" cy="370799"/>
        </a:xfrm>
        <a:prstGeom prst="roundRect">
          <a:avLst>
            <a:gd name="adj" fmla="val 10000"/>
          </a:avLst>
        </a:prstGeom>
        <a:solidFill>
          <a:srgbClr val="FFC000"/>
        </a:solidFill>
        <a:ln w="9525" cap="flat" cmpd="sng" algn="ctr">
          <a:solidFill>
            <a:schemeClr val="tx1"/>
          </a:solidFill>
          <a:prstDash val="solid"/>
          <a:miter lim="800000"/>
        </a:ln>
        <a:effectLst/>
      </dgm:spPr>
      <dgm:t>
        <a:bodyPr/>
        <a:lstStyle/>
        <a:p>
          <a:pPr>
            <a:lnSpc>
              <a:spcPct val="100000"/>
            </a:lnSpc>
            <a:buNone/>
          </a:pPr>
          <a:r>
            <a:rPr lang="cs-CZ" sz="1200" b="1">
              <a:solidFill>
                <a:sysClr val="windowText" lastClr="000000"/>
              </a:solidFill>
              <a:latin typeface="Calibri" panose="020F0502020204030204"/>
              <a:ea typeface="+mn-ea"/>
              <a:cs typeface="+mn-cs"/>
            </a:rPr>
            <a:t>Zaměstnanci obce</a:t>
          </a:r>
        </a:p>
      </dgm:t>
    </dgm:pt>
    <dgm:pt modelId="{C7034AE2-E988-44DB-9784-B8DBBE69397B}" type="parTrans" cxnId="{67F546A7-3609-4BF0-AF11-8C3A5973B0F6}">
      <dgm:prSet custT="1"/>
      <dgm:spPr>
        <a:xfrm rot="2683899">
          <a:off x="1270520" y="1195667"/>
          <a:ext cx="569681" cy="17204"/>
        </a:xfrm>
        <a:custGeom>
          <a:avLst/>
          <a:gdLst/>
          <a:ahLst/>
          <a:cxnLst/>
          <a:rect l="0" t="0" r="0" b="0"/>
          <a:pathLst>
            <a:path>
              <a:moveTo>
                <a:pt x="0" y="8602"/>
              </a:moveTo>
              <a:lnTo>
                <a:pt x="569681" y="8602"/>
              </a:lnTo>
            </a:path>
          </a:pathLst>
        </a:custGeom>
        <a:noFill/>
        <a:ln w="12700" cap="flat" cmpd="sng" algn="ctr">
          <a:solidFill>
            <a:sysClr val="windowText" lastClr="000000"/>
          </a:solidFill>
          <a:prstDash val="solid"/>
          <a:miter lim="800000"/>
        </a:ln>
        <a:effectLst/>
      </dgm:spPr>
      <dgm:t>
        <a:bodyPr/>
        <a:lstStyle/>
        <a:p>
          <a:pPr>
            <a:buNone/>
          </a:pPr>
          <a:endParaRPr lang="cs-CZ" sz="1100">
            <a:solidFill>
              <a:sysClr val="windowText" lastClr="000000"/>
            </a:solidFill>
            <a:latin typeface="Calibri" panose="020F0502020204030204"/>
            <a:ea typeface="+mn-ea"/>
            <a:cs typeface="+mn-cs"/>
          </a:endParaRPr>
        </a:p>
      </dgm:t>
    </dgm:pt>
    <dgm:pt modelId="{D0156B66-BD81-4939-BC5E-B95D4ECDA388}" type="sibTrans" cxnId="{67F546A7-3609-4BF0-AF11-8C3A5973B0F6}">
      <dgm:prSet/>
      <dgm:spPr/>
      <dgm:t>
        <a:bodyPr/>
        <a:lstStyle/>
        <a:p>
          <a:endParaRPr lang="cs-CZ" sz="1100">
            <a:solidFill>
              <a:sysClr val="windowText" lastClr="000000"/>
            </a:solidFill>
          </a:endParaRPr>
        </a:p>
      </dgm:t>
    </dgm:pt>
    <dgm:pt modelId="{903E1F8A-E994-48C9-AF34-FD57A3DC658A}">
      <dgm:prSet custT="1"/>
      <dgm:spPr>
        <a:xfrm>
          <a:off x="1757714" y="1219337"/>
          <a:ext cx="3852000" cy="370799"/>
        </a:xfrm>
        <a:solidFill>
          <a:srgbClr val="FFC000"/>
        </a:solidFill>
        <a:ln w="9525" cap="flat" cmpd="sng" algn="ctr">
          <a:solidFill>
            <a:schemeClr val="tx1"/>
          </a:solidFill>
          <a:prstDash val="solid"/>
          <a:miter lim="800000"/>
        </a:ln>
        <a:effectLst/>
      </dgm:spPr>
      <dgm:t>
        <a:bodyPr/>
        <a:lstStyle/>
        <a:p>
          <a:pPr>
            <a:buNone/>
          </a:pPr>
          <a:r>
            <a:rPr lang="cs-CZ" sz="1200" b="1">
              <a:solidFill>
                <a:sysClr val="windowText" lastClr="000000"/>
              </a:solidFill>
              <a:latin typeface="Calibri" panose="020F0502020204030204"/>
              <a:ea typeface="+mn-ea"/>
              <a:cs typeface="+mn-cs"/>
            </a:rPr>
            <a:t>Výbory fungující při zastupitelstvu obce</a:t>
          </a:r>
        </a:p>
      </dgm:t>
    </dgm:pt>
    <dgm:pt modelId="{B2BEE205-B5E2-48FE-B9B3-577404FF14AB}" type="parTrans" cxnId="{027A8BAB-47D1-42AC-984D-7FADE2DA83B2}">
      <dgm:prSet/>
      <dgm:spPr>
        <a:ln w="12700">
          <a:solidFill>
            <a:schemeClr val="tx1"/>
          </a:solidFill>
        </a:ln>
      </dgm:spPr>
      <dgm:t>
        <a:bodyPr/>
        <a:lstStyle/>
        <a:p>
          <a:endParaRPr lang="cs-CZ"/>
        </a:p>
      </dgm:t>
    </dgm:pt>
    <dgm:pt modelId="{456DF315-43AE-455F-8926-5EC156DF02C0}" type="sibTrans" cxnId="{027A8BAB-47D1-42AC-984D-7FADE2DA83B2}">
      <dgm:prSet/>
      <dgm:spPr/>
      <dgm:t>
        <a:bodyPr/>
        <a:lstStyle/>
        <a:p>
          <a:endParaRPr lang="cs-CZ"/>
        </a:p>
      </dgm:t>
    </dgm:pt>
    <dgm:pt modelId="{EFEEF3A2-D866-4D4F-86FF-D3B051DC21EB}" type="pres">
      <dgm:prSet presAssocID="{621FB01B-2A88-43F8-B7A5-7C7984EE3E00}" presName="mainComposite" presStyleCnt="0">
        <dgm:presLayoutVars>
          <dgm:chPref val="1"/>
          <dgm:dir/>
          <dgm:animOne val="branch"/>
          <dgm:animLvl val="lvl"/>
          <dgm:resizeHandles val="exact"/>
        </dgm:presLayoutVars>
      </dgm:prSet>
      <dgm:spPr/>
    </dgm:pt>
    <dgm:pt modelId="{8A5E0BCA-30B2-4394-9D93-E293D7F4F939}" type="pres">
      <dgm:prSet presAssocID="{621FB01B-2A88-43F8-B7A5-7C7984EE3E00}" presName="hierFlow" presStyleCnt="0"/>
      <dgm:spPr/>
    </dgm:pt>
    <dgm:pt modelId="{D7CB9892-F6A3-46A0-AA45-3B994AA3B8D7}" type="pres">
      <dgm:prSet presAssocID="{621FB01B-2A88-43F8-B7A5-7C7984EE3E00}" presName="firstBuf" presStyleCnt="0"/>
      <dgm:spPr/>
    </dgm:pt>
    <dgm:pt modelId="{6E8CCEC3-C739-4F67-B8FD-0D8A10DF7756}" type="pres">
      <dgm:prSet presAssocID="{621FB01B-2A88-43F8-B7A5-7C7984EE3E00}" presName="hierChild1" presStyleCnt="0">
        <dgm:presLayoutVars>
          <dgm:chPref val="1"/>
          <dgm:animOne val="branch"/>
          <dgm:animLvl val="lvl"/>
        </dgm:presLayoutVars>
      </dgm:prSet>
      <dgm:spPr/>
    </dgm:pt>
    <dgm:pt modelId="{4DFC18B8-D94E-4D97-A47E-D41E05D7AC18}" type="pres">
      <dgm:prSet presAssocID="{376CF868-75D2-49DE-9764-BE463D5772A4}" presName="Name17" presStyleCnt="0"/>
      <dgm:spPr/>
    </dgm:pt>
    <dgm:pt modelId="{3CBB10F9-B5CA-4F05-A453-8EDBC0BBC514}" type="pres">
      <dgm:prSet presAssocID="{376CF868-75D2-49DE-9764-BE463D5772A4}" presName="level1Shape" presStyleLbl="node0" presStyleIdx="0" presStyleCnt="1" custScaleX="347086" custScaleY="690234" custLinFactNeighborX="23260" custLinFactNeighborY="-93699">
        <dgm:presLayoutVars>
          <dgm:chPref val="3"/>
        </dgm:presLayoutVars>
      </dgm:prSet>
      <dgm:spPr/>
    </dgm:pt>
    <dgm:pt modelId="{293CD2D2-79A1-47BB-8AC1-E898F0FC935B}" type="pres">
      <dgm:prSet presAssocID="{376CF868-75D2-49DE-9764-BE463D5772A4}" presName="hierChild2" presStyleCnt="0"/>
      <dgm:spPr/>
    </dgm:pt>
    <dgm:pt modelId="{ABE96908-4665-40BE-8D5E-EB93C202DF3F}" type="pres">
      <dgm:prSet presAssocID="{DAAF1233-8B39-47CB-8420-ECC9F81CC54F}" presName="Name25" presStyleLbl="parChTrans1D2" presStyleIdx="0" presStyleCnt="4"/>
      <dgm:spPr/>
    </dgm:pt>
    <dgm:pt modelId="{97FAA9F9-DEE7-4C17-9F36-EA11A1A77C14}" type="pres">
      <dgm:prSet presAssocID="{DAAF1233-8B39-47CB-8420-ECC9F81CC54F}" presName="connTx" presStyleLbl="parChTrans1D2" presStyleIdx="0" presStyleCnt="4"/>
      <dgm:spPr/>
    </dgm:pt>
    <dgm:pt modelId="{278FBB01-5139-461D-B183-2A47A91A04E5}" type="pres">
      <dgm:prSet presAssocID="{C253EB41-B2B0-4DFD-9748-66AC48A50944}" presName="Name30" presStyleCnt="0"/>
      <dgm:spPr/>
    </dgm:pt>
    <dgm:pt modelId="{B7910232-9BD7-423D-BF2F-B9F83D59CE79}" type="pres">
      <dgm:prSet presAssocID="{C253EB41-B2B0-4DFD-9748-66AC48A50944}" presName="level2Shape" presStyleLbl="node2" presStyleIdx="0" presStyleCnt="4" custScaleX="1084888" custScaleY="198727" custLinFactY="-36552" custLinFactNeighborX="57776" custLinFactNeighborY="-100000"/>
      <dgm:spPr/>
    </dgm:pt>
    <dgm:pt modelId="{906889C4-95BD-464E-A459-D909EC60484F}" type="pres">
      <dgm:prSet presAssocID="{C253EB41-B2B0-4DFD-9748-66AC48A50944}" presName="hierChild3" presStyleCnt="0"/>
      <dgm:spPr/>
    </dgm:pt>
    <dgm:pt modelId="{22282AE5-9920-4C4E-B185-001319CB1516}" type="pres">
      <dgm:prSet presAssocID="{6644BD41-F142-454B-93F0-0648F81D5CEE}" presName="Name25" presStyleLbl="parChTrans1D2" presStyleIdx="1" presStyleCnt="4"/>
      <dgm:spPr/>
    </dgm:pt>
    <dgm:pt modelId="{0C42A72F-871F-463B-8F1E-A55AC6AC6422}" type="pres">
      <dgm:prSet presAssocID="{6644BD41-F142-454B-93F0-0648F81D5CEE}" presName="connTx" presStyleLbl="parChTrans1D2" presStyleIdx="1" presStyleCnt="4"/>
      <dgm:spPr/>
    </dgm:pt>
    <dgm:pt modelId="{7726A452-553D-4375-8347-00B29AD8C9C5}" type="pres">
      <dgm:prSet presAssocID="{6C9F43B8-49A9-47CF-BBA0-D23C19ACDDA2}" presName="Name30" presStyleCnt="0"/>
      <dgm:spPr/>
    </dgm:pt>
    <dgm:pt modelId="{D8CBFFA9-A88B-473A-BB15-D34AB5AB7586}" type="pres">
      <dgm:prSet presAssocID="{6C9F43B8-49A9-47CF-BBA0-D23C19ACDDA2}" presName="level2Shape" presStyleLbl="node2" presStyleIdx="1" presStyleCnt="4" custScaleX="1084888" custScaleY="186560" custLinFactY="-10986" custLinFactNeighborX="59867" custLinFactNeighborY="-100000"/>
      <dgm:spPr/>
    </dgm:pt>
    <dgm:pt modelId="{3EB3D026-25AB-4190-A639-71526B187357}" type="pres">
      <dgm:prSet presAssocID="{6C9F43B8-49A9-47CF-BBA0-D23C19ACDDA2}" presName="hierChild3" presStyleCnt="0"/>
      <dgm:spPr/>
    </dgm:pt>
    <dgm:pt modelId="{838583E3-3A72-4A20-ABF6-51413FEB315A}" type="pres">
      <dgm:prSet presAssocID="{C7034AE2-E988-44DB-9784-B8DBBE69397B}" presName="Name25" presStyleLbl="parChTrans1D2" presStyleIdx="2" presStyleCnt="4"/>
      <dgm:spPr/>
    </dgm:pt>
    <dgm:pt modelId="{61C8CAC6-E9D2-4092-B4BB-6F5B535967E7}" type="pres">
      <dgm:prSet presAssocID="{C7034AE2-E988-44DB-9784-B8DBBE69397B}" presName="connTx" presStyleLbl="parChTrans1D2" presStyleIdx="2" presStyleCnt="4"/>
      <dgm:spPr/>
    </dgm:pt>
    <dgm:pt modelId="{C5255DF3-1764-4DB9-B130-225555289AC3}" type="pres">
      <dgm:prSet presAssocID="{E21FCA89-6C92-4CEC-BED8-62AE57AB764A}" presName="Name30" presStyleCnt="0"/>
      <dgm:spPr/>
    </dgm:pt>
    <dgm:pt modelId="{00986749-9504-46C1-9A57-F382CD0FB322}" type="pres">
      <dgm:prSet presAssocID="{E21FCA89-6C92-4CEC-BED8-62AE57AB764A}" presName="level2Shape" presStyleLbl="node2" presStyleIdx="2" presStyleCnt="4" custScaleX="1084888" custScaleY="208866" custLinFactNeighborX="59867" custLinFactNeighborY="-82404"/>
      <dgm:spPr/>
    </dgm:pt>
    <dgm:pt modelId="{FF363BEF-0CD9-4C5D-9104-E5522DD6332E}" type="pres">
      <dgm:prSet presAssocID="{E21FCA89-6C92-4CEC-BED8-62AE57AB764A}" presName="hierChild3" presStyleCnt="0"/>
      <dgm:spPr/>
    </dgm:pt>
    <dgm:pt modelId="{73F7BA45-4EC4-4CBB-9F53-3358E1308F6E}" type="pres">
      <dgm:prSet presAssocID="{B2BEE205-B5E2-48FE-B9B3-577404FF14AB}" presName="Name25" presStyleLbl="parChTrans1D2" presStyleIdx="3" presStyleCnt="4"/>
      <dgm:spPr/>
    </dgm:pt>
    <dgm:pt modelId="{BB1A5E07-A807-477A-8352-4871E5424268}" type="pres">
      <dgm:prSet presAssocID="{B2BEE205-B5E2-48FE-B9B3-577404FF14AB}" presName="connTx" presStyleLbl="parChTrans1D2" presStyleIdx="3" presStyleCnt="4"/>
      <dgm:spPr/>
    </dgm:pt>
    <dgm:pt modelId="{5C3B66E0-F112-4FA8-8A7C-5D315EEB10B1}" type="pres">
      <dgm:prSet presAssocID="{903E1F8A-E994-48C9-AF34-FD57A3DC658A}" presName="Name30" presStyleCnt="0"/>
      <dgm:spPr/>
    </dgm:pt>
    <dgm:pt modelId="{D4C4E693-676F-4545-B9BA-81F4B02669D6}" type="pres">
      <dgm:prSet presAssocID="{903E1F8A-E994-48C9-AF34-FD57A3DC658A}" presName="level2Shape" presStyleLbl="node2" presStyleIdx="3" presStyleCnt="4" custScaleX="1084888" custScaleY="208866" custLinFactNeighborX="61958" custLinFactNeighborY="-57311"/>
      <dgm:spPr>
        <a:prstGeom prst="roundRect">
          <a:avLst>
            <a:gd name="adj" fmla="val 10000"/>
          </a:avLst>
        </a:prstGeom>
      </dgm:spPr>
    </dgm:pt>
    <dgm:pt modelId="{7626A1FF-DBB0-4944-A65C-90553D831486}" type="pres">
      <dgm:prSet presAssocID="{903E1F8A-E994-48C9-AF34-FD57A3DC658A}" presName="hierChild3" presStyleCnt="0"/>
      <dgm:spPr/>
    </dgm:pt>
    <dgm:pt modelId="{0DC27781-1B5B-4879-A82F-440FD16FBC9A}" type="pres">
      <dgm:prSet presAssocID="{621FB01B-2A88-43F8-B7A5-7C7984EE3E00}" presName="bgShapesFlow" presStyleCnt="0"/>
      <dgm:spPr/>
    </dgm:pt>
    <dgm:pt modelId="{11271637-C3AC-48FE-8599-5B5E1E180BE2}" type="pres">
      <dgm:prSet presAssocID="{3A6C96BC-E556-4EF4-B613-EDF82C1BEA78}" presName="rectComp" presStyleCnt="0"/>
      <dgm:spPr/>
    </dgm:pt>
    <dgm:pt modelId="{FB1AAAED-B812-490E-AC4D-8908DECFC16D}" type="pres">
      <dgm:prSet presAssocID="{3A6C96BC-E556-4EF4-B613-EDF82C1BEA78}" presName="bgRect" presStyleLbl="bgShp" presStyleIdx="0" presStyleCnt="2" custScaleX="692906" custLinFactX="-15556" custLinFactNeighborX="-100000"/>
      <dgm:spPr/>
    </dgm:pt>
    <dgm:pt modelId="{95AFFBBB-654C-46AE-A46C-2B6A0E5AA86A}" type="pres">
      <dgm:prSet presAssocID="{3A6C96BC-E556-4EF4-B613-EDF82C1BEA78}" presName="bgRectTx" presStyleLbl="bgShp" presStyleIdx="0" presStyleCnt="2">
        <dgm:presLayoutVars>
          <dgm:bulletEnabled val="1"/>
        </dgm:presLayoutVars>
      </dgm:prSet>
      <dgm:spPr/>
    </dgm:pt>
    <dgm:pt modelId="{D9FB3A16-0E23-42A8-B9B5-5DD8B6AB4D71}" type="pres">
      <dgm:prSet presAssocID="{3A6C96BC-E556-4EF4-B613-EDF82C1BEA78}" presName="spComp" presStyleCnt="0"/>
      <dgm:spPr/>
    </dgm:pt>
    <dgm:pt modelId="{0AAF47C3-2A66-414E-8AA8-905BDB85F067}" type="pres">
      <dgm:prSet presAssocID="{3A6C96BC-E556-4EF4-B613-EDF82C1BEA78}" presName="hSp" presStyleCnt="0"/>
      <dgm:spPr/>
    </dgm:pt>
    <dgm:pt modelId="{44667E26-4B17-4391-9EAC-AD7406229902}" type="pres">
      <dgm:prSet presAssocID="{BA6A6911-A93D-4C3A-9EFB-C99CA795C888}" presName="rectComp" presStyleCnt="0"/>
      <dgm:spPr/>
    </dgm:pt>
    <dgm:pt modelId="{D56F6CE4-E974-40D8-ABE4-DF7F0C291702}" type="pres">
      <dgm:prSet presAssocID="{BA6A6911-A93D-4C3A-9EFB-C99CA795C888}" presName="bgRect" presStyleLbl="bgShp" presStyleIdx="1" presStyleCnt="2" custScaleX="2000000" custScaleY="100000"/>
      <dgm:spPr/>
    </dgm:pt>
    <dgm:pt modelId="{83B7101B-115B-40FE-B254-E077C0C725DD}" type="pres">
      <dgm:prSet presAssocID="{BA6A6911-A93D-4C3A-9EFB-C99CA795C888}" presName="bgRectTx" presStyleLbl="bgShp" presStyleIdx="1" presStyleCnt="2">
        <dgm:presLayoutVars>
          <dgm:bulletEnabled val="1"/>
        </dgm:presLayoutVars>
      </dgm:prSet>
      <dgm:spPr/>
    </dgm:pt>
  </dgm:ptLst>
  <dgm:cxnLst>
    <dgm:cxn modelId="{CE42B001-5FEB-4AAE-9B30-4A021D8DA636}" type="presOf" srcId="{DAAF1233-8B39-47CB-8420-ECC9F81CC54F}" destId="{97FAA9F9-DEE7-4C17-9F36-EA11A1A77C14}" srcOrd="1" destOrd="0" presId="urn:microsoft.com/office/officeart/2005/8/layout/hierarchy5"/>
    <dgm:cxn modelId="{9A4A7A08-7A3C-4B48-B732-49012CFE1F02}" srcId="{621FB01B-2A88-43F8-B7A5-7C7984EE3E00}" destId="{376CF868-75D2-49DE-9764-BE463D5772A4}" srcOrd="0" destOrd="0" parTransId="{B733F2CC-0C18-4C81-A4CB-8EA6F2CEBD5B}" sibTransId="{C1FC9D45-CD87-4B33-AA8F-9C55F2B5F6A9}"/>
    <dgm:cxn modelId="{C58CFD0A-30EB-4ADD-87AC-E70D753C7FFA}" type="presOf" srcId="{C7034AE2-E988-44DB-9784-B8DBBE69397B}" destId="{838583E3-3A72-4A20-ABF6-51413FEB315A}" srcOrd="0" destOrd="0" presId="urn:microsoft.com/office/officeart/2005/8/layout/hierarchy5"/>
    <dgm:cxn modelId="{23E6E61A-C6F1-426D-9F3F-E0655602D082}" type="presOf" srcId="{3A6C96BC-E556-4EF4-B613-EDF82C1BEA78}" destId="{FB1AAAED-B812-490E-AC4D-8908DECFC16D}" srcOrd="0" destOrd="0" presId="urn:microsoft.com/office/officeart/2005/8/layout/hierarchy5"/>
    <dgm:cxn modelId="{78E87A1F-47E5-4015-AEFF-CFC087483DED}" srcId="{376CF868-75D2-49DE-9764-BE463D5772A4}" destId="{6C9F43B8-49A9-47CF-BBA0-D23C19ACDDA2}" srcOrd="1" destOrd="0" parTransId="{6644BD41-F142-454B-93F0-0648F81D5CEE}" sibTransId="{6AD2EE88-403D-47E8-924C-2DB95727EFCD}"/>
    <dgm:cxn modelId="{021D8229-5A3F-411E-8A3E-141A0E480AD6}" type="presOf" srcId="{C7034AE2-E988-44DB-9784-B8DBBE69397B}" destId="{61C8CAC6-E9D2-4092-B4BB-6F5B535967E7}" srcOrd="1" destOrd="0" presId="urn:microsoft.com/office/officeart/2005/8/layout/hierarchy5"/>
    <dgm:cxn modelId="{3EDE712B-FD97-4109-A93F-CD214DB8F413}" type="presOf" srcId="{376CF868-75D2-49DE-9764-BE463D5772A4}" destId="{3CBB10F9-B5CA-4F05-A453-8EDBC0BBC514}" srcOrd="0" destOrd="0" presId="urn:microsoft.com/office/officeart/2005/8/layout/hierarchy5"/>
    <dgm:cxn modelId="{50695D33-F323-4866-8620-8BAB4E3748EA}" srcId="{621FB01B-2A88-43F8-B7A5-7C7984EE3E00}" destId="{BA6A6911-A93D-4C3A-9EFB-C99CA795C888}" srcOrd="2" destOrd="0" parTransId="{01D5B03C-5E21-434E-BD4B-1371B332DA0E}" sibTransId="{EB387C21-FD4E-488C-896B-EE2930B3BDD9}"/>
    <dgm:cxn modelId="{723DD734-0454-4DF7-B93F-549C0D1CC052}" type="presOf" srcId="{6644BD41-F142-454B-93F0-0648F81D5CEE}" destId="{0C42A72F-871F-463B-8F1E-A55AC6AC6422}" srcOrd="1" destOrd="0" presId="urn:microsoft.com/office/officeart/2005/8/layout/hierarchy5"/>
    <dgm:cxn modelId="{703C3B5E-4F1D-4C88-8012-4C15F8A1AFB0}" type="presOf" srcId="{6644BD41-F142-454B-93F0-0648F81D5CEE}" destId="{22282AE5-9920-4C4E-B185-001319CB1516}" srcOrd="0" destOrd="0" presId="urn:microsoft.com/office/officeart/2005/8/layout/hierarchy5"/>
    <dgm:cxn modelId="{FB38525E-3B36-4563-8F16-BEBB77C7C15F}" type="presOf" srcId="{E21FCA89-6C92-4CEC-BED8-62AE57AB764A}" destId="{00986749-9504-46C1-9A57-F382CD0FB322}" srcOrd="0" destOrd="0" presId="urn:microsoft.com/office/officeart/2005/8/layout/hierarchy5"/>
    <dgm:cxn modelId="{4A7D3B4F-0FD5-4C07-971E-75424CCF83E9}" type="presOf" srcId="{DAAF1233-8B39-47CB-8420-ECC9F81CC54F}" destId="{ABE96908-4665-40BE-8D5E-EB93C202DF3F}" srcOrd="0" destOrd="0" presId="urn:microsoft.com/office/officeart/2005/8/layout/hierarchy5"/>
    <dgm:cxn modelId="{B1A1E559-E65C-4058-ADEF-B9781FDE106A}" type="presOf" srcId="{BA6A6911-A93D-4C3A-9EFB-C99CA795C888}" destId="{D56F6CE4-E974-40D8-ABE4-DF7F0C291702}" srcOrd="0" destOrd="0" presId="urn:microsoft.com/office/officeart/2005/8/layout/hierarchy5"/>
    <dgm:cxn modelId="{4A2C215A-3911-4578-8A85-7BD44B62A417}" type="presOf" srcId="{C253EB41-B2B0-4DFD-9748-66AC48A50944}" destId="{B7910232-9BD7-423D-BF2F-B9F83D59CE79}" srcOrd="0" destOrd="0" presId="urn:microsoft.com/office/officeart/2005/8/layout/hierarchy5"/>
    <dgm:cxn modelId="{A620667B-2033-437B-88E9-A04DEF54EDA4}" srcId="{621FB01B-2A88-43F8-B7A5-7C7984EE3E00}" destId="{3A6C96BC-E556-4EF4-B613-EDF82C1BEA78}" srcOrd="1" destOrd="0" parTransId="{3305DE14-1F75-445F-9FCA-DEBF98762CB9}" sibTransId="{8F8198A8-26B9-4101-A880-3B92B5BC6F3E}"/>
    <dgm:cxn modelId="{4F9D8D88-1F4A-4C42-A588-442C209272EB}" srcId="{376CF868-75D2-49DE-9764-BE463D5772A4}" destId="{C253EB41-B2B0-4DFD-9748-66AC48A50944}" srcOrd="0" destOrd="0" parTransId="{DAAF1233-8B39-47CB-8420-ECC9F81CC54F}" sibTransId="{F9E5113D-C037-4D31-8B3F-5267419265E6}"/>
    <dgm:cxn modelId="{EC68408C-5B9F-4E1E-910C-35876D67F053}" type="presOf" srcId="{BA6A6911-A93D-4C3A-9EFB-C99CA795C888}" destId="{83B7101B-115B-40FE-B254-E077C0C725DD}" srcOrd="1" destOrd="0" presId="urn:microsoft.com/office/officeart/2005/8/layout/hierarchy5"/>
    <dgm:cxn modelId="{0D20EAA4-4D7D-42F3-8747-62951CAAB007}" type="presOf" srcId="{6C9F43B8-49A9-47CF-BBA0-D23C19ACDDA2}" destId="{D8CBFFA9-A88B-473A-BB15-D34AB5AB7586}" srcOrd="0" destOrd="0" presId="urn:microsoft.com/office/officeart/2005/8/layout/hierarchy5"/>
    <dgm:cxn modelId="{67F546A7-3609-4BF0-AF11-8C3A5973B0F6}" srcId="{376CF868-75D2-49DE-9764-BE463D5772A4}" destId="{E21FCA89-6C92-4CEC-BED8-62AE57AB764A}" srcOrd="2" destOrd="0" parTransId="{C7034AE2-E988-44DB-9784-B8DBBE69397B}" sibTransId="{D0156B66-BD81-4939-BC5E-B95D4ECDA388}"/>
    <dgm:cxn modelId="{9662E0A8-FB35-4688-94AD-A746EAAF0FC9}" type="presOf" srcId="{B2BEE205-B5E2-48FE-B9B3-577404FF14AB}" destId="{73F7BA45-4EC4-4CBB-9F53-3358E1308F6E}" srcOrd="0" destOrd="0" presId="urn:microsoft.com/office/officeart/2005/8/layout/hierarchy5"/>
    <dgm:cxn modelId="{027A8BAB-47D1-42AC-984D-7FADE2DA83B2}" srcId="{376CF868-75D2-49DE-9764-BE463D5772A4}" destId="{903E1F8A-E994-48C9-AF34-FD57A3DC658A}" srcOrd="3" destOrd="0" parTransId="{B2BEE205-B5E2-48FE-B9B3-577404FF14AB}" sibTransId="{456DF315-43AE-455F-8926-5EC156DF02C0}"/>
    <dgm:cxn modelId="{ACA947BE-3A94-41E6-80AA-372FB62A7E2F}" type="presOf" srcId="{621FB01B-2A88-43F8-B7A5-7C7984EE3E00}" destId="{EFEEF3A2-D866-4D4F-86FF-D3B051DC21EB}" srcOrd="0" destOrd="0" presId="urn:microsoft.com/office/officeart/2005/8/layout/hierarchy5"/>
    <dgm:cxn modelId="{A75114CA-4BDA-4B09-BEBA-6A4E394F30DB}" type="presOf" srcId="{903E1F8A-E994-48C9-AF34-FD57A3DC658A}" destId="{D4C4E693-676F-4545-B9BA-81F4B02669D6}" srcOrd="0" destOrd="0" presId="urn:microsoft.com/office/officeart/2005/8/layout/hierarchy5"/>
    <dgm:cxn modelId="{69FE5BF2-C0C8-4A37-882E-60C63398893F}" type="presOf" srcId="{3A6C96BC-E556-4EF4-B613-EDF82C1BEA78}" destId="{95AFFBBB-654C-46AE-A46C-2B6A0E5AA86A}" srcOrd="1" destOrd="0" presId="urn:microsoft.com/office/officeart/2005/8/layout/hierarchy5"/>
    <dgm:cxn modelId="{218C82F2-94C9-44B2-B53B-A78D14C9CABF}" type="presOf" srcId="{B2BEE205-B5E2-48FE-B9B3-577404FF14AB}" destId="{BB1A5E07-A807-477A-8352-4871E5424268}" srcOrd="1" destOrd="0" presId="urn:microsoft.com/office/officeart/2005/8/layout/hierarchy5"/>
    <dgm:cxn modelId="{50A9DC16-D9A6-4343-89BF-22B110478194}" type="presParOf" srcId="{EFEEF3A2-D866-4D4F-86FF-D3B051DC21EB}" destId="{8A5E0BCA-30B2-4394-9D93-E293D7F4F939}" srcOrd="0" destOrd="0" presId="urn:microsoft.com/office/officeart/2005/8/layout/hierarchy5"/>
    <dgm:cxn modelId="{C30E545E-8296-4BCF-AE69-F12B5642E5D2}" type="presParOf" srcId="{8A5E0BCA-30B2-4394-9D93-E293D7F4F939}" destId="{D7CB9892-F6A3-46A0-AA45-3B994AA3B8D7}" srcOrd="0" destOrd="0" presId="urn:microsoft.com/office/officeart/2005/8/layout/hierarchy5"/>
    <dgm:cxn modelId="{78167037-11E7-4834-8EAA-4E34D3F456B5}" type="presParOf" srcId="{8A5E0BCA-30B2-4394-9D93-E293D7F4F939}" destId="{6E8CCEC3-C739-4F67-B8FD-0D8A10DF7756}" srcOrd="1" destOrd="0" presId="urn:microsoft.com/office/officeart/2005/8/layout/hierarchy5"/>
    <dgm:cxn modelId="{C12B73A6-CB6A-4228-BF28-9D9CEACA7CB6}" type="presParOf" srcId="{6E8CCEC3-C739-4F67-B8FD-0D8A10DF7756}" destId="{4DFC18B8-D94E-4D97-A47E-D41E05D7AC18}" srcOrd="0" destOrd="0" presId="urn:microsoft.com/office/officeart/2005/8/layout/hierarchy5"/>
    <dgm:cxn modelId="{20DB9ED3-8267-4836-AA7D-7B9047DEBA46}" type="presParOf" srcId="{4DFC18B8-D94E-4D97-A47E-D41E05D7AC18}" destId="{3CBB10F9-B5CA-4F05-A453-8EDBC0BBC514}" srcOrd="0" destOrd="0" presId="urn:microsoft.com/office/officeart/2005/8/layout/hierarchy5"/>
    <dgm:cxn modelId="{D1780AB4-E247-49BE-8EE8-5BEA375A426C}" type="presParOf" srcId="{4DFC18B8-D94E-4D97-A47E-D41E05D7AC18}" destId="{293CD2D2-79A1-47BB-8AC1-E898F0FC935B}" srcOrd="1" destOrd="0" presId="urn:microsoft.com/office/officeart/2005/8/layout/hierarchy5"/>
    <dgm:cxn modelId="{C2F5933D-7BF7-4EE6-BD54-FCF489755030}" type="presParOf" srcId="{293CD2D2-79A1-47BB-8AC1-E898F0FC935B}" destId="{ABE96908-4665-40BE-8D5E-EB93C202DF3F}" srcOrd="0" destOrd="0" presId="urn:microsoft.com/office/officeart/2005/8/layout/hierarchy5"/>
    <dgm:cxn modelId="{2585D3E6-8C3D-484E-BDDA-02ECC8D1D7ED}" type="presParOf" srcId="{ABE96908-4665-40BE-8D5E-EB93C202DF3F}" destId="{97FAA9F9-DEE7-4C17-9F36-EA11A1A77C14}" srcOrd="0" destOrd="0" presId="urn:microsoft.com/office/officeart/2005/8/layout/hierarchy5"/>
    <dgm:cxn modelId="{6B83F314-4747-4972-998C-B1A9115D848E}" type="presParOf" srcId="{293CD2D2-79A1-47BB-8AC1-E898F0FC935B}" destId="{278FBB01-5139-461D-B183-2A47A91A04E5}" srcOrd="1" destOrd="0" presId="urn:microsoft.com/office/officeart/2005/8/layout/hierarchy5"/>
    <dgm:cxn modelId="{698FF5AC-7C06-4DDF-AECB-2412FE71380B}" type="presParOf" srcId="{278FBB01-5139-461D-B183-2A47A91A04E5}" destId="{B7910232-9BD7-423D-BF2F-B9F83D59CE79}" srcOrd="0" destOrd="0" presId="urn:microsoft.com/office/officeart/2005/8/layout/hierarchy5"/>
    <dgm:cxn modelId="{4B893002-AEEE-4583-B51F-9D89EA52427F}" type="presParOf" srcId="{278FBB01-5139-461D-B183-2A47A91A04E5}" destId="{906889C4-95BD-464E-A459-D909EC60484F}" srcOrd="1" destOrd="0" presId="urn:microsoft.com/office/officeart/2005/8/layout/hierarchy5"/>
    <dgm:cxn modelId="{395602C1-D899-451C-9143-225067B26767}" type="presParOf" srcId="{293CD2D2-79A1-47BB-8AC1-E898F0FC935B}" destId="{22282AE5-9920-4C4E-B185-001319CB1516}" srcOrd="2" destOrd="0" presId="urn:microsoft.com/office/officeart/2005/8/layout/hierarchy5"/>
    <dgm:cxn modelId="{DD6EDD2E-DF01-45E3-887B-48525BD9D03E}" type="presParOf" srcId="{22282AE5-9920-4C4E-B185-001319CB1516}" destId="{0C42A72F-871F-463B-8F1E-A55AC6AC6422}" srcOrd="0" destOrd="0" presId="urn:microsoft.com/office/officeart/2005/8/layout/hierarchy5"/>
    <dgm:cxn modelId="{4E2A8588-B00F-4FE9-8A0F-AA3496ED3F8D}" type="presParOf" srcId="{293CD2D2-79A1-47BB-8AC1-E898F0FC935B}" destId="{7726A452-553D-4375-8347-00B29AD8C9C5}" srcOrd="3" destOrd="0" presId="urn:microsoft.com/office/officeart/2005/8/layout/hierarchy5"/>
    <dgm:cxn modelId="{BFE83435-C895-45D9-861D-E8DC0416BC86}" type="presParOf" srcId="{7726A452-553D-4375-8347-00B29AD8C9C5}" destId="{D8CBFFA9-A88B-473A-BB15-D34AB5AB7586}" srcOrd="0" destOrd="0" presId="urn:microsoft.com/office/officeart/2005/8/layout/hierarchy5"/>
    <dgm:cxn modelId="{406CAF01-0145-40D6-B885-C94568F8078C}" type="presParOf" srcId="{7726A452-553D-4375-8347-00B29AD8C9C5}" destId="{3EB3D026-25AB-4190-A639-71526B187357}" srcOrd="1" destOrd="0" presId="urn:microsoft.com/office/officeart/2005/8/layout/hierarchy5"/>
    <dgm:cxn modelId="{68EA3985-91FB-49D6-8AAE-09EC5352C2EF}" type="presParOf" srcId="{293CD2D2-79A1-47BB-8AC1-E898F0FC935B}" destId="{838583E3-3A72-4A20-ABF6-51413FEB315A}" srcOrd="4" destOrd="0" presId="urn:microsoft.com/office/officeart/2005/8/layout/hierarchy5"/>
    <dgm:cxn modelId="{ECEBC4B0-734C-4AB3-AC74-FF027F105430}" type="presParOf" srcId="{838583E3-3A72-4A20-ABF6-51413FEB315A}" destId="{61C8CAC6-E9D2-4092-B4BB-6F5B535967E7}" srcOrd="0" destOrd="0" presId="urn:microsoft.com/office/officeart/2005/8/layout/hierarchy5"/>
    <dgm:cxn modelId="{6A3E75FD-4B02-4E01-8C08-968DF130436B}" type="presParOf" srcId="{293CD2D2-79A1-47BB-8AC1-E898F0FC935B}" destId="{C5255DF3-1764-4DB9-B130-225555289AC3}" srcOrd="5" destOrd="0" presId="urn:microsoft.com/office/officeart/2005/8/layout/hierarchy5"/>
    <dgm:cxn modelId="{BC1E3ADA-1373-4713-BDBB-2774367EC4F1}" type="presParOf" srcId="{C5255DF3-1764-4DB9-B130-225555289AC3}" destId="{00986749-9504-46C1-9A57-F382CD0FB322}" srcOrd="0" destOrd="0" presId="urn:microsoft.com/office/officeart/2005/8/layout/hierarchy5"/>
    <dgm:cxn modelId="{4DD1BEB1-EF27-404B-8730-FF7F4B51010D}" type="presParOf" srcId="{C5255DF3-1764-4DB9-B130-225555289AC3}" destId="{FF363BEF-0CD9-4C5D-9104-E5522DD6332E}" srcOrd="1" destOrd="0" presId="urn:microsoft.com/office/officeart/2005/8/layout/hierarchy5"/>
    <dgm:cxn modelId="{14C240C6-6538-4085-A12F-4A2D0B3A8BA4}" type="presParOf" srcId="{293CD2D2-79A1-47BB-8AC1-E898F0FC935B}" destId="{73F7BA45-4EC4-4CBB-9F53-3358E1308F6E}" srcOrd="6" destOrd="0" presId="urn:microsoft.com/office/officeart/2005/8/layout/hierarchy5"/>
    <dgm:cxn modelId="{A9C60683-7F25-4587-9C35-0ED0DD2409F9}" type="presParOf" srcId="{73F7BA45-4EC4-4CBB-9F53-3358E1308F6E}" destId="{BB1A5E07-A807-477A-8352-4871E5424268}" srcOrd="0" destOrd="0" presId="urn:microsoft.com/office/officeart/2005/8/layout/hierarchy5"/>
    <dgm:cxn modelId="{581B4BEF-6739-48C4-8B01-96B1D462EE3F}" type="presParOf" srcId="{293CD2D2-79A1-47BB-8AC1-E898F0FC935B}" destId="{5C3B66E0-F112-4FA8-8A7C-5D315EEB10B1}" srcOrd="7" destOrd="0" presId="urn:microsoft.com/office/officeart/2005/8/layout/hierarchy5"/>
    <dgm:cxn modelId="{5FF5C609-EFFE-4871-813D-975E26C9647C}" type="presParOf" srcId="{5C3B66E0-F112-4FA8-8A7C-5D315EEB10B1}" destId="{D4C4E693-676F-4545-B9BA-81F4B02669D6}" srcOrd="0" destOrd="0" presId="urn:microsoft.com/office/officeart/2005/8/layout/hierarchy5"/>
    <dgm:cxn modelId="{E09ED053-F750-4C78-877B-49F9CFC6E021}" type="presParOf" srcId="{5C3B66E0-F112-4FA8-8A7C-5D315EEB10B1}" destId="{7626A1FF-DBB0-4944-A65C-90553D831486}" srcOrd="1" destOrd="0" presId="urn:microsoft.com/office/officeart/2005/8/layout/hierarchy5"/>
    <dgm:cxn modelId="{67402CEE-763A-4587-A7FD-1B1629FE2AA6}" type="presParOf" srcId="{EFEEF3A2-D866-4D4F-86FF-D3B051DC21EB}" destId="{0DC27781-1B5B-4879-A82F-440FD16FBC9A}" srcOrd="1" destOrd="0" presId="urn:microsoft.com/office/officeart/2005/8/layout/hierarchy5"/>
    <dgm:cxn modelId="{8B5AAE8C-E8BD-451E-884B-A2A63D33E38F}" type="presParOf" srcId="{0DC27781-1B5B-4879-A82F-440FD16FBC9A}" destId="{11271637-C3AC-48FE-8599-5B5E1E180BE2}" srcOrd="0" destOrd="0" presId="urn:microsoft.com/office/officeart/2005/8/layout/hierarchy5"/>
    <dgm:cxn modelId="{0B809910-DD48-4513-A88B-67A63C6F6F7D}" type="presParOf" srcId="{11271637-C3AC-48FE-8599-5B5E1E180BE2}" destId="{FB1AAAED-B812-490E-AC4D-8908DECFC16D}" srcOrd="0" destOrd="0" presId="urn:microsoft.com/office/officeart/2005/8/layout/hierarchy5"/>
    <dgm:cxn modelId="{716F0670-EE76-4BA0-ABDA-06C443C92095}" type="presParOf" srcId="{11271637-C3AC-48FE-8599-5B5E1E180BE2}" destId="{95AFFBBB-654C-46AE-A46C-2B6A0E5AA86A}" srcOrd="1" destOrd="0" presId="urn:microsoft.com/office/officeart/2005/8/layout/hierarchy5"/>
    <dgm:cxn modelId="{A20A0AF9-2A3B-4DC6-A1C9-9AADEA2459AC}" type="presParOf" srcId="{0DC27781-1B5B-4879-A82F-440FD16FBC9A}" destId="{D9FB3A16-0E23-42A8-B9B5-5DD8B6AB4D71}" srcOrd="1" destOrd="0" presId="urn:microsoft.com/office/officeart/2005/8/layout/hierarchy5"/>
    <dgm:cxn modelId="{81F5DB4A-D524-4AD8-8998-A1D470726D33}" type="presParOf" srcId="{D9FB3A16-0E23-42A8-B9B5-5DD8B6AB4D71}" destId="{0AAF47C3-2A66-414E-8AA8-905BDB85F067}" srcOrd="0" destOrd="0" presId="urn:microsoft.com/office/officeart/2005/8/layout/hierarchy5"/>
    <dgm:cxn modelId="{B7840F78-E4BF-457D-B141-747C907524F8}" type="presParOf" srcId="{0DC27781-1B5B-4879-A82F-440FD16FBC9A}" destId="{44667E26-4B17-4391-9EAC-AD7406229902}" srcOrd="2" destOrd="0" presId="urn:microsoft.com/office/officeart/2005/8/layout/hierarchy5"/>
    <dgm:cxn modelId="{B964CE7A-108C-4913-98F3-6121FF9A69CF}" type="presParOf" srcId="{44667E26-4B17-4391-9EAC-AD7406229902}" destId="{D56F6CE4-E974-40D8-ABE4-DF7F0C291702}" srcOrd="0" destOrd="0" presId="urn:microsoft.com/office/officeart/2005/8/layout/hierarchy5"/>
    <dgm:cxn modelId="{76AD3E07-941C-480C-9881-4C5B6F1821CA}" type="presParOf" srcId="{44667E26-4B17-4391-9EAC-AD7406229902}" destId="{83B7101B-115B-40FE-B254-E077C0C725DD}" srcOrd="1" destOrd="0" presId="urn:microsoft.com/office/officeart/2005/8/layout/hierarchy5"/>
  </dgm:cxnLst>
  <dgm:bg>
    <a:noFill/>
  </dgm:bg>
  <dgm:whole/>
  <dgm:extLst>
    <a:ext uri="http://schemas.microsoft.com/office/drawing/2008/diagram">
      <dsp:dataModelExt xmlns:dsp="http://schemas.microsoft.com/office/drawing/2008/diagram" relId="rId1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E5F4F-8A88-4D93-B33D-39AE324571BB}">
      <dsp:nvSpPr>
        <dsp:cNvPr id="0" name=""/>
        <dsp:cNvSpPr/>
      </dsp:nvSpPr>
      <dsp:spPr>
        <a:xfrm>
          <a:off x="5700158" y="4390917"/>
          <a:ext cx="206712" cy="91440"/>
        </a:xfrm>
        <a:custGeom>
          <a:avLst/>
          <a:gdLst/>
          <a:ahLst/>
          <a:cxnLst/>
          <a:rect l="0" t="0" r="0" b="0"/>
          <a:pathLst>
            <a:path>
              <a:moveTo>
                <a:pt x="0" y="45720"/>
              </a:moveTo>
              <a:lnTo>
                <a:pt x="206712" y="4572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5798346" y="4431470"/>
        <a:ext cx="0" cy="0"/>
      </dsp:txXfrm>
    </dsp:sp>
    <dsp:sp modelId="{2BD2EC1B-E423-41F9-B195-8E98B0099B3B}">
      <dsp:nvSpPr>
        <dsp:cNvPr id="0" name=""/>
        <dsp:cNvSpPr/>
      </dsp:nvSpPr>
      <dsp:spPr>
        <a:xfrm>
          <a:off x="4469239" y="4265894"/>
          <a:ext cx="205153" cy="170742"/>
        </a:xfrm>
        <a:custGeom>
          <a:avLst/>
          <a:gdLst/>
          <a:ahLst/>
          <a:cxnLst/>
          <a:rect l="0" t="0" r="0" b="0"/>
          <a:pathLst>
            <a:path>
              <a:moveTo>
                <a:pt x="0" y="0"/>
              </a:moveTo>
              <a:lnTo>
                <a:pt x="102576" y="0"/>
              </a:lnTo>
              <a:lnTo>
                <a:pt x="102576" y="170742"/>
              </a:lnTo>
              <a:lnTo>
                <a:pt x="205153" y="170742"/>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4565143" y="4344593"/>
        <a:ext cx="0" cy="0"/>
      </dsp:txXfrm>
    </dsp:sp>
    <dsp:sp modelId="{65B469A7-9474-46A1-9347-523BB19D098F}">
      <dsp:nvSpPr>
        <dsp:cNvPr id="0" name=""/>
        <dsp:cNvSpPr/>
      </dsp:nvSpPr>
      <dsp:spPr>
        <a:xfrm>
          <a:off x="5700158" y="4024716"/>
          <a:ext cx="206712" cy="91440"/>
        </a:xfrm>
        <a:custGeom>
          <a:avLst/>
          <a:gdLst/>
          <a:ahLst/>
          <a:cxnLst/>
          <a:rect l="0" t="0" r="0" b="0"/>
          <a:pathLst>
            <a:path>
              <a:moveTo>
                <a:pt x="0" y="45720"/>
              </a:moveTo>
              <a:lnTo>
                <a:pt x="103356" y="45720"/>
              </a:lnTo>
              <a:lnTo>
                <a:pt x="103356" y="48171"/>
              </a:lnTo>
              <a:lnTo>
                <a:pt x="206712" y="48171"/>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5798346" y="4065268"/>
        <a:ext cx="0" cy="0"/>
      </dsp:txXfrm>
    </dsp:sp>
    <dsp:sp modelId="{7330CBB1-5625-47CD-B407-29B1C40917DD}">
      <dsp:nvSpPr>
        <dsp:cNvPr id="0" name=""/>
        <dsp:cNvSpPr/>
      </dsp:nvSpPr>
      <dsp:spPr>
        <a:xfrm>
          <a:off x="4469239" y="4070436"/>
          <a:ext cx="205153" cy="195458"/>
        </a:xfrm>
        <a:custGeom>
          <a:avLst/>
          <a:gdLst/>
          <a:ahLst/>
          <a:cxnLst/>
          <a:rect l="0" t="0" r="0" b="0"/>
          <a:pathLst>
            <a:path>
              <a:moveTo>
                <a:pt x="0" y="195458"/>
              </a:moveTo>
              <a:lnTo>
                <a:pt x="102576" y="195458"/>
              </a:lnTo>
              <a:lnTo>
                <a:pt x="102576" y="0"/>
              </a:lnTo>
              <a:lnTo>
                <a:pt x="205153" y="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4564732" y="4161081"/>
        <a:ext cx="0" cy="0"/>
      </dsp:txXfrm>
    </dsp:sp>
    <dsp:sp modelId="{9E9966C7-B98D-4E66-B968-B2715CD311D0}">
      <dsp:nvSpPr>
        <dsp:cNvPr id="0" name=""/>
        <dsp:cNvSpPr/>
      </dsp:nvSpPr>
      <dsp:spPr>
        <a:xfrm>
          <a:off x="3238321" y="3872526"/>
          <a:ext cx="205153" cy="393368"/>
        </a:xfrm>
        <a:custGeom>
          <a:avLst/>
          <a:gdLst/>
          <a:ahLst/>
          <a:cxnLst/>
          <a:rect l="0" t="0" r="0" b="0"/>
          <a:pathLst>
            <a:path>
              <a:moveTo>
                <a:pt x="0" y="0"/>
              </a:moveTo>
              <a:lnTo>
                <a:pt x="102576" y="0"/>
              </a:lnTo>
              <a:lnTo>
                <a:pt x="102576" y="393368"/>
              </a:lnTo>
              <a:lnTo>
                <a:pt x="205153" y="393368"/>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29806" y="4058119"/>
        <a:ext cx="0" cy="0"/>
      </dsp:txXfrm>
    </dsp:sp>
    <dsp:sp modelId="{8A1B0AF3-EBE3-4D1A-9559-C15D24E4EFF3}">
      <dsp:nvSpPr>
        <dsp:cNvPr id="0" name=""/>
        <dsp:cNvSpPr/>
      </dsp:nvSpPr>
      <dsp:spPr>
        <a:xfrm>
          <a:off x="5700158" y="3633799"/>
          <a:ext cx="206712" cy="91440"/>
        </a:xfrm>
        <a:custGeom>
          <a:avLst/>
          <a:gdLst/>
          <a:ahLst/>
          <a:cxnLst/>
          <a:rect l="0" t="0" r="0" b="0"/>
          <a:pathLst>
            <a:path>
              <a:moveTo>
                <a:pt x="0" y="45720"/>
              </a:moveTo>
              <a:lnTo>
                <a:pt x="103356" y="45720"/>
              </a:lnTo>
              <a:lnTo>
                <a:pt x="103356" y="48171"/>
              </a:lnTo>
              <a:lnTo>
                <a:pt x="206712" y="48171"/>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5798346" y="3674351"/>
        <a:ext cx="0" cy="0"/>
      </dsp:txXfrm>
    </dsp:sp>
    <dsp:sp modelId="{EE3D6874-9FCF-4B07-A847-DB7D9C957A8C}">
      <dsp:nvSpPr>
        <dsp:cNvPr id="0" name=""/>
        <dsp:cNvSpPr/>
      </dsp:nvSpPr>
      <dsp:spPr>
        <a:xfrm>
          <a:off x="4469239" y="3484061"/>
          <a:ext cx="205153" cy="195458"/>
        </a:xfrm>
        <a:custGeom>
          <a:avLst/>
          <a:gdLst/>
          <a:ahLst/>
          <a:cxnLst/>
          <a:rect l="0" t="0" r="0" b="0"/>
          <a:pathLst>
            <a:path>
              <a:moveTo>
                <a:pt x="0" y="0"/>
              </a:moveTo>
              <a:lnTo>
                <a:pt x="102576" y="0"/>
              </a:lnTo>
              <a:lnTo>
                <a:pt x="102576" y="195458"/>
              </a:lnTo>
              <a:lnTo>
                <a:pt x="205153" y="195458"/>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4564732" y="3574706"/>
        <a:ext cx="0" cy="0"/>
      </dsp:txXfrm>
    </dsp:sp>
    <dsp:sp modelId="{838854CF-EE5E-4C5C-9B86-B0624B9F3053}">
      <dsp:nvSpPr>
        <dsp:cNvPr id="0" name=""/>
        <dsp:cNvSpPr/>
      </dsp:nvSpPr>
      <dsp:spPr>
        <a:xfrm>
          <a:off x="5700158" y="3242883"/>
          <a:ext cx="206712" cy="91440"/>
        </a:xfrm>
        <a:custGeom>
          <a:avLst/>
          <a:gdLst/>
          <a:ahLst/>
          <a:cxnLst/>
          <a:rect l="0" t="0" r="0" b="0"/>
          <a:pathLst>
            <a:path>
              <a:moveTo>
                <a:pt x="0" y="45720"/>
              </a:moveTo>
              <a:lnTo>
                <a:pt x="103356" y="45720"/>
              </a:lnTo>
              <a:lnTo>
                <a:pt x="103356" y="48171"/>
              </a:lnTo>
              <a:lnTo>
                <a:pt x="206712" y="48171"/>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5798346" y="3283435"/>
        <a:ext cx="0" cy="0"/>
      </dsp:txXfrm>
    </dsp:sp>
    <dsp:sp modelId="{88D233E6-AFDE-4F1C-8D51-3B6C3BBFE60A}">
      <dsp:nvSpPr>
        <dsp:cNvPr id="0" name=""/>
        <dsp:cNvSpPr/>
      </dsp:nvSpPr>
      <dsp:spPr>
        <a:xfrm>
          <a:off x="4469239" y="3288603"/>
          <a:ext cx="205153" cy="195458"/>
        </a:xfrm>
        <a:custGeom>
          <a:avLst/>
          <a:gdLst/>
          <a:ahLst/>
          <a:cxnLst/>
          <a:rect l="0" t="0" r="0" b="0"/>
          <a:pathLst>
            <a:path>
              <a:moveTo>
                <a:pt x="0" y="195458"/>
              </a:moveTo>
              <a:lnTo>
                <a:pt x="102576" y="195458"/>
              </a:lnTo>
              <a:lnTo>
                <a:pt x="102576" y="0"/>
              </a:lnTo>
              <a:lnTo>
                <a:pt x="205153" y="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4564732" y="3379248"/>
        <a:ext cx="0" cy="0"/>
      </dsp:txXfrm>
    </dsp:sp>
    <dsp:sp modelId="{8ADD098A-D10D-4469-8984-9010095A1E81}">
      <dsp:nvSpPr>
        <dsp:cNvPr id="0" name=""/>
        <dsp:cNvSpPr/>
      </dsp:nvSpPr>
      <dsp:spPr>
        <a:xfrm>
          <a:off x="3238321" y="3484061"/>
          <a:ext cx="205153" cy="388464"/>
        </a:xfrm>
        <a:custGeom>
          <a:avLst/>
          <a:gdLst/>
          <a:ahLst/>
          <a:cxnLst/>
          <a:rect l="0" t="0" r="0" b="0"/>
          <a:pathLst>
            <a:path>
              <a:moveTo>
                <a:pt x="0" y="388464"/>
              </a:moveTo>
              <a:lnTo>
                <a:pt x="102576" y="388464"/>
              </a:lnTo>
              <a:lnTo>
                <a:pt x="102576" y="0"/>
              </a:lnTo>
              <a:lnTo>
                <a:pt x="205153" y="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29915" y="3667311"/>
        <a:ext cx="0" cy="0"/>
      </dsp:txXfrm>
    </dsp:sp>
    <dsp:sp modelId="{317CC671-DC2D-45F5-89DD-4B901D9A65F0}">
      <dsp:nvSpPr>
        <dsp:cNvPr id="0" name=""/>
        <dsp:cNvSpPr/>
      </dsp:nvSpPr>
      <dsp:spPr>
        <a:xfrm>
          <a:off x="2007403" y="2308859"/>
          <a:ext cx="205153" cy="1563666"/>
        </a:xfrm>
        <a:custGeom>
          <a:avLst/>
          <a:gdLst/>
          <a:ahLst/>
          <a:cxnLst/>
          <a:rect l="0" t="0" r="0" b="0"/>
          <a:pathLst>
            <a:path>
              <a:moveTo>
                <a:pt x="0" y="0"/>
              </a:moveTo>
              <a:lnTo>
                <a:pt x="102576" y="0"/>
              </a:lnTo>
              <a:lnTo>
                <a:pt x="102576" y="1563666"/>
              </a:lnTo>
              <a:lnTo>
                <a:pt x="205153" y="1563666"/>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2070553" y="3051266"/>
        <a:ext cx="0" cy="0"/>
      </dsp:txXfrm>
    </dsp:sp>
    <dsp:sp modelId="{7E3849E0-9DC6-4736-90B5-B31C4DB9E23F}">
      <dsp:nvSpPr>
        <dsp:cNvPr id="0" name=""/>
        <dsp:cNvSpPr/>
      </dsp:nvSpPr>
      <dsp:spPr>
        <a:xfrm>
          <a:off x="5700158" y="2851966"/>
          <a:ext cx="205153" cy="91440"/>
        </a:xfrm>
        <a:custGeom>
          <a:avLst/>
          <a:gdLst/>
          <a:ahLst/>
          <a:cxnLst/>
          <a:rect l="0" t="0" r="0" b="0"/>
          <a:pathLst>
            <a:path>
              <a:moveTo>
                <a:pt x="0" y="45720"/>
              </a:moveTo>
              <a:lnTo>
                <a:pt x="205153" y="4572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5797605" y="2892557"/>
        <a:ext cx="0" cy="0"/>
      </dsp:txXfrm>
    </dsp:sp>
    <dsp:sp modelId="{3F44F901-8672-4061-A0DA-EA1D4442A139}">
      <dsp:nvSpPr>
        <dsp:cNvPr id="0" name=""/>
        <dsp:cNvSpPr/>
      </dsp:nvSpPr>
      <dsp:spPr>
        <a:xfrm>
          <a:off x="4469239" y="2702228"/>
          <a:ext cx="205153" cy="195458"/>
        </a:xfrm>
        <a:custGeom>
          <a:avLst/>
          <a:gdLst/>
          <a:ahLst/>
          <a:cxnLst/>
          <a:rect l="0" t="0" r="0" b="0"/>
          <a:pathLst>
            <a:path>
              <a:moveTo>
                <a:pt x="0" y="0"/>
              </a:moveTo>
              <a:lnTo>
                <a:pt x="102576" y="0"/>
              </a:lnTo>
              <a:lnTo>
                <a:pt x="102576" y="195458"/>
              </a:lnTo>
              <a:lnTo>
                <a:pt x="205153" y="195458"/>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4564732" y="2792873"/>
        <a:ext cx="0" cy="0"/>
      </dsp:txXfrm>
    </dsp:sp>
    <dsp:sp modelId="{2095B5D1-1D51-496D-AEEA-A68D88A34A2F}">
      <dsp:nvSpPr>
        <dsp:cNvPr id="0" name=""/>
        <dsp:cNvSpPr/>
      </dsp:nvSpPr>
      <dsp:spPr>
        <a:xfrm>
          <a:off x="5700158" y="2461050"/>
          <a:ext cx="205153" cy="91440"/>
        </a:xfrm>
        <a:custGeom>
          <a:avLst/>
          <a:gdLst/>
          <a:ahLst/>
          <a:cxnLst/>
          <a:rect l="0" t="0" r="0" b="0"/>
          <a:pathLst>
            <a:path>
              <a:moveTo>
                <a:pt x="0" y="45720"/>
              </a:moveTo>
              <a:lnTo>
                <a:pt x="205153" y="4572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5797605" y="2501641"/>
        <a:ext cx="0" cy="0"/>
      </dsp:txXfrm>
    </dsp:sp>
    <dsp:sp modelId="{D2DD1726-C8EA-4420-8F5A-6B921701F8B5}">
      <dsp:nvSpPr>
        <dsp:cNvPr id="0" name=""/>
        <dsp:cNvSpPr/>
      </dsp:nvSpPr>
      <dsp:spPr>
        <a:xfrm>
          <a:off x="4469239" y="2506770"/>
          <a:ext cx="205153" cy="195458"/>
        </a:xfrm>
        <a:custGeom>
          <a:avLst/>
          <a:gdLst/>
          <a:ahLst/>
          <a:cxnLst/>
          <a:rect l="0" t="0" r="0" b="0"/>
          <a:pathLst>
            <a:path>
              <a:moveTo>
                <a:pt x="0" y="195458"/>
              </a:moveTo>
              <a:lnTo>
                <a:pt x="102576" y="195458"/>
              </a:lnTo>
              <a:lnTo>
                <a:pt x="102576" y="0"/>
              </a:lnTo>
              <a:lnTo>
                <a:pt x="205153" y="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4564732" y="2597415"/>
        <a:ext cx="0" cy="0"/>
      </dsp:txXfrm>
    </dsp:sp>
    <dsp:sp modelId="{0695936E-A78E-4DD9-9EF8-4C05C4C9B051}">
      <dsp:nvSpPr>
        <dsp:cNvPr id="0" name=""/>
        <dsp:cNvSpPr/>
      </dsp:nvSpPr>
      <dsp:spPr>
        <a:xfrm>
          <a:off x="3238321" y="2308860"/>
          <a:ext cx="205153" cy="393368"/>
        </a:xfrm>
        <a:custGeom>
          <a:avLst/>
          <a:gdLst/>
          <a:ahLst/>
          <a:cxnLst/>
          <a:rect l="0" t="0" r="0" b="0"/>
          <a:pathLst>
            <a:path>
              <a:moveTo>
                <a:pt x="0" y="0"/>
              </a:moveTo>
              <a:lnTo>
                <a:pt x="102576" y="0"/>
              </a:lnTo>
              <a:lnTo>
                <a:pt x="102576" y="393368"/>
              </a:lnTo>
              <a:lnTo>
                <a:pt x="205153" y="393368"/>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29806" y="2494452"/>
        <a:ext cx="0" cy="0"/>
      </dsp:txXfrm>
    </dsp:sp>
    <dsp:sp modelId="{89A808E8-61B0-4C71-A5B4-7F142BDF1063}">
      <dsp:nvSpPr>
        <dsp:cNvPr id="0" name=""/>
        <dsp:cNvSpPr/>
      </dsp:nvSpPr>
      <dsp:spPr>
        <a:xfrm>
          <a:off x="5700158" y="2070133"/>
          <a:ext cx="205153" cy="91440"/>
        </a:xfrm>
        <a:custGeom>
          <a:avLst/>
          <a:gdLst/>
          <a:ahLst/>
          <a:cxnLst/>
          <a:rect l="0" t="0" r="0" b="0"/>
          <a:pathLst>
            <a:path>
              <a:moveTo>
                <a:pt x="0" y="45720"/>
              </a:moveTo>
              <a:lnTo>
                <a:pt x="205153" y="4572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5797605" y="2110724"/>
        <a:ext cx="0" cy="0"/>
      </dsp:txXfrm>
    </dsp:sp>
    <dsp:sp modelId="{179B8070-E261-4AC5-B8F6-36D62BD61810}">
      <dsp:nvSpPr>
        <dsp:cNvPr id="0" name=""/>
        <dsp:cNvSpPr/>
      </dsp:nvSpPr>
      <dsp:spPr>
        <a:xfrm>
          <a:off x="4469239" y="1920395"/>
          <a:ext cx="205153" cy="195458"/>
        </a:xfrm>
        <a:custGeom>
          <a:avLst/>
          <a:gdLst/>
          <a:ahLst/>
          <a:cxnLst/>
          <a:rect l="0" t="0" r="0" b="0"/>
          <a:pathLst>
            <a:path>
              <a:moveTo>
                <a:pt x="0" y="0"/>
              </a:moveTo>
              <a:lnTo>
                <a:pt x="102576" y="0"/>
              </a:lnTo>
              <a:lnTo>
                <a:pt x="102576" y="195458"/>
              </a:lnTo>
              <a:lnTo>
                <a:pt x="205153" y="195458"/>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4564732" y="2011040"/>
        <a:ext cx="0" cy="0"/>
      </dsp:txXfrm>
    </dsp:sp>
    <dsp:sp modelId="{ECFD9A21-7733-4B56-8894-C8846F9FEF88}">
      <dsp:nvSpPr>
        <dsp:cNvPr id="0" name=""/>
        <dsp:cNvSpPr/>
      </dsp:nvSpPr>
      <dsp:spPr>
        <a:xfrm>
          <a:off x="5700158" y="1679216"/>
          <a:ext cx="205153" cy="91440"/>
        </a:xfrm>
        <a:custGeom>
          <a:avLst/>
          <a:gdLst/>
          <a:ahLst/>
          <a:cxnLst/>
          <a:rect l="0" t="0" r="0" b="0"/>
          <a:pathLst>
            <a:path>
              <a:moveTo>
                <a:pt x="0" y="45720"/>
              </a:moveTo>
              <a:lnTo>
                <a:pt x="205153" y="4572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5797605" y="1719808"/>
        <a:ext cx="0" cy="0"/>
      </dsp:txXfrm>
    </dsp:sp>
    <dsp:sp modelId="{92B2060D-BD2E-45E2-A868-C94520B704FE}">
      <dsp:nvSpPr>
        <dsp:cNvPr id="0" name=""/>
        <dsp:cNvSpPr/>
      </dsp:nvSpPr>
      <dsp:spPr>
        <a:xfrm>
          <a:off x="4469239" y="1724936"/>
          <a:ext cx="205153" cy="195458"/>
        </a:xfrm>
        <a:custGeom>
          <a:avLst/>
          <a:gdLst/>
          <a:ahLst/>
          <a:cxnLst/>
          <a:rect l="0" t="0" r="0" b="0"/>
          <a:pathLst>
            <a:path>
              <a:moveTo>
                <a:pt x="0" y="195458"/>
              </a:moveTo>
              <a:lnTo>
                <a:pt x="102576" y="195458"/>
              </a:lnTo>
              <a:lnTo>
                <a:pt x="102576" y="0"/>
              </a:lnTo>
              <a:lnTo>
                <a:pt x="205153" y="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4564732" y="1815582"/>
        <a:ext cx="0" cy="0"/>
      </dsp:txXfrm>
    </dsp:sp>
    <dsp:sp modelId="{9B791EE2-04EC-4B1E-88C1-8423A01CDEDA}">
      <dsp:nvSpPr>
        <dsp:cNvPr id="0" name=""/>
        <dsp:cNvSpPr/>
      </dsp:nvSpPr>
      <dsp:spPr>
        <a:xfrm>
          <a:off x="3238321" y="1920395"/>
          <a:ext cx="205153" cy="388464"/>
        </a:xfrm>
        <a:custGeom>
          <a:avLst/>
          <a:gdLst/>
          <a:ahLst/>
          <a:cxnLst/>
          <a:rect l="0" t="0" r="0" b="0"/>
          <a:pathLst>
            <a:path>
              <a:moveTo>
                <a:pt x="0" y="388464"/>
              </a:moveTo>
              <a:lnTo>
                <a:pt x="102576" y="388464"/>
              </a:lnTo>
              <a:lnTo>
                <a:pt x="102576" y="0"/>
              </a:lnTo>
              <a:lnTo>
                <a:pt x="205153" y="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29915" y="2103644"/>
        <a:ext cx="0" cy="0"/>
      </dsp:txXfrm>
    </dsp:sp>
    <dsp:sp modelId="{D5B7B54C-95D6-42C4-A8E8-143E173EFD0C}">
      <dsp:nvSpPr>
        <dsp:cNvPr id="0" name=""/>
        <dsp:cNvSpPr/>
      </dsp:nvSpPr>
      <dsp:spPr>
        <a:xfrm>
          <a:off x="2007403" y="2263139"/>
          <a:ext cx="205153" cy="91440"/>
        </a:xfrm>
        <a:custGeom>
          <a:avLst/>
          <a:gdLst/>
          <a:ahLst/>
          <a:cxnLst/>
          <a:rect l="0" t="0" r="0" b="0"/>
          <a:pathLst>
            <a:path>
              <a:moveTo>
                <a:pt x="0" y="45720"/>
              </a:moveTo>
              <a:lnTo>
                <a:pt x="205153" y="4572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2104851" y="2303731"/>
        <a:ext cx="0" cy="0"/>
      </dsp:txXfrm>
    </dsp:sp>
    <dsp:sp modelId="{1FCDC7E7-127E-4489-9320-227625952BAB}">
      <dsp:nvSpPr>
        <dsp:cNvPr id="0" name=""/>
        <dsp:cNvSpPr/>
      </dsp:nvSpPr>
      <dsp:spPr>
        <a:xfrm>
          <a:off x="5675447" y="1271825"/>
          <a:ext cx="229863" cy="91440"/>
        </a:xfrm>
        <a:custGeom>
          <a:avLst/>
          <a:gdLst/>
          <a:ahLst/>
          <a:cxnLst/>
          <a:rect l="0" t="0" r="0" b="0"/>
          <a:pathLst>
            <a:path>
              <a:moveTo>
                <a:pt x="0" y="45720"/>
              </a:moveTo>
              <a:lnTo>
                <a:pt x="229863" y="4572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5784632" y="1311798"/>
        <a:ext cx="0" cy="0"/>
      </dsp:txXfrm>
    </dsp:sp>
    <dsp:sp modelId="{53DCEDA1-186E-442D-AEBA-371B65F958E1}">
      <dsp:nvSpPr>
        <dsp:cNvPr id="0" name=""/>
        <dsp:cNvSpPr/>
      </dsp:nvSpPr>
      <dsp:spPr>
        <a:xfrm>
          <a:off x="4469239" y="1138562"/>
          <a:ext cx="180442" cy="178983"/>
        </a:xfrm>
        <a:custGeom>
          <a:avLst/>
          <a:gdLst/>
          <a:ahLst/>
          <a:cxnLst/>
          <a:rect l="0" t="0" r="0" b="0"/>
          <a:pathLst>
            <a:path>
              <a:moveTo>
                <a:pt x="0" y="0"/>
              </a:moveTo>
              <a:lnTo>
                <a:pt x="90221" y="0"/>
              </a:lnTo>
              <a:lnTo>
                <a:pt x="90221" y="178983"/>
              </a:lnTo>
              <a:lnTo>
                <a:pt x="180442" y="178983"/>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4553107" y="1221699"/>
        <a:ext cx="0" cy="0"/>
      </dsp:txXfrm>
    </dsp:sp>
    <dsp:sp modelId="{686AB2E7-AA41-4E35-9413-B61F897B45CD}">
      <dsp:nvSpPr>
        <dsp:cNvPr id="0" name=""/>
        <dsp:cNvSpPr/>
      </dsp:nvSpPr>
      <dsp:spPr>
        <a:xfrm>
          <a:off x="5675447" y="880908"/>
          <a:ext cx="229863" cy="91440"/>
        </a:xfrm>
        <a:custGeom>
          <a:avLst/>
          <a:gdLst/>
          <a:ahLst/>
          <a:cxnLst/>
          <a:rect l="0" t="0" r="0" b="0"/>
          <a:pathLst>
            <a:path>
              <a:moveTo>
                <a:pt x="0" y="45720"/>
              </a:moveTo>
              <a:lnTo>
                <a:pt x="229863" y="4572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5784632" y="920882"/>
        <a:ext cx="0" cy="0"/>
      </dsp:txXfrm>
    </dsp:sp>
    <dsp:sp modelId="{3A5F703A-10DF-45CE-8870-4A23E49942AD}">
      <dsp:nvSpPr>
        <dsp:cNvPr id="0" name=""/>
        <dsp:cNvSpPr/>
      </dsp:nvSpPr>
      <dsp:spPr>
        <a:xfrm>
          <a:off x="4469239" y="926628"/>
          <a:ext cx="180442" cy="211933"/>
        </a:xfrm>
        <a:custGeom>
          <a:avLst/>
          <a:gdLst/>
          <a:ahLst/>
          <a:cxnLst/>
          <a:rect l="0" t="0" r="0" b="0"/>
          <a:pathLst>
            <a:path>
              <a:moveTo>
                <a:pt x="0" y="211933"/>
              </a:moveTo>
              <a:lnTo>
                <a:pt x="90221" y="211933"/>
              </a:lnTo>
              <a:lnTo>
                <a:pt x="90221" y="0"/>
              </a:lnTo>
              <a:lnTo>
                <a:pt x="180442" y="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4552502" y="1025636"/>
        <a:ext cx="0" cy="0"/>
      </dsp:txXfrm>
    </dsp:sp>
    <dsp:sp modelId="{5C812BCA-7F90-46BE-9246-4824E561B022}">
      <dsp:nvSpPr>
        <dsp:cNvPr id="0" name=""/>
        <dsp:cNvSpPr/>
      </dsp:nvSpPr>
      <dsp:spPr>
        <a:xfrm>
          <a:off x="3238321" y="745193"/>
          <a:ext cx="205153" cy="393368"/>
        </a:xfrm>
        <a:custGeom>
          <a:avLst/>
          <a:gdLst/>
          <a:ahLst/>
          <a:cxnLst/>
          <a:rect l="0" t="0" r="0" b="0"/>
          <a:pathLst>
            <a:path>
              <a:moveTo>
                <a:pt x="0" y="0"/>
              </a:moveTo>
              <a:lnTo>
                <a:pt x="102576" y="0"/>
              </a:lnTo>
              <a:lnTo>
                <a:pt x="102576" y="393368"/>
              </a:lnTo>
              <a:lnTo>
                <a:pt x="205153" y="393368"/>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29806" y="930786"/>
        <a:ext cx="0" cy="0"/>
      </dsp:txXfrm>
    </dsp:sp>
    <dsp:sp modelId="{3041AECC-CFD4-41E3-85D0-80F048948521}">
      <dsp:nvSpPr>
        <dsp:cNvPr id="0" name=""/>
        <dsp:cNvSpPr/>
      </dsp:nvSpPr>
      <dsp:spPr>
        <a:xfrm>
          <a:off x="5675447" y="489992"/>
          <a:ext cx="229863" cy="91440"/>
        </a:xfrm>
        <a:custGeom>
          <a:avLst/>
          <a:gdLst/>
          <a:ahLst/>
          <a:cxnLst/>
          <a:rect l="0" t="0" r="0" b="0"/>
          <a:pathLst>
            <a:path>
              <a:moveTo>
                <a:pt x="0" y="45720"/>
              </a:moveTo>
              <a:lnTo>
                <a:pt x="229863" y="4572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5784632" y="529965"/>
        <a:ext cx="0" cy="0"/>
      </dsp:txXfrm>
    </dsp:sp>
    <dsp:sp modelId="{6C00A21B-2275-4255-89E0-452D234C4C32}">
      <dsp:nvSpPr>
        <dsp:cNvPr id="0" name=""/>
        <dsp:cNvSpPr/>
      </dsp:nvSpPr>
      <dsp:spPr>
        <a:xfrm>
          <a:off x="4469239" y="356728"/>
          <a:ext cx="180442" cy="178983"/>
        </a:xfrm>
        <a:custGeom>
          <a:avLst/>
          <a:gdLst/>
          <a:ahLst/>
          <a:cxnLst/>
          <a:rect l="0" t="0" r="0" b="0"/>
          <a:pathLst>
            <a:path>
              <a:moveTo>
                <a:pt x="0" y="0"/>
              </a:moveTo>
              <a:lnTo>
                <a:pt x="90221" y="0"/>
              </a:lnTo>
              <a:lnTo>
                <a:pt x="90221" y="178983"/>
              </a:lnTo>
              <a:lnTo>
                <a:pt x="180442" y="178983"/>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4553107" y="439866"/>
        <a:ext cx="0" cy="0"/>
      </dsp:txXfrm>
    </dsp:sp>
    <dsp:sp modelId="{69726E28-4C05-4F4B-85A7-64F63340BF39}">
      <dsp:nvSpPr>
        <dsp:cNvPr id="0" name=""/>
        <dsp:cNvSpPr/>
      </dsp:nvSpPr>
      <dsp:spPr>
        <a:xfrm>
          <a:off x="5683068" y="125886"/>
          <a:ext cx="224509" cy="91440"/>
        </a:xfrm>
        <a:custGeom>
          <a:avLst/>
          <a:gdLst/>
          <a:ahLst/>
          <a:cxnLst/>
          <a:rect l="0" t="0" r="0" b="0"/>
          <a:pathLst>
            <a:path>
              <a:moveTo>
                <a:pt x="0" y="45720"/>
              </a:moveTo>
              <a:lnTo>
                <a:pt x="112254" y="45720"/>
              </a:lnTo>
              <a:lnTo>
                <a:pt x="112254" y="45932"/>
              </a:lnTo>
              <a:lnTo>
                <a:pt x="224509" y="45932"/>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5789710" y="165993"/>
        <a:ext cx="0" cy="0"/>
      </dsp:txXfrm>
    </dsp:sp>
    <dsp:sp modelId="{EC68A308-08B0-432A-96B9-8ED11A782E7A}">
      <dsp:nvSpPr>
        <dsp:cNvPr id="0" name=""/>
        <dsp:cNvSpPr/>
      </dsp:nvSpPr>
      <dsp:spPr>
        <a:xfrm>
          <a:off x="4469239" y="171606"/>
          <a:ext cx="188063" cy="185122"/>
        </a:xfrm>
        <a:custGeom>
          <a:avLst/>
          <a:gdLst/>
          <a:ahLst/>
          <a:cxnLst/>
          <a:rect l="0" t="0" r="0" b="0"/>
          <a:pathLst>
            <a:path>
              <a:moveTo>
                <a:pt x="0" y="185122"/>
              </a:moveTo>
              <a:lnTo>
                <a:pt x="94031" y="185122"/>
              </a:lnTo>
              <a:lnTo>
                <a:pt x="94031" y="0"/>
              </a:lnTo>
              <a:lnTo>
                <a:pt x="188063" y="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4556674" y="257570"/>
        <a:ext cx="0" cy="0"/>
      </dsp:txXfrm>
    </dsp:sp>
    <dsp:sp modelId="{8B63F1D2-9211-4A20-877F-5CA0CE5294A6}">
      <dsp:nvSpPr>
        <dsp:cNvPr id="0" name=""/>
        <dsp:cNvSpPr/>
      </dsp:nvSpPr>
      <dsp:spPr>
        <a:xfrm>
          <a:off x="3238321" y="356728"/>
          <a:ext cx="205153" cy="388464"/>
        </a:xfrm>
        <a:custGeom>
          <a:avLst/>
          <a:gdLst/>
          <a:ahLst/>
          <a:cxnLst/>
          <a:rect l="0" t="0" r="0" b="0"/>
          <a:pathLst>
            <a:path>
              <a:moveTo>
                <a:pt x="0" y="388464"/>
              </a:moveTo>
              <a:lnTo>
                <a:pt x="102576" y="388464"/>
              </a:lnTo>
              <a:lnTo>
                <a:pt x="102576" y="0"/>
              </a:lnTo>
              <a:lnTo>
                <a:pt x="205153" y="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3329915" y="539978"/>
        <a:ext cx="0" cy="0"/>
      </dsp:txXfrm>
    </dsp:sp>
    <dsp:sp modelId="{C4A81FB8-CBA4-4578-BA2F-A14083144FB0}">
      <dsp:nvSpPr>
        <dsp:cNvPr id="0" name=""/>
        <dsp:cNvSpPr/>
      </dsp:nvSpPr>
      <dsp:spPr>
        <a:xfrm>
          <a:off x="2007403" y="745193"/>
          <a:ext cx="205153" cy="1563666"/>
        </a:xfrm>
        <a:custGeom>
          <a:avLst/>
          <a:gdLst/>
          <a:ahLst/>
          <a:cxnLst/>
          <a:rect l="0" t="0" r="0" b="0"/>
          <a:pathLst>
            <a:path>
              <a:moveTo>
                <a:pt x="0" y="1563666"/>
              </a:moveTo>
              <a:lnTo>
                <a:pt x="102576" y="1563666"/>
              </a:lnTo>
              <a:lnTo>
                <a:pt x="102576" y="0"/>
              </a:lnTo>
              <a:lnTo>
                <a:pt x="205153" y="0"/>
              </a:lnTo>
            </a:path>
          </a:pathLst>
        </a:custGeom>
        <a:noFill/>
        <a:ln w="12700" cap="flat" cmpd="sng" algn="ctr">
          <a:solidFill>
            <a:scrgbClr r="0" g="0" b="0"/>
          </a:solidFill>
          <a:prstDash val="solid"/>
          <a:miter lim="800000"/>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solidFill>
              <a:sysClr val="windowText" lastClr="000000">
                <a:hueOff val="0"/>
                <a:satOff val="0"/>
                <a:lumOff val="0"/>
                <a:alphaOff val="0"/>
              </a:sysClr>
            </a:solidFill>
            <a:latin typeface="Calibri" panose="020F0502020204030204"/>
            <a:ea typeface="+mn-ea"/>
            <a:cs typeface="+mn-cs"/>
          </a:endParaRPr>
        </a:p>
      </dsp:txBody>
      <dsp:txXfrm>
        <a:off x="2070553" y="1487600"/>
        <a:ext cx="0" cy="0"/>
      </dsp:txXfrm>
    </dsp:sp>
    <dsp:sp modelId="{E318E994-3372-4149-924B-F6012B03987E}">
      <dsp:nvSpPr>
        <dsp:cNvPr id="0" name=""/>
        <dsp:cNvSpPr/>
      </dsp:nvSpPr>
      <dsp:spPr>
        <a:xfrm rot="16200000">
          <a:off x="276638" y="2133490"/>
          <a:ext cx="3110790" cy="350739"/>
        </a:xfrm>
        <a:prstGeom prst="rect">
          <a:avLst/>
        </a:prstGeom>
        <a:solidFill>
          <a:srgbClr val="FFC00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cs-CZ" sz="2200" b="1" kern="1200" baseline="0">
              <a:solidFill>
                <a:sysClr val="windowText" lastClr="000000"/>
              </a:solidFill>
              <a:latin typeface="Calibri" panose="020F0502020204030204"/>
              <a:ea typeface="+mn-ea"/>
              <a:cs typeface="+mn-cs"/>
            </a:rPr>
            <a:t>VIZE ROZVOJE OBCE</a:t>
          </a:r>
        </a:p>
      </dsp:txBody>
      <dsp:txXfrm>
        <a:off x="276638" y="2133490"/>
        <a:ext cx="3110790" cy="350739"/>
      </dsp:txXfrm>
    </dsp:sp>
    <dsp:sp modelId="{8F7D88B5-E5AB-49CD-B557-C32C9DB2B7C3}">
      <dsp:nvSpPr>
        <dsp:cNvPr id="0" name=""/>
        <dsp:cNvSpPr/>
      </dsp:nvSpPr>
      <dsp:spPr>
        <a:xfrm>
          <a:off x="2212556" y="588826"/>
          <a:ext cx="1025765" cy="312733"/>
        </a:xfrm>
        <a:prstGeom prst="rect">
          <a:avLst/>
        </a:prstGeom>
        <a:solidFill>
          <a:sysClr val="window" lastClr="FFFFFF">
            <a:lumMod val="6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ysClr val="windowText" lastClr="000000"/>
              </a:solidFill>
              <a:latin typeface="Calibri" panose="020F0502020204030204"/>
              <a:ea typeface="+mn-ea"/>
              <a:cs typeface="+mn-cs"/>
            </a:rPr>
            <a:t>Klíčová oblast rozvoje 1</a:t>
          </a:r>
        </a:p>
      </dsp:txBody>
      <dsp:txXfrm>
        <a:off x="2212556" y="588826"/>
        <a:ext cx="1025765" cy="312733"/>
      </dsp:txXfrm>
    </dsp:sp>
    <dsp:sp modelId="{EB51B9DF-EC7E-4675-B9E9-197A79AAA01D}">
      <dsp:nvSpPr>
        <dsp:cNvPr id="0" name=""/>
        <dsp:cNvSpPr/>
      </dsp:nvSpPr>
      <dsp:spPr>
        <a:xfrm>
          <a:off x="3443474" y="200362"/>
          <a:ext cx="1025765" cy="312733"/>
        </a:xfrm>
        <a:prstGeom prst="rect">
          <a:avLst/>
        </a:prstGeom>
        <a:solidFill>
          <a:sysClr val="window" lastClr="FFFFFF">
            <a:lumMod val="7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Strategický cíl 1.1</a:t>
          </a:r>
        </a:p>
      </dsp:txBody>
      <dsp:txXfrm>
        <a:off x="3443474" y="200362"/>
        <a:ext cx="1025765" cy="312733"/>
      </dsp:txXfrm>
    </dsp:sp>
    <dsp:sp modelId="{B6746584-D071-499D-94EA-DEC4AAD8CFC6}">
      <dsp:nvSpPr>
        <dsp:cNvPr id="0" name=""/>
        <dsp:cNvSpPr/>
      </dsp:nvSpPr>
      <dsp:spPr>
        <a:xfrm>
          <a:off x="4657303" y="15239"/>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Opatření 1.1.1</a:t>
          </a:r>
        </a:p>
      </dsp:txBody>
      <dsp:txXfrm>
        <a:off x="4657303" y="15239"/>
        <a:ext cx="1025765" cy="312733"/>
      </dsp:txXfrm>
    </dsp:sp>
    <dsp:sp modelId="{0BBF1BEE-6B27-4241-B15B-09A3D8560DDA}">
      <dsp:nvSpPr>
        <dsp:cNvPr id="0" name=""/>
        <dsp:cNvSpPr/>
      </dsp:nvSpPr>
      <dsp:spPr>
        <a:xfrm>
          <a:off x="5907578" y="15452"/>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Konkrétní aktivity</a:t>
          </a:r>
        </a:p>
      </dsp:txBody>
      <dsp:txXfrm>
        <a:off x="5907578" y="15452"/>
        <a:ext cx="1025765" cy="312733"/>
      </dsp:txXfrm>
    </dsp:sp>
    <dsp:sp modelId="{13CF4074-729E-4570-864A-6539256AAB1A}">
      <dsp:nvSpPr>
        <dsp:cNvPr id="0" name=""/>
        <dsp:cNvSpPr/>
      </dsp:nvSpPr>
      <dsp:spPr>
        <a:xfrm>
          <a:off x="4649682" y="379345"/>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Opatření 1.1.2</a:t>
          </a:r>
        </a:p>
      </dsp:txBody>
      <dsp:txXfrm>
        <a:off x="4649682" y="379345"/>
        <a:ext cx="1025765" cy="312733"/>
      </dsp:txXfrm>
    </dsp:sp>
    <dsp:sp modelId="{78C8A119-B5F3-4C65-B9B7-035305285E25}">
      <dsp:nvSpPr>
        <dsp:cNvPr id="0" name=""/>
        <dsp:cNvSpPr/>
      </dsp:nvSpPr>
      <dsp:spPr>
        <a:xfrm>
          <a:off x="5905311" y="379345"/>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Konkrétní aktivity</a:t>
          </a:r>
        </a:p>
      </dsp:txBody>
      <dsp:txXfrm>
        <a:off x="5905311" y="379345"/>
        <a:ext cx="1025765" cy="312733"/>
      </dsp:txXfrm>
    </dsp:sp>
    <dsp:sp modelId="{C471DE6B-F02A-4A99-A018-75FB76213F2F}">
      <dsp:nvSpPr>
        <dsp:cNvPr id="0" name=""/>
        <dsp:cNvSpPr/>
      </dsp:nvSpPr>
      <dsp:spPr>
        <a:xfrm>
          <a:off x="3443474" y="982195"/>
          <a:ext cx="1025765" cy="312733"/>
        </a:xfrm>
        <a:prstGeom prst="rect">
          <a:avLst/>
        </a:prstGeom>
        <a:solidFill>
          <a:sysClr val="window" lastClr="FFFFFF">
            <a:lumMod val="7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Strategický cíl 1.2</a:t>
          </a:r>
        </a:p>
      </dsp:txBody>
      <dsp:txXfrm>
        <a:off x="3443474" y="982195"/>
        <a:ext cx="1025765" cy="312733"/>
      </dsp:txXfrm>
    </dsp:sp>
    <dsp:sp modelId="{ECF2DC17-67B7-4D1F-9B56-B5750904171E}">
      <dsp:nvSpPr>
        <dsp:cNvPr id="0" name=""/>
        <dsp:cNvSpPr/>
      </dsp:nvSpPr>
      <dsp:spPr>
        <a:xfrm>
          <a:off x="4649682" y="770262"/>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Opatření 1.2.1</a:t>
          </a:r>
        </a:p>
      </dsp:txBody>
      <dsp:txXfrm>
        <a:off x="4649682" y="770262"/>
        <a:ext cx="1025765" cy="312733"/>
      </dsp:txXfrm>
    </dsp:sp>
    <dsp:sp modelId="{A9BC5A90-4481-4C0F-9099-B61E32FAFEDE}">
      <dsp:nvSpPr>
        <dsp:cNvPr id="0" name=""/>
        <dsp:cNvSpPr/>
      </dsp:nvSpPr>
      <dsp:spPr>
        <a:xfrm>
          <a:off x="5905311" y="770262"/>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Konkrétní aktivity</a:t>
          </a:r>
        </a:p>
      </dsp:txBody>
      <dsp:txXfrm>
        <a:off x="5905311" y="770262"/>
        <a:ext cx="1025765" cy="312733"/>
      </dsp:txXfrm>
    </dsp:sp>
    <dsp:sp modelId="{A9E8355C-98BB-4466-8E92-BBDBA91C1EE3}">
      <dsp:nvSpPr>
        <dsp:cNvPr id="0" name=""/>
        <dsp:cNvSpPr/>
      </dsp:nvSpPr>
      <dsp:spPr>
        <a:xfrm>
          <a:off x="4649682" y="1161178"/>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Opatření 1.2.2</a:t>
          </a:r>
        </a:p>
      </dsp:txBody>
      <dsp:txXfrm>
        <a:off x="4649682" y="1161178"/>
        <a:ext cx="1025765" cy="312733"/>
      </dsp:txXfrm>
    </dsp:sp>
    <dsp:sp modelId="{6721F16B-0B75-4161-A9A0-DBCFA2B7DA0E}">
      <dsp:nvSpPr>
        <dsp:cNvPr id="0" name=""/>
        <dsp:cNvSpPr/>
      </dsp:nvSpPr>
      <dsp:spPr>
        <a:xfrm>
          <a:off x="5905311" y="1161178"/>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Konkrétní aktivity</a:t>
          </a:r>
        </a:p>
      </dsp:txBody>
      <dsp:txXfrm>
        <a:off x="5905311" y="1161178"/>
        <a:ext cx="1025765" cy="312733"/>
      </dsp:txXfrm>
    </dsp:sp>
    <dsp:sp modelId="{873FB030-50F9-4DFC-A1BA-409512EF3B41}">
      <dsp:nvSpPr>
        <dsp:cNvPr id="0" name=""/>
        <dsp:cNvSpPr/>
      </dsp:nvSpPr>
      <dsp:spPr>
        <a:xfrm>
          <a:off x="2212556" y="2152493"/>
          <a:ext cx="1025765" cy="312733"/>
        </a:xfrm>
        <a:prstGeom prst="rect">
          <a:avLst/>
        </a:prstGeom>
        <a:solidFill>
          <a:srgbClr val="92D05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ysClr val="windowText" lastClr="000000"/>
              </a:solidFill>
              <a:latin typeface="Calibri" panose="020F0502020204030204"/>
              <a:ea typeface="+mn-ea"/>
              <a:cs typeface="+mn-cs"/>
            </a:rPr>
            <a:t>Klíčová oblast rozvoje 2</a:t>
          </a:r>
        </a:p>
      </dsp:txBody>
      <dsp:txXfrm>
        <a:off x="2212556" y="2152493"/>
        <a:ext cx="1025765" cy="312733"/>
      </dsp:txXfrm>
    </dsp:sp>
    <dsp:sp modelId="{24F994B9-9CA3-46E9-BDDC-ABAC711DD3BA}">
      <dsp:nvSpPr>
        <dsp:cNvPr id="0" name=""/>
        <dsp:cNvSpPr/>
      </dsp:nvSpPr>
      <dsp:spPr>
        <a:xfrm>
          <a:off x="3443474" y="1764028"/>
          <a:ext cx="1025765" cy="312733"/>
        </a:xfrm>
        <a:prstGeom prst="rect">
          <a:avLst/>
        </a:prstGeom>
        <a:solidFill>
          <a:srgbClr val="70AD47">
            <a:lumMod val="60000"/>
            <a:lumOff val="4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Strategický cíl 2.1</a:t>
          </a:r>
        </a:p>
      </dsp:txBody>
      <dsp:txXfrm>
        <a:off x="3443474" y="1764028"/>
        <a:ext cx="1025765" cy="312733"/>
      </dsp:txXfrm>
    </dsp:sp>
    <dsp:sp modelId="{7DA6933F-D901-4CE8-959B-F73E03BE34B9}">
      <dsp:nvSpPr>
        <dsp:cNvPr id="0" name=""/>
        <dsp:cNvSpPr/>
      </dsp:nvSpPr>
      <dsp:spPr>
        <a:xfrm>
          <a:off x="4674392" y="1568570"/>
          <a:ext cx="1025765" cy="312733"/>
        </a:xfrm>
        <a:prstGeom prst="rect">
          <a:avLst/>
        </a:prstGeom>
        <a:solidFill>
          <a:srgbClr val="70AD47">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Opatření 2.1.1</a:t>
          </a:r>
        </a:p>
      </dsp:txBody>
      <dsp:txXfrm>
        <a:off x="4674392" y="1568570"/>
        <a:ext cx="1025765" cy="312733"/>
      </dsp:txXfrm>
    </dsp:sp>
    <dsp:sp modelId="{122624F4-0E9B-4A19-ADE2-54F358A926E8}">
      <dsp:nvSpPr>
        <dsp:cNvPr id="0" name=""/>
        <dsp:cNvSpPr/>
      </dsp:nvSpPr>
      <dsp:spPr>
        <a:xfrm>
          <a:off x="5905311" y="1568570"/>
          <a:ext cx="1025765" cy="312733"/>
        </a:xfrm>
        <a:prstGeom prst="rect">
          <a:avLst/>
        </a:prstGeom>
        <a:solidFill>
          <a:srgbClr val="70AD47">
            <a:lumMod val="20000"/>
            <a:lumOff val="80000"/>
          </a:srgbClr>
        </a:solidFill>
        <a:ln w="952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Konkrétní aktivity</a:t>
          </a:r>
        </a:p>
      </dsp:txBody>
      <dsp:txXfrm>
        <a:off x="5905311" y="1568570"/>
        <a:ext cx="1025765" cy="312733"/>
      </dsp:txXfrm>
    </dsp:sp>
    <dsp:sp modelId="{741D751C-633E-4318-8E9B-6F2F45183E4C}">
      <dsp:nvSpPr>
        <dsp:cNvPr id="0" name=""/>
        <dsp:cNvSpPr/>
      </dsp:nvSpPr>
      <dsp:spPr>
        <a:xfrm>
          <a:off x="4674392" y="1959486"/>
          <a:ext cx="1025765" cy="312733"/>
        </a:xfrm>
        <a:prstGeom prst="rect">
          <a:avLst/>
        </a:prstGeom>
        <a:solidFill>
          <a:srgbClr val="70AD47">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Opatření 2.1.2</a:t>
          </a:r>
        </a:p>
      </dsp:txBody>
      <dsp:txXfrm>
        <a:off x="4674392" y="1959486"/>
        <a:ext cx="1025765" cy="312733"/>
      </dsp:txXfrm>
    </dsp:sp>
    <dsp:sp modelId="{5436C630-8B85-4C77-8185-F3816920B186}">
      <dsp:nvSpPr>
        <dsp:cNvPr id="0" name=""/>
        <dsp:cNvSpPr/>
      </dsp:nvSpPr>
      <dsp:spPr>
        <a:xfrm>
          <a:off x="5905311" y="1959486"/>
          <a:ext cx="1025765" cy="312733"/>
        </a:xfrm>
        <a:prstGeom prst="rect">
          <a:avLst/>
        </a:prstGeom>
        <a:solidFill>
          <a:srgbClr val="70AD47">
            <a:lumMod val="20000"/>
            <a:lumOff val="80000"/>
          </a:srgbClr>
        </a:solidFill>
        <a:ln w="952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Konkrétní aktivity</a:t>
          </a:r>
        </a:p>
      </dsp:txBody>
      <dsp:txXfrm>
        <a:off x="5905311" y="1959486"/>
        <a:ext cx="1025765" cy="312733"/>
      </dsp:txXfrm>
    </dsp:sp>
    <dsp:sp modelId="{97CE89E9-DE23-42D0-BAAE-3F6FEA89558E}">
      <dsp:nvSpPr>
        <dsp:cNvPr id="0" name=""/>
        <dsp:cNvSpPr/>
      </dsp:nvSpPr>
      <dsp:spPr>
        <a:xfrm>
          <a:off x="3443474" y="2545861"/>
          <a:ext cx="1025765" cy="312733"/>
        </a:xfrm>
        <a:prstGeom prst="rect">
          <a:avLst/>
        </a:prstGeom>
        <a:solidFill>
          <a:srgbClr val="70AD47">
            <a:lumMod val="60000"/>
            <a:lumOff val="4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Strategický cíl 2.2</a:t>
          </a:r>
        </a:p>
      </dsp:txBody>
      <dsp:txXfrm>
        <a:off x="3443474" y="2545861"/>
        <a:ext cx="1025765" cy="312733"/>
      </dsp:txXfrm>
    </dsp:sp>
    <dsp:sp modelId="{F02FA44A-2F2C-4B76-81C6-66250C8EE4A8}">
      <dsp:nvSpPr>
        <dsp:cNvPr id="0" name=""/>
        <dsp:cNvSpPr/>
      </dsp:nvSpPr>
      <dsp:spPr>
        <a:xfrm>
          <a:off x="4674392" y="2350403"/>
          <a:ext cx="1025765" cy="312733"/>
        </a:xfrm>
        <a:prstGeom prst="rect">
          <a:avLst/>
        </a:prstGeom>
        <a:solidFill>
          <a:srgbClr val="70AD47">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Opatření 2.2.1</a:t>
          </a:r>
        </a:p>
      </dsp:txBody>
      <dsp:txXfrm>
        <a:off x="4674392" y="2350403"/>
        <a:ext cx="1025765" cy="312733"/>
      </dsp:txXfrm>
    </dsp:sp>
    <dsp:sp modelId="{D8658746-0992-48CB-A120-17715D7EF518}">
      <dsp:nvSpPr>
        <dsp:cNvPr id="0" name=""/>
        <dsp:cNvSpPr/>
      </dsp:nvSpPr>
      <dsp:spPr>
        <a:xfrm>
          <a:off x="5905311" y="2350403"/>
          <a:ext cx="1025765" cy="312733"/>
        </a:xfrm>
        <a:prstGeom prst="rect">
          <a:avLst/>
        </a:prstGeom>
        <a:solidFill>
          <a:srgbClr val="70AD47">
            <a:lumMod val="20000"/>
            <a:lumOff val="80000"/>
          </a:srgbClr>
        </a:solidFill>
        <a:ln w="952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Konkrétní aktivity</a:t>
          </a:r>
        </a:p>
      </dsp:txBody>
      <dsp:txXfrm>
        <a:off x="5905311" y="2350403"/>
        <a:ext cx="1025765" cy="312733"/>
      </dsp:txXfrm>
    </dsp:sp>
    <dsp:sp modelId="{C65D2369-EF25-4BE9-9FCE-BA24FF11255A}">
      <dsp:nvSpPr>
        <dsp:cNvPr id="0" name=""/>
        <dsp:cNvSpPr/>
      </dsp:nvSpPr>
      <dsp:spPr>
        <a:xfrm>
          <a:off x="4674392" y="2741320"/>
          <a:ext cx="1025765" cy="312733"/>
        </a:xfrm>
        <a:prstGeom prst="rect">
          <a:avLst/>
        </a:prstGeom>
        <a:solidFill>
          <a:srgbClr val="70AD47">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Opatření 2.2.2</a:t>
          </a:r>
        </a:p>
      </dsp:txBody>
      <dsp:txXfrm>
        <a:off x="4674392" y="2741320"/>
        <a:ext cx="1025765" cy="312733"/>
      </dsp:txXfrm>
    </dsp:sp>
    <dsp:sp modelId="{849A3DF1-CC55-4B32-8303-569A21C2061D}">
      <dsp:nvSpPr>
        <dsp:cNvPr id="0" name=""/>
        <dsp:cNvSpPr/>
      </dsp:nvSpPr>
      <dsp:spPr>
        <a:xfrm>
          <a:off x="5905311" y="2741320"/>
          <a:ext cx="1025765" cy="312733"/>
        </a:xfrm>
        <a:prstGeom prst="rect">
          <a:avLst/>
        </a:prstGeom>
        <a:solidFill>
          <a:srgbClr val="70AD47">
            <a:lumMod val="20000"/>
            <a:lumOff val="80000"/>
          </a:srgbClr>
        </a:solidFill>
        <a:ln w="952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Konkrétní aktivity</a:t>
          </a:r>
        </a:p>
      </dsp:txBody>
      <dsp:txXfrm>
        <a:off x="5905311" y="2741320"/>
        <a:ext cx="1025765" cy="312733"/>
      </dsp:txXfrm>
    </dsp:sp>
    <dsp:sp modelId="{0273551D-6C77-48C4-9894-4441013253FD}">
      <dsp:nvSpPr>
        <dsp:cNvPr id="0" name=""/>
        <dsp:cNvSpPr/>
      </dsp:nvSpPr>
      <dsp:spPr>
        <a:xfrm>
          <a:off x="2212556" y="3716159"/>
          <a:ext cx="1025765" cy="312733"/>
        </a:xfrm>
        <a:prstGeom prst="rect">
          <a:avLst/>
        </a:prstGeom>
        <a:solidFill>
          <a:sysClr val="window" lastClr="FFFFFF">
            <a:lumMod val="6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Klíčová oblast rozvoje 3</a:t>
          </a:r>
        </a:p>
      </dsp:txBody>
      <dsp:txXfrm>
        <a:off x="2212556" y="3716159"/>
        <a:ext cx="1025765" cy="312733"/>
      </dsp:txXfrm>
    </dsp:sp>
    <dsp:sp modelId="{807FC128-B384-428E-B392-1C46BBA734C3}">
      <dsp:nvSpPr>
        <dsp:cNvPr id="0" name=""/>
        <dsp:cNvSpPr/>
      </dsp:nvSpPr>
      <dsp:spPr>
        <a:xfrm>
          <a:off x="3443474" y="3327694"/>
          <a:ext cx="1025765" cy="312733"/>
        </a:xfrm>
        <a:prstGeom prst="rect">
          <a:avLst/>
        </a:prstGeom>
        <a:solidFill>
          <a:sysClr val="window" lastClr="FFFFFF">
            <a:lumMod val="7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Strategický cíl 3.1</a:t>
          </a:r>
        </a:p>
      </dsp:txBody>
      <dsp:txXfrm>
        <a:off x="3443474" y="3327694"/>
        <a:ext cx="1025765" cy="312733"/>
      </dsp:txXfrm>
    </dsp:sp>
    <dsp:sp modelId="{29F40378-DB03-4B17-97AB-BCAE2285DBA7}">
      <dsp:nvSpPr>
        <dsp:cNvPr id="0" name=""/>
        <dsp:cNvSpPr/>
      </dsp:nvSpPr>
      <dsp:spPr>
        <a:xfrm>
          <a:off x="4674392" y="3132236"/>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Opatření 3.1.1</a:t>
          </a:r>
        </a:p>
      </dsp:txBody>
      <dsp:txXfrm>
        <a:off x="4674392" y="3132236"/>
        <a:ext cx="1025765" cy="312733"/>
      </dsp:txXfrm>
    </dsp:sp>
    <dsp:sp modelId="{FF56C447-1A40-4683-9B7D-3BFD4E575B97}">
      <dsp:nvSpPr>
        <dsp:cNvPr id="0" name=""/>
        <dsp:cNvSpPr/>
      </dsp:nvSpPr>
      <dsp:spPr>
        <a:xfrm>
          <a:off x="5906870" y="3134688"/>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Konkrétní aktivity</a:t>
          </a:r>
        </a:p>
      </dsp:txBody>
      <dsp:txXfrm>
        <a:off x="5906870" y="3134688"/>
        <a:ext cx="1025765" cy="312733"/>
      </dsp:txXfrm>
    </dsp:sp>
    <dsp:sp modelId="{3CD9680C-3252-4378-8A2F-F5C64CF54502}">
      <dsp:nvSpPr>
        <dsp:cNvPr id="0" name=""/>
        <dsp:cNvSpPr/>
      </dsp:nvSpPr>
      <dsp:spPr>
        <a:xfrm>
          <a:off x="4674392" y="3523153"/>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Opatření 3.1.2</a:t>
          </a:r>
        </a:p>
      </dsp:txBody>
      <dsp:txXfrm>
        <a:off x="4674392" y="3523153"/>
        <a:ext cx="1025765" cy="312733"/>
      </dsp:txXfrm>
    </dsp:sp>
    <dsp:sp modelId="{E4DD0DB1-214F-43E7-8234-76101D29995A}">
      <dsp:nvSpPr>
        <dsp:cNvPr id="0" name=""/>
        <dsp:cNvSpPr/>
      </dsp:nvSpPr>
      <dsp:spPr>
        <a:xfrm>
          <a:off x="5906870" y="3525605"/>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Konkrétní aktivity</a:t>
          </a:r>
        </a:p>
      </dsp:txBody>
      <dsp:txXfrm>
        <a:off x="5906870" y="3525605"/>
        <a:ext cx="1025765" cy="312733"/>
      </dsp:txXfrm>
    </dsp:sp>
    <dsp:sp modelId="{CA914FF1-DA62-475F-89D0-9279F27AB2C5}">
      <dsp:nvSpPr>
        <dsp:cNvPr id="0" name=""/>
        <dsp:cNvSpPr/>
      </dsp:nvSpPr>
      <dsp:spPr>
        <a:xfrm>
          <a:off x="3443474" y="4109528"/>
          <a:ext cx="1025765" cy="312733"/>
        </a:xfrm>
        <a:prstGeom prst="rect">
          <a:avLst/>
        </a:prstGeom>
        <a:solidFill>
          <a:sysClr val="window" lastClr="FFFFFF">
            <a:lumMod val="7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Strategický cíl 3.2</a:t>
          </a:r>
        </a:p>
      </dsp:txBody>
      <dsp:txXfrm>
        <a:off x="3443474" y="4109528"/>
        <a:ext cx="1025765" cy="312733"/>
      </dsp:txXfrm>
    </dsp:sp>
    <dsp:sp modelId="{B9F2B3B1-3751-49E6-A52D-CA3A200AB719}">
      <dsp:nvSpPr>
        <dsp:cNvPr id="0" name=""/>
        <dsp:cNvSpPr/>
      </dsp:nvSpPr>
      <dsp:spPr>
        <a:xfrm>
          <a:off x="4674392" y="3914069"/>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Opatření 3.2.1</a:t>
          </a:r>
        </a:p>
      </dsp:txBody>
      <dsp:txXfrm>
        <a:off x="4674392" y="3914069"/>
        <a:ext cx="1025765" cy="312733"/>
      </dsp:txXfrm>
    </dsp:sp>
    <dsp:sp modelId="{3BC337E2-7995-49C1-9247-525951396E56}">
      <dsp:nvSpPr>
        <dsp:cNvPr id="0" name=""/>
        <dsp:cNvSpPr/>
      </dsp:nvSpPr>
      <dsp:spPr>
        <a:xfrm>
          <a:off x="5906870" y="3916521"/>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Konkrétní aktivity</a:t>
          </a:r>
        </a:p>
      </dsp:txBody>
      <dsp:txXfrm>
        <a:off x="5906870" y="3916521"/>
        <a:ext cx="1025765" cy="312733"/>
      </dsp:txXfrm>
    </dsp:sp>
    <dsp:sp modelId="{F4205F1C-37D5-4E8E-8741-AE8C3FCBD5FC}">
      <dsp:nvSpPr>
        <dsp:cNvPr id="0" name=""/>
        <dsp:cNvSpPr/>
      </dsp:nvSpPr>
      <dsp:spPr>
        <a:xfrm>
          <a:off x="4674392" y="4280271"/>
          <a:ext cx="1025765" cy="312733"/>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Opatření 3.2.2</a:t>
          </a:r>
        </a:p>
      </dsp:txBody>
      <dsp:txXfrm>
        <a:off x="4674392" y="4280271"/>
        <a:ext cx="1025765" cy="312733"/>
      </dsp:txXfrm>
    </dsp:sp>
    <dsp:sp modelId="{136EFCDF-60F6-4AAE-91DE-A801CF6776AE}">
      <dsp:nvSpPr>
        <dsp:cNvPr id="0" name=""/>
        <dsp:cNvSpPr/>
      </dsp:nvSpPr>
      <dsp:spPr>
        <a:xfrm>
          <a:off x="5906870" y="4280271"/>
          <a:ext cx="1025765" cy="312733"/>
        </a:xfrm>
        <a:prstGeom prst="rect">
          <a:avLst/>
        </a:prstGeom>
        <a:solidFill>
          <a:sysClr val="window" lastClr="FFFFFF">
            <a:lumMod val="95000"/>
          </a:sysClr>
        </a:solidFill>
        <a:ln w="952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baseline="0">
              <a:solidFill>
                <a:sysClr val="windowText" lastClr="000000"/>
              </a:solidFill>
              <a:latin typeface="Calibri" panose="020F0502020204030204"/>
              <a:ea typeface="+mn-ea"/>
              <a:cs typeface="+mn-cs"/>
            </a:rPr>
            <a:t>Konkrétní aktivity</a:t>
          </a:r>
        </a:p>
      </dsp:txBody>
      <dsp:txXfrm>
        <a:off x="5906870" y="4280271"/>
        <a:ext cx="1025765" cy="3127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F04FE5-60D0-42CE-B901-5B5F51BFA723}">
      <dsp:nvSpPr>
        <dsp:cNvPr id="0" name=""/>
        <dsp:cNvSpPr/>
      </dsp:nvSpPr>
      <dsp:spPr>
        <a:xfrm>
          <a:off x="7627795" y="2346103"/>
          <a:ext cx="91440" cy="991124"/>
        </a:xfrm>
        <a:custGeom>
          <a:avLst/>
          <a:gdLst/>
          <a:ahLst/>
          <a:cxnLst/>
          <a:rect l="0" t="0" r="0" b="0"/>
          <a:pathLst>
            <a:path>
              <a:moveTo>
                <a:pt x="45720" y="0"/>
              </a:moveTo>
              <a:lnTo>
                <a:pt x="45720" y="991124"/>
              </a:lnTo>
              <a:lnTo>
                <a:pt x="110691" y="991124"/>
              </a:lnTo>
            </a:path>
          </a:pathLst>
        </a:custGeom>
        <a:noFill/>
        <a:ln w="1270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F37535CB-5028-4158-B8BB-B599F370A339}">
      <dsp:nvSpPr>
        <dsp:cNvPr id="0" name=""/>
        <dsp:cNvSpPr/>
      </dsp:nvSpPr>
      <dsp:spPr>
        <a:xfrm>
          <a:off x="7627795" y="2346103"/>
          <a:ext cx="91440" cy="334505"/>
        </a:xfrm>
        <a:custGeom>
          <a:avLst/>
          <a:gdLst/>
          <a:ahLst/>
          <a:cxnLst/>
          <a:rect l="0" t="0" r="0" b="0"/>
          <a:pathLst>
            <a:path>
              <a:moveTo>
                <a:pt x="45720" y="0"/>
              </a:moveTo>
              <a:lnTo>
                <a:pt x="45720" y="334505"/>
              </a:lnTo>
              <a:lnTo>
                <a:pt x="108522" y="334505"/>
              </a:lnTo>
            </a:path>
          </a:pathLst>
        </a:custGeom>
        <a:noFill/>
        <a:ln w="12700" cap="flat" cmpd="sng" algn="ctr">
          <a:solidFill>
            <a:sysClr val="window" lastClr="FFFFFF">
              <a:lumMod val="75000"/>
            </a:sys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17A3FD81-5A2B-4F95-9673-FF298F7075E3}">
      <dsp:nvSpPr>
        <dsp:cNvPr id="0" name=""/>
        <dsp:cNvSpPr/>
      </dsp:nvSpPr>
      <dsp:spPr>
        <a:xfrm>
          <a:off x="7431844" y="1460479"/>
          <a:ext cx="789386" cy="170464"/>
        </a:xfrm>
        <a:custGeom>
          <a:avLst/>
          <a:gdLst/>
          <a:ahLst/>
          <a:cxnLst/>
          <a:rect l="0" t="0" r="0" b="0"/>
          <a:pathLst>
            <a:path>
              <a:moveTo>
                <a:pt x="0" y="0"/>
              </a:moveTo>
              <a:lnTo>
                <a:pt x="0" y="129936"/>
              </a:lnTo>
              <a:lnTo>
                <a:pt x="789386" y="129936"/>
              </a:lnTo>
              <a:lnTo>
                <a:pt x="789386" y="170464"/>
              </a:lnTo>
            </a:path>
          </a:pathLst>
        </a:custGeom>
        <a:noFill/>
        <a:ln w="19050" cap="flat" cmpd="sng" algn="ctr">
          <a:solidFill>
            <a:sysClr val="window" lastClr="FFFFFF">
              <a:lumMod val="75000"/>
            </a:sys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17CE2F9B-DF96-4CF8-8289-1791B7CC5B0D}">
      <dsp:nvSpPr>
        <dsp:cNvPr id="0" name=""/>
        <dsp:cNvSpPr/>
      </dsp:nvSpPr>
      <dsp:spPr>
        <a:xfrm>
          <a:off x="6229859" y="2344455"/>
          <a:ext cx="91440" cy="1449522"/>
        </a:xfrm>
        <a:custGeom>
          <a:avLst/>
          <a:gdLst/>
          <a:ahLst/>
          <a:cxnLst/>
          <a:rect l="0" t="0" r="0" b="0"/>
          <a:pathLst>
            <a:path>
              <a:moveTo>
                <a:pt x="45720" y="0"/>
              </a:moveTo>
              <a:lnTo>
                <a:pt x="45720" y="1449522"/>
              </a:lnTo>
              <a:lnTo>
                <a:pt x="129100" y="1449522"/>
              </a:lnTo>
            </a:path>
          </a:pathLst>
        </a:custGeom>
        <a:noFill/>
        <a:ln w="1270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D30D98CE-B0C1-4E31-A71A-6392EC97D530}">
      <dsp:nvSpPr>
        <dsp:cNvPr id="0" name=""/>
        <dsp:cNvSpPr/>
      </dsp:nvSpPr>
      <dsp:spPr>
        <a:xfrm>
          <a:off x="6229859" y="2344455"/>
          <a:ext cx="91440" cy="888318"/>
        </a:xfrm>
        <a:custGeom>
          <a:avLst/>
          <a:gdLst/>
          <a:ahLst/>
          <a:cxnLst/>
          <a:rect l="0" t="0" r="0" b="0"/>
          <a:pathLst>
            <a:path>
              <a:moveTo>
                <a:pt x="45720" y="0"/>
              </a:moveTo>
              <a:lnTo>
                <a:pt x="45720" y="888318"/>
              </a:lnTo>
              <a:lnTo>
                <a:pt x="132678" y="888318"/>
              </a:lnTo>
            </a:path>
          </a:pathLst>
        </a:custGeom>
        <a:noFill/>
        <a:ln w="12700" cap="flat" cmpd="sng" algn="ctr">
          <a:solidFill>
            <a:sysClr val="window" lastClr="FFFFFF">
              <a:lumMod val="75000"/>
            </a:sys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6BC52012-2DCA-4E5D-97ED-4A23D2EB49C6}">
      <dsp:nvSpPr>
        <dsp:cNvPr id="0" name=""/>
        <dsp:cNvSpPr/>
      </dsp:nvSpPr>
      <dsp:spPr>
        <a:xfrm>
          <a:off x="6229859" y="2344455"/>
          <a:ext cx="91440" cy="323161"/>
        </a:xfrm>
        <a:custGeom>
          <a:avLst/>
          <a:gdLst/>
          <a:ahLst/>
          <a:cxnLst/>
          <a:rect l="0" t="0" r="0" b="0"/>
          <a:pathLst>
            <a:path>
              <a:moveTo>
                <a:pt x="45720" y="0"/>
              </a:moveTo>
              <a:lnTo>
                <a:pt x="45720" y="323161"/>
              </a:lnTo>
              <a:lnTo>
                <a:pt x="133936" y="323161"/>
              </a:lnTo>
            </a:path>
          </a:pathLst>
        </a:custGeom>
        <a:noFill/>
        <a:ln w="12700" cap="flat" cmpd="sng" algn="ctr">
          <a:solidFill>
            <a:sysClr val="window" lastClr="FFFFFF">
              <a:lumMod val="75000"/>
            </a:sys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373BB783-128C-4A5F-B09F-2C6B132A3CA3}">
      <dsp:nvSpPr>
        <dsp:cNvPr id="0" name=""/>
        <dsp:cNvSpPr/>
      </dsp:nvSpPr>
      <dsp:spPr>
        <a:xfrm>
          <a:off x="6748357" y="1460479"/>
          <a:ext cx="683486" cy="168815"/>
        </a:xfrm>
        <a:custGeom>
          <a:avLst/>
          <a:gdLst/>
          <a:ahLst/>
          <a:cxnLst/>
          <a:rect l="0" t="0" r="0" b="0"/>
          <a:pathLst>
            <a:path>
              <a:moveTo>
                <a:pt x="683486" y="0"/>
              </a:moveTo>
              <a:lnTo>
                <a:pt x="683486" y="128288"/>
              </a:lnTo>
              <a:lnTo>
                <a:pt x="0" y="128288"/>
              </a:lnTo>
              <a:lnTo>
                <a:pt x="0" y="168815"/>
              </a:lnTo>
            </a:path>
          </a:pathLst>
        </a:custGeom>
        <a:noFill/>
        <a:ln w="19050" cap="flat" cmpd="sng" algn="ctr">
          <a:solidFill>
            <a:sysClr val="window" lastClr="FFFFFF">
              <a:lumMod val="75000"/>
            </a:sys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84F32059-3046-49B2-A372-EF6EF86439AC}">
      <dsp:nvSpPr>
        <dsp:cNvPr id="0" name=""/>
        <dsp:cNvSpPr/>
      </dsp:nvSpPr>
      <dsp:spPr>
        <a:xfrm>
          <a:off x="4368444" y="682872"/>
          <a:ext cx="3063399" cy="171349"/>
        </a:xfrm>
        <a:custGeom>
          <a:avLst/>
          <a:gdLst/>
          <a:ahLst/>
          <a:cxnLst/>
          <a:rect l="0" t="0" r="0" b="0"/>
          <a:pathLst>
            <a:path>
              <a:moveTo>
                <a:pt x="0" y="0"/>
              </a:moveTo>
              <a:lnTo>
                <a:pt x="0" y="130822"/>
              </a:lnTo>
              <a:lnTo>
                <a:pt x="3063399" y="130822"/>
              </a:lnTo>
              <a:lnTo>
                <a:pt x="3063399" y="171349"/>
              </a:lnTo>
            </a:path>
          </a:pathLst>
        </a:custGeom>
        <a:noFill/>
        <a:ln w="28575" cap="flat" cmpd="sng" algn="ctr">
          <a:solidFill>
            <a:sysClr val="window" lastClr="FFFFFF">
              <a:lumMod val="75000"/>
            </a:sys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08020C02-9C7F-41FF-849B-6327EA92921E}">
      <dsp:nvSpPr>
        <dsp:cNvPr id="0" name=""/>
        <dsp:cNvSpPr/>
      </dsp:nvSpPr>
      <dsp:spPr>
        <a:xfrm>
          <a:off x="4549621" y="2326461"/>
          <a:ext cx="100592" cy="1423178"/>
        </a:xfrm>
        <a:custGeom>
          <a:avLst/>
          <a:gdLst/>
          <a:ahLst/>
          <a:cxnLst/>
          <a:rect l="0" t="0" r="0" b="0"/>
          <a:pathLst>
            <a:path>
              <a:moveTo>
                <a:pt x="0" y="0"/>
              </a:moveTo>
              <a:lnTo>
                <a:pt x="0" y="1423178"/>
              </a:lnTo>
              <a:lnTo>
                <a:pt x="100592" y="1423178"/>
              </a:lnTo>
            </a:path>
          </a:pathLst>
        </a:custGeom>
        <a:noFill/>
        <a:ln w="1270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8F79E931-D75A-4D4F-8EF9-58DAB1F40195}">
      <dsp:nvSpPr>
        <dsp:cNvPr id="0" name=""/>
        <dsp:cNvSpPr/>
      </dsp:nvSpPr>
      <dsp:spPr>
        <a:xfrm>
          <a:off x="4549621" y="2326461"/>
          <a:ext cx="94578" cy="858236"/>
        </a:xfrm>
        <a:custGeom>
          <a:avLst/>
          <a:gdLst/>
          <a:ahLst/>
          <a:cxnLst/>
          <a:rect l="0" t="0" r="0" b="0"/>
          <a:pathLst>
            <a:path>
              <a:moveTo>
                <a:pt x="0" y="0"/>
              </a:moveTo>
              <a:lnTo>
                <a:pt x="0" y="858236"/>
              </a:lnTo>
              <a:lnTo>
                <a:pt x="94578" y="858236"/>
              </a:lnTo>
            </a:path>
          </a:pathLst>
        </a:custGeom>
        <a:noFill/>
        <a:ln w="12700" cap="flat" cmpd="sng" algn="ctr">
          <a:solidFill>
            <a:sysClr val="window" lastClr="FFFFFF">
              <a:lumMod val="75000"/>
            </a:sys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790AED7A-811E-4494-8491-C39EF35ED672}">
      <dsp:nvSpPr>
        <dsp:cNvPr id="0" name=""/>
        <dsp:cNvSpPr/>
      </dsp:nvSpPr>
      <dsp:spPr>
        <a:xfrm>
          <a:off x="4549621" y="2326461"/>
          <a:ext cx="93559" cy="301835"/>
        </a:xfrm>
        <a:custGeom>
          <a:avLst/>
          <a:gdLst/>
          <a:ahLst/>
          <a:cxnLst/>
          <a:rect l="0" t="0" r="0" b="0"/>
          <a:pathLst>
            <a:path>
              <a:moveTo>
                <a:pt x="0" y="0"/>
              </a:moveTo>
              <a:lnTo>
                <a:pt x="0" y="301835"/>
              </a:lnTo>
              <a:lnTo>
                <a:pt x="93559" y="301835"/>
              </a:lnTo>
            </a:path>
          </a:pathLst>
        </a:custGeom>
        <a:noFill/>
        <a:ln w="12700" cap="flat" cmpd="sng" algn="ctr">
          <a:solidFill>
            <a:sysClr val="window" lastClr="FFFFFF">
              <a:lumMod val="75000"/>
            </a:sys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BEF2EAC9-F187-4EDC-9AEA-E5AABEC0EB1E}">
      <dsp:nvSpPr>
        <dsp:cNvPr id="0" name=""/>
        <dsp:cNvSpPr/>
      </dsp:nvSpPr>
      <dsp:spPr>
        <a:xfrm>
          <a:off x="4363694" y="1458683"/>
          <a:ext cx="744683" cy="152618"/>
        </a:xfrm>
        <a:custGeom>
          <a:avLst/>
          <a:gdLst/>
          <a:ahLst/>
          <a:cxnLst/>
          <a:rect l="0" t="0" r="0" b="0"/>
          <a:pathLst>
            <a:path>
              <a:moveTo>
                <a:pt x="0" y="0"/>
              </a:moveTo>
              <a:lnTo>
                <a:pt x="0" y="112091"/>
              </a:lnTo>
              <a:lnTo>
                <a:pt x="744683" y="112091"/>
              </a:lnTo>
              <a:lnTo>
                <a:pt x="744683" y="152618"/>
              </a:lnTo>
            </a:path>
          </a:pathLst>
        </a:custGeom>
        <a:noFill/>
        <a:ln w="19050" cap="flat" cmpd="sng" algn="ctr">
          <a:solidFill>
            <a:sysClr val="window" lastClr="FFFFFF">
              <a:lumMod val="75000"/>
            </a:sys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4547EAB5-B758-425C-AE9F-E8BF0B28EA24}">
      <dsp:nvSpPr>
        <dsp:cNvPr id="0" name=""/>
        <dsp:cNvSpPr/>
      </dsp:nvSpPr>
      <dsp:spPr>
        <a:xfrm>
          <a:off x="3080224" y="2326320"/>
          <a:ext cx="91440" cy="2219328"/>
        </a:xfrm>
        <a:custGeom>
          <a:avLst/>
          <a:gdLst/>
          <a:ahLst/>
          <a:cxnLst/>
          <a:rect l="0" t="0" r="0" b="0"/>
          <a:pathLst>
            <a:path>
              <a:moveTo>
                <a:pt x="45720" y="0"/>
              </a:moveTo>
              <a:lnTo>
                <a:pt x="45720" y="2219328"/>
              </a:lnTo>
              <a:lnTo>
                <a:pt x="129372" y="2219328"/>
              </a:lnTo>
            </a:path>
          </a:pathLst>
        </a:custGeom>
        <a:noFill/>
        <a:ln w="1270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E3744603-9B52-4E13-9810-F633262CB01C}">
      <dsp:nvSpPr>
        <dsp:cNvPr id="0" name=""/>
        <dsp:cNvSpPr/>
      </dsp:nvSpPr>
      <dsp:spPr>
        <a:xfrm>
          <a:off x="3080224" y="2326320"/>
          <a:ext cx="91440" cy="1564803"/>
        </a:xfrm>
        <a:custGeom>
          <a:avLst/>
          <a:gdLst/>
          <a:ahLst/>
          <a:cxnLst/>
          <a:rect l="0" t="0" r="0" b="0"/>
          <a:pathLst>
            <a:path>
              <a:moveTo>
                <a:pt x="45720" y="0"/>
              </a:moveTo>
              <a:lnTo>
                <a:pt x="45720" y="1564803"/>
              </a:lnTo>
              <a:lnTo>
                <a:pt x="129372" y="1564803"/>
              </a:lnTo>
            </a:path>
          </a:pathLst>
        </a:custGeom>
        <a:noFill/>
        <a:ln w="1270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07CCB45D-67CF-40AE-8F50-27292F870F1E}">
      <dsp:nvSpPr>
        <dsp:cNvPr id="0" name=""/>
        <dsp:cNvSpPr/>
      </dsp:nvSpPr>
      <dsp:spPr>
        <a:xfrm>
          <a:off x="3080224" y="2326320"/>
          <a:ext cx="91440" cy="959164"/>
        </a:xfrm>
        <a:custGeom>
          <a:avLst/>
          <a:gdLst/>
          <a:ahLst/>
          <a:cxnLst/>
          <a:rect l="0" t="0" r="0" b="0"/>
          <a:pathLst>
            <a:path>
              <a:moveTo>
                <a:pt x="45720" y="0"/>
              </a:moveTo>
              <a:lnTo>
                <a:pt x="45720" y="959164"/>
              </a:lnTo>
              <a:lnTo>
                <a:pt x="129372" y="959164"/>
              </a:lnTo>
            </a:path>
          </a:pathLst>
        </a:custGeom>
        <a:noFill/>
        <a:ln w="12700" cap="flat" cmpd="sng" algn="ctr">
          <a:solidFill>
            <a:sysClr val="window" lastClr="FFFFFF">
              <a:lumMod val="75000"/>
            </a:sys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A90D7EAC-CA92-46B8-8137-9F6451FED97E}">
      <dsp:nvSpPr>
        <dsp:cNvPr id="0" name=""/>
        <dsp:cNvSpPr/>
      </dsp:nvSpPr>
      <dsp:spPr>
        <a:xfrm>
          <a:off x="3080224" y="2326320"/>
          <a:ext cx="91440" cy="350986"/>
        </a:xfrm>
        <a:custGeom>
          <a:avLst/>
          <a:gdLst/>
          <a:ahLst/>
          <a:cxnLst/>
          <a:rect l="0" t="0" r="0" b="0"/>
          <a:pathLst>
            <a:path>
              <a:moveTo>
                <a:pt x="45720" y="0"/>
              </a:moveTo>
              <a:lnTo>
                <a:pt x="45720" y="350986"/>
              </a:lnTo>
              <a:lnTo>
                <a:pt x="124188" y="350986"/>
              </a:lnTo>
            </a:path>
          </a:pathLst>
        </a:custGeom>
        <a:noFill/>
        <a:ln w="12700" cap="flat" cmpd="sng" algn="ctr">
          <a:solidFill>
            <a:sysClr val="window" lastClr="FFFFFF">
              <a:lumMod val="75000"/>
            </a:sys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F69CB23E-FA84-42DB-B08B-A21A8DFD06A1}">
      <dsp:nvSpPr>
        <dsp:cNvPr id="0" name=""/>
        <dsp:cNvSpPr/>
      </dsp:nvSpPr>
      <dsp:spPr>
        <a:xfrm>
          <a:off x="3659598" y="1458683"/>
          <a:ext cx="704096" cy="152477"/>
        </a:xfrm>
        <a:custGeom>
          <a:avLst/>
          <a:gdLst/>
          <a:ahLst/>
          <a:cxnLst/>
          <a:rect l="0" t="0" r="0" b="0"/>
          <a:pathLst>
            <a:path>
              <a:moveTo>
                <a:pt x="704096" y="0"/>
              </a:moveTo>
              <a:lnTo>
                <a:pt x="704096" y="111950"/>
              </a:lnTo>
              <a:lnTo>
                <a:pt x="0" y="111950"/>
              </a:lnTo>
              <a:lnTo>
                <a:pt x="0" y="152477"/>
              </a:lnTo>
            </a:path>
          </a:pathLst>
        </a:custGeom>
        <a:noFill/>
        <a:ln w="19050" cap="flat" cmpd="sng" algn="ctr">
          <a:solidFill>
            <a:sysClr val="window" lastClr="FFFFFF">
              <a:lumMod val="75000"/>
            </a:sys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F75DC991-44CE-406B-BD99-E05CBFC3597C}">
      <dsp:nvSpPr>
        <dsp:cNvPr id="0" name=""/>
        <dsp:cNvSpPr/>
      </dsp:nvSpPr>
      <dsp:spPr>
        <a:xfrm>
          <a:off x="4317974" y="682872"/>
          <a:ext cx="91440" cy="169553"/>
        </a:xfrm>
        <a:custGeom>
          <a:avLst/>
          <a:gdLst/>
          <a:ahLst/>
          <a:cxnLst/>
          <a:rect l="0" t="0" r="0" b="0"/>
          <a:pathLst>
            <a:path>
              <a:moveTo>
                <a:pt x="50470" y="0"/>
              </a:moveTo>
              <a:lnTo>
                <a:pt x="50470" y="129025"/>
              </a:lnTo>
              <a:lnTo>
                <a:pt x="45720" y="129025"/>
              </a:lnTo>
              <a:lnTo>
                <a:pt x="45720" y="169553"/>
              </a:lnTo>
            </a:path>
          </a:pathLst>
        </a:custGeom>
        <a:noFill/>
        <a:ln w="28575" cap="flat" cmpd="sng" algn="ctr">
          <a:solidFill>
            <a:sysClr val="window" lastClr="FFFFFF">
              <a:lumMod val="75000"/>
            </a:sys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126A9A2C-DC36-49E3-BD2D-F41BC52F96EE}">
      <dsp:nvSpPr>
        <dsp:cNvPr id="0" name=""/>
        <dsp:cNvSpPr/>
      </dsp:nvSpPr>
      <dsp:spPr>
        <a:xfrm>
          <a:off x="1634754" y="2315233"/>
          <a:ext cx="91440" cy="2717525"/>
        </a:xfrm>
        <a:custGeom>
          <a:avLst/>
          <a:gdLst/>
          <a:ahLst/>
          <a:cxnLst/>
          <a:rect l="0" t="0" r="0" b="0"/>
          <a:pathLst>
            <a:path>
              <a:moveTo>
                <a:pt x="45720" y="0"/>
              </a:moveTo>
              <a:lnTo>
                <a:pt x="45720" y="2717525"/>
              </a:lnTo>
              <a:lnTo>
                <a:pt x="107529" y="2717525"/>
              </a:lnTo>
            </a:path>
          </a:pathLst>
        </a:custGeom>
        <a:noFill/>
        <a:ln w="12700" cap="flat" cmpd="sng" algn="ctr">
          <a:solidFill>
            <a:sysClr val="window" lastClr="FFFFFF">
              <a:lumMod val="65000"/>
            </a:sysClr>
          </a:solidFill>
          <a:prstDash val="solid"/>
          <a:miter lim="800000"/>
        </a:ln>
        <a:effectLst/>
      </dsp:spPr>
      <dsp:style>
        <a:lnRef idx="2">
          <a:scrgbClr r="0" g="0" b="0"/>
        </a:lnRef>
        <a:fillRef idx="0">
          <a:scrgbClr r="0" g="0" b="0"/>
        </a:fillRef>
        <a:effectRef idx="0">
          <a:scrgbClr r="0" g="0" b="0"/>
        </a:effectRef>
        <a:fontRef idx="minor"/>
      </dsp:style>
    </dsp:sp>
    <dsp:sp modelId="{7AE119CB-2864-43D4-9339-45C4F173DDDC}">
      <dsp:nvSpPr>
        <dsp:cNvPr id="0" name=""/>
        <dsp:cNvSpPr/>
      </dsp:nvSpPr>
      <dsp:spPr>
        <a:xfrm>
          <a:off x="1634754" y="2315233"/>
          <a:ext cx="91440" cy="2173668"/>
        </a:xfrm>
        <a:custGeom>
          <a:avLst/>
          <a:gdLst/>
          <a:ahLst/>
          <a:cxnLst/>
          <a:rect l="0" t="0" r="0" b="0"/>
          <a:pathLst>
            <a:path>
              <a:moveTo>
                <a:pt x="45720" y="0"/>
              </a:moveTo>
              <a:lnTo>
                <a:pt x="45720" y="2173668"/>
              </a:lnTo>
              <a:lnTo>
                <a:pt x="107529" y="2173668"/>
              </a:lnTo>
            </a:path>
          </a:pathLst>
        </a:custGeom>
        <a:noFill/>
        <a:ln w="1270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4F9D070C-D865-4053-A12F-C0B37C81DA63}">
      <dsp:nvSpPr>
        <dsp:cNvPr id="0" name=""/>
        <dsp:cNvSpPr/>
      </dsp:nvSpPr>
      <dsp:spPr>
        <a:xfrm>
          <a:off x="1634754" y="2315233"/>
          <a:ext cx="91440" cy="1568216"/>
        </a:xfrm>
        <a:custGeom>
          <a:avLst/>
          <a:gdLst/>
          <a:ahLst/>
          <a:cxnLst/>
          <a:rect l="0" t="0" r="0" b="0"/>
          <a:pathLst>
            <a:path>
              <a:moveTo>
                <a:pt x="45720" y="0"/>
              </a:moveTo>
              <a:lnTo>
                <a:pt x="45720" y="1568216"/>
              </a:lnTo>
              <a:lnTo>
                <a:pt x="107529" y="1568216"/>
              </a:lnTo>
            </a:path>
          </a:pathLst>
        </a:custGeom>
        <a:noFill/>
        <a:ln w="1270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647C1275-7891-413D-A763-CEF1DB279D94}">
      <dsp:nvSpPr>
        <dsp:cNvPr id="0" name=""/>
        <dsp:cNvSpPr/>
      </dsp:nvSpPr>
      <dsp:spPr>
        <a:xfrm>
          <a:off x="1634754" y="2315233"/>
          <a:ext cx="91440" cy="880197"/>
        </a:xfrm>
        <a:custGeom>
          <a:avLst/>
          <a:gdLst/>
          <a:ahLst/>
          <a:cxnLst/>
          <a:rect l="0" t="0" r="0" b="0"/>
          <a:pathLst>
            <a:path>
              <a:moveTo>
                <a:pt x="45720" y="0"/>
              </a:moveTo>
              <a:lnTo>
                <a:pt x="45720" y="880197"/>
              </a:lnTo>
              <a:lnTo>
                <a:pt x="113847" y="880197"/>
              </a:lnTo>
            </a:path>
          </a:pathLst>
        </a:custGeom>
        <a:noFill/>
        <a:ln w="1270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6ED7D0B0-AE7C-48F0-932A-CF7756D1D965}">
      <dsp:nvSpPr>
        <dsp:cNvPr id="0" name=""/>
        <dsp:cNvSpPr/>
      </dsp:nvSpPr>
      <dsp:spPr>
        <a:xfrm>
          <a:off x="1634754" y="2315233"/>
          <a:ext cx="91440" cy="280656"/>
        </a:xfrm>
        <a:custGeom>
          <a:avLst/>
          <a:gdLst/>
          <a:ahLst/>
          <a:cxnLst/>
          <a:rect l="0" t="0" r="0" b="0"/>
          <a:pathLst>
            <a:path>
              <a:moveTo>
                <a:pt x="45720" y="0"/>
              </a:moveTo>
              <a:lnTo>
                <a:pt x="45720" y="280656"/>
              </a:lnTo>
              <a:lnTo>
                <a:pt x="107533" y="280656"/>
              </a:lnTo>
            </a:path>
          </a:pathLst>
        </a:custGeom>
        <a:noFill/>
        <a:ln w="1270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9C23DC9A-B1F3-4AD3-A3CF-BA7738EFE431}">
      <dsp:nvSpPr>
        <dsp:cNvPr id="0" name=""/>
        <dsp:cNvSpPr/>
      </dsp:nvSpPr>
      <dsp:spPr>
        <a:xfrm>
          <a:off x="1437376" y="1454221"/>
          <a:ext cx="757173" cy="145852"/>
        </a:xfrm>
        <a:custGeom>
          <a:avLst/>
          <a:gdLst/>
          <a:ahLst/>
          <a:cxnLst/>
          <a:rect l="0" t="0" r="0" b="0"/>
          <a:pathLst>
            <a:path>
              <a:moveTo>
                <a:pt x="0" y="0"/>
              </a:moveTo>
              <a:lnTo>
                <a:pt x="0" y="105324"/>
              </a:lnTo>
              <a:lnTo>
                <a:pt x="757173" y="105324"/>
              </a:lnTo>
              <a:lnTo>
                <a:pt x="757173" y="145852"/>
              </a:lnTo>
            </a:path>
          </a:pathLst>
        </a:custGeom>
        <a:noFill/>
        <a:ln w="1905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2F4B0A22-16F7-4E00-8287-00234A1E7146}">
      <dsp:nvSpPr>
        <dsp:cNvPr id="0" name=""/>
        <dsp:cNvSpPr/>
      </dsp:nvSpPr>
      <dsp:spPr>
        <a:xfrm>
          <a:off x="284488" y="2316156"/>
          <a:ext cx="91440" cy="2462851"/>
        </a:xfrm>
        <a:custGeom>
          <a:avLst/>
          <a:gdLst/>
          <a:ahLst/>
          <a:cxnLst/>
          <a:rect l="0" t="0" r="0" b="0"/>
          <a:pathLst>
            <a:path>
              <a:moveTo>
                <a:pt x="45720" y="0"/>
              </a:moveTo>
              <a:lnTo>
                <a:pt x="45720" y="2462851"/>
              </a:lnTo>
              <a:lnTo>
                <a:pt x="127021" y="2462851"/>
              </a:lnTo>
            </a:path>
          </a:pathLst>
        </a:custGeom>
        <a:noFill/>
        <a:ln w="1270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2E8A66D7-765C-4F9D-A32F-D35362EDA44B}">
      <dsp:nvSpPr>
        <dsp:cNvPr id="0" name=""/>
        <dsp:cNvSpPr/>
      </dsp:nvSpPr>
      <dsp:spPr>
        <a:xfrm>
          <a:off x="284488" y="2316156"/>
          <a:ext cx="91440" cy="1760225"/>
        </a:xfrm>
        <a:custGeom>
          <a:avLst/>
          <a:gdLst/>
          <a:ahLst/>
          <a:cxnLst/>
          <a:rect l="0" t="0" r="0" b="0"/>
          <a:pathLst>
            <a:path>
              <a:moveTo>
                <a:pt x="45720" y="0"/>
              </a:moveTo>
              <a:lnTo>
                <a:pt x="45720" y="1760225"/>
              </a:lnTo>
              <a:lnTo>
                <a:pt x="123779" y="1760225"/>
              </a:lnTo>
            </a:path>
          </a:pathLst>
        </a:custGeom>
        <a:noFill/>
        <a:ln w="1270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DA554E03-40BD-44CF-8790-7AA329C45E42}">
      <dsp:nvSpPr>
        <dsp:cNvPr id="0" name=""/>
        <dsp:cNvSpPr/>
      </dsp:nvSpPr>
      <dsp:spPr>
        <a:xfrm>
          <a:off x="284488" y="2316156"/>
          <a:ext cx="91440" cy="1085330"/>
        </a:xfrm>
        <a:custGeom>
          <a:avLst/>
          <a:gdLst/>
          <a:ahLst/>
          <a:cxnLst/>
          <a:rect l="0" t="0" r="0" b="0"/>
          <a:pathLst>
            <a:path>
              <a:moveTo>
                <a:pt x="45720" y="0"/>
              </a:moveTo>
              <a:lnTo>
                <a:pt x="45720" y="1085330"/>
              </a:lnTo>
              <a:lnTo>
                <a:pt x="124674" y="1085330"/>
              </a:lnTo>
            </a:path>
          </a:pathLst>
        </a:custGeom>
        <a:noFill/>
        <a:ln w="1270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4177E1FB-1880-49C5-98C6-780ACA90E1B0}">
      <dsp:nvSpPr>
        <dsp:cNvPr id="0" name=""/>
        <dsp:cNvSpPr/>
      </dsp:nvSpPr>
      <dsp:spPr>
        <a:xfrm>
          <a:off x="284488" y="2316156"/>
          <a:ext cx="91440" cy="411313"/>
        </a:xfrm>
        <a:custGeom>
          <a:avLst/>
          <a:gdLst/>
          <a:ahLst/>
          <a:cxnLst/>
          <a:rect l="0" t="0" r="0" b="0"/>
          <a:pathLst>
            <a:path>
              <a:moveTo>
                <a:pt x="45720" y="0"/>
              </a:moveTo>
              <a:lnTo>
                <a:pt x="45720" y="411313"/>
              </a:lnTo>
              <a:lnTo>
                <a:pt x="124462" y="411313"/>
              </a:lnTo>
            </a:path>
          </a:pathLst>
        </a:custGeom>
        <a:noFill/>
        <a:ln w="1270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B26F875D-1D26-46AD-8FC8-DEC1F42F67CD}">
      <dsp:nvSpPr>
        <dsp:cNvPr id="0" name=""/>
        <dsp:cNvSpPr/>
      </dsp:nvSpPr>
      <dsp:spPr>
        <a:xfrm>
          <a:off x="824409" y="1454221"/>
          <a:ext cx="612967" cy="146994"/>
        </a:xfrm>
        <a:custGeom>
          <a:avLst/>
          <a:gdLst/>
          <a:ahLst/>
          <a:cxnLst/>
          <a:rect l="0" t="0" r="0" b="0"/>
          <a:pathLst>
            <a:path>
              <a:moveTo>
                <a:pt x="612967" y="0"/>
              </a:moveTo>
              <a:lnTo>
                <a:pt x="612967" y="106467"/>
              </a:lnTo>
              <a:lnTo>
                <a:pt x="0" y="106467"/>
              </a:lnTo>
              <a:lnTo>
                <a:pt x="0" y="146994"/>
              </a:lnTo>
            </a:path>
          </a:pathLst>
        </a:custGeom>
        <a:noFill/>
        <a:ln w="19050"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C893A817-868A-42D6-91D8-C39472590CC2}">
      <dsp:nvSpPr>
        <dsp:cNvPr id="0" name=""/>
        <dsp:cNvSpPr/>
      </dsp:nvSpPr>
      <dsp:spPr>
        <a:xfrm>
          <a:off x="1437376" y="682872"/>
          <a:ext cx="2931068" cy="165091"/>
        </a:xfrm>
        <a:custGeom>
          <a:avLst/>
          <a:gdLst/>
          <a:ahLst/>
          <a:cxnLst/>
          <a:rect l="0" t="0" r="0" b="0"/>
          <a:pathLst>
            <a:path>
              <a:moveTo>
                <a:pt x="2931068" y="0"/>
              </a:moveTo>
              <a:lnTo>
                <a:pt x="2931068" y="124563"/>
              </a:lnTo>
              <a:lnTo>
                <a:pt x="0" y="124563"/>
              </a:lnTo>
              <a:lnTo>
                <a:pt x="0" y="165091"/>
              </a:lnTo>
            </a:path>
          </a:pathLst>
        </a:custGeom>
        <a:noFill/>
        <a:ln w="28575" cap="flat" cmpd="sng" algn="ctr">
          <a:solidFill>
            <a:sysClr val="window" lastClr="FFFFFF">
              <a:lumMod val="75000"/>
            </a:sysClr>
          </a:solidFill>
          <a:prstDash val="solid"/>
          <a:miter lim="800000"/>
        </a:ln>
        <a:effectLst/>
      </dsp:spPr>
      <dsp:style>
        <a:lnRef idx="2">
          <a:scrgbClr r="0" g="0" b="0"/>
        </a:lnRef>
        <a:fillRef idx="0">
          <a:scrgbClr r="0" g="0" b="0"/>
        </a:fillRef>
        <a:effectRef idx="0">
          <a:scrgbClr r="0" g="0" b="0"/>
        </a:effectRef>
        <a:fontRef idx="minor"/>
      </dsp:style>
    </dsp:sp>
    <dsp:sp modelId="{D5C976BE-90F4-430A-A970-6B4381FC975B}">
      <dsp:nvSpPr>
        <dsp:cNvPr id="0" name=""/>
        <dsp:cNvSpPr/>
      </dsp:nvSpPr>
      <dsp:spPr>
        <a:xfrm>
          <a:off x="1373929" y="1518"/>
          <a:ext cx="5989031" cy="681354"/>
        </a:xfrm>
        <a:prstGeom prst="rect">
          <a:avLst/>
        </a:prstGeom>
        <a:solidFill>
          <a:sysClr val="window" lastClr="FFFFFF">
            <a:lumMod val="6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u="none" kern="1200">
              <a:solidFill>
                <a:sysClr val="windowText" lastClr="000000"/>
              </a:solidFill>
              <a:latin typeface="Calibri" panose="020F0502020204030204"/>
              <a:ea typeface="+mn-ea"/>
              <a:cs typeface="+mn-cs"/>
            </a:rPr>
            <a:t>INFRASTRUKTURA</a:t>
          </a:r>
        </a:p>
      </dsp:txBody>
      <dsp:txXfrm>
        <a:off x="1373929" y="1518"/>
        <a:ext cx="5989031" cy="681354"/>
      </dsp:txXfrm>
    </dsp:sp>
    <dsp:sp modelId="{87D9F988-83C6-418A-A953-4DBA108E893C}">
      <dsp:nvSpPr>
        <dsp:cNvPr id="0" name=""/>
        <dsp:cNvSpPr/>
      </dsp:nvSpPr>
      <dsp:spPr>
        <a:xfrm>
          <a:off x="168280" y="847964"/>
          <a:ext cx="2538192" cy="606257"/>
        </a:xfrm>
        <a:prstGeom prst="rect">
          <a:avLst/>
        </a:prstGeom>
        <a:solidFill>
          <a:sysClr val="window" lastClr="FFFFFF">
            <a:lumMod val="7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u="none" kern="1200" baseline="0">
              <a:solidFill>
                <a:sysClr val="windowText" lastClr="000000"/>
              </a:solidFill>
              <a:latin typeface="Calibri" panose="020F0502020204030204"/>
              <a:ea typeface="+mn-ea"/>
              <a:cs typeface="+mn-cs"/>
            </a:rPr>
            <a:t>Strategický cíl 1.1</a:t>
          </a:r>
        </a:p>
        <a:p>
          <a:pPr marL="0" lvl="0" indent="0" algn="ctr" defTabSz="400050">
            <a:lnSpc>
              <a:spcPct val="90000"/>
            </a:lnSpc>
            <a:spcBef>
              <a:spcPct val="0"/>
            </a:spcBef>
            <a:spcAft>
              <a:spcPct val="35000"/>
            </a:spcAft>
            <a:buNone/>
          </a:pPr>
          <a:r>
            <a:rPr lang="cs-CZ" sz="900" b="1" u="none" kern="1200">
              <a:solidFill>
                <a:sysClr val="windowText" lastClr="000000"/>
              </a:solidFill>
              <a:latin typeface="Calibri" panose="020F0502020204030204"/>
              <a:ea typeface="+mn-ea"/>
              <a:cs typeface="+mn-cs"/>
            </a:rPr>
            <a:t>Postupně zlepšovat stav dopravní infrastruktury</a:t>
          </a:r>
          <a:endParaRPr lang="cs-CZ" sz="900" u="none" kern="1200">
            <a:solidFill>
              <a:sysClr val="windowText" lastClr="000000"/>
            </a:solidFill>
            <a:latin typeface="Calibri" panose="020F0502020204030204"/>
            <a:ea typeface="+mn-ea"/>
            <a:cs typeface="+mn-cs"/>
          </a:endParaRPr>
        </a:p>
      </dsp:txBody>
      <dsp:txXfrm>
        <a:off x="168280" y="847964"/>
        <a:ext cx="2538192" cy="606257"/>
      </dsp:txXfrm>
    </dsp:sp>
    <dsp:sp modelId="{16797997-7266-46B4-9CB4-0FC279F486EA}">
      <dsp:nvSpPr>
        <dsp:cNvPr id="0" name=""/>
        <dsp:cNvSpPr/>
      </dsp:nvSpPr>
      <dsp:spPr>
        <a:xfrm rot="10800000" flipV="1">
          <a:off x="206657" y="1601216"/>
          <a:ext cx="1235503" cy="714940"/>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u="none" kern="1200">
              <a:solidFill>
                <a:sysClr val="windowText" lastClr="000000"/>
              </a:solidFill>
              <a:latin typeface="Calibri" panose="020F0502020204030204"/>
              <a:ea typeface="+mn-ea"/>
              <a:cs typeface="+mn-cs"/>
            </a:rPr>
            <a:t>Usilovat o zlepšení stavu místních a účelových komunikací</a:t>
          </a:r>
          <a:endParaRPr lang="cs-CZ" sz="900" u="none" kern="1200">
            <a:solidFill>
              <a:sysClr val="windowText" lastClr="000000"/>
            </a:solidFill>
            <a:latin typeface="Calibri" panose="020F0502020204030204"/>
            <a:ea typeface="+mn-ea"/>
            <a:cs typeface="+mn-cs"/>
          </a:endParaRPr>
        </a:p>
      </dsp:txBody>
      <dsp:txXfrm rot="-10800000">
        <a:off x="206657" y="1601216"/>
        <a:ext cx="1235503" cy="714940"/>
      </dsp:txXfrm>
    </dsp:sp>
    <dsp:sp modelId="{C314E26F-6362-4AA6-AC20-89CF8A23170C}">
      <dsp:nvSpPr>
        <dsp:cNvPr id="0" name=""/>
        <dsp:cNvSpPr/>
      </dsp:nvSpPr>
      <dsp:spPr>
        <a:xfrm>
          <a:off x="408950" y="2371910"/>
          <a:ext cx="1026265" cy="711118"/>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Rekonstruovat komunikaci propojující Staré Buky a Nový Rokytník</a:t>
          </a:r>
        </a:p>
      </dsp:txBody>
      <dsp:txXfrm>
        <a:off x="408950" y="2371910"/>
        <a:ext cx="1026265" cy="711118"/>
      </dsp:txXfrm>
    </dsp:sp>
    <dsp:sp modelId="{A9077D6F-A0BD-4C1E-90C6-11C4BD3509B0}">
      <dsp:nvSpPr>
        <dsp:cNvPr id="0" name=""/>
        <dsp:cNvSpPr/>
      </dsp:nvSpPr>
      <dsp:spPr>
        <a:xfrm>
          <a:off x="409162" y="3149642"/>
          <a:ext cx="1025999" cy="503688"/>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Řešit stav příjezdové komunikace do lokality Dolníky</a:t>
          </a:r>
        </a:p>
      </dsp:txBody>
      <dsp:txXfrm>
        <a:off x="409162" y="3149642"/>
        <a:ext cx="1025999" cy="503688"/>
      </dsp:txXfrm>
    </dsp:sp>
    <dsp:sp modelId="{57D27527-8CC6-49AA-B356-7BC3CEB693FF}">
      <dsp:nvSpPr>
        <dsp:cNvPr id="0" name=""/>
        <dsp:cNvSpPr/>
      </dsp:nvSpPr>
      <dsp:spPr>
        <a:xfrm>
          <a:off x="408267" y="3711933"/>
          <a:ext cx="1025999" cy="728896"/>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Usilovat o úpravu komunikace v okolí autobusové zastávky „Staré Buky, Horní Staré Buky, točna“</a:t>
          </a:r>
        </a:p>
      </dsp:txBody>
      <dsp:txXfrm>
        <a:off x="408267" y="3711933"/>
        <a:ext cx="1025999" cy="728896"/>
      </dsp:txXfrm>
    </dsp:sp>
    <dsp:sp modelId="{A65527EB-BCD5-4927-A0F1-AF198A01ED8B}">
      <dsp:nvSpPr>
        <dsp:cNvPr id="0" name=""/>
        <dsp:cNvSpPr/>
      </dsp:nvSpPr>
      <dsp:spPr>
        <a:xfrm>
          <a:off x="411509" y="4516491"/>
          <a:ext cx="1025999" cy="525032"/>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Podle potřeby řešit opravu dalších místních a účelových komunikací</a:t>
          </a:r>
        </a:p>
      </dsp:txBody>
      <dsp:txXfrm>
        <a:off x="411509" y="4516491"/>
        <a:ext cx="1025999" cy="525032"/>
      </dsp:txXfrm>
    </dsp:sp>
    <dsp:sp modelId="{ADF3D91C-C56F-4101-A65E-88579DC63B73}">
      <dsp:nvSpPr>
        <dsp:cNvPr id="0" name=""/>
        <dsp:cNvSpPr/>
      </dsp:nvSpPr>
      <dsp:spPr>
        <a:xfrm>
          <a:off x="1551955" y="1600073"/>
          <a:ext cx="1285189" cy="715160"/>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u="none" kern="1200">
              <a:solidFill>
                <a:sysClr val="windowText" lastClr="000000"/>
              </a:solidFill>
              <a:latin typeface="Calibri" panose="020F0502020204030204"/>
              <a:ea typeface="+mn-ea"/>
              <a:cs typeface="+mn-cs"/>
            </a:rPr>
            <a:t>Usilovat o realizaci dalších aktivit souvisejících s dopravní infrastrukturou pro motorová vozidla</a:t>
          </a:r>
          <a:endParaRPr lang="cs-CZ" sz="900" u="none" kern="1200">
            <a:solidFill>
              <a:sysClr val="windowText" lastClr="000000"/>
            </a:solidFill>
            <a:latin typeface="Calibri" panose="020F0502020204030204"/>
            <a:ea typeface="+mn-ea"/>
            <a:cs typeface="+mn-cs"/>
          </a:endParaRPr>
        </a:p>
      </dsp:txBody>
      <dsp:txXfrm>
        <a:off x="1551955" y="1600073"/>
        <a:ext cx="1285189" cy="715160"/>
      </dsp:txXfrm>
    </dsp:sp>
    <dsp:sp modelId="{ADE861E2-A031-4E11-A772-B1FAF95DDD31}">
      <dsp:nvSpPr>
        <dsp:cNvPr id="0" name=""/>
        <dsp:cNvSpPr/>
      </dsp:nvSpPr>
      <dsp:spPr>
        <a:xfrm>
          <a:off x="1742287" y="2366286"/>
          <a:ext cx="1095255" cy="459206"/>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Usilovat o opravu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mostu v Dolních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Starých Bukách</a:t>
          </a:r>
        </a:p>
      </dsp:txBody>
      <dsp:txXfrm>
        <a:off x="1742287" y="2366286"/>
        <a:ext cx="1095255" cy="459206"/>
      </dsp:txXfrm>
    </dsp:sp>
    <dsp:sp modelId="{35C0DAD1-66C3-4740-98A1-00A4BD0A4564}">
      <dsp:nvSpPr>
        <dsp:cNvPr id="0" name=""/>
        <dsp:cNvSpPr/>
      </dsp:nvSpPr>
      <dsp:spPr>
        <a:xfrm>
          <a:off x="1748602" y="2880658"/>
          <a:ext cx="1094980" cy="629544"/>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Usilovat o omezení rychlosti jedoucích vozidel a o zklidnění provozu v lokalitě Dolníky</a:t>
          </a:r>
        </a:p>
      </dsp:txBody>
      <dsp:txXfrm>
        <a:off x="1748602" y="2880658"/>
        <a:ext cx="1094980" cy="629544"/>
      </dsp:txXfrm>
    </dsp:sp>
    <dsp:sp modelId="{922D5BB0-A7A7-4DDF-B4F5-8A65C41B5FE6}">
      <dsp:nvSpPr>
        <dsp:cNvPr id="0" name=""/>
        <dsp:cNvSpPr/>
      </dsp:nvSpPr>
      <dsp:spPr>
        <a:xfrm>
          <a:off x="1742283" y="3566293"/>
          <a:ext cx="1094980" cy="634313"/>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Zahájit jednání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s vlastníky komunikací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u tzv. „Holandských domků“</a:t>
          </a:r>
        </a:p>
      </dsp:txBody>
      <dsp:txXfrm>
        <a:off x="1742283" y="3566293"/>
        <a:ext cx="1094980" cy="634313"/>
      </dsp:txXfrm>
    </dsp:sp>
    <dsp:sp modelId="{A27CF9BD-C5B2-4BED-9B73-42F45FA6625F}">
      <dsp:nvSpPr>
        <dsp:cNvPr id="0" name=""/>
        <dsp:cNvSpPr/>
      </dsp:nvSpPr>
      <dsp:spPr>
        <a:xfrm>
          <a:off x="1742283" y="4243930"/>
          <a:ext cx="1094980" cy="489943"/>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latin typeface="Calibri" panose="020F0502020204030204"/>
              <a:ea typeface="+mn-ea"/>
              <a:cs typeface="+mn-cs"/>
            </a:rPr>
            <a:t>Řešit přístupovou komunikaci </a:t>
          </a:r>
          <a:br>
            <a:rPr lang="cs-CZ" sz="900" kern="1200">
              <a:solidFill>
                <a:sysClr val="windowText" lastClr="000000"/>
              </a:solidFill>
              <a:latin typeface="Calibri" panose="020F0502020204030204"/>
              <a:ea typeface="+mn-ea"/>
              <a:cs typeface="+mn-cs"/>
            </a:rPr>
          </a:br>
          <a:r>
            <a:rPr lang="cs-CZ" sz="900" kern="1200">
              <a:solidFill>
                <a:sysClr val="windowText" lastClr="000000"/>
              </a:solidFill>
              <a:latin typeface="Calibri" panose="020F0502020204030204"/>
              <a:ea typeface="+mn-ea"/>
              <a:cs typeface="+mn-cs"/>
            </a:rPr>
            <a:t>ke Kostelu sv. Anny</a:t>
          </a:r>
          <a:endParaRPr lang="cs-CZ" sz="900" u="none" kern="1200">
            <a:solidFill>
              <a:sysClr val="windowText" lastClr="000000"/>
            </a:solidFill>
            <a:latin typeface="Calibri" panose="020F0502020204030204"/>
            <a:ea typeface="+mn-ea"/>
            <a:cs typeface="+mn-cs"/>
          </a:endParaRPr>
        </a:p>
      </dsp:txBody>
      <dsp:txXfrm>
        <a:off x="1742283" y="4243930"/>
        <a:ext cx="1094980" cy="489943"/>
      </dsp:txXfrm>
    </dsp:sp>
    <dsp:sp modelId="{4496A48D-AE96-4407-95BC-8B309974DBB2}">
      <dsp:nvSpPr>
        <dsp:cNvPr id="0" name=""/>
        <dsp:cNvSpPr/>
      </dsp:nvSpPr>
      <dsp:spPr>
        <a:xfrm>
          <a:off x="1742283" y="4787787"/>
          <a:ext cx="1094980" cy="489943"/>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Usilovat o propojení Dolníků a Prostředních Starých Buků komunikací</a:t>
          </a:r>
        </a:p>
      </dsp:txBody>
      <dsp:txXfrm>
        <a:off x="1742283" y="4787787"/>
        <a:ext cx="1094980" cy="489943"/>
      </dsp:txXfrm>
    </dsp:sp>
    <dsp:sp modelId="{A9634FF6-2749-44C9-B7B1-E1619ED40DAC}">
      <dsp:nvSpPr>
        <dsp:cNvPr id="0" name=""/>
        <dsp:cNvSpPr/>
      </dsp:nvSpPr>
      <dsp:spPr>
        <a:xfrm>
          <a:off x="2973346" y="852425"/>
          <a:ext cx="2780697" cy="606257"/>
        </a:xfrm>
        <a:prstGeom prst="rect">
          <a:avLst/>
        </a:prstGeom>
        <a:solidFill>
          <a:sysClr val="window" lastClr="FFFFFF">
            <a:lumMod val="7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u="none" kern="1200" baseline="0">
              <a:solidFill>
                <a:sysClr val="windowText" lastClr="000000"/>
              </a:solidFill>
              <a:latin typeface="Calibri" panose="020F0502020204030204"/>
              <a:ea typeface="+mn-ea"/>
              <a:cs typeface="+mn-cs"/>
            </a:rPr>
            <a:t>Strategický cíl 1.2</a:t>
          </a:r>
        </a:p>
        <a:p>
          <a:pPr marL="0" lvl="0" indent="0" algn="ctr" defTabSz="400050">
            <a:lnSpc>
              <a:spcPct val="90000"/>
            </a:lnSpc>
            <a:spcBef>
              <a:spcPct val="0"/>
            </a:spcBef>
            <a:spcAft>
              <a:spcPct val="35000"/>
            </a:spcAft>
            <a:buNone/>
          </a:pPr>
          <a:r>
            <a:rPr lang="cs-CZ" sz="900" b="1" u="none" kern="1200">
              <a:solidFill>
                <a:sysClr val="windowText" lastClr="000000"/>
              </a:solidFill>
              <a:latin typeface="Calibri" panose="020F0502020204030204"/>
              <a:ea typeface="+mn-ea"/>
              <a:cs typeface="+mn-cs"/>
            </a:rPr>
            <a:t>Podporovat rozvoj technické a bezpečnostní infrastruktury</a:t>
          </a:r>
          <a:endParaRPr lang="cs-CZ" sz="900" u="none" kern="1200" baseline="0">
            <a:solidFill>
              <a:sysClr val="windowText" lastClr="000000"/>
            </a:solidFill>
            <a:latin typeface="Calibri" panose="020F0502020204030204"/>
            <a:ea typeface="+mn-ea"/>
            <a:cs typeface="+mn-cs"/>
          </a:endParaRPr>
        </a:p>
      </dsp:txBody>
      <dsp:txXfrm>
        <a:off x="2973346" y="852425"/>
        <a:ext cx="2780697" cy="606257"/>
      </dsp:txXfrm>
    </dsp:sp>
    <dsp:sp modelId="{C0E5A178-5117-4E98-BB64-AD9E497BE4C4}">
      <dsp:nvSpPr>
        <dsp:cNvPr id="0" name=""/>
        <dsp:cNvSpPr/>
      </dsp:nvSpPr>
      <dsp:spPr>
        <a:xfrm>
          <a:off x="2992530" y="1611160"/>
          <a:ext cx="1334135" cy="715160"/>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u="none" kern="1200">
              <a:solidFill>
                <a:sysClr val="windowText" lastClr="000000"/>
              </a:solidFill>
              <a:latin typeface="Calibri" panose="020F0502020204030204"/>
              <a:ea typeface="+mn-ea"/>
              <a:cs typeface="+mn-cs"/>
            </a:rPr>
            <a:t>Posílit bezpečnost </a:t>
          </a:r>
          <a:br>
            <a:rPr lang="cs-CZ" sz="900" b="1" u="none" kern="1200">
              <a:solidFill>
                <a:sysClr val="windowText" lastClr="000000"/>
              </a:solidFill>
              <a:latin typeface="Calibri" panose="020F0502020204030204"/>
              <a:ea typeface="+mn-ea"/>
              <a:cs typeface="+mn-cs"/>
            </a:rPr>
          </a:br>
          <a:r>
            <a:rPr lang="cs-CZ" sz="900" b="1" u="none" kern="1200">
              <a:solidFill>
                <a:sysClr val="windowText" lastClr="000000"/>
              </a:solidFill>
              <a:latin typeface="Calibri" panose="020F0502020204030204"/>
              <a:ea typeface="+mn-ea"/>
              <a:cs typeface="+mn-cs"/>
            </a:rPr>
            <a:t>související s dopravou</a:t>
          </a:r>
        </a:p>
      </dsp:txBody>
      <dsp:txXfrm>
        <a:off x="2992530" y="1611160"/>
        <a:ext cx="1334135" cy="715160"/>
      </dsp:txXfrm>
    </dsp:sp>
    <dsp:sp modelId="{F24B21A5-C4F5-4DDF-95CB-8BAE3C275280}">
      <dsp:nvSpPr>
        <dsp:cNvPr id="0" name=""/>
        <dsp:cNvSpPr/>
      </dsp:nvSpPr>
      <dsp:spPr>
        <a:xfrm>
          <a:off x="3204413" y="2390444"/>
          <a:ext cx="1120733" cy="573725"/>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u="none" kern="1200">
              <a:solidFill>
                <a:sysClr val="windowText" lastClr="000000"/>
              </a:solidFill>
              <a:latin typeface="Calibri" panose="020F0502020204030204"/>
              <a:ea typeface="+mn-ea"/>
              <a:cs typeface="+mn-cs"/>
            </a:rPr>
            <a:t>Usilovat o zvýšení množství bezpečnostních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prvků v obci</a:t>
          </a:r>
          <a:endParaRPr lang="cs-CZ" sz="900" u="none" kern="1200" baseline="0">
            <a:solidFill>
              <a:sysClr val="windowText" lastClr="000000"/>
            </a:solidFill>
            <a:latin typeface="Calibri" panose="020F0502020204030204"/>
            <a:ea typeface="+mn-ea"/>
            <a:cs typeface="+mn-cs"/>
          </a:endParaRPr>
        </a:p>
      </dsp:txBody>
      <dsp:txXfrm>
        <a:off x="3204413" y="2390444"/>
        <a:ext cx="1120733" cy="573725"/>
      </dsp:txXfrm>
    </dsp:sp>
    <dsp:sp modelId="{CDD83C32-7E8A-49F2-902B-DC628C163915}">
      <dsp:nvSpPr>
        <dsp:cNvPr id="0" name=""/>
        <dsp:cNvSpPr/>
      </dsp:nvSpPr>
      <dsp:spPr>
        <a:xfrm>
          <a:off x="3209596" y="3036839"/>
          <a:ext cx="1120733" cy="497292"/>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u="none" kern="1200">
              <a:solidFill>
                <a:sysClr val="windowText" lastClr="000000"/>
              </a:solidFill>
              <a:latin typeface="Calibri" panose="020F0502020204030204"/>
              <a:ea typeface="+mn-ea"/>
              <a:cs typeface="+mn-cs"/>
            </a:rPr>
            <a:t>Vybudovat chodník v žádoucích místech v centru obce</a:t>
          </a:r>
        </a:p>
      </dsp:txBody>
      <dsp:txXfrm>
        <a:off x="3209596" y="3036839"/>
        <a:ext cx="1120733" cy="497292"/>
      </dsp:txXfrm>
    </dsp:sp>
    <dsp:sp modelId="{A23FE01C-F4FF-4CAC-96BD-BC041F74F53F}">
      <dsp:nvSpPr>
        <dsp:cNvPr id="0" name=""/>
        <dsp:cNvSpPr/>
      </dsp:nvSpPr>
      <dsp:spPr>
        <a:xfrm>
          <a:off x="3209596" y="3604389"/>
          <a:ext cx="1120733" cy="573470"/>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Zpevnit cestu vedoucí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ze Starých Buků přes rekreační areál Dolce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do Trutnova</a:t>
          </a:r>
        </a:p>
      </dsp:txBody>
      <dsp:txXfrm>
        <a:off x="3209596" y="3604389"/>
        <a:ext cx="1120733" cy="573470"/>
      </dsp:txXfrm>
    </dsp:sp>
    <dsp:sp modelId="{3067C7C0-505D-49D0-B144-2E0D8EBE3D09}">
      <dsp:nvSpPr>
        <dsp:cNvPr id="0" name=""/>
        <dsp:cNvSpPr/>
      </dsp:nvSpPr>
      <dsp:spPr>
        <a:xfrm>
          <a:off x="3209596" y="4258914"/>
          <a:ext cx="1120733" cy="573470"/>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Řešit lepší zpřístupnění pro cyklisty a pěší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ve směru na Pilníkov</a:t>
          </a:r>
        </a:p>
      </dsp:txBody>
      <dsp:txXfrm>
        <a:off x="3209596" y="4258914"/>
        <a:ext cx="1120733" cy="573470"/>
      </dsp:txXfrm>
    </dsp:sp>
    <dsp:sp modelId="{708737BF-934E-4C35-91CE-60FA57408673}">
      <dsp:nvSpPr>
        <dsp:cNvPr id="0" name=""/>
        <dsp:cNvSpPr/>
      </dsp:nvSpPr>
      <dsp:spPr>
        <a:xfrm>
          <a:off x="4409932" y="1611301"/>
          <a:ext cx="1396890" cy="715160"/>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u="none" kern="1200">
              <a:solidFill>
                <a:sysClr val="windowText" lastClr="000000"/>
              </a:solidFill>
              <a:latin typeface="Calibri" panose="020F0502020204030204"/>
              <a:ea typeface="+mn-ea"/>
              <a:cs typeface="+mn-cs"/>
            </a:rPr>
            <a:t>Rozšířit a posilovat sítě technické infrastruktury</a:t>
          </a:r>
        </a:p>
      </dsp:txBody>
      <dsp:txXfrm>
        <a:off x="4409932" y="1611301"/>
        <a:ext cx="1396890" cy="715160"/>
      </dsp:txXfrm>
    </dsp:sp>
    <dsp:sp modelId="{24F24141-DE10-4AF5-9484-A1735AD8434B}">
      <dsp:nvSpPr>
        <dsp:cNvPr id="0" name=""/>
        <dsp:cNvSpPr/>
      </dsp:nvSpPr>
      <dsp:spPr>
        <a:xfrm>
          <a:off x="4643181" y="2408954"/>
          <a:ext cx="1163638" cy="438685"/>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Řešit tématiku vodovodu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a vodovodní sítě</a:t>
          </a:r>
        </a:p>
      </dsp:txBody>
      <dsp:txXfrm>
        <a:off x="4643181" y="2408954"/>
        <a:ext cx="1163638" cy="438685"/>
      </dsp:txXfrm>
    </dsp:sp>
    <dsp:sp modelId="{EFA1F3BC-09CC-4868-8853-ECA0AED36E7D}">
      <dsp:nvSpPr>
        <dsp:cNvPr id="0" name=""/>
        <dsp:cNvSpPr/>
      </dsp:nvSpPr>
      <dsp:spPr>
        <a:xfrm>
          <a:off x="4644200" y="2927303"/>
          <a:ext cx="1164761" cy="514788"/>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u="none" kern="1200">
              <a:solidFill>
                <a:sysClr val="windowText" lastClr="000000"/>
              </a:solidFill>
              <a:latin typeface="Calibri" panose="020F0502020204030204"/>
              <a:ea typeface="+mn-ea"/>
              <a:cs typeface="+mn-cs"/>
            </a:rPr>
            <a:t>Řešit problematiku kanalizace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a kanalizační sítě</a:t>
          </a:r>
        </a:p>
      </dsp:txBody>
      <dsp:txXfrm>
        <a:off x="4644200" y="2927303"/>
        <a:ext cx="1164761" cy="514788"/>
      </dsp:txXfrm>
    </dsp:sp>
    <dsp:sp modelId="{9C592066-61CB-4BED-83F3-FBEBFEA862AE}">
      <dsp:nvSpPr>
        <dsp:cNvPr id="0" name=""/>
        <dsp:cNvSpPr/>
      </dsp:nvSpPr>
      <dsp:spPr>
        <a:xfrm>
          <a:off x="4650213" y="3523280"/>
          <a:ext cx="1164761" cy="452720"/>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Vybudovat varovný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a vyrozumívací systém</a:t>
          </a:r>
        </a:p>
      </dsp:txBody>
      <dsp:txXfrm>
        <a:off x="4650213" y="3523280"/>
        <a:ext cx="1164761" cy="452720"/>
      </dsp:txXfrm>
    </dsp:sp>
    <dsp:sp modelId="{4A23F757-1AAE-41A0-9F49-1D8ECD8B9F2C}">
      <dsp:nvSpPr>
        <dsp:cNvPr id="0" name=""/>
        <dsp:cNvSpPr/>
      </dsp:nvSpPr>
      <dsp:spPr>
        <a:xfrm>
          <a:off x="6016869" y="854222"/>
          <a:ext cx="2829951" cy="606257"/>
        </a:xfrm>
        <a:prstGeom prst="rect">
          <a:avLst/>
        </a:prstGeom>
        <a:solidFill>
          <a:sysClr val="window" lastClr="FFFFFF">
            <a:lumMod val="7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u="none" kern="1200" baseline="0">
              <a:solidFill>
                <a:sysClr val="windowText" lastClr="000000"/>
              </a:solidFill>
              <a:latin typeface="Calibri" panose="020F0502020204030204"/>
              <a:ea typeface="+mn-ea"/>
              <a:cs typeface="+mn-cs"/>
            </a:rPr>
            <a:t>Strategický cíl 1.3</a:t>
          </a:r>
        </a:p>
        <a:p>
          <a:pPr marL="0" lvl="0" indent="0" algn="ctr" defTabSz="400050">
            <a:lnSpc>
              <a:spcPct val="90000"/>
            </a:lnSpc>
            <a:spcBef>
              <a:spcPct val="0"/>
            </a:spcBef>
            <a:spcAft>
              <a:spcPts val="0"/>
            </a:spcAft>
            <a:buNone/>
          </a:pPr>
          <a:r>
            <a:rPr lang="cs-CZ" sz="900" b="1" u="none" kern="1200">
              <a:solidFill>
                <a:sysClr val="windowText" lastClr="000000"/>
              </a:solidFill>
              <a:latin typeface="Calibri" panose="020F0502020204030204"/>
              <a:ea typeface="+mn-ea"/>
              <a:cs typeface="+mn-cs"/>
            </a:rPr>
            <a:t>Zlepšit stav budov a vytipovaných ploch ve vlastnictví obce </a:t>
          </a:r>
          <a:br>
            <a:rPr lang="cs-CZ" sz="900" b="1" u="none" kern="1200">
              <a:solidFill>
                <a:sysClr val="windowText" lastClr="000000"/>
              </a:solidFill>
              <a:latin typeface="Calibri" panose="020F0502020204030204"/>
              <a:ea typeface="+mn-ea"/>
              <a:cs typeface="+mn-cs"/>
            </a:rPr>
          </a:br>
          <a:r>
            <a:rPr lang="cs-CZ" sz="900" b="1" u="none" kern="1200">
              <a:solidFill>
                <a:sysClr val="windowText" lastClr="000000"/>
              </a:solidFill>
              <a:latin typeface="Calibri" panose="020F0502020204030204"/>
              <a:ea typeface="+mn-ea"/>
              <a:cs typeface="+mn-cs"/>
            </a:rPr>
            <a:t>či majících charakter veřejné infrastruktury</a:t>
          </a:r>
          <a:endParaRPr lang="cs-CZ" sz="900" b="1" u="none" kern="1200" baseline="0">
            <a:solidFill>
              <a:sysClr val="windowText" lastClr="000000"/>
            </a:solidFill>
            <a:latin typeface="Calibri" panose="020F0502020204030204"/>
            <a:ea typeface="+mn-ea"/>
            <a:cs typeface="+mn-cs"/>
          </a:endParaRPr>
        </a:p>
      </dsp:txBody>
      <dsp:txXfrm>
        <a:off x="6016869" y="854222"/>
        <a:ext cx="2829951" cy="606257"/>
      </dsp:txXfrm>
    </dsp:sp>
    <dsp:sp modelId="{3BF94813-5A36-4666-8B08-54E226EBAE21}">
      <dsp:nvSpPr>
        <dsp:cNvPr id="0" name=""/>
        <dsp:cNvSpPr/>
      </dsp:nvSpPr>
      <dsp:spPr>
        <a:xfrm>
          <a:off x="6157385" y="1629295"/>
          <a:ext cx="1181945" cy="715160"/>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u="none" kern="1200">
              <a:solidFill>
                <a:sysClr val="windowText" lastClr="000000"/>
              </a:solidFill>
              <a:latin typeface="Calibri" panose="020F0502020204030204"/>
              <a:ea typeface="+mn-ea"/>
              <a:cs typeface="+mn-cs"/>
            </a:rPr>
            <a:t>Zkvalitnit stav budov </a:t>
          </a:r>
          <a:br>
            <a:rPr lang="cs-CZ" sz="900" b="1" u="none" kern="1200">
              <a:solidFill>
                <a:sysClr val="windowText" lastClr="000000"/>
              </a:solidFill>
              <a:latin typeface="Calibri" panose="020F0502020204030204"/>
              <a:ea typeface="+mn-ea"/>
              <a:cs typeface="+mn-cs"/>
            </a:rPr>
          </a:br>
          <a:r>
            <a:rPr lang="cs-CZ" sz="900" b="1" u="none" kern="1200">
              <a:solidFill>
                <a:sysClr val="windowText" lastClr="000000"/>
              </a:solidFill>
              <a:latin typeface="Calibri" panose="020F0502020204030204"/>
              <a:ea typeface="+mn-ea"/>
              <a:cs typeface="+mn-cs"/>
            </a:rPr>
            <a:t>ve vlastnictví obce</a:t>
          </a:r>
        </a:p>
      </dsp:txBody>
      <dsp:txXfrm>
        <a:off x="6157385" y="1629295"/>
        <a:ext cx="1181945" cy="715160"/>
      </dsp:txXfrm>
    </dsp:sp>
    <dsp:sp modelId="{2DD99029-3C21-4E6E-A9F8-65F189509F28}">
      <dsp:nvSpPr>
        <dsp:cNvPr id="0" name=""/>
        <dsp:cNvSpPr/>
      </dsp:nvSpPr>
      <dsp:spPr>
        <a:xfrm>
          <a:off x="6363796" y="2420002"/>
          <a:ext cx="997336" cy="495229"/>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Zajistit komplexní rekonstrukci budovy s č. p. 50</a:t>
          </a:r>
        </a:p>
      </dsp:txBody>
      <dsp:txXfrm>
        <a:off x="6363796" y="2420002"/>
        <a:ext cx="997336" cy="495229"/>
      </dsp:txXfrm>
    </dsp:sp>
    <dsp:sp modelId="{112C79E5-1495-4DCF-88AA-D43981363B1C}">
      <dsp:nvSpPr>
        <dsp:cNvPr id="0" name=""/>
        <dsp:cNvSpPr/>
      </dsp:nvSpPr>
      <dsp:spPr>
        <a:xfrm>
          <a:off x="6362537" y="2988613"/>
          <a:ext cx="997336" cy="488320"/>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u="none" kern="1200">
              <a:solidFill>
                <a:sysClr val="windowText" lastClr="000000"/>
              </a:solidFill>
              <a:latin typeface="Calibri" panose="020F0502020204030204"/>
              <a:ea typeface="+mn-ea"/>
              <a:cs typeface="+mn-cs"/>
            </a:rPr>
            <a:t>Rekonstruovat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domek hrobníka</a:t>
          </a:r>
        </a:p>
      </dsp:txBody>
      <dsp:txXfrm>
        <a:off x="6362537" y="2988613"/>
        <a:ext cx="997336" cy="488320"/>
      </dsp:txXfrm>
    </dsp:sp>
    <dsp:sp modelId="{9EB7B49E-8D9E-4AD2-9A4E-ED383079A315}">
      <dsp:nvSpPr>
        <dsp:cNvPr id="0" name=""/>
        <dsp:cNvSpPr/>
      </dsp:nvSpPr>
      <dsp:spPr>
        <a:xfrm>
          <a:off x="6358960" y="3545815"/>
          <a:ext cx="997336" cy="496325"/>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Zlepšit stav interiéru Kostela sv. Anny</a:t>
          </a:r>
        </a:p>
      </dsp:txBody>
      <dsp:txXfrm>
        <a:off x="6358960" y="3545815"/>
        <a:ext cx="997336" cy="496325"/>
      </dsp:txXfrm>
    </dsp:sp>
    <dsp:sp modelId="{75EF16CF-B452-4115-959B-09C378F8DCE5}">
      <dsp:nvSpPr>
        <dsp:cNvPr id="0" name=""/>
        <dsp:cNvSpPr/>
      </dsp:nvSpPr>
      <dsp:spPr>
        <a:xfrm>
          <a:off x="7536586" y="1630943"/>
          <a:ext cx="1369289" cy="715160"/>
        </a:xfrm>
        <a:prstGeom prst="rect">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u="none" kern="1200">
              <a:solidFill>
                <a:sysClr val="windowText" lastClr="000000"/>
              </a:solidFill>
              <a:latin typeface="Calibri" panose="020F0502020204030204"/>
              <a:ea typeface="+mn-ea"/>
              <a:cs typeface="+mn-cs"/>
            </a:rPr>
            <a:t>Usilovat o zlepšení stavu staveb a ploch majících charakter veřejné infrastruktury</a:t>
          </a:r>
        </a:p>
      </dsp:txBody>
      <dsp:txXfrm>
        <a:off x="7536586" y="1630943"/>
        <a:ext cx="1369289" cy="715160"/>
      </dsp:txXfrm>
    </dsp:sp>
    <dsp:sp modelId="{A0A4BFA2-A2D5-4A25-B2FE-25BFDD94CA11}">
      <dsp:nvSpPr>
        <dsp:cNvPr id="0" name=""/>
        <dsp:cNvSpPr/>
      </dsp:nvSpPr>
      <dsp:spPr>
        <a:xfrm>
          <a:off x="7736318" y="2418611"/>
          <a:ext cx="1168675" cy="523996"/>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Zlepšit stav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autobusových zastávek</a:t>
          </a:r>
        </a:p>
      </dsp:txBody>
      <dsp:txXfrm>
        <a:off x="7736318" y="2418611"/>
        <a:ext cx="1168675" cy="523996"/>
      </dsp:txXfrm>
    </dsp:sp>
    <dsp:sp modelId="{C22F5DAA-6A58-483D-A786-31C7E8B9C100}">
      <dsp:nvSpPr>
        <dsp:cNvPr id="0" name=""/>
        <dsp:cNvSpPr/>
      </dsp:nvSpPr>
      <dsp:spPr>
        <a:xfrm>
          <a:off x="7738487" y="3022550"/>
          <a:ext cx="1169292" cy="629355"/>
        </a:xfrm>
        <a:prstGeom prst="rect">
          <a:avLst/>
        </a:prstGeom>
        <a:solidFill>
          <a:sysClr val="window" lastClr="FFFFFF">
            <a:lumMod val="9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Opravit schody nacházející se poblíž sochy sv. Jana Nepomuckého</a:t>
          </a:r>
        </a:p>
      </dsp:txBody>
      <dsp:txXfrm>
        <a:off x="7738487" y="3022550"/>
        <a:ext cx="1169292" cy="6293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B71B8-5218-48B4-8051-C61B2AAE1194}">
      <dsp:nvSpPr>
        <dsp:cNvPr id="0" name=""/>
        <dsp:cNvSpPr/>
      </dsp:nvSpPr>
      <dsp:spPr>
        <a:xfrm>
          <a:off x="7563232" y="2323389"/>
          <a:ext cx="91440" cy="2702095"/>
        </a:xfrm>
        <a:custGeom>
          <a:avLst/>
          <a:gdLst/>
          <a:ahLst/>
          <a:cxnLst/>
          <a:rect l="0" t="0" r="0" b="0"/>
          <a:pathLst>
            <a:path>
              <a:moveTo>
                <a:pt x="45720" y="0"/>
              </a:moveTo>
              <a:lnTo>
                <a:pt x="45720" y="2702095"/>
              </a:lnTo>
              <a:lnTo>
                <a:pt x="104915" y="2702095"/>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E8F4FF5D-C749-44D7-BC1A-C963819ED6D7}">
      <dsp:nvSpPr>
        <dsp:cNvPr id="0" name=""/>
        <dsp:cNvSpPr/>
      </dsp:nvSpPr>
      <dsp:spPr>
        <a:xfrm>
          <a:off x="7563232" y="2323389"/>
          <a:ext cx="91440" cy="2124057"/>
        </a:xfrm>
        <a:custGeom>
          <a:avLst/>
          <a:gdLst/>
          <a:ahLst/>
          <a:cxnLst/>
          <a:rect l="0" t="0" r="0" b="0"/>
          <a:pathLst>
            <a:path>
              <a:moveTo>
                <a:pt x="45720" y="0"/>
              </a:moveTo>
              <a:lnTo>
                <a:pt x="45720" y="2124057"/>
              </a:lnTo>
              <a:lnTo>
                <a:pt x="104915" y="2124057"/>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F5FC3E46-0C06-4311-AC9F-CE4959F65759}">
      <dsp:nvSpPr>
        <dsp:cNvPr id="0" name=""/>
        <dsp:cNvSpPr/>
      </dsp:nvSpPr>
      <dsp:spPr>
        <a:xfrm>
          <a:off x="7563232" y="2323389"/>
          <a:ext cx="91440" cy="1477821"/>
        </a:xfrm>
        <a:custGeom>
          <a:avLst/>
          <a:gdLst/>
          <a:ahLst/>
          <a:cxnLst/>
          <a:rect l="0" t="0" r="0" b="0"/>
          <a:pathLst>
            <a:path>
              <a:moveTo>
                <a:pt x="45720" y="0"/>
              </a:moveTo>
              <a:lnTo>
                <a:pt x="45720" y="1477821"/>
              </a:lnTo>
              <a:lnTo>
                <a:pt x="104915" y="1477821"/>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F1F04FE5-60D0-42CE-B901-5B5F51BFA723}">
      <dsp:nvSpPr>
        <dsp:cNvPr id="0" name=""/>
        <dsp:cNvSpPr/>
      </dsp:nvSpPr>
      <dsp:spPr>
        <a:xfrm>
          <a:off x="7563232" y="2323389"/>
          <a:ext cx="91440" cy="853703"/>
        </a:xfrm>
        <a:custGeom>
          <a:avLst/>
          <a:gdLst/>
          <a:ahLst/>
          <a:cxnLst/>
          <a:rect l="0" t="0" r="0" b="0"/>
          <a:pathLst>
            <a:path>
              <a:moveTo>
                <a:pt x="45720" y="0"/>
              </a:moveTo>
              <a:lnTo>
                <a:pt x="45720" y="853703"/>
              </a:lnTo>
              <a:lnTo>
                <a:pt x="104915" y="853703"/>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F37535CB-5028-4158-B8BB-B599F370A339}">
      <dsp:nvSpPr>
        <dsp:cNvPr id="0" name=""/>
        <dsp:cNvSpPr/>
      </dsp:nvSpPr>
      <dsp:spPr>
        <a:xfrm>
          <a:off x="7563232" y="2323389"/>
          <a:ext cx="91440" cy="276564"/>
        </a:xfrm>
        <a:custGeom>
          <a:avLst/>
          <a:gdLst/>
          <a:ahLst/>
          <a:cxnLst/>
          <a:rect l="0" t="0" r="0" b="0"/>
          <a:pathLst>
            <a:path>
              <a:moveTo>
                <a:pt x="45720" y="0"/>
              </a:moveTo>
              <a:lnTo>
                <a:pt x="45720" y="276564"/>
              </a:lnTo>
              <a:lnTo>
                <a:pt x="96472" y="276564"/>
              </a:lnTo>
            </a:path>
          </a:pathLst>
        </a:custGeom>
        <a:noFill/>
        <a:ln w="12700" cap="flat" cmpd="sng" algn="ctr">
          <a:solidFill>
            <a:srgbClr val="5B9BD5">
              <a:lumMod val="60000"/>
              <a:lumOff val="40000"/>
            </a:srgb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17A3FD81-5A2B-4F95-9673-FF298F7075E3}">
      <dsp:nvSpPr>
        <dsp:cNvPr id="0" name=""/>
        <dsp:cNvSpPr/>
      </dsp:nvSpPr>
      <dsp:spPr>
        <a:xfrm>
          <a:off x="7426636" y="1457310"/>
          <a:ext cx="714836" cy="160432"/>
        </a:xfrm>
        <a:custGeom>
          <a:avLst/>
          <a:gdLst/>
          <a:ahLst/>
          <a:cxnLst/>
          <a:rect l="0" t="0" r="0" b="0"/>
          <a:pathLst>
            <a:path>
              <a:moveTo>
                <a:pt x="0" y="0"/>
              </a:moveTo>
              <a:lnTo>
                <a:pt x="0" y="120444"/>
              </a:lnTo>
              <a:lnTo>
                <a:pt x="714836" y="120444"/>
              </a:lnTo>
              <a:lnTo>
                <a:pt x="714836" y="160432"/>
              </a:lnTo>
            </a:path>
          </a:pathLst>
        </a:custGeom>
        <a:noFill/>
        <a:ln w="19050" cap="flat" cmpd="sng" algn="ctr">
          <a:solidFill>
            <a:srgbClr val="5B9BD5">
              <a:lumMod val="60000"/>
              <a:lumOff val="40000"/>
            </a:srgb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034770C3-9461-4C5D-85D2-55944645916A}">
      <dsp:nvSpPr>
        <dsp:cNvPr id="0" name=""/>
        <dsp:cNvSpPr/>
      </dsp:nvSpPr>
      <dsp:spPr>
        <a:xfrm>
          <a:off x="6050210" y="2321723"/>
          <a:ext cx="91440" cy="1439176"/>
        </a:xfrm>
        <a:custGeom>
          <a:avLst/>
          <a:gdLst/>
          <a:ahLst/>
          <a:cxnLst/>
          <a:rect l="0" t="0" r="0" b="0"/>
          <a:pathLst>
            <a:path>
              <a:moveTo>
                <a:pt x="45720" y="0"/>
              </a:moveTo>
              <a:lnTo>
                <a:pt x="45720" y="1439176"/>
              </a:lnTo>
              <a:lnTo>
                <a:pt x="134213" y="1439176"/>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17CE2F9B-DF96-4CF8-8289-1791B7CC5B0D}">
      <dsp:nvSpPr>
        <dsp:cNvPr id="0" name=""/>
        <dsp:cNvSpPr/>
      </dsp:nvSpPr>
      <dsp:spPr>
        <a:xfrm>
          <a:off x="6050210" y="2321723"/>
          <a:ext cx="91440" cy="877097"/>
        </a:xfrm>
        <a:custGeom>
          <a:avLst/>
          <a:gdLst/>
          <a:ahLst/>
          <a:cxnLst/>
          <a:rect l="0" t="0" r="0" b="0"/>
          <a:pathLst>
            <a:path>
              <a:moveTo>
                <a:pt x="45720" y="0"/>
              </a:moveTo>
              <a:lnTo>
                <a:pt x="45720" y="877097"/>
              </a:lnTo>
              <a:lnTo>
                <a:pt x="134213" y="877097"/>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6BC52012-2DCA-4E5D-97ED-4A23D2EB49C6}">
      <dsp:nvSpPr>
        <dsp:cNvPr id="0" name=""/>
        <dsp:cNvSpPr/>
      </dsp:nvSpPr>
      <dsp:spPr>
        <a:xfrm>
          <a:off x="6050210" y="2321723"/>
          <a:ext cx="91440" cy="311800"/>
        </a:xfrm>
        <a:custGeom>
          <a:avLst/>
          <a:gdLst/>
          <a:ahLst/>
          <a:cxnLst/>
          <a:rect l="0" t="0" r="0" b="0"/>
          <a:pathLst>
            <a:path>
              <a:moveTo>
                <a:pt x="45720" y="0"/>
              </a:moveTo>
              <a:lnTo>
                <a:pt x="45720" y="311800"/>
              </a:lnTo>
              <a:lnTo>
                <a:pt x="131368" y="311800"/>
              </a:lnTo>
            </a:path>
          </a:pathLst>
        </a:custGeom>
        <a:noFill/>
        <a:ln w="12700" cap="flat" cmpd="sng" algn="ctr">
          <a:solidFill>
            <a:srgbClr val="5B9BD5">
              <a:lumMod val="60000"/>
              <a:lumOff val="40000"/>
            </a:srgb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373BB783-128C-4A5F-B09F-2C6B132A3CA3}">
      <dsp:nvSpPr>
        <dsp:cNvPr id="0" name=""/>
        <dsp:cNvSpPr/>
      </dsp:nvSpPr>
      <dsp:spPr>
        <a:xfrm>
          <a:off x="6679961" y="1457310"/>
          <a:ext cx="746674" cy="158766"/>
        </a:xfrm>
        <a:custGeom>
          <a:avLst/>
          <a:gdLst/>
          <a:ahLst/>
          <a:cxnLst/>
          <a:rect l="0" t="0" r="0" b="0"/>
          <a:pathLst>
            <a:path>
              <a:moveTo>
                <a:pt x="746674" y="0"/>
              </a:moveTo>
              <a:lnTo>
                <a:pt x="746674" y="118778"/>
              </a:lnTo>
              <a:lnTo>
                <a:pt x="0" y="118778"/>
              </a:lnTo>
              <a:lnTo>
                <a:pt x="0" y="158766"/>
              </a:lnTo>
            </a:path>
          </a:pathLst>
        </a:custGeom>
        <a:noFill/>
        <a:ln w="19050" cap="flat" cmpd="sng" algn="ctr">
          <a:solidFill>
            <a:srgbClr val="5B9BD5">
              <a:lumMod val="60000"/>
              <a:lumOff val="40000"/>
            </a:srgb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84F32059-3046-49B2-A372-EF6EF86439AC}">
      <dsp:nvSpPr>
        <dsp:cNvPr id="0" name=""/>
        <dsp:cNvSpPr/>
      </dsp:nvSpPr>
      <dsp:spPr>
        <a:xfrm>
          <a:off x="4216570" y="694263"/>
          <a:ext cx="3210066" cy="164854"/>
        </a:xfrm>
        <a:custGeom>
          <a:avLst/>
          <a:gdLst/>
          <a:ahLst/>
          <a:cxnLst/>
          <a:rect l="0" t="0" r="0" b="0"/>
          <a:pathLst>
            <a:path>
              <a:moveTo>
                <a:pt x="0" y="0"/>
              </a:moveTo>
              <a:lnTo>
                <a:pt x="0" y="124866"/>
              </a:lnTo>
              <a:lnTo>
                <a:pt x="3210066" y="124866"/>
              </a:lnTo>
              <a:lnTo>
                <a:pt x="3210066" y="164854"/>
              </a:lnTo>
            </a:path>
          </a:pathLst>
        </a:custGeom>
        <a:noFill/>
        <a:ln w="28575" cap="flat" cmpd="sng" algn="ctr">
          <a:solidFill>
            <a:srgbClr val="5B9BD5">
              <a:lumMod val="60000"/>
              <a:lumOff val="40000"/>
            </a:srgb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C7A1DAA0-BD7D-4662-AE61-9D85591C32D8}">
      <dsp:nvSpPr>
        <dsp:cNvPr id="0" name=""/>
        <dsp:cNvSpPr/>
      </dsp:nvSpPr>
      <dsp:spPr>
        <a:xfrm>
          <a:off x="4409190" y="2319290"/>
          <a:ext cx="101395" cy="2433885"/>
        </a:xfrm>
        <a:custGeom>
          <a:avLst/>
          <a:gdLst/>
          <a:ahLst/>
          <a:cxnLst/>
          <a:rect l="0" t="0" r="0" b="0"/>
          <a:pathLst>
            <a:path>
              <a:moveTo>
                <a:pt x="0" y="0"/>
              </a:moveTo>
              <a:lnTo>
                <a:pt x="0" y="2433885"/>
              </a:lnTo>
              <a:lnTo>
                <a:pt x="101395" y="2433885"/>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25284607-949C-41B4-984A-37F3AC1C0D34}">
      <dsp:nvSpPr>
        <dsp:cNvPr id="0" name=""/>
        <dsp:cNvSpPr/>
      </dsp:nvSpPr>
      <dsp:spPr>
        <a:xfrm>
          <a:off x="4409190" y="2319290"/>
          <a:ext cx="101395" cy="1907211"/>
        </a:xfrm>
        <a:custGeom>
          <a:avLst/>
          <a:gdLst/>
          <a:ahLst/>
          <a:cxnLst/>
          <a:rect l="0" t="0" r="0" b="0"/>
          <a:pathLst>
            <a:path>
              <a:moveTo>
                <a:pt x="0" y="0"/>
              </a:moveTo>
              <a:lnTo>
                <a:pt x="0" y="1907211"/>
              </a:lnTo>
              <a:lnTo>
                <a:pt x="101395" y="1907211"/>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08020C02-9C7F-41FF-849B-6327EA92921E}">
      <dsp:nvSpPr>
        <dsp:cNvPr id="0" name=""/>
        <dsp:cNvSpPr/>
      </dsp:nvSpPr>
      <dsp:spPr>
        <a:xfrm>
          <a:off x="4409190" y="2319290"/>
          <a:ext cx="93774" cy="1380537"/>
        </a:xfrm>
        <a:custGeom>
          <a:avLst/>
          <a:gdLst/>
          <a:ahLst/>
          <a:cxnLst/>
          <a:rect l="0" t="0" r="0" b="0"/>
          <a:pathLst>
            <a:path>
              <a:moveTo>
                <a:pt x="0" y="0"/>
              </a:moveTo>
              <a:lnTo>
                <a:pt x="0" y="1380537"/>
              </a:lnTo>
              <a:lnTo>
                <a:pt x="93774" y="1380537"/>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8F79E931-D75A-4D4F-8EF9-58DAB1F40195}">
      <dsp:nvSpPr>
        <dsp:cNvPr id="0" name=""/>
        <dsp:cNvSpPr/>
      </dsp:nvSpPr>
      <dsp:spPr>
        <a:xfrm>
          <a:off x="4409190" y="2319290"/>
          <a:ext cx="95462" cy="823110"/>
        </a:xfrm>
        <a:custGeom>
          <a:avLst/>
          <a:gdLst/>
          <a:ahLst/>
          <a:cxnLst/>
          <a:rect l="0" t="0" r="0" b="0"/>
          <a:pathLst>
            <a:path>
              <a:moveTo>
                <a:pt x="0" y="0"/>
              </a:moveTo>
              <a:lnTo>
                <a:pt x="0" y="823110"/>
              </a:lnTo>
              <a:lnTo>
                <a:pt x="95462" y="823110"/>
              </a:lnTo>
            </a:path>
          </a:pathLst>
        </a:custGeom>
        <a:noFill/>
        <a:ln w="12700" cap="flat" cmpd="sng" algn="ctr">
          <a:solidFill>
            <a:srgbClr val="5B9BD5">
              <a:lumMod val="60000"/>
              <a:lumOff val="40000"/>
            </a:srgb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790AED7A-811E-4494-8491-C39EF35ED672}">
      <dsp:nvSpPr>
        <dsp:cNvPr id="0" name=""/>
        <dsp:cNvSpPr/>
      </dsp:nvSpPr>
      <dsp:spPr>
        <a:xfrm>
          <a:off x="4409190" y="2319290"/>
          <a:ext cx="94460" cy="282154"/>
        </a:xfrm>
        <a:custGeom>
          <a:avLst/>
          <a:gdLst/>
          <a:ahLst/>
          <a:cxnLst/>
          <a:rect l="0" t="0" r="0" b="0"/>
          <a:pathLst>
            <a:path>
              <a:moveTo>
                <a:pt x="0" y="0"/>
              </a:moveTo>
              <a:lnTo>
                <a:pt x="0" y="282154"/>
              </a:lnTo>
              <a:lnTo>
                <a:pt x="94460" y="282154"/>
              </a:lnTo>
            </a:path>
          </a:pathLst>
        </a:custGeom>
        <a:noFill/>
        <a:ln w="12700" cap="flat" cmpd="sng" algn="ctr">
          <a:solidFill>
            <a:srgbClr val="5B9BD5">
              <a:lumMod val="60000"/>
              <a:lumOff val="40000"/>
            </a:srgb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BEF2EAC9-F187-4EDC-9AEA-E5AABEC0EB1E}">
      <dsp:nvSpPr>
        <dsp:cNvPr id="0" name=""/>
        <dsp:cNvSpPr/>
      </dsp:nvSpPr>
      <dsp:spPr>
        <a:xfrm>
          <a:off x="4213058" y="1463057"/>
          <a:ext cx="814130" cy="150586"/>
        </a:xfrm>
        <a:custGeom>
          <a:avLst/>
          <a:gdLst/>
          <a:ahLst/>
          <a:cxnLst/>
          <a:rect l="0" t="0" r="0" b="0"/>
          <a:pathLst>
            <a:path>
              <a:moveTo>
                <a:pt x="0" y="0"/>
              </a:moveTo>
              <a:lnTo>
                <a:pt x="0" y="110598"/>
              </a:lnTo>
              <a:lnTo>
                <a:pt x="814130" y="110598"/>
              </a:lnTo>
              <a:lnTo>
                <a:pt x="814130" y="150586"/>
              </a:lnTo>
            </a:path>
          </a:pathLst>
        </a:custGeom>
        <a:noFill/>
        <a:ln w="19050" cap="flat" cmpd="sng" algn="ctr">
          <a:solidFill>
            <a:srgbClr val="5B9BD5">
              <a:lumMod val="60000"/>
              <a:lumOff val="40000"/>
            </a:srgb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DF142F2C-1BE1-4D7A-AD36-9DE1D10F5A04}">
      <dsp:nvSpPr>
        <dsp:cNvPr id="0" name=""/>
        <dsp:cNvSpPr/>
      </dsp:nvSpPr>
      <dsp:spPr>
        <a:xfrm>
          <a:off x="2881521" y="2319151"/>
          <a:ext cx="91440" cy="2411752"/>
        </a:xfrm>
        <a:custGeom>
          <a:avLst/>
          <a:gdLst/>
          <a:ahLst/>
          <a:cxnLst/>
          <a:rect l="0" t="0" r="0" b="0"/>
          <a:pathLst>
            <a:path>
              <a:moveTo>
                <a:pt x="45720" y="0"/>
              </a:moveTo>
              <a:lnTo>
                <a:pt x="45720" y="2411752"/>
              </a:lnTo>
              <a:lnTo>
                <a:pt x="107870" y="2411752"/>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E3744603-9B52-4E13-9810-F633262CB01C}">
      <dsp:nvSpPr>
        <dsp:cNvPr id="0" name=""/>
        <dsp:cNvSpPr/>
      </dsp:nvSpPr>
      <dsp:spPr>
        <a:xfrm>
          <a:off x="2881521" y="2319151"/>
          <a:ext cx="91440" cy="1933533"/>
        </a:xfrm>
        <a:custGeom>
          <a:avLst/>
          <a:gdLst/>
          <a:ahLst/>
          <a:cxnLst/>
          <a:rect l="0" t="0" r="0" b="0"/>
          <a:pathLst>
            <a:path>
              <a:moveTo>
                <a:pt x="45720" y="0"/>
              </a:moveTo>
              <a:lnTo>
                <a:pt x="45720" y="1933533"/>
              </a:lnTo>
              <a:lnTo>
                <a:pt x="107870" y="1933533"/>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07CCB45D-67CF-40AE-8F50-27292F870F1E}">
      <dsp:nvSpPr>
        <dsp:cNvPr id="0" name=""/>
        <dsp:cNvSpPr/>
      </dsp:nvSpPr>
      <dsp:spPr>
        <a:xfrm>
          <a:off x="2881521" y="2319151"/>
          <a:ext cx="91440" cy="1427370"/>
        </a:xfrm>
        <a:custGeom>
          <a:avLst/>
          <a:gdLst/>
          <a:ahLst/>
          <a:cxnLst/>
          <a:rect l="0" t="0" r="0" b="0"/>
          <a:pathLst>
            <a:path>
              <a:moveTo>
                <a:pt x="45720" y="0"/>
              </a:moveTo>
              <a:lnTo>
                <a:pt x="45720" y="1427370"/>
              </a:lnTo>
              <a:lnTo>
                <a:pt x="107870" y="1427370"/>
              </a:lnTo>
            </a:path>
          </a:pathLst>
        </a:custGeom>
        <a:noFill/>
        <a:ln w="12700" cap="flat" cmpd="sng" algn="ctr">
          <a:solidFill>
            <a:srgbClr val="5B9BD5">
              <a:lumMod val="60000"/>
              <a:lumOff val="40000"/>
            </a:srgb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127B7C78-0FD5-41F7-8CAB-19982FCDADE2}">
      <dsp:nvSpPr>
        <dsp:cNvPr id="0" name=""/>
        <dsp:cNvSpPr/>
      </dsp:nvSpPr>
      <dsp:spPr>
        <a:xfrm>
          <a:off x="2881521" y="2319151"/>
          <a:ext cx="91440" cy="894988"/>
        </a:xfrm>
        <a:custGeom>
          <a:avLst/>
          <a:gdLst/>
          <a:ahLst/>
          <a:cxnLst/>
          <a:rect l="0" t="0" r="0" b="0"/>
          <a:pathLst>
            <a:path>
              <a:moveTo>
                <a:pt x="45720" y="0"/>
              </a:moveTo>
              <a:lnTo>
                <a:pt x="45720" y="894988"/>
              </a:lnTo>
              <a:lnTo>
                <a:pt x="102752" y="894988"/>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A90D7EAC-CA92-46B8-8137-9F6451FED97E}">
      <dsp:nvSpPr>
        <dsp:cNvPr id="0" name=""/>
        <dsp:cNvSpPr/>
      </dsp:nvSpPr>
      <dsp:spPr>
        <a:xfrm>
          <a:off x="2881521" y="2319151"/>
          <a:ext cx="91440" cy="331471"/>
        </a:xfrm>
        <a:custGeom>
          <a:avLst/>
          <a:gdLst/>
          <a:ahLst/>
          <a:cxnLst/>
          <a:rect l="0" t="0" r="0" b="0"/>
          <a:pathLst>
            <a:path>
              <a:moveTo>
                <a:pt x="45720" y="0"/>
              </a:moveTo>
              <a:lnTo>
                <a:pt x="45720" y="331471"/>
              </a:lnTo>
              <a:lnTo>
                <a:pt x="102752" y="331471"/>
              </a:lnTo>
            </a:path>
          </a:pathLst>
        </a:custGeom>
        <a:noFill/>
        <a:ln w="12700" cap="flat" cmpd="sng" algn="ctr">
          <a:solidFill>
            <a:srgbClr val="5B9BD5">
              <a:lumMod val="60000"/>
              <a:lumOff val="40000"/>
            </a:srgb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F69CB23E-FA84-42DB-B08B-A21A8DFD06A1}">
      <dsp:nvSpPr>
        <dsp:cNvPr id="0" name=""/>
        <dsp:cNvSpPr/>
      </dsp:nvSpPr>
      <dsp:spPr>
        <a:xfrm>
          <a:off x="3480703" y="1463057"/>
          <a:ext cx="732354" cy="150447"/>
        </a:xfrm>
        <a:custGeom>
          <a:avLst/>
          <a:gdLst/>
          <a:ahLst/>
          <a:cxnLst/>
          <a:rect l="0" t="0" r="0" b="0"/>
          <a:pathLst>
            <a:path>
              <a:moveTo>
                <a:pt x="732354" y="0"/>
              </a:moveTo>
              <a:lnTo>
                <a:pt x="732354" y="110459"/>
              </a:lnTo>
              <a:lnTo>
                <a:pt x="0" y="110459"/>
              </a:lnTo>
              <a:lnTo>
                <a:pt x="0" y="150447"/>
              </a:lnTo>
            </a:path>
          </a:pathLst>
        </a:custGeom>
        <a:noFill/>
        <a:ln w="19050" cap="flat" cmpd="sng" algn="ctr">
          <a:solidFill>
            <a:srgbClr val="5B9BD5">
              <a:lumMod val="60000"/>
              <a:lumOff val="40000"/>
            </a:srgb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F75DC991-44CE-406B-BD99-E05CBFC3597C}">
      <dsp:nvSpPr>
        <dsp:cNvPr id="0" name=""/>
        <dsp:cNvSpPr/>
      </dsp:nvSpPr>
      <dsp:spPr>
        <a:xfrm>
          <a:off x="4167338" y="694263"/>
          <a:ext cx="91440" cy="170601"/>
        </a:xfrm>
        <a:custGeom>
          <a:avLst/>
          <a:gdLst/>
          <a:ahLst/>
          <a:cxnLst/>
          <a:rect l="0" t="0" r="0" b="0"/>
          <a:pathLst>
            <a:path>
              <a:moveTo>
                <a:pt x="49231" y="0"/>
              </a:moveTo>
              <a:lnTo>
                <a:pt x="49231" y="130613"/>
              </a:lnTo>
              <a:lnTo>
                <a:pt x="45720" y="130613"/>
              </a:lnTo>
              <a:lnTo>
                <a:pt x="45720" y="170601"/>
              </a:lnTo>
            </a:path>
          </a:pathLst>
        </a:custGeom>
        <a:noFill/>
        <a:ln w="28575" cap="flat" cmpd="sng" algn="ctr">
          <a:solidFill>
            <a:srgbClr val="5B9BD5">
              <a:lumMod val="60000"/>
              <a:lumOff val="40000"/>
            </a:srgbClr>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647C1275-7891-413D-A763-CEF1DB279D94}">
      <dsp:nvSpPr>
        <dsp:cNvPr id="0" name=""/>
        <dsp:cNvSpPr/>
      </dsp:nvSpPr>
      <dsp:spPr>
        <a:xfrm>
          <a:off x="1448553" y="2308211"/>
          <a:ext cx="91440" cy="970528"/>
        </a:xfrm>
        <a:custGeom>
          <a:avLst/>
          <a:gdLst/>
          <a:ahLst/>
          <a:cxnLst/>
          <a:rect l="0" t="0" r="0" b="0"/>
          <a:pathLst>
            <a:path>
              <a:moveTo>
                <a:pt x="45720" y="0"/>
              </a:moveTo>
              <a:lnTo>
                <a:pt x="45720" y="970528"/>
              </a:lnTo>
              <a:lnTo>
                <a:pt x="105495" y="970528"/>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6ED7D0B0-AE7C-48F0-932A-CF7756D1D965}">
      <dsp:nvSpPr>
        <dsp:cNvPr id="0" name=""/>
        <dsp:cNvSpPr/>
      </dsp:nvSpPr>
      <dsp:spPr>
        <a:xfrm>
          <a:off x="1448553" y="2308211"/>
          <a:ext cx="91440" cy="356545"/>
        </a:xfrm>
        <a:custGeom>
          <a:avLst/>
          <a:gdLst/>
          <a:ahLst/>
          <a:cxnLst/>
          <a:rect l="0" t="0" r="0" b="0"/>
          <a:pathLst>
            <a:path>
              <a:moveTo>
                <a:pt x="45720" y="0"/>
              </a:moveTo>
              <a:lnTo>
                <a:pt x="45720" y="356545"/>
              </a:lnTo>
              <a:lnTo>
                <a:pt x="106710" y="356545"/>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9C23DC9A-B1F3-4AD3-A3CF-BA7738EFE431}">
      <dsp:nvSpPr>
        <dsp:cNvPr id="0" name=""/>
        <dsp:cNvSpPr/>
      </dsp:nvSpPr>
      <dsp:spPr>
        <a:xfrm>
          <a:off x="1324600" y="1458652"/>
          <a:ext cx="676910" cy="143912"/>
        </a:xfrm>
        <a:custGeom>
          <a:avLst/>
          <a:gdLst/>
          <a:ahLst/>
          <a:cxnLst/>
          <a:rect l="0" t="0" r="0" b="0"/>
          <a:pathLst>
            <a:path>
              <a:moveTo>
                <a:pt x="0" y="0"/>
              </a:moveTo>
              <a:lnTo>
                <a:pt x="0" y="103923"/>
              </a:lnTo>
              <a:lnTo>
                <a:pt x="676910" y="103923"/>
              </a:lnTo>
              <a:lnTo>
                <a:pt x="676910" y="143912"/>
              </a:lnTo>
            </a:path>
          </a:pathLst>
        </a:custGeom>
        <a:noFill/>
        <a:ln w="1905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2E8A66D7-765C-4F9D-A32F-D35362EDA44B}">
      <dsp:nvSpPr>
        <dsp:cNvPr id="0" name=""/>
        <dsp:cNvSpPr/>
      </dsp:nvSpPr>
      <dsp:spPr>
        <a:xfrm>
          <a:off x="84233" y="2309121"/>
          <a:ext cx="91440" cy="1712377"/>
        </a:xfrm>
        <a:custGeom>
          <a:avLst/>
          <a:gdLst/>
          <a:ahLst/>
          <a:cxnLst/>
          <a:rect l="0" t="0" r="0" b="0"/>
          <a:pathLst>
            <a:path>
              <a:moveTo>
                <a:pt x="45720" y="0"/>
              </a:moveTo>
              <a:lnTo>
                <a:pt x="45720" y="1712377"/>
              </a:lnTo>
              <a:lnTo>
                <a:pt x="102030" y="1712377"/>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DA554E03-40BD-44CF-8790-7AA329C45E42}">
      <dsp:nvSpPr>
        <dsp:cNvPr id="0" name=""/>
        <dsp:cNvSpPr/>
      </dsp:nvSpPr>
      <dsp:spPr>
        <a:xfrm>
          <a:off x="84233" y="2309121"/>
          <a:ext cx="91440" cy="1082623"/>
        </a:xfrm>
        <a:custGeom>
          <a:avLst/>
          <a:gdLst/>
          <a:ahLst/>
          <a:cxnLst/>
          <a:rect l="0" t="0" r="0" b="0"/>
          <a:pathLst>
            <a:path>
              <a:moveTo>
                <a:pt x="45720" y="0"/>
              </a:moveTo>
              <a:lnTo>
                <a:pt x="45720" y="1082623"/>
              </a:lnTo>
              <a:lnTo>
                <a:pt x="102913" y="1082623"/>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4177E1FB-1880-49C5-98C6-780ACA90E1B0}">
      <dsp:nvSpPr>
        <dsp:cNvPr id="0" name=""/>
        <dsp:cNvSpPr/>
      </dsp:nvSpPr>
      <dsp:spPr>
        <a:xfrm>
          <a:off x="84233" y="2309121"/>
          <a:ext cx="91440" cy="415563"/>
        </a:xfrm>
        <a:custGeom>
          <a:avLst/>
          <a:gdLst/>
          <a:ahLst/>
          <a:cxnLst/>
          <a:rect l="0" t="0" r="0" b="0"/>
          <a:pathLst>
            <a:path>
              <a:moveTo>
                <a:pt x="45720" y="0"/>
              </a:moveTo>
              <a:lnTo>
                <a:pt x="45720" y="415563"/>
              </a:lnTo>
              <a:lnTo>
                <a:pt x="102704" y="415563"/>
              </a:lnTo>
            </a:path>
          </a:pathLst>
        </a:custGeom>
        <a:noFill/>
        <a:ln w="1270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B26F875D-1D26-46AD-8FC8-DEC1F42F67CD}">
      <dsp:nvSpPr>
        <dsp:cNvPr id="0" name=""/>
        <dsp:cNvSpPr/>
      </dsp:nvSpPr>
      <dsp:spPr>
        <a:xfrm>
          <a:off x="649765" y="1458652"/>
          <a:ext cx="674834" cy="145039"/>
        </a:xfrm>
        <a:custGeom>
          <a:avLst/>
          <a:gdLst/>
          <a:ahLst/>
          <a:cxnLst/>
          <a:rect l="0" t="0" r="0" b="0"/>
          <a:pathLst>
            <a:path>
              <a:moveTo>
                <a:pt x="674834" y="0"/>
              </a:moveTo>
              <a:lnTo>
                <a:pt x="674834" y="105051"/>
              </a:lnTo>
              <a:lnTo>
                <a:pt x="0" y="105051"/>
              </a:lnTo>
              <a:lnTo>
                <a:pt x="0" y="145039"/>
              </a:lnTo>
            </a:path>
          </a:pathLst>
        </a:custGeom>
        <a:noFill/>
        <a:ln w="19050"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C893A817-868A-42D6-91D8-C39472590CC2}">
      <dsp:nvSpPr>
        <dsp:cNvPr id="0" name=""/>
        <dsp:cNvSpPr/>
      </dsp:nvSpPr>
      <dsp:spPr>
        <a:xfrm>
          <a:off x="1324600" y="694263"/>
          <a:ext cx="2891969" cy="166196"/>
        </a:xfrm>
        <a:custGeom>
          <a:avLst/>
          <a:gdLst/>
          <a:ahLst/>
          <a:cxnLst/>
          <a:rect l="0" t="0" r="0" b="0"/>
          <a:pathLst>
            <a:path>
              <a:moveTo>
                <a:pt x="2891969" y="0"/>
              </a:moveTo>
              <a:lnTo>
                <a:pt x="2891969" y="126208"/>
              </a:lnTo>
              <a:lnTo>
                <a:pt x="0" y="126208"/>
              </a:lnTo>
              <a:lnTo>
                <a:pt x="0" y="166196"/>
              </a:lnTo>
            </a:path>
          </a:pathLst>
        </a:custGeom>
        <a:noFill/>
        <a:ln w="28575" cap="flat" cmpd="sng" algn="ctr">
          <a:solidFill>
            <a:srgbClr val="5B9BD5">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D5C976BE-90F4-430A-A970-6B4381FC975B}">
      <dsp:nvSpPr>
        <dsp:cNvPr id="0" name=""/>
        <dsp:cNvSpPr/>
      </dsp:nvSpPr>
      <dsp:spPr>
        <a:xfrm>
          <a:off x="1261889" y="21973"/>
          <a:ext cx="5909360" cy="672290"/>
        </a:xfrm>
        <a:prstGeom prst="rect">
          <a:avLst/>
        </a:prstGeom>
        <a:solidFill>
          <a:srgbClr val="5B9BD5">
            <a:lumMod val="75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u="none" kern="1200">
              <a:solidFill>
                <a:sysClr val="windowText" lastClr="000000"/>
              </a:solidFill>
              <a:latin typeface="Calibri" panose="020F0502020204030204"/>
              <a:ea typeface="+mn-ea"/>
              <a:cs typeface="+mn-cs"/>
            </a:rPr>
            <a:t>VYBAVENOST A PROSTŘEDÍ OBCE</a:t>
          </a:r>
        </a:p>
      </dsp:txBody>
      <dsp:txXfrm>
        <a:off x="1261889" y="21973"/>
        <a:ext cx="5909360" cy="672290"/>
      </dsp:txXfrm>
    </dsp:sp>
    <dsp:sp modelId="{87D9F988-83C6-418A-A953-4DBA108E893C}">
      <dsp:nvSpPr>
        <dsp:cNvPr id="0" name=""/>
        <dsp:cNvSpPr/>
      </dsp:nvSpPr>
      <dsp:spPr>
        <a:xfrm>
          <a:off x="0" y="860460"/>
          <a:ext cx="2649200" cy="598192"/>
        </a:xfrm>
        <a:prstGeom prst="rect">
          <a:avLst/>
        </a:prstGeom>
        <a:solidFill>
          <a:srgbClr val="5B9BD5">
            <a:lumMod val="60000"/>
            <a:lumOff val="4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u="none" kern="1200" baseline="0">
              <a:solidFill>
                <a:sysClr val="windowText" lastClr="000000"/>
              </a:solidFill>
              <a:latin typeface="Calibri" panose="020F0502020204030204"/>
              <a:ea typeface="+mn-ea"/>
              <a:cs typeface="+mn-cs"/>
            </a:rPr>
            <a:t>Strategický cíl 2.1</a:t>
          </a:r>
        </a:p>
        <a:p>
          <a:pPr marL="0" lvl="0" indent="0" algn="ctr" defTabSz="400050">
            <a:lnSpc>
              <a:spcPct val="90000"/>
            </a:lnSpc>
            <a:spcBef>
              <a:spcPct val="0"/>
            </a:spcBef>
            <a:spcAft>
              <a:spcPct val="35000"/>
            </a:spcAft>
            <a:buNone/>
          </a:pPr>
          <a:r>
            <a:rPr lang="cs-CZ" sz="900" b="1" u="none" kern="1200">
              <a:solidFill>
                <a:sysClr val="windowText" lastClr="000000"/>
              </a:solidFill>
              <a:latin typeface="Calibri" panose="020F0502020204030204"/>
              <a:ea typeface="+mn-ea"/>
              <a:cs typeface="+mn-cs"/>
            </a:rPr>
            <a:t>Vytvořit a rozvíjet přirozené centrum obce</a:t>
          </a:r>
          <a:endParaRPr lang="cs-CZ" sz="900" u="none" kern="1200">
            <a:solidFill>
              <a:sysClr val="windowText" lastClr="000000"/>
            </a:solidFill>
            <a:latin typeface="Calibri" panose="020F0502020204030204"/>
            <a:ea typeface="+mn-ea"/>
            <a:cs typeface="+mn-cs"/>
          </a:endParaRPr>
        </a:p>
      </dsp:txBody>
      <dsp:txXfrm>
        <a:off x="0" y="860460"/>
        <a:ext cx="2649200" cy="598192"/>
      </dsp:txXfrm>
    </dsp:sp>
    <dsp:sp modelId="{16797997-7266-46B4-9CB4-0FC279F486EA}">
      <dsp:nvSpPr>
        <dsp:cNvPr id="0" name=""/>
        <dsp:cNvSpPr/>
      </dsp:nvSpPr>
      <dsp:spPr>
        <a:xfrm rot="10800000" flipV="1">
          <a:off x="0" y="1603692"/>
          <a:ext cx="1299531" cy="705429"/>
        </a:xfrm>
        <a:prstGeom prst="rect">
          <a:avLst/>
        </a:prstGeom>
        <a:solidFill>
          <a:srgbClr val="5B9BD5">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u="none" kern="1200">
              <a:solidFill>
                <a:sysClr val="windowText" lastClr="000000"/>
              </a:solidFill>
              <a:latin typeface="Calibri" panose="020F0502020204030204"/>
              <a:ea typeface="+mn-ea"/>
              <a:cs typeface="+mn-cs"/>
            </a:rPr>
            <a:t>Využít potenciálu </a:t>
          </a:r>
          <a:br>
            <a:rPr lang="cs-CZ" sz="900" b="1" u="none" kern="1200">
              <a:solidFill>
                <a:sysClr val="windowText" lastClr="000000"/>
              </a:solidFill>
              <a:latin typeface="Calibri" panose="020F0502020204030204"/>
              <a:ea typeface="+mn-ea"/>
              <a:cs typeface="+mn-cs"/>
            </a:rPr>
          </a:br>
          <a:r>
            <a:rPr lang="cs-CZ" sz="900" b="1" u="none" kern="1200">
              <a:solidFill>
                <a:sysClr val="windowText" lastClr="000000"/>
              </a:solidFill>
              <a:latin typeface="Calibri" panose="020F0502020204030204"/>
              <a:ea typeface="+mn-ea"/>
              <a:cs typeface="+mn-cs"/>
            </a:rPr>
            <a:t>budovy zámečku</a:t>
          </a:r>
          <a:endParaRPr lang="cs-CZ" sz="900" u="none" kern="1200">
            <a:solidFill>
              <a:sysClr val="windowText" lastClr="000000"/>
            </a:solidFill>
            <a:latin typeface="Calibri" panose="020F0502020204030204"/>
            <a:ea typeface="+mn-ea"/>
            <a:cs typeface="+mn-cs"/>
          </a:endParaRPr>
        </a:p>
      </dsp:txBody>
      <dsp:txXfrm rot="-10800000">
        <a:off x="0" y="1603692"/>
        <a:ext cx="1299531" cy="705429"/>
      </dsp:txXfrm>
    </dsp:sp>
    <dsp:sp modelId="{C314E26F-6362-4AA6-AC20-89CF8A23170C}">
      <dsp:nvSpPr>
        <dsp:cNvPr id="0" name=""/>
        <dsp:cNvSpPr/>
      </dsp:nvSpPr>
      <dsp:spPr>
        <a:xfrm>
          <a:off x="186937" y="2379373"/>
          <a:ext cx="1116000" cy="690624"/>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Zajistit možnost existence sociálního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a startovacího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bydlení v obci</a:t>
          </a:r>
        </a:p>
      </dsp:txBody>
      <dsp:txXfrm>
        <a:off x="186937" y="2379373"/>
        <a:ext cx="1116000" cy="690624"/>
      </dsp:txXfrm>
    </dsp:sp>
    <dsp:sp modelId="{A9077D6F-A0BD-4C1E-90C6-11C4BD3509B0}">
      <dsp:nvSpPr>
        <dsp:cNvPr id="0" name=""/>
        <dsp:cNvSpPr/>
      </dsp:nvSpPr>
      <dsp:spPr>
        <a:xfrm>
          <a:off x="187146" y="3143345"/>
          <a:ext cx="1116000" cy="496799"/>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Vybudovat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společenské centrum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v prostorách zámečku</a:t>
          </a:r>
        </a:p>
      </dsp:txBody>
      <dsp:txXfrm>
        <a:off x="187146" y="3143345"/>
        <a:ext cx="1116000" cy="496799"/>
      </dsp:txXfrm>
    </dsp:sp>
    <dsp:sp modelId="{57D27527-8CC6-49AA-B356-7BC3CEB693FF}">
      <dsp:nvSpPr>
        <dsp:cNvPr id="0" name=""/>
        <dsp:cNvSpPr/>
      </dsp:nvSpPr>
      <dsp:spPr>
        <a:xfrm>
          <a:off x="186263" y="3720827"/>
          <a:ext cx="1116000" cy="601343"/>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Podle potřeby využít budovu zámečku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i jiným způsobem</a:t>
          </a:r>
        </a:p>
      </dsp:txBody>
      <dsp:txXfrm>
        <a:off x="186263" y="3720827"/>
        <a:ext cx="1116000" cy="601343"/>
      </dsp:txXfrm>
    </dsp:sp>
    <dsp:sp modelId="{ADF3D91C-C56F-4101-A65E-88579DC63B73}">
      <dsp:nvSpPr>
        <dsp:cNvPr id="0" name=""/>
        <dsp:cNvSpPr/>
      </dsp:nvSpPr>
      <dsp:spPr>
        <a:xfrm>
          <a:off x="1367464" y="1602565"/>
          <a:ext cx="1268092" cy="705646"/>
        </a:xfrm>
        <a:prstGeom prst="rect">
          <a:avLst/>
        </a:prstGeom>
        <a:solidFill>
          <a:srgbClr val="5B9BD5">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u="none" kern="1200">
              <a:solidFill>
                <a:sysClr val="windowText" lastClr="000000"/>
              </a:solidFill>
              <a:latin typeface="Calibri" panose="020F0502020204030204"/>
              <a:ea typeface="+mn-ea"/>
              <a:cs typeface="+mn-cs"/>
            </a:rPr>
            <a:t>Revitalizovat okolí </a:t>
          </a:r>
          <a:br>
            <a:rPr lang="cs-CZ" sz="900" b="1" u="none" kern="1200">
              <a:solidFill>
                <a:sysClr val="windowText" lastClr="000000"/>
              </a:solidFill>
              <a:latin typeface="Calibri" panose="020F0502020204030204"/>
              <a:ea typeface="+mn-ea"/>
              <a:cs typeface="+mn-cs"/>
            </a:rPr>
          </a:br>
          <a:r>
            <a:rPr lang="cs-CZ" sz="900" b="1" u="none" kern="1200">
              <a:solidFill>
                <a:sysClr val="windowText" lastClr="000000"/>
              </a:solidFill>
              <a:latin typeface="Calibri" panose="020F0502020204030204"/>
              <a:ea typeface="+mn-ea"/>
              <a:cs typeface="+mn-cs"/>
            </a:rPr>
            <a:t>budovy zámečku</a:t>
          </a:r>
          <a:endParaRPr lang="cs-CZ" sz="900" u="none" kern="1200">
            <a:solidFill>
              <a:sysClr val="windowText" lastClr="000000"/>
            </a:solidFill>
            <a:latin typeface="Calibri" panose="020F0502020204030204"/>
            <a:ea typeface="+mn-ea"/>
            <a:cs typeface="+mn-cs"/>
          </a:endParaRPr>
        </a:p>
      </dsp:txBody>
      <dsp:txXfrm>
        <a:off x="1367464" y="1602565"/>
        <a:ext cx="1268092" cy="705646"/>
      </dsp:txXfrm>
    </dsp:sp>
    <dsp:sp modelId="{ADE861E2-A031-4E11-A772-B1FAF95DDD31}">
      <dsp:nvSpPr>
        <dsp:cNvPr id="0" name=""/>
        <dsp:cNvSpPr/>
      </dsp:nvSpPr>
      <dsp:spPr>
        <a:xfrm>
          <a:off x="1555264" y="2388368"/>
          <a:ext cx="1080685" cy="552776"/>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Zpracovat architektonickou studii areálu „Zámeček“</a:t>
          </a:r>
        </a:p>
      </dsp:txBody>
      <dsp:txXfrm>
        <a:off x="1555264" y="2388368"/>
        <a:ext cx="1080685" cy="552776"/>
      </dsp:txXfrm>
    </dsp:sp>
    <dsp:sp modelId="{35C0DAD1-66C3-4740-98A1-00A4BD0A4564}">
      <dsp:nvSpPr>
        <dsp:cNvPr id="0" name=""/>
        <dsp:cNvSpPr/>
      </dsp:nvSpPr>
      <dsp:spPr>
        <a:xfrm>
          <a:off x="1554049" y="3010468"/>
          <a:ext cx="1080414" cy="536543"/>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Revitalizovat park v okolí budovy zámečku</a:t>
          </a:r>
        </a:p>
      </dsp:txBody>
      <dsp:txXfrm>
        <a:off x="1554049" y="3010468"/>
        <a:ext cx="1080414" cy="536543"/>
      </dsp:txXfrm>
    </dsp:sp>
    <dsp:sp modelId="{A9634FF6-2749-44C9-B7B1-E1619ED40DAC}">
      <dsp:nvSpPr>
        <dsp:cNvPr id="0" name=""/>
        <dsp:cNvSpPr/>
      </dsp:nvSpPr>
      <dsp:spPr>
        <a:xfrm>
          <a:off x="2778207" y="864865"/>
          <a:ext cx="2869703" cy="598192"/>
        </a:xfrm>
        <a:prstGeom prst="rect">
          <a:avLst/>
        </a:prstGeom>
        <a:solidFill>
          <a:srgbClr val="5B9BD5">
            <a:lumMod val="60000"/>
            <a:lumOff val="4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u="none" kern="1200" baseline="0">
              <a:solidFill>
                <a:sysClr val="windowText" lastClr="000000"/>
              </a:solidFill>
              <a:latin typeface="Calibri" panose="020F0502020204030204"/>
              <a:ea typeface="+mn-ea"/>
              <a:cs typeface="+mn-cs"/>
            </a:rPr>
            <a:t>Strategický cíl 2.2</a:t>
          </a:r>
        </a:p>
        <a:p>
          <a:pPr marL="0" lvl="0" indent="0" algn="ctr" defTabSz="400050">
            <a:lnSpc>
              <a:spcPct val="90000"/>
            </a:lnSpc>
            <a:spcBef>
              <a:spcPct val="0"/>
            </a:spcBef>
            <a:spcAft>
              <a:spcPct val="35000"/>
            </a:spcAft>
            <a:buNone/>
          </a:pPr>
          <a:r>
            <a:rPr lang="cs-CZ" sz="900" b="1" u="none" kern="1200">
              <a:solidFill>
                <a:sysClr val="windowText" lastClr="000000"/>
              </a:solidFill>
              <a:latin typeface="Calibri" panose="020F0502020204030204"/>
              <a:ea typeface="+mn-ea"/>
              <a:cs typeface="+mn-cs"/>
            </a:rPr>
            <a:t>Zlepšovat prostředí obce prostřednictvím činností </a:t>
          </a:r>
          <a:br>
            <a:rPr lang="cs-CZ" sz="900" b="1" u="none" kern="1200">
              <a:solidFill>
                <a:sysClr val="windowText" lastClr="000000"/>
              </a:solidFill>
              <a:latin typeface="Calibri" panose="020F0502020204030204"/>
              <a:ea typeface="+mn-ea"/>
              <a:cs typeface="+mn-cs"/>
            </a:rPr>
          </a:br>
          <a:r>
            <a:rPr lang="cs-CZ" sz="900" b="1" u="none" kern="1200">
              <a:solidFill>
                <a:sysClr val="windowText" lastClr="000000"/>
              </a:solidFill>
              <a:latin typeface="Calibri" panose="020F0502020204030204"/>
              <a:ea typeface="+mn-ea"/>
              <a:cs typeface="+mn-cs"/>
            </a:rPr>
            <a:t>majících pozitivní vliv na něj</a:t>
          </a:r>
          <a:endParaRPr lang="cs-CZ" sz="900" u="none" kern="1200" baseline="0">
            <a:solidFill>
              <a:sysClr val="windowText" lastClr="000000"/>
            </a:solidFill>
            <a:latin typeface="Calibri" panose="020F0502020204030204"/>
            <a:ea typeface="+mn-ea"/>
            <a:cs typeface="+mn-cs"/>
          </a:endParaRPr>
        </a:p>
      </dsp:txBody>
      <dsp:txXfrm>
        <a:off x="2778207" y="864865"/>
        <a:ext cx="2869703" cy="598192"/>
      </dsp:txXfrm>
    </dsp:sp>
    <dsp:sp modelId="{C0E5A178-5117-4E98-BB64-AD9E497BE4C4}">
      <dsp:nvSpPr>
        <dsp:cNvPr id="0" name=""/>
        <dsp:cNvSpPr/>
      </dsp:nvSpPr>
      <dsp:spPr>
        <a:xfrm>
          <a:off x="2788876" y="1613504"/>
          <a:ext cx="1383655" cy="705646"/>
        </a:xfrm>
        <a:prstGeom prst="rect">
          <a:avLst/>
        </a:prstGeom>
        <a:solidFill>
          <a:srgbClr val="5B9BD5">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u="none" kern="1200">
              <a:solidFill>
                <a:sysClr val="windowText" lastClr="000000"/>
              </a:solidFill>
              <a:latin typeface="Calibri" panose="020F0502020204030204"/>
              <a:ea typeface="+mn-ea"/>
              <a:cs typeface="+mn-cs"/>
            </a:rPr>
            <a:t>Zdokonalovat systém odpadového hospodářství</a:t>
          </a:r>
        </a:p>
      </dsp:txBody>
      <dsp:txXfrm>
        <a:off x="2788876" y="1613504"/>
        <a:ext cx="1383655" cy="705646"/>
      </dsp:txXfrm>
    </dsp:sp>
    <dsp:sp modelId="{F24B21A5-C4F5-4DDF-95CB-8BAE3C275280}">
      <dsp:nvSpPr>
        <dsp:cNvPr id="0" name=""/>
        <dsp:cNvSpPr/>
      </dsp:nvSpPr>
      <dsp:spPr>
        <a:xfrm>
          <a:off x="2984274" y="2382422"/>
          <a:ext cx="1187998" cy="536400"/>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u="none" kern="1200">
              <a:solidFill>
                <a:sysClr val="windowText" lastClr="000000"/>
              </a:solidFill>
              <a:latin typeface="Calibri" panose="020F0502020204030204"/>
              <a:ea typeface="+mn-ea"/>
              <a:cs typeface="+mn-cs"/>
            </a:rPr>
            <a:t>Optimalizovat síť sběrných nádob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na tříděný odpad</a:t>
          </a:r>
          <a:endParaRPr lang="cs-CZ" sz="900" u="none" kern="1200" baseline="0">
            <a:solidFill>
              <a:sysClr val="windowText" lastClr="000000"/>
            </a:solidFill>
            <a:latin typeface="Calibri" panose="020F0502020204030204"/>
            <a:ea typeface="+mn-ea"/>
            <a:cs typeface="+mn-cs"/>
          </a:endParaRPr>
        </a:p>
      </dsp:txBody>
      <dsp:txXfrm>
        <a:off x="2984274" y="2382422"/>
        <a:ext cx="1187998" cy="536400"/>
      </dsp:txXfrm>
    </dsp:sp>
    <dsp:sp modelId="{730A1844-FDE1-4C92-A72E-79EF655C45D1}">
      <dsp:nvSpPr>
        <dsp:cNvPr id="0" name=""/>
        <dsp:cNvSpPr/>
      </dsp:nvSpPr>
      <dsp:spPr>
        <a:xfrm>
          <a:off x="2984274" y="2998799"/>
          <a:ext cx="1187998" cy="430681"/>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Uvažovat o zavedení tzv. systému „door to door“</a:t>
          </a:r>
          <a:endParaRPr lang="cs-CZ" sz="900" u="none" kern="1200" baseline="0">
            <a:solidFill>
              <a:sysClr val="windowText" lastClr="000000"/>
            </a:solidFill>
            <a:latin typeface="Calibri" panose="020F0502020204030204"/>
            <a:ea typeface="+mn-ea"/>
            <a:cs typeface="+mn-cs"/>
          </a:endParaRPr>
        </a:p>
      </dsp:txBody>
      <dsp:txXfrm>
        <a:off x="2984274" y="2998799"/>
        <a:ext cx="1187998" cy="430681"/>
      </dsp:txXfrm>
    </dsp:sp>
    <dsp:sp modelId="{CDD83C32-7E8A-49F2-902B-DC628C163915}">
      <dsp:nvSpPr>
        <dsp:cNvPr id="0" name=""/>
        <dsp:cNvSpPr/>
      </dsp:nvSpPr>
      <dsp:spPr>
        <a:xfrm>
          <a:off x="2989392" y="3501183"/>
          <a:ext cx="1187998" cy="490677"/>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u="none" kern="1200">
              <a:solidFill>
                <a:sysClr val="windowText" lastClr="000000"/>
              </a:solidFill>
              <a:latin typeface="Calibri" panose="020F0502020204030204"/>
              <a:ea typeface="+mn-ea"/>
              <a:cs typeface="+mn-cs"/>
            </a:rPr>
            <a:t>Podporovat aktivity prevence vzniku odpadů</a:t>
          </a:r>
        </a:p>
      </dsp:txBody>
      <dsp:txXfrm>
        <a:off x="2989392" y="3501183"/>
        <a:ext cx="1187998" cy="490677"/>
      </dsp:txXfrm>
    </dsp:sp>
    <dsp:sp modelId="{A23FE01C-F4FF-4CAC-96BD-BC041F74F53F}">
      <dsp:nvSpPr>
        <dsp:cNvPr id="0" name=""/>
        <dsp:cNvSpPr/>
      </dsp:nvSpPr>
      <dsp:spPr>
        <a:xfrm>
          <a:off x="2989392" y="4053562"/>
          <a:ext cx="1187998" cy="398243"/>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Uvažovat o vzniku sběrného místa v obci</a:t>
          </a:r>
        </a:p>
      </dsp:txBody>
      <dsp:txXfrm>
        <a:off x="2989392" y="4053562"/>
        <a:ext cx="1187998" cy="398243"/>
      </dsp:txXfrm>
    </dsp:sp>
    <dsp:sp modelId="{BE20C3D7-5DC1-4444-A965-6834A8741642}">
      <dsp:nvSpPr>
        <dsp:cNvPr id="0" name=""/>
        <dsp:cNvSpPr/>
      </dsp:nvSpPr>
      <dsp:spPr>
        <a:xfrm>
          <a:off x="2989392" y="4531782"/>
          <a:ext cx="1187998" cy="398243"/>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Uvažovat o vzniku kompostárny</a:t>
          </a:r>
        </a:p>
      </dsp:txBody>
      <dsp:txXfrm>
        <a:off x="2989392" y="4531782"/>
        <a:ext cx="1187998" cy="398243"/>
      </dsp:txXfrm>
    </dsp:sp>
    <dsp:sp modelId="{708737BF-934E-4C35-91CE-60FA57408673}">
      <dsp:nvSpPr>
        <dsp:cNvPr id="0" name=""/>
        <dsp:cNvSpPr/>
      </dsp:nvSpPr>
      <dsp:spPr>
        <a:xfrm>
          <a:off x="4254690" y="1613643"/>
          <a:ext cx="1544998" cy="705646"/>
        </a:xfrm>
        <a:prstGeom prst="rect">
          <a:avLst/>
        </a:prstGeom>
        <a:solidFill>
          <a:srgbClr val="5B9BD5">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u="none" kern="1200">
              <a:solidFill>
                <a:sysClr val="windowText" lastClr="000000"/>
              </a:solidFill>
              <a:latin typeface="Calibri" panose="020F0502020204030204"/>
              <a:ea typeface="+mn-ea"/>
              <a:cs typeface="+mn-cs"/>
            </a:rPr>
            <a:t>Usilovat o realizaci dalších aktivit vedoucích ke zlepšení prostředí obce</a:t>
          </a:r>
        </a:p>
      </dsp:txBody>
      <dsp:txXfrm>
        <a:off x="4254690" y="1613643"/>
        <a:ext cx="1544998" cy="705646"/>
      </dsp:txXfrm>
    </dsp:sp>
    <dsp:sp modelId="{24F24141-DE10-4AF5-9484-A1735AD8434B}">
      <dsp:nvSpPr>
        <dsp:cNvPr id="0" name=""/>
        <dsp:cNvSpPr/>
      </dsp:nvSpPr>
      <dsp:spPr>
        <a:xfrm>
          <a:off x="4503650" y="2385444"/>
          <a:ext cx="1296000" cy="432000"/>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Usilovat o realizaci komplexních pozemkových úprav</a:t>
          </a:r>
        </a:p>
      </dsp:txBody>
      <dsp:txXfrm>
        <a:off x="4503650" y="2385444"/>
        <a:ext cx="1296000" cy="432000"/>
      </dsp:txXfrm>
    </dsp:sp>
    <dsp:sp modelId="{EFA1F3BC-09CC-4868-8853-ECA0AED36E7D}">
      <dsp:nvSpPr>
        <dsp:cNvPr id="0" name=""/>
        <dsp:cNvSpPr/>
      </dsp:nvSpPr>
      <dsp:spPr>
        <a:xfrm>
          <a:off x="4504652" y="2888429"/>
          <a:ext cx="1296000" cy="507940"/>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u="none" kern="1200">
              <a:solidFill>
                <a:sysClr val="windowText" lastClr="000000"/>
              </a:solidFill>
              <a:latin typeface="Calibri" panose="020F0502020204030204"/>
              <a:ea typeface="+mn-ea"/>
              <a:cs typeface="+mn-cs"/>
            </a:rPr>
            <a:t>Regulovat novou výstavbu v lokalitě Dolníky</a:t>
          </a:r>
        </a:p>
      </dsp:txBody>
      <dsp:txXfrm>
        <a:off x="4504652" y="2888429"/>
        <a:ext cx="1296000" cy="507940"/>
      </dsp:txXfrm>
    </dsp:sp>
    <dsp:sp modelId="{9C592066-61CB-4BED-83F3-FBEBFEA862AE}">
      <dsp:nvSpPr>
        <dsp:cNvPr id="0" name=""/>
        <dsp:cNvSpPr/>
      </dsp:nvSpPr>
      <dsp:spPr>
        <a:xfrm>
          <a:off x="4502965" y="3476478"/>
          <a:ext cx="1296000" cy="446697"/>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Usilovat o obnovu historických cest</a:t>
          </a:r>
        </a:p>
      </dsp:txBody>
      <dsp:txXfrm>
        <a:off x="4502965" y="3476478"/>
        <a:ext cx="1296000" cy="446697"/>
      </dsp:txXfrm>
    </dsp:sp>
    <dsp:sp modelId="{EF370A94-3AFF-4958-9E56-BACC626417E1}">
      <dsp:nvSpPr>
        <dsp:cNvPr id="0" name=""/>
        <dsp:cNvSpPr/>
      </dsp:nvSpPr>
      <dsp:spPr>
        <a:xfrm>
          <a:off x="4510585" y="4003152"/>
          <a:ext cx="1296000" cy="446697"/>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Podporovat aktivity vedoucí k zadržování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vody v krajině</a:t>
          </a:r>
        </a:p>
      </dsp:txBody>
      <dsp:txXfrm>
        <a:off x="4510585" y="4003152"/>
        <a:ext cx="1296000" cy="446697"/>
      </dsp:txXfrm>
    </dsp:sp>
    <dsp:sp modelId="{967D5775-3315-4711-A3C5-8AA0110AF12C}">
      <dsp:nvSpPr>
        <dsp:cNvPr id="0" name=""/>
        <dsp:cNvSpPr/>
      </dsp:nvSpPr>
      <dsp:spPr>
        <a:xfrm>
          <a:off x="4510585" y="4529826"/>
          <a:ext cx="1296000" cy="446697"/>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Zlepšit údržbu Starobuckého potoka</a:t>
          </a:r>
        </a:p>
      </dsp:txBody>
      <dsp:txXfrm>
        <a:off x="4510585" y="4529826"/>
        <a:ext cx="1296000" cy="446697"/>
      </dsp:txXfrm>
    </dsp:sp>
    <dsp:sp modelId="{4A23F757-1AAE-41A0-9F49-1D8ECD8B9F2C}">
      <dsp:nvSpPr>
        <dsp:cNvPr id="0" name=""/>
        <dsp:cNvSpPr/>
      </dsp:nvSpPr>
      <dsp:spPr>
        <a:xfrm>
          <a:off x="6025504" y="859118"/>
          <a:ext cx="2802264" cy="598192"/>
        </a:xfrm>
        <a:prstGeom prst="rect">
          <a:avLst/>
        </a:prstGeom>
        <a:solidFill>
          <a:srgbClr val="5B9BD5">
            <a:lumMod val="60000"/>
            <a:lumOff val="4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u="none" kern="1200" baseline="0">
              <a:solidFill>
                <a:sysClr val="windowText" lastClr="000000"/>
              </a:solidFill>
              <a:latin typeface="Calibri" panose="020F0502020204030204"/>
              <a:ea typeface="+mn-ea"/>
              <a:cs typeface="+mn-cs"/>
            </a:rPr>
            <a:t>Strategický cíl 2.3</a:t>
          </a:r>
        </a:p>
        <a:p>
          <a:pPr marL="0" lvl="0" indent="0" algn="ctr" defTabSz="400050">
            <a:lnSpc>
              <a:spcPct val="90000"/>
            </a:lnSpc>
            <a:spcBef>
              <a:spcPct val="0"/>
            </a:spcBef>
            <a:spcAft>
              <a:spcPts val="0"/>
            </a:spcAft>
            <a:buNone/>
          </a:pPr>
          <a:r>
            <a:rPr lang="cs-CZ" sz="900" b="1" u="none" kern="1200">
              <a:solidFill>
                <a:sysClr val="windowText" lastClr="000000"/>
              </a:solidFill>
              <a:latin typeface="Calibri" panose="020F0502020204030204"/>
              <a:ea typeface="+mn-ea"/>
              <a:cs typeface="+mn-cs"/>
            </a:rPr>
            <a:t>Usilovat o zlepšení vybavenosti obce </a:t>
          </a:r>
          <a:br>
            <a:rPr lang="cs-CZ" sz="900" b="1" u="none" kern="1200">
              <a:solidFill>
                <a:sysClr val="windowText" lastClr="000000"/>
              </a:solidFill>
              <a:latin typeface="Calibri" panose="020F0502020204030204"/>
              <a:ea typeface="+mn-ea"/>
              <a:cs typeface="+mn-cs"/>
            </a:rPr>
          </a:br>
          <a:r>
            <a:rPr lang="cs-CZ" sz="900" b="1" u="none" kern="1200">
              <a:solidFill>
                <a:sysClr val="windowText" lastClr="000000"/>
              </a:solidFill>
              <a:latin typeface="Calibri" panose="020F0502020204030204"/>
              <a:ea typeface="+mn-ea"/>
              <a:cs typeface="+mn-cs"/>
            </a:rPr>
            <a:t>a dostupných služeb v obci</a:t>
          </a:r>
          <a:endParaRPr lang="cs-CZ" sz="900" b="1" u="none" kern="1200" baseline="0">
            <a:solidFill>
              <a:sysClr val="windowText" lastClr="000000"/>
            </a:solidFill>
            <a:latin typeface="Calibri" panose="020F0502020204030204"/>
            <a:ea typeface="+mn-ea"/>
            <a:cs typeface="+mn-cs"/>
          </a:endParaRPr>
        </a:p>
      </dsp:txBody>
      <dsp:txXfrm>
        <a:off x="6025504" y="859118"/>
        <a:ext cx="2802264" cy="598192"/>
      </dsp:txXfrm>
    </dsp:sp>
    <dsp:sp modelId="{3BF94813-5A36-4666-8B08-54E226EBAE21}">
      <dsp:nvSpPr>
        <dsp:cNvPr id="0" name=""/>
        <dsp:cNvSpPr/>
      </dsp:nvSpPr>
      <dsp:spPr>
        <a:xfrm>
          <a:off x="5949922" y="1616077"/>
          <a:ext cx="1460078" cy="705646"/>
        </a:xfrm>
        <a:prstGeom prst="rect">
          <a:avLst/>
        </a:prstGeom>
        <a:solidFill>
          <a:srgbClr val="5B9BD5">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u="none" kern="1200">
              <a:solidFill>
                <a:sysClr val="windowText" lastClr="000000"/>
              </a:solidFill>
              <a:latin typeface="Calibri" panose="020F0502020204030204"/>
              <a:ea typeface="+mn-ea"/>
              <a:cs typeface="+mn-cs"/>
            </a:rPr>
            <a:t>Snažit se o zvýšení počtu dostupných služeb v obci</a:t>
          </a:r>
        </a:p>
      </dsp:txBody>
      <dsp:txXfrm>
        <a:off x="5949922" y="1616077"/>
        <a:ext cx="1460078" cy="705646"/>
      </dsp:txXfrm>
    </dsp:sp>
    <dsp:sp modelId="{2DD99029-3C21-4E6E-A9F8-65F189509F28}">
      <dsp:nvSpPr>
        <dsp:cNvPr id="0" name=""/>
        <dsp:cNvSpPr/>
      </dsp:nvSpPr>
      <dsp:spPr>
        <a:xfrm>
          <a:off x="6181579" y="2388725"/>
          <a:ext cx="1223999" cy="489599"/>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Podpořit vznik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existence obchodu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s potravinami v obci</a:t>
          </a:r>
        </a:p>
      </dsp:txBody>
      <dsp:txXfrm>
        <a:off x="6181579" y="2388725"/>
        <a:ext cx="1223999" cy="489599"/>
      </dsp:txXfrm>
    </dsp:sp>
    <dsp:sp modelId="{9EB7B49E-8D9E-4AD2-9A4E-ED383079A315}">
      <dsp:nvSpPr>
        <dsp:cNvPr id="0" name=""/>
        <dsp:cNvSpPr/>
      </dsp:nvSpPr>
      <dsp:spPr>
        <a:xfrm>
          <a:off x="6184424" y="2953959"/>
          <a:ext cx="1223999" cy="489723"/>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Podpořit založení </a:t>
          </a:r>
          <a:br>
            <a:rPr lang="cs-CZ" sz="900" u="none" kern="1200">
              <a:solidFill>
                <a:sysClr val="windowText" lastClr="000000"/>
              </a:solidFill>
              <a:latin typeface="Calibri" panose="020F0502020204030204"/>
              <a:ea typeface="+mn-ea"/>
              <a:cs typeface="+mn-cs"/>
            </a:rPr>
          </a:br>
          <a:r>
            <a:rPr lang="cs-CZ" sz="900" u="none" kern="1200">
              <a:solidFill>
                <a:sysClr val="windowText" lastClr="000000"/>
              </a:solidFill>
              <a:latin typeface="Calibri" panose="020F0502020204030204"/>
              <a:ea typeface="+mn-ea"/>
              <a:cs typeface="+mn-cs"/>
            </a:rPr>
            <a:t>dětské skupiny v obci</a:t>
          </a:r>
        </a:p>
      </dsp:txBody>
      <dsp:txXfrm>
        <a:off x="6184424" y="2953959"/>
        <a:ext cx="1223999" cy="489723"/>
      </dsp:txXfrm>
    </dsp:sp>
    <dsp:sp modelId="{F6CC7D5D-2CB9-4842-B302-3D7FDEFBD912}">
      <dsp:nvSpPr>
        <dsp:cNvPr id="0" name=""/>
        <dsp:cNvSpPr/>
      </dsp:nvSpPr>
      <dsp:spPr>
        <a:xfrm>
          <a:off x="6184424" y="3516038"/>
          <a:ext cx="1223999" cy="489723"/>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Instalovat nabíjecí stanici pro elektrokola</a:t>
          </a:r>
        </a:p>
      </dsp:txBody>
      <dsp:txXfrm>
        <a:off x="6184424" y="3516038"/>
        <a:ext cx="1223999" cy="489723"/>
      </dsp:txXfrm>
    </dsp:sp>
    <dsp:sp modelId="{75EF16CF-B452-4115-959B-09C378F8DCE5}">
      <dsp:nvSpPr>
        <dsp:cNvPr id="0" name=""/>
        <dsp:cNvSpPr/>
      </dsp:nvSpPr>
      <dsp:spPr>
        <a:xfrm>
          <a:off x="7475821" y="1617743"/>
          <a:ext cx="1331301" cy="705646"/>
        </a:xfrm>
        <a:prstGeom prst="rect">
          <a:avLst/>
        </a:prstGeom>
        <a:solidFill>
          <a:srgbClr val="5B9BD5">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u="none" kern="1200">
              <a:solidFill>
                <a:sysClr val="windowText" lastClr="000000"/>
              </a:solidFill>
              <a:latin typeface="Calibri" panose="020F0502020204030204"/>
              <a:ea typeface="+mn-ea"/>
              <a:cs typeface="+mn-cs"/>
            </a:rPr>
            <a:t>Realizovat další aktivity související se službami </a:t>
          </a:r>
          <a:br>
            <a:rPr lang="cs-CZ" sz="900" b="1" u="none" kern="1200">
              <a:solidFill>
                <a:sysClr val="windowText" lastClr="000000"/>
              </a:solidFill>
              <a:latin typeface="Calibri" panose="020F0502020204030204"/>
              <a:ea typeface="+mn-ea"/>
              <a:cs typeface="+mn-cs"/>
            </a:rPr>
          </a:br>
          <a:r>
            <a:rPr lang="cs-CZ" sz="900" b="1" u="none" kern="1200">
              <a:solidFill>
                <a:sysClr val="windowText" lastClr="000000"/>
              </a:solidFill>
              <a:latin typeface="Calibri" panose="020F0502020204030204"/>
              <a:ea typeface="+mn-ea"/>
              <a:cs typeface="+mn-cs"/>
            </a:rPr>
            <a:t>a vybaveností obce</a:t>
          </a:r>
        </a:p>
      </dsp:txBody>
      <dsp:txXfrm>
        <a:off x="7475821" y="1617743"/>
        <a:ext cx="1331301" cy="705646"/>
      </dsp:txXfrm>
    </dsp:sp>
    <dsp:sp modelId="{A0A4BFA2-A2D5-4A25-B2FE-25BFDD94CA11}">
      <dsp:nvSpPr>
        <dsp:cNvPr id="0" name=""/>
        <dsp:cNvSpPr/>
      </dsp:nvSpPr>
      <dsp:spPr>
        <a:xfrm>
          <a:off x="7659704" y="2372114"/>
          <a:ext cx="1153128" cy="455679"/>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Řešit obecní hřiště</a:t>
          </a:r>
        </a:p>
      </dsp:txBody>
      <dsp:txXfrm>
        <a:off x="7659704" y="2372114"/>
        <a:ext cx="1153128" cy="455679"/>
      </dsp:txXfrm>
    </dsp:sp>
    <dsp:sp modelId="{C22F5DAA-6A58-483D-A786-31C7E8B9C100}">
      <dsp:nvSpPr>
        <dsp:cNvPr id="0" name=""/>
        <dsp:cNvSpPr/>
      </dsp:nvSpPr>
      <dsp:spPr>
        <a:xfrm>
          <a:off x="7668147" y="2891006"/>
          <a:ext cx="1152001" cy="572173"/>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Usilovat o častější kontrolu rychlosti motorových vozidel</a:t>
          </a:r>
        </a:p>
      </dsp:txBody>
      <dsp:txXfrm>
        <a:off x="7668147" y="2891006"/>
        <a:ext cx="1152001" cy="572173"/>
      </dsp:txXfrm>
    </dsp:sp>
    <dsp:sp modelId="{7D6FC79F-BAAA-449D-87DC-E6421092D2A6}">
      <dsp:nvSpPr>
        <dsp:cNvPr id="0" name=""/>
        <dsp:cNvSpPr/>
      </dsp:nvSpPr>
      <dsp:spPr>
        <a:xfrm>
          <a:off x="7668147" y="3520720"/>
          <a:ext cx="1152001" cy="560982"/>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Intenzivněji spolupracovat s okolními obcemi</a:t>
          </a:r>
        </a:p>
      </dsp:txBody>
      <dsp:txXfrm>
        <a:off x="7668147" y="3520720"/>
        <a:ext cx="1152001" cy="560982"/>
      </dsp:txXfrm>
    </dsp:sp>
    <dsp:sp modelId="{1B0BBB5F-C83B-4069-AEE7-54C2DDF467FF}">
      <dsp:nvSpPr>
        <dsp:cNvPr id="0" name=""/>
        <dsp:cNvSpPr/>
      </dsp:nvSpPr>
      <dsp:spPr>
        <a:xfrm>
          <a:off x="7668147" y="4136955"/>
          <a:ext cx="1152001" cy="620983"/>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Využít znalostí a dovedností živnostníků působících v obci za účelem rozvoje obce</a:t>
          </a:r>
        </a:p>
      </dsp:txBody>
      <dsp:txXfrm>
        <a:off x="7668147" y="4136955"/>
        <a:ext cx="1152001" cy="620983"/>
      </dsp:txXfrm>
    </dsp:sp>
    <dsp:sp modelId="{377B6AB1-2E5F-4FBA-866C-1F5B3CE7165C}">
      <dsp:nvSpPr>
        <dsp:cNvPr id="0" name=""/>
        <dsp:cNvSpPr/>
      </dsp:nvSpPr>
      <dsp:spPr>
        <a:xfrm>
          <a:off x="7668147" y="4800789"/>
          <a:ext cx="1152001" cy="449390"/>
        </a:xfrm>
        <a:prstGeom prst="rect">
          <a:avLst/>
        </a:prstGeom>
        <a:solidFill>
          <a:srgbClr val="5B9BD5">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Podporovat další rozvoj moderních technologií</a:t>
          </a:r>
        </a:p>
      </dsp:txBody>
      <dsp:txXfrm>
        <a:off x="7668147" y="4800789"/>
        <a:ext cx="1152001" cy="4493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F45A03-C7C8-43A1-B6FB-9EE30877EFDD}">
      <dsp:nvSpPr>
        <dsp:cNvPr id="0" name=""/>
        <dsp:cNvSpPr/>
      </dsp:nvSpPr>
      <dsp:spPr>
        <a:xfrm>
          <a:off x="6583282" y="2665238"/>
          <a:ext cx="91440" cy="899839"/>
        </a:xfrm>
        <a:custGeom>
          <a:avLst/>
          <a:gdLst/>
          <a:ahLst/>
          <a:cxnLst/>
          <a:rect l="0" t="0" r="0" b="0"/>
          <a:pathLst>
            <a:path>
              <a:moveTo>
                <a:pt x="45720" y="0"/>
              </a:moveTo>
              <a:lnTo>
                <a:pt x="45720" y="899839"/>
              </a:lnTo>
              <a:lnTo>
                <a:pt x="108766" y="899839"/>
              </a:lnTo>
            </a:path>
          </a:pathLst>
        </a:custGeom>
        <a:noFill/>
        <a:ln w="12700" cap="flat" cmpd="sng" algn="ctr">
          <a:solidFill>
            <a:srgbClr val="FFC000">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1CE3B32B-4612-4579-9A92-6A312BD2A8EB}">
      <dsp:nvSpPr>
        <dsp:cNvPr id="0" name=""/>
        <dsp:cNvSpPr/>
      </dsp:nvSpPr>
      <dsp:spPr>
        <a:xfrm>
          <a:off x="6583282" y="2665238"/>
          <a:ext cx="91440" cy="330323"/>
        </a:xfrm>
        <a:custGeom>
          <a:avLst/>
          <a:gdLst/>
          <a:ahLst/>
          <a:cxnLst/>
          <a:rect l="0" t="0" r="0" b="0"/>
          <a:pathLst>
            <a:path>
              <a:moveTo>
                <a:pt x="45720" y="0"/>
              </a:moveTo>
              <a:lnTo>
                <a:pt x="45720" y="330323"/>
              </a:lnTo>
              <a:lnTo>
                <a:pt x="109089" y="330323"/>
              </a:lnTo>
            </a:path>
          </a:pathLst>
        </a:custGeom>
        <a:noFill/>
        <a:ln w="12700" cap="flat" cmpd="sng" algn="ctr">
          <a:solidFill>
            <a:srgbClr val="FFC000">
              <a:lumMod val="60000"/>
              <a:lumOff val="40000"/>
            </a:srgbClr>
          </a:solidFill>
          <a:prstDash val="solid"/>
          <a:miter lim="800000"/>
        </a:ln>
        <a:effectLst/>
      </dsp:spPr>
      <dsp:style>
        <a:lnRef idx="1">
          <a:schemeClr val="accent1"/>
        </a:lnRef>
        <a:fillRef idx="0">
          <a:schemeClr val="accent1"/>
        </a:fillRef>
        <a:effectRef idx="0">
          <a:schemeClr val="accent1"/>
        </a:effectRef>
        <a:fontRef idx="minor">
          <a:schemeClr val="tx1"/>
        </a:fontRef>
      </dsp:style>
    </dsp:sp>
    <dsp:sp modelId="{BFB2037B-EDC3-4F21-9449-3A8298A3E653}">
      <dsp:nvSpPr>
        <dsp:cNvPr id="0" name=""/>
        <dsp:cNvSpPr/>
      </dsp:nvSpPr>
      <dsp:spPr>
        <a:xfrm>
          <a:off x="6332024" y="1927803"/>
          <a:ext cx="1156726" cy="178934"/>
        </a:xfrm>
        <a:custGeom>
          <a:avLst/>
          <a:gdLst/>
          <a:ahLst/>
          <a:cxnLst/>
          <a:rect l="0" t="0" r="0" b="0"/>
          <a:pathLst>
            <a:path>
              <a:moveTo>
                <a:pt x="0" y="0"/>
              </a:moveTo>
              <a:lnTo>
                <a:pt x="0" y="61980"/>
              </a:lnTo>
              <a:lnTo>
                <a:pt x="1156726" y="61980"/>
              </a:lnTo>
              <a:lnTo>
                <a:pt x="1156726" y="178934"/>
              </a:lnTo>
            </a:path>
          </a:pathLst>
        </a:custGeom>
        <a:noFill/>
        <a:ln w="19050" cap="flat" cmpd="sng" algn="ctr">
          <a:solidFill>
            <a:srgbClr val="FFC000">
              <a:lumMod val="60000"/>
              <a:lumOff val="40000"/>
            </a:srgbClr>
          </a:solidFill>
          <a:prstDash val="solid"/>
          <a:miter lim="800000"/>
        </a:ln>
        <a:effectLst/>
      </dsp:spPr>
      <dsp:style>
        <a:lnRef idx="1">
          <a:schemeClr val="accent1"/>
        </a:lnRef>
        <a:fillRef idx="0">
          <a:schemeClr val="accent1"/>
        </a:fillRef>
        <a:effectRef idx="0">
          <a:schemeClr val="accent1"/>
        </a:effectRef>
        <a:fontRef idx="minor">
          <a:schemeClr val="tx1"/>
        </a:fontRef>
      </dsp:style>
    </dsp:sp>
    <dsp:sp modelId="{3715EF79-074E-4BD8-9C00-AA877AD83E79}">
      <dsp:nvSpPr>
        <dsp:cNvPr id="0" name=""/>
        <dsp:cNvSpPr/>
      </dsp:nvSpPr>
      <dsp:spPr>
        <a:xfrm>
          <a:off x="4417288" y="2665238"/>
          <a:ext cx="91440" cy="1381640"/>
        </a:xfrm>
        <a:custGeom>
          <a:avLst/>
          <a:gdLst/>
          <a:ahLst/>
          <a:cxnLst/>
          <a:rect l="0" t="0" r="0" b="0"/>
          <a:pathLst>
            <a:path>
              <a:moveTo>
                <a:pt x="45720" y="0"/>
              </a:moveTo>
              <a:lnTo>
                <a:pt x="45720" y="1381640"/>
              </a:lnTo>
              <a:lnTo>
                <a:pt x="119921" y="1381640"/>
              </a:lnTo>
            </a:path>
          </a:pathLst>
        </a:custGeom>
        <a:noFill/>
        <a:ln w="12700" cap="flat" cmpd="sng" algn="ctr">
          <a:solidFill>
            <a:srgbClr val="FFC000">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A3399598-0C37-4D07-890D-AAC486F0B0D5}">
      <dsp:nvSpPr>
        <dsp:cNvPr id="0" name=""/>
        <dsp:cNvSpPr/>
      </dsp:nvSpPr>
      <dsp:spPr>
        <a:xfrm>
          <a:off x="4417288" y="2665238"/>
          <a:ext cx="91440" cy="887498"/>
        </a:xfrm>
        <a:custGeom>
          <a:avLst/>
          <a:gdLst/>
          <a:ahLst/>
          <a:cxnLst/>
          <a:rect l="0" t="0" r="0" b="0"/>
          <a:pathLst>
            <a:path>
              <a:moveTo>
                <a:pt x="45720" y="0"/>
              </a:moveTo>
              <a:lnTo>
                <a:pt x="45720" y="887498"/>
              </a:lnTo>
              <a:lnTo>
                <a:pt x="119921" y="887498"/>
              </a:lnTo>
            </a:path>
          </a:pathLst>
        </a:custGeom>
        <a:noFill/>
        <a:ln w="12700" cap="flat" cmpd="sng" algn="ctr">
          <a:solidFill>
            <a:srgbClr val="FFC000">
              <a:lumMod val="60000"/>
              <a:lumOff val="40000"/>
            </a:srgbClr>
          </a:solidFill>
          <a:prstDash val="solid"/>
          <a:miter lim="800000"/>
        </a:ln>
        <a:effectLst/>
      </dsp:spPr>
      <dsp:style>
        <a:lnRef idx="1">
          <a:schemeClr val="accent1"/>
        </a:lnRef>
        <a:fillRef idx="0">
          <a:schemeClr val="accent1"/>
        </a:fillRef>
        <a:effectRef idx="0">
          <a:schemeClr val="accent1"/>
        </a:effectRef>
        <a:fontRef idx="minor">
          <a:schemeClr val="tx1"/>
        </a:fontRef>
      </dsp:style>
    </dsp:sp>
    <dsp:sp modelId="{6BC52012-2DCA-4E5D-97ED-4A23D2EB49C6}">
      <dsp:nvSpPr>
        <dsp:cNvPr id="0" name=""/>
        <dsp:cNvSpPr/>
      </dsp:nvSpPr>
      <dsp:spPr>
        <a:xfrm>
          <a:off x="4417288" y="2665238"/>
          <a:ext cx="91440" cy="338671"/>
        </a:xfrm>
        <a:custGeom>
          <a:avLst/>
          <a:gdLst/>
          <a:ahLst/>
          <a:cxnLst/>
          <a:rect l="0" t="0" r="0" b="0"/>
          <a:pathLst>
            <a:path>
              <a:moveTo>
                <a:pt x="45720" y="0"/>
              </a:moveTo>
              <a:lnTo>
                <a:pt x="45720" y="338671"/>
              </a:lnTo>
              <a:lnTo>
                <a:pt x="112971" y="338671"/>
              </a:lnTo>
            </a:path>
          </a:pathLst>
        </a:custGeom>
        <a:noFill/>
        <a:ln w="12700" cap="flat" cmpd="sng" algn="ctr">
          <a:solidFill>
            <a:srgbClr val="FFC000">
              <a:lumMod val="60000"/>
              <a:lumOff val="40000"/>
            </a:srgbClr>
          </a:solidFill>
          <a:prstDash val="solid"/>
          <a:miter lim="800000"/>
        </a:ln>
        <a:effectLst/>
      </dsp:spPr>
      <dsp:style>
        <a:lnRef idx="1">
          <a:schemeClr val="accent1"/>
        </a:lnRef>
        <a:fillRef idx="0">
          <a:schemeClr val="accent1"/>
        </a:fillRef>
        <a:effectRef idx="0">
          <a:schemeClr val="accent1"/>
        </a:effectRef>
        <a:fontRef idx="minor">
          <a:schemeClr val="tx1"/>
        </a:fontRef>
      </dsp:style>
    </dsp:sp>
    <dsp:sp modelId="{373BB783-128C-4A5F-B09F-2C6B132A3CA3}">
      <dsp:nvSpPr>
        <dsp:cNvPr id="0" name=""/>
        <dsp:cNvSpPr/>
      </dsp:nvSpPr>
      <dsp:spPr>
        <a:xfrm>
          <a:off x="5260368" y="1927803"/>
          <a:ext cx="1071656" cy="178934"/>
        </a:xfrm>
        <a:custGeom>
          <a:avLst/>
          <a:gdLst/>
          <a:ahLst/>
          <a:cxnLst/>
          <a:rect l="0" t="0" r="0" b="0"/>
          <a:pathLst>
            <a:path>
              <a:moveTo>
                <a:pt x="1071656" y="0"/>
              </a:moveTo>
              <a:lnTo>
                <a:pt x="1071656" y="61980"/>
              </a:lnTo>
              <a:lnTo>
                <a:pt x="0" y="61980"/>
              </a:lnTo>
              <a:lnTo>
                <a:pt x="0" y="178934"/>
              </a:lnTo>
            </a:path>
          </a:pathLst>
        </a:custGeom>
        <a:noFill/>
        <a:ln w="19050" cap="flat" cmpd="sng" algn="ctr">
          <a:solidFill>
            <a:srgbClr val="FFC000">
              <a:lumMod val="60000"/>
              <a:lumOff val="40000"/>
            </a:srgbClr>
          </a:solidFill>
          <a:prstDash val="solid"/>
          <a:miter lim="800000"/>
        </a:ln>
        <a:effectLst/>
      </dsp:spPr>
      <dsp:style>
        <a:lnRef idx="1">
          <a:schemeClr val="accent1"/>
        </a:lnRef>
        <a:fillRef idx="0">
          <a:schemeClr val="accent1"/>
        </a:fillRef>
        <a:effectRef idx="0">
          <a:schemeClr val="accent1"/>
        </a:effectRef>
        <a:fontRef idx="minor">
          <a:schemeClr val="tx1"/>
        </a:fontRef>
      </dsp:style>
    </dsp:sp>
    <dsp:sp modelId="{84F32059-3046-49B2-A372-EF6EF86439AC}">
      <dsp:nvSpPr>
        <dsp:cNvPr id="0" name=""/>
        <dsp:cNvSpPr/>
      </dsp:nvSpPr>
      <dsp:spPr>
        <a:xfrm>
          <a:off x="4154196" y="1132949"/>
          <a:ext cx="2177828" cy="237439"/>
        </a:xfrm>
        <a:custGeom>
          <a:avLst/>
          <a:gdLst/>
          <a:ahLst/>
          <a:cxnLst/>
          <a:rect l="0" t="0" r="0" b="0"/>
          <a:pathLst>
            <a:path>
              <a:moveTo>
                <a:pt x="0" y="0"/>
              </a:moveTo>
              <a:lnTo>
                <a:pt x="0" y="120485"/>
              </a:lnTo>
              <a:lnTo>
                <a:pt x="2177828" y="120485"/>
              </a:lnTo>
              <a:lnTo>
                <a:pt x="2177828" y="237439"/>
              </a:lnTo>
            </a:path>
          </a:pathLst>
        </a:custGeom>
        <a:noFill/>
        <a:ln w="28575" cap="flat" cmpd="sng" algn="ctr">
          <a:solidFill>
            <a:srgbClr val="FFC000">
              <a:lumMod val="60000"/>
              <a:lumOff val="40000"/>
            </a:srgbClr>
          </a:solidFill>
          <a:prstDash val="solid"/>
          <a:miter lim="800000"/>
        </a:ln>
        <a:effectLst/>
      </dsp:spPr>
      <dsp:style>
        <a:lnRef idx="1">
          <a:schemeClr val="accent1"/>
        </a:lnRef>
        <a:fillRef idx="0">
          <a:schemeClr val="accent1"/>
        </a:fillRef>
        <a:effectRef idx="0">
          <a:schemeClr val="accent1"/>
        </a:effectRef>
        <a:fontRef idx="minor">
          <a:schemeClr val="tx1"/>
        </a:fontRef>
      </dsp:style>
    </dsp:sp>
    <dsp:sp modelId="{8053D7BA-0AAC-4061-9098-C74E85CC8E2A}">
      <dsp:nvSpPr>
        <dsp:cNvPr id="0" name=""/>
        <dsp:cNvSpPr/>
      </dsp:nvSpPr>
      <dsp:spPr>
        <a:xfrm>
          <a:off x="2253836" y="2667092"/>
          <a:ext cx="95247" cy="826347"/>
        </a:xfrm>
        <a:custGeom>
          <a:avLst/>
          <a:gdLst/>
          <a:ahLst/>
          <a:cxnLst/>
          <a:rect l="0" t="0" r="0" b="0"/>
          <a:pathLst>
            <a:path>
              <a:moveTo>
                <a:pt x="0" y="0"/>
              </a:moveTo>
              <a:lnTo>
                <a:pt x="0" y="826347"/>
              </a:lnTo>
              <a:lnTo>
                <a:pt x="95247" y="826347"/>
              </a:lnTo>
            </a:path>
          </a:pathLst>
        </a:custGeom>
        <a:noFill/>
        <a:ln w="12700" cap="flat" cmpd="sng" algn="ctr">
          <a:solidFill>
            <a:srgbClr val="FFC000">
              <a:lumMod val="60000"/>
              <a:lumOff val="40000"/>
            </a:srgbClr>
          </a:solidFill>
          <a:prstDash val="solid"/>
          <a:miter lim="800000"/>
        </a:ln>
        <a:effectLst/>
      </dsp:spPr>
      <dsp:style>
        <a:lnRef idx="1">
          <a:schemeClr val="accent1"/>
        </a:lnRef>
        <a:fillRef idx="0">
          <a:schemeClr val="accent1"/>
        </a:fillRef>
        <a:effectRef idx="0">
          <a:schemeClr val="accent1"/>
        </a:effectRef>
        <a:fontRef idx="minor">
          <a:schemeClr val="tx1"/>
        </a:fontRef>
      </dsp:style>
    </dsp:sp>
    <dsp:sp modelId="{07CCB45D-67CF-40AE-8F50-27292F870F1E}">
      <dsp:nvSpPr>
        <dsp:cNvPr id="0" name=""/>
        <dsp:cNvSpPr/>
      </dsp:nvSpPr>
      <dsp:spPr>
        <a:xfrm>
          <a:off x="2253836" y="2667092"/>
          <a:ext cx="95436" cy="297386"/>
        </a:xfrm>
        <a:custGeom>
          <a:avLst/>
          <a:gdLst/>
          <a:ahLst/>
          <a:cxnLst/>
          <a:rect l="0" t="0" r="0" b="0"/>
          <a:pathLst>
            <a:path>
              <a:moveTo>
                <a:pt x="0" y="0"/>
              </a:moveTo>
              <a:lnTo>
                <a:pt x="0" y="297386"/>
              </a:lnTo>
              <a:lnTo>
                <a:pt x="95436" y="297386"/>
              </a:lnTo>
            </a:path>
          </a:pathLst>
        </a:custGeom>
        <a:noFill/>
        <a:ln w="12700" cap="flat" cmpd="sng" algn="ctr">
          <a:solidFill>
            <a:srgbClr val="FFC000">
              <a:lumMod val="60000"/>
              <a:lumOff val="40000"/>
            </a:srgbClr>
          </a:solidFill>
          <a:prstDash val="solid"/>
          <a:miter lim="800000"/>
        </a:ln>
        <a:effectLst/>
      </dsp:spPr>
      <dsp:style>
        <a:lnRef idx="1">
          <a:schemeClr val="accent1"/>
        </a:lnRef>
        <a:fillRef idx="0">
          <a:schemeClr val="accent1"/>
        </a:fillRef>
        <a:effectRef idx="0">
          <a:schemeClr val="accent1"/>
        </a:effectRef>
        <a:fontRef idx="minor">
          <a:schemeClr val="tx1"/>
        </a:fontRef>
      </dsp:style>
    </dsp:sp>
    <dsp:sp modelId="{F69CB23E-FA84-42DB-B08B-A21A8DFD06A1}">
      <dsp:nvSpPr>
        <dsp:cNvPr id="0" name=""/>
        <dsp:cNvSpPr/>
      </dsp:nvSpPr>
      <dsp:spPr>
        <a:xfrm>
          <a:off x="1988119" y="1926221"/>
          <a:ext cx="1012834" cy="183946"/>
        </a:xfrm>
        <a:custGeom>
          <a:avLst/>
          <a:gdLst/>
          <a:ahLst/>
          <a:cxnLst/>
          <a:rect l="0" t="0" r="0" b="0"/>
          <a:pathLst>
            <a:path>
              <a:moveTo>
                <a:pt x="0" y="0"/>
              </a:moveTo>
              <a:lnTo>
                <a:pt x="0" y="66992"/>
              </a:lnTo>
              <a:lnTo>
                <a:pt x="1012834" y="66992"/>
              </a:lnTo>
              <a:lnTo>
                <a:pt x="1012834" y="183946"/>
              </a:lnTo>
            </a:path>
          </a:pathLst>
        </a:custGeom>
        <a:noFill/>
        <a:ln w="19050" cap="flat" cmpd="sng" algn="ctr">
          <a:solidFill>
            <a:srgbClr val="FFC000">
              <a:lumMod val="60000"/>
              <a:lumOff val="40000"/>
            </a:srgbClr>
          </a:solidFill>
          <a:prstDash val="solid"/>
          <a:miter lim="800000"/>
        </a:ln>
        <a:effectLst/>
      </dsp:spPr>
      <dsp:style>
        <a:lnRef idx="1">
          <a:schemeClr val="accent1"/>
        </a:lnRef>
        <a:fillRef idx="0">
          <a:schemeClr val="accent1"/>
        </a:fillRef>
        <a:effectRef idx="0">
          <a:schemeClr val="accent1"/>
        </a:effectRef>
        <a:fontRef idx="minor">
          <a:schemeClr val="tx1"/>
        </a:fontRef>
      </dsp:style>
    </dsp:sp>
    <dsp:sp modelId="{82BC4C0D-9041-43C7-8345-B38FEEE216C5}">
      <dsp:nvSpPr>
        <dsp:cNvPr id="0" name=""/>
        <dsp:cNvSpPr/>
      </dsp:nvSpPr>
      <dsp:spPr>
        <a:xfrm>
          <a:off x="225709" y="2668256"/>
          <a:ext cx="101299" cy="1312484"/>
        </a:xfrm>
        <a:custGeom>
          <a:avLst/>
          <a:gdLst/>
          <a:ahLst/>
          <a:cxnLst/>
          <a:rect l="0" t="0" r="0" b="0"/>
          <a:pathLst>
            <a:path>
              <a:moveTo>
                <a:pt x="0" y="0"/>
              </a:moveTo>
              <a:lnTo>
                <a:pt x="0" y="1312484"/>
              </a:lnTo>
              <a:lnTo>
                <a:pt x="101299" y="1312484"/>
              </a:lnTo>
            </a:path>
          </a:pathLst>
        </a:custGeom>
        <a:noFill/>
        <a:ln w="12700" cap="flat" cmpd="sng" algn="ctr">
          <a:solidFill>
            <a:srgbClr val="FFC000">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83062F33-33D2-4492-9EFA-A7813A2E89E4}">
      <dsp:nvSpPr>
        <dsp:cNvPr id="0" name=""/>
        <dsp:cNvSpPr/>
      </dsp:nvSpPr>
      <dsp:spPr>
        <a:xfrm>
          <a:off x="225709" y="2668256"/>
          <a:ext cx="101287" cy="714876"/>
        </a:xfrm>
        <a:custGeom>
          <a:avLst/>
          <a:gdLst/>
          <a:ahLst/>
          <a:cxnLst/>
          <a:rect l="0" t="0" r="0" b="0"/>
          <a:pathLst>
            <a:path>
              <a:moveTo>
                <a:pt x="0" y="0"/>
              </a:moveTo>
              <a:lnTo>
                <a:pt x="0" y="714876"/>
              </a:lnTo>
              <a:lnTo>
                <a:pt x="101287" y="714876"/>
              </a:lnTo>
            </a:path>
          </a:pathLst>
        </a:custGeom>
        <a:noFill/>
        <a:ln w="12700" cap="flat" cmpd="sng" algn="ctr">
          <a:solidFill>
            <a:srgbClr val="FFC000">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39BAB92D-7DB4-4153-8480-F22BF970DE0A}">
      <dsp:nvSpPr>
        <dsp:cNvPr id="0" name=""/>
        <dsp:cNvSpPr/>
      </dsp:nvSpPr>
      <dsp:spPr>
        <a:xfrm>
          <a:off x="225709" y="2668256"/>
          <a:ext cx="101299" cy="250493"/>
        </a:xfrm>
        <a:custGeom>
          <a:avLst/>
          <a:gdLst/>
          <a:ahLst/>
          <a:cxnLst/>
          <a:rect l="0" t="0" r="0" b="0"/>
          <a:pathLst>
            <a:path>
              <a:moveTo>
                <a:pt x="0" y="0"/>
              </a:moveTo>
              <a:lnTo>
                <a:pt x="0" y="250493"/>
              </a:lnTo>
              <a:lnTo>
                <a:pt x="101299" y="250493"/>
              </a:lnTo>
            </a:path>
          </a:pathLst>
        </a:custGeom>
        <a:noFill/>
        <a:ln w="12700" cap="flat" cmpd="sng" algn="ctr">
          <a:solidFill>
            <a:srgbClr val="FFC000">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B0A6D7CF-35FF-4940-89C3-A2DC58746B91}">
      <dsp:nvSpPr>
        <dsp:cNvPr id="0" name=""/>
        <dsp:cNvSpPr/>
      </dsp:nvSpPr>
      <dsp:spPr>
        <a:xfrm>
          <a:off x="975775" y="1926221"/>
          <a:ext cx="1012344" cy="183534"/>
        </a:xfrm>
        <a:custGeom>
          <a:avLst/>
          <a:gdLst/>
          <a:ahLst/>
          <a:cxnLst/>
          <a:rect l="0" t="0" r="0" b="0"/>
          <a:pathLst>
            <a:path>
              <a:moveTo>
                <a:pt x="1012344" y="0"/>
              </a:moveTo>
              <a:lnTo>
                <a:pt x="1012344" y="66580"/>
              </a:lnTo>
              <a:lnTo>
                <a:pt x="0" y="66580"/>
              </a:lnTo>
              <a:lnTo>
                <a:pt x="0" y="183534"/>
              </a:lnTo>
            </a:path>
          </a:pathLst>
        </a:custGeom>
        <a:noFill/>
        <a:ln w="19050" cap="flat" cmpd="sng" algn="ctr">
          <a:solidFill>
            <a:srgbClr val="FFC000">
              <a:lumMod val="60000"/>
              <a:lumOff val="40000"/>
            </a:srgbClr>
          </a:solidFill>
          <a:prstDash val="solid"/>
          <a:miter lim="800000"/>
        </a:ln>
        <a:effectLst/>
      </dsp:spPr>
      <dsp:style>
        <a:lnRef idx="2">
          <a:scrgbClr r="0" g="0" b="0"/>
        </a:lnRef>
        <a:fillRef idx="0">
          <a:scrgbClr r="0" g="0" b="0"/>
        </a:fillRef>
        <a:effectRef idx="0">
          <a:scrgbClr r="0" g="0" b="0"/>
        </a:effectRef>
        <a:fontRef idx="minor"/>
      </dsp:style>
    </dsp:sp>
    <dsp:sp modelId="{F75DC991-44CE-406B-BD99-E05CBFC3597C}">
      <dsp:nvSpPr>
        <dsp:cNvPr id="0" name=""/>
        <dsp:cNvSpPr/>
      </dsp:nvSpPr>
      <dsp:spPr>
        <a:xfrm>
          <a:off x="1988119" y="1132949"/>
          <a:ext cx="2166077" cy="236347"/>
        </a:xfrm>
        <a:custGeom>
          <a:avLst/>
          <a:gdLst/>
          <a:ahLst/>
          <a:cxnLst/>
          <a:rect l="0" t="0" r="0" b="0"/>
          <a:pathLst>
            <a:path>
              <a:moveTo>
                <a:pt x="2166077" y="0"/>
              </a:moveTo>
              <a:lnTo>
                <a:pt x="2166077" y="119393"/>
              </a:lnTo>
              <a:lnTo>
                <a:pt x="0" y="119393"/>
              </a:lnTo>
              <a:lnTo>
                <a:pt x="0" y="236347"/>
              </a:lnTo>
            </a:path>
          </a:pathLst>
        </a:custGeom>
        <a:noFill/>
        <a:ln w="28575" cap="flat" cmpd="sng" algn="ctr">
          <a:solidFill>
            <a:srgbClr val="FFC000">
              <a:lumMod val="60000"/>
              <a:lumOff val="40000"/>
            </a:srgbClr>
          </a:solidFill>
          <a:prstDash val="solid"/>
          <a:miter lim="800000"/>
        </a:ln>
        <a:effectLst/>
      </dsp:spPr>
      <dsp:style>
        <a:lnRef idx="1">
          <a:schemeClr val="accent1"/>
        </a:lnRef>
        <a:fillRef idx="0">
          <a:schemeClr val="accent1"/>
        </a:fillRef>
        <a:effectRef idx="0">
          <a:schemeClr val="accent1"/>
        </a:effectRef>
        <a:fontRef idx="minor">
          <a:schemeClr val="tx1"/>
        </a:fontRef>
      </dsp:style>
    </dsp:sp>
    <dsp:sp modelId="{D5C976BE-90F4-430A-A970-6B4381FC975B}">
      <dsp:nvSpPr>
        <dsp:cNvPr id="0" name=""/>
        <dsp:cNvSpPr/>
      </dsp:nvSpPr>
      <dsp:spPr>
        <a:xfrm>
          <a:off x="1214175" y="466906"/>
          <a:ext cx="5880042" cy="666042"/>
        </a:xfrm>
        <a:prstGeom prst="rect">
          <a:avLst/>
        </a:prstGeom>
        <a:solidFill>
          <a:srgbClr val="FFC000">
            <a:lumMod val="75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i="0" u="none" kern="1200">
              <a:solidFill>
                <a:sysClr val="windowText" lastClr="000000"/>
              </a:solidFill>
              <a:latin typeface="Calibri" panose="020F0502020204030204"/>
              <a:ea typeface="+mn-ea"/>
              <a:cs typeface="+mn-cs"/>
            </a:rPr>
            <a:t>VOLNÝ ČAS</a:t>
          </a:r>
        </a:p>
      </dsp:txBody>
      <dsp:txXfrm>
        <a:off x="1214175" y="466906"/>
        <a:ext cx="5880042" cy="666042"/>
      </dsp:txXfrm>
    </dsp:sp>
    <dsp:sp modelId="{A9634FF6-2749-44C9-B7B1-E1619ED40DAC}">
      <dsp:nvSpPr>
        <dsp:cNvPr id="0" name=""/>
        <dsp:cNvSpPr/>
      </dsp:nvSpPr>
      <dsp:spPr>
        <a:xfrm>
          <a:off x="492498" y="1369297"/>
          <a:ext cx="2991241" cy="556924"/>
        </a:xfrm>
        <a:prstGeom prst="rect">
          <a:avLst/>
        </a:prstGeom>
        <a:solidFill>
          <a:srgbClr val="FFC000">
            <a:lumMod val="60000"/>
            <a:lumOff val="4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i="0" u="none" kern="1200" baseline="0">
              <a:solidFill>
                <a:sysClr val="windowText" lastClr="000000"/>
              </a:solidFill>
              <a:latin typeface="Calibri" panose="020F0502020204030204"/>
              <a:ea typeface="+mn-ea"/>
              <a:cs typeface="+mn-cs"/>
            </a:rPr>
            <a:t>Strategický cíl 3.1</a:t>
          </a:r>
        </a:p>
        <a:p>
          <a:pPr marL="0" lvl="0" indent="0" algn="ctr" defTabSz="400050">
            <a:lnSpc>
              <a:spcPct val="90000"/>
            </a:lnSpc>
            <a:spcBef>
              <a:spcPct val="0"/>
            </a:spcBef>
            <a:spcAft>
              <a:spcPct val="35000"/>
            </a:spcAft>
            <a:buNone/>
          </a:pPr>
          <a:r>
            <a:rPr lang="cs-CZ" sz="900" b="1" u="none" kern="1200">
              <a:solidFill>
                <a:sysClr val="windowText" lastClr="000000"/>
              </a:solidFill>
              <a:latin typeface="Calibri" panose="020F0502020204030204"/>
              <a:ea typeface="+mn-ea"/>
              <a:cs typeface="+mn-cs"/>
            </a:rPr>
            <a:t>Zvýšit nabídku možností souvisejících s trávením volného času</a:t>
          </a:r>
          <a:endParaRPr lang="cs-CZ" sz="900" b="1" i="0" u="none" kern="1200" baseline="0">
            <a:solidFill>
              <a:sysClr val="windowText" lastClr="000000"/>
            </a:solidFill>
            <a:latin typeface="Calibri" panose="020F0502020204030204"/>
            <a:ea typeface="+mn-ea"/>
            <a:cs typeface="+mn-cs"/>
          </a:endParaRPr>
        </a:p>
      </dsp:txBody>
      <dsp:txXfrm>
        <a:off x="492498" y="1369297"/>
        <a:ext cx="2991241" cy="556924"/>
      </dsp:txXfrm>
    </dsp:sp>
    <dsp:sp modelId="{3F0C645D-09A6-4107-BF22-15AAFB9ACFFA}">
      <dsp:nvSpPr>
        <dsp:cNvPr id="0" name=""/>
        <dsp:cNvSpPr/>
      </dsp:nvSpPr>
      <dsp:spPr>
        <a:xfrm>
          <a:off x="38192" y="2109756"/>
          <a:ext cx="1875164" cy="558500"/>
        </a:xfrm>
        <a:prstGeom prst="rect">
          <a:avLst/>
        </a:prstGeom>
        <a:solidFill>
          <a:srgbClr val="FFC000">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u="none" kern="1200">
              <a:solidFill>
                <a:sysClr val="windowText" lastClr="000000"/>
              </a:solidFill>
              <a:latin typeface="Calibri" panose="020F0502020204030204"/>
              <a:ea typeface="+mn-ea"/>
              <a:cs typeface="+mn-cs"/>
            </a:rPr>
            <a:t>Zvýšit variabilitu kulturně-společenského vyžití</a:t>
          </a:r>
          <a:r>
            <a:rPr lang="cs-CZ" sz="900" u="none" kern="1200">
              <a:solidFill>
                <a:sysClr val="windowText" lastClr="000000"/>
              </a:solidFill>
              <a:latin typeface="Calibri" panose="020F0502020204030204"/>
              <a:ea typeface="+mn-ea"/>
              <a:cs typeface="+mn-cs"/>
            </a:rPr>
            <a:t> </a:t>
          </a:r>
          <a:r>
            <a:rPr lang="cs-CZ" sz="900" b="1" u="none" kern="1200">
              <a:solidFill>
                <a:sysClr val="windowText" lastClr="000000"/>
              </a:solidFill>
              <a:latin typeface="Calibri" panose="020F0502020204030204"/>
              <a:ea typeface="+mn-ea"/>
              <a:cs typeface="+mn-cs"/>
            </a:rPr>
            <a:t>v obci</a:t>
          </a:r>
          <a:endParaRPr lang="cs-CZ" sz="900" u="none" kern="1200">
            <a:solidFill>
              <a:sysClr val="windowText" lastClr="000000"/>
            </a:solidFill>
            <a:latin typeface="Calibri" panose="020F0502020204030204"/>
            <a:ea typeface="+mn-ea"/>
            <a:cs typeface="+mn-cs"/>
          </a:endParaRPr>
        </a:p>
      </dsp:txBody>
      <dsp:txXfrm>
        <a:off x="38192" y="2109756"/>
        <a:ext cx="1875164" cy="558500"/>
      </dsp:txXfrm>
    </dsp:sp>
    <dsp:sp modelId="{24F06410-C849-4451-AE48-47B3D592D2A4}">
      <dsp:nvSpPr>
        <dsp:cNvPr id="0" name=""/>
        <dsp:cNvSpPr/>
      </dsp:nvSpPr>
      <dsp:spPr>
        <a:xfrm>
          <a:off x="327008" y="2728538"/>
          <a:ext cx="1584004" cy="380424"/>
        </a:xfrm>
        <a:prstGeom prst="rect">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Pořádat každoročně Den obce</a:t>
          </a:r>
        </a:p>
      </dsp:txBody>
      <dsp:txXfrm>
        <a:off x="327008" y="2728538"/>
        <a:ext cx="1584004" cy="380424"/>
      </dsp:txXfrm>
    </dsp:sp>
    <dsp:sp modelId="{4EEDE7BC-7228-43B0-9AE3-5E03274333E0}">
      <dsp:nvSpPr>
        <dsp:cNvPr id="0" name=""/>
        <dsp:cNvSpPr/>
      </dsp:nvSpPr>
      <dsp:spPr>
        <a:xfrm>
          <a:off x="326997" y="3184035"/>
          <a:ext cx="1584004" cy="398195"/>
        </a:xfrm>
        <a:prstGeom prst="rect">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Pořádat více kulturně-společenských aktivit v obci</a:t>
          </a:r>
        </a:p>
      </dsp:txBody>
      <dsp:txXfrm>
        <a:off x="326997" y="3184035"/>
        <a:ext cx="1584004" cy="398195"/>
      </dsp:txXfrm>
    </dsp:sp>
    <dsp:sp modelId="{C5674344-5283-4103-B0CB-F8A168FE5E6A}">
      <dsp:nvSpPr>
        <dsp:cNvPr id="0" name=""/>
        <dsp:cNvSpPr/>
      </dsp:nvSpPr>
      <dsp:spPr>
        <a:xfrm>
          <a:off x="327008" y="3659331"/>
          <a:ext cx="1584004" cy="642819"/>
        </a:xfrm>
        <a:prstGeom prst="rect">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Podporovat činnosti ze strany zájmových spolků formou snahy existence více aktivit a akcí pro mládež</a:t>
          </a:r>
        </a:p>
      </dsp:txBody>
      <dsp:txXfrm>
        <a:off x="327008" y="3659331"/>
        <a:ext cx="1584004" cy="642819"/>
      </dsp:txXfrm>
    </dsp:sp>
    <dsp:sp modelId="{C0E5A178-5117-4E98-BB64-AD9E497BE4C4}">
      <dsp:nvSpPr>
        <dsp:cNvPr id="0" name=""/>
        <dsp:cNvSpPr/>
      </dsp:nvSpPr>
      <dsp:spPr>
        <a:xfrm>
          <a:off x="2067057" y="2110168"/>
          <a:ext cx="1867791" cy="556924"/>
        </a:xfrm>
        <a:prstGeom prst="rect">
          <a:avLst/>
        </a:prstGeom>
        <a:solidFill>
          <a:srgbClr val="FFC000">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u="none" kern="1200">
              <a:solidFill>
                <a:sysClr val="windowText" lastClr="000000"/>
              </a:solidFill>
              <a:latin typeface="Calibri" panose="020F0502020204030204"/>
              <a:ea typeface="+mn-ea"/>
              <a:cs typeface="+mn-cs"/>
            </a:rPr>
            <a:t>Zvyšovat variabilitu dostupné volnočasové infrastruktury</a:t>
          </a:r>
          <a:endParaRPr lang="cs-CZ" sz="900" b="1" i="0" u="none" kern="1200">
            <a:solidFill>
              <a:sysClr val="windowText" lastClr="000000"/>
            </a:solidFill>
            <a:latin typeface="Calibri" panose="020F0502020204030204"/>
            <a:ea typeface="+mn-ea"/>
            <a:cs typeface="+mn-cs"/>
          </a:endParaRPr>
        </a:p>
      </dsp:txBody>
      <dsp:txXfrm>
        <a:off x="2067057" y="2110168"/>
        <a:ext cx="1867791" cy="556924"/>
      </dsp:txXfrm>
    </dsp:sp>
    <dsp:sp modelId="{CDD83C32-7E8A-49F2-902B-DC628C163915}">
      <dsp:nvSpPr>
        <dsp:cNvPr id="0" name=""/>
        <dsp:cNvSpPr/>
      </dsp:nvSpPr>
      <dsp:spPr>
        <a:xfrm>
          <a:off x="2349273" y="2741280"/>
          <a:ext cx="1584004" cy="446397"/>
        </a:xfrm>
        <a:prstGeom prst="rect">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u="none" kern="1200">
              <a:solidFill>
                <a:sysClr val="windowText" lastClr="000000"/>
              </a:solidFill>
              <a:latin typeface="Calibri" panose="020F0502020204030204"/>
              <a:ea typeface="+mn-ea"/>
              <a:cs typeface="+mn-cs"/>
            </a:rPr>
            <a:t>Vybudovat trailové či pumptrackové hřiště</a:t>
          </a:r>
          <a:endParaRPr lang="cs-CZ" sz="900" i="0" u="none" kern="1200">
            <a:solidFill>
              <a:sysClr val="windowText" lastClr="000000"/>
            </a:solidFill>
            <a:latin typeface="Calibri" panose="020F0502020204030204"/>
            <a:ea typeface="+mn-ea"/>
            <a:cs typeface="+mn-cs"/>
          </a:endParaRPr>
        </a:p>
      </dsp:txBody>
      <dsp:txXfrm>
        <a:off x="2349273" y="2741280"/>
        <a:ext cx="1584004" cy="446397"/>
      </dsp:txXfrm>
    </dsp:sp>
    <dsp:sp modelId="{CD3EE751-C580-4084-B005-D8166A280A5B}">
      <dsp:nvSpPr>
        <dsp:cNvPr id="0" name=""/>
        <dsp:cNvSpPr/>
      </dsp:nvSpPr>
      <dsp:spPr>
        <a:xfrm>
          <a:off x="2349084" y="3264839"/>
          <a:ext cx="1584004" cy="457201"/>
        </a:xfrm>
        <a:prstGeom prst="rect">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u="none" kern="1200">
              <a:solidFill>
                <a:sysClr val="windowText" lastClr="000000"/>
              </a:solidFill>
              <a:latin typeface="Calibri" panose="020F0502020204030204"/>
              <a:ea typeface="+mn-ea"/>
              <a:cs typeface="+mn-cs"/>
            </a:rPr>
            <a:t>Uvažovat o vytvoření workoutového hřiště</a:t>
          </a:r>
          <a:endParaRPr lang="cs-CZ" sz="900" i="0" u="none" kern="1200">
            <a:solidFill>
              <a:sysClr val="windowText" lastClr="000000"/>
            </a:solidFill>
            <a:latin typeface="Calibri" panose="020F0502020204030204"/>
            <a:ea typeface="+mn-ea"/>
            <a:cs typeface="+mn-cs"/>
          </a:endParaRPr>
        </a:p>
      </dsp:txBody>
      <dsp:txXfrm>
        <a:off x="2349084" y="3264839"/>
        <a:ext cx="1584004" cy="457201"/>
      </dsp:txXfrm>
    </dsp:sp>
    <dsp:sp modelId="{4A23F757-1AAE-41A0-9F49-1D8ECD8B9F2C}">
      <dsp:nvSpPr>
        <dsp:cNvPr id="0" name=""/>
        <dsp:cNvSpPr/>
      </dsp:nvSpPr>
      <dsp:spPr>
        <a:xfrm>
          <a:off x="4791337" y="1370388"/>
          <a:ext cx="3081374" cy="557414"/>
        </a:xfrm>
        <a:prstGeom prst="rect">
          <a:avLst/>
        </a:prstGeom>
        <a:solidFill>
          <a:srgbClr val="FFC000">
            <a:lumMod val="60000"/>
            <a:lumOff val="4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i="0" u="none" kern="1200" baseline="0">
              <a:solidFill>
                <a:sysClr val="windowText" lastClr="000000"/>
              </a:solidFill>
              <a:latin typeface="Calibri" panose="020F0502020204030204"/>
              <a:ea typeface="+mn-ea"/>
              <a:cs typeface="+mn-cs"/>
            </a:rPr>
            <a:t>Strategický cíl 3.2</a:t>
          </a:r>
        </a:p>
        <a:p>
          <a:pPr marL="0" lvl="0" indent="0" algn="ctr" defTabSz="400050">
            <a:lnSpc>
              <a:spcPct val="90000"/>
            </a:lnSpc>
            <a:spcBef>
              <a:spcPct val="0"/>
            </a:spcBef>
            <a:spcAft>
              <a:spcPct val="35000"/>
            </a:spcAft>
            <a:buNone/>
          </a:pPr>
          <a:r>
            <a:rPr lang="cs-CZ" sz="900" b="1" u="none" kern="1200">
              <a:solidFill>
                <a:sysClr val="windowText" lastClr="000000"/>
              </a:solidFill>
              <a:latin typeface="Calibri" panose="020F0502020204030204"/>
              <a:ea typeface="+mn-ea"/>
              <a:cs typeface="+mn-cs"/>
            </a:rPr>
            <a:t>Rozvíjet komunitní život v obci formou podpory aktivního trávení volného času a zapojení do dění v obci</a:t>
          </a:r>
          <a:endParaRPr lang="cs-CZ" sz="900" b="1" i="0" u="none" kern="1200" baseline="0">
            <a:solidFill>
              <a:sysClr val="windowText" lastClr="000000"/>
            </a:solidFill>
            <a:latin typeface="Calibri" panose="020F0502020204030204"/>
            <a:ea typeface="+mn-ea"/>
            <a:cs typeface="+mn-cs"/>
          </a:endParaRPr>
        </a:p>
      </dsp:txBody>
      <dsp:txXfrm>
        <a:off x="4791337" y="1370388"/>
        <a:ext cx="3081374" cy="557414"/>
      </dsp:txXfrm>
    </dsp:sp>
    <dsp:sp modelId="{3BF94813-5A36-4666-8B08-54E226EBAE21}">
      <dsp:nvSpPr>
        <dsp:cNvPr id="0" name=""/>
        <dsp:cNvSpPr/>
      </dsp:nvSpPr>
      <dsp:spPr>
        <a:xfrm>
          <a:off x="4263668" y="2106737"/>
          <a:ext cx="1993399" cy="558500"/>
        </a:xfrm>
        <a:prstGeom prst="rect">
          <a:avLst/>
        </a:prstGeom>
        <a:solidFill>
          <a:srgbClr val="FFC000">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u="none" kern="1200">
              <a:solidFill>
                <a:sysClr val="windowText" lastClr="000000"/>
              </a:solidFill>
              <a:latin typeface="Calibri" panose="020F0502020204030204"/>
              <a:ea typeface="+mn-ea"/>
              <a:cs typeface="+mn-cs"/>
            </a:rPr>
            <a:t>Usilovat o posílení sepjetí a soudržnosti místních obyvatel</a:t>
          </a:r>
          <a:endParaRPr lang="cs-CZ" sz="900" b="1" i="0" u="none" kern="1200">
            <a:solidFill>
              <a:sysClr val="windowText" lastClr="000000"/>
            </a:solidFill>
            <a:latin typeface="Calibri" panose="020F0502020204030204"/>
            <a:ea typeface="+mn-ea"/>
            <a:cs typeface="+mn-cs"/>
          </a:endParaRPr>
        </a:p>
      </dsp:txBody>
      <dsp:txXfrm>
        <a:off x="4263668" y="2106737"/>
        <a:ext cx="1993399" cy="558500"/>
      </dsp:txXfrm>
    </dsp:sp>
    <dsp:sp modelId="{2DD99029-3C21-4E6E-A9F8-65F189509F28}">
      <dsp:nvSpPr>
        <dsp:cNvPr id="0" name=""/>
        <dsp:cNvSpPr/>
      </dsp:nvSpPr>
      <dsp:spPr>
        <a:xfrm>
          <a:off x="4530259" y="2739615"/>
          <a:ext cx="1722266" cy="528588"/>
        </a:xfrm>
        <a:prstGeom prst="rect">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u="none" kern="1200">
              <a:solidFill>
                <a:sysClr val="windowText" lastClr="000000"/>
              </a:solidFill>
              <a:latin typeface="Calibri" panose="020F0502020204030204"/>
              <a:ea typeface="+mn-ea"/>
              <a:cs typeface="+mn-cs"/>
            </a:rPr>
            <a:t>Podporovat aktivní spolky/osoby pořádající různorodé společenské aktivity</a:t>
          </a:r>
          <a:endParaRPr lang="cs-CZ" sz="900" i="0" u="none" kern="1200">
            <a:solidFill>
              <a:sysClr val="windowText" lastClr="000000"/>
            </a:solidFill>
            <a:latin typeface="Calibri" panose="020F0502020204030204"/>
            <a:ea typeface="+mn-ea"/>
            <a:cs typeface="+mn-cs"/>
          </a:endParaRPr>
        </a:p>
      </dsp:txBody>
      <dsp:txXfrm>
        <a:off x="4530259" y="2739615"/>
        <a:ext cx="1722266" cy="528588"/>
      </dsp:txXfrm>
    </dsp:sp>
    <dsp:sp modelId="{09A8ABC1-6B7F-4D04-A468-1B779E529D97}">
      <dsp:nvSpPr>
        <dsp:cNvPr id="0" name=""/>
        <dsp:cNvSpPr/>
      </dsp:nvSpPr>
      <dsp:spPr>
        <a:xfrm>
          <a:off x="4537210" y="3348328"/>
          <a:ext cx="1720796" cy="408816"/>
        </a:xfrm>
        <a:prstGeom prst="rect">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u="none" kern="1200">
              <a:solidFill>
                <a:sysClr val="windowText" lastClr="000000"/>
              </a:solidFill>
              <a:latin typeface="Calibri" panose="020F0502020204030204"/>
              <a:ea typeface="+mn-ea"/>
              <a:cs typeface="+mn-cs"/>
            </a:rPr>
            <a:t>Vyhlašovat dobrovolnické brigády</a:t>
          </a:r>
          <a:endParaRPr lang="cs-CZ" sz="900" i="0" u="none" kern="1200">
            <a:solidFill>
              <a:sysClr val="windowText" lastClr="000000"/>
            </a:solidFill>
            <a:latin typeface="Calibri" panose="020F0502020204030204"/>
            <a:ea typeface="+mn-ea"/>
            <a:cs typeface="+mn-cs"/>
          </a:endParaRPr>
        </a:p>
      </dsp:txBody>
      <dsp:txXfrm>
        <a:off x="4537210" y="3348328"/>
        <a:ext cx="1720796" cy="408816"/>
      </dsp:txXfrm>
    </dsp:sp>
    <dsp:sp modelId="{AF0C0D7E-5C81-4B64-A32D-368C42321683}">
      <dsp:nvSpPr>
        <dsp:cNvPr id="0" name=""/>
        <dsp:cNvSpPr/>
      </dsp:nvSpPr>
      <dsp:spPr>
        <a:xfrm>
          <a:off x="4537210" y="3842860"/>
          <a:ext cx="1720796" cy="408036"/>
        </a:xfrm>
        <a:prstGeom prst="rect">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Uvažovat o pořízení obecního mikrobusu či tranzitu</a:t>
          </a:r>
          <a:endParaRPr lang="cs-CZ" sz="900" i="0" u="none" kern="1200">
            <a:solidFill>
              <a:sysClr val="windowText" lastClr="000000"/>
            </a:solidFill>
            <a:latin typeface="Calibri" panose="020F0502020204030204"/>
            <a:ea typeface="+mn-ea"/>
            <a:cs typeface="+mn-cs"/>
          </a:endParaRPr>
        </a:p>
      </dsp:txBody>
      <dsp:txXfrm>
        <a:off x="4537210" y="3842860"/>
        <a:ext cx="1720796" cy="408036"/>
      </dsp:txXfrm>
    </dsp:sp>
    <dsp:sp modelId="{ED2C96D0-2A4B-40FD-B089-1A44C2E31C3B}">
      <dsp:nvSpPr>
        <dsp:cNvPr id="0" name=""/>
        <dsp:cNvSpPr/>
      </dsp:nvSpPr>
      <dsp:spPr>
        <a:xfrm>
          <a:off x="6414065" y="2106737"/>
          <a:ext cx="2149372" cy="558500"/>
        </a:xfrm>
        <a:prstGeom prst="rect">
          <a:avLst/>
        </a:prstGeom>
        <a:solidFill>
          <a:srgbClr val="FFC000">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u="none" kern="1200">
              <a:solidFill>
                <a:sysClr val="windowText" lastClr="000000"/>
              </a:solidFill>
              <a:latin typeface="Calibri" panose="020F0502020204030204"/>
              <a:ea typeface="+mn-ea"/>
              <a:cs typeface="+mn-cs"/>
            </a:rPr>
            <a:t>Podporovat a usilovat o zvýšení zapojení obyvatel do dění v obci</a:t>
          </a:r>
          <a:endParaRPr lang="cs-CZ" sz="900" b="1" i="0" u="none" kern="1200">
            <a:solidFill>
              <a:sysClr val="windowText" lastClr="000000"/>
            </a:solidFill>
            <a:latin typeface="Calibri" panose="020F0502020204030204"/>
            <a:ea typeface="+mn-ea"/>
            <a:cs typeface="+mn-cs"/>
          </a:endParaRPr>
        </a:p>
      </dsp:txBody>
      <dsp:txXfrm>
        <a:off x="6414065" y="2106737"/>
        <a:ext cx="2149372" cy="558500"/>
      </dsp:txXfrm>
    </dsp:sp>
    <dsp:sp modelId="{886ED62E-6269-4868-AF59-227ED6ACB34B}">
      <dsp:nvSpPr>
        <dsp:cNvPr id="0" name=""/>
        <dsp:cNvSpPr/>
      </dsp:nvSpPr>
      <dsp:spPr>
        <a:xfrm>
          <a:off x="6692371" y="2748225"/>
          <a:ext cx="1872770" cy="494671"/>
        </a:xfrm>
        <a:prstGeom prst="rect">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u="none" kern="1200">
              <a:solidFill>
                <a:sysClr val="windowText" lastClr="000000"/>
              </a:solidFill>
              <a:latin typeface="Calibri" panose="020F0502020204030204"/>
              <a:ea typeface="+mn-ea"/>
              <a:cs typeface="+mn-cs"/>
            </a:rPr>
            <a:t>Zavést průběžné vyhodnocování plnění dlouhodobých plánů týkajících se rozvoje a správy obce</a:t>
          </a:r>
          <a:endParaRPr lang="cs-CZ" sz="900" i="0" u="none" kern="1200">
            <a:solidFill>
              <a:sysClr val="windowText" lastClr="000000"/>
            </a:solidFill>
            <a:latin typeface="Calibri" panose="020F0502020204030204"/>
            <a:ea typeface="+mn-ea"/>
            <a:cs typeface="+mn-cs"/>
          </a:endParaRPr>
        </a:p>
      </dsp:txBody>
      <dsp:txXfrm>
        <a:off x="6692371" y="2748225"/>
        <a:ext cx="1872770" cy="494671"/>
      </dsp:txXfrm>
    </dsp:sp>
    <dsp:sp modelId="{1D367995-2E38-47E4-ABE4-2E6E480B0583}">
      <dsp:nvSpPr>
        <dsp:cNvPr id="0" name=""/>
        <dsp:cNvSpPr/>
      </dsp:nvSpPr>
      <dsp:spPr>
        <a:xfrm>
          <a:off x="6692048" y="3320760"/>
          <a:ext cx="1872001" cy="488634"/>
        </a:xfrm>
        <a:prstGeom prst="rect">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latin typeface="Calibri" panose="020F0502020204030204"/>
              <a:ea typeface="+mn-ea"/>
              <a:cs typeface="+mn-cs"/>
            </a:rPr>
            <a:t>Usilovat o větší zapojení mladších skupin obyvatel do rozhodovacích mechanismů obce</a:t>
          </a:r>
          <a:endParaRPr lang="cs-CZ" sz="900" i="0" u="none" kern="1200">
            <a:solidFill>
              <a:sysClr val="windowText" lastClr="000000"/>
            </a:solidFill>
            <a:latin typeface="Calibri" panose="020F0502020204030204"/>
            <a:ea typeface="+mn-ea"/>
            <a:cs typeface="+mn-cs"/>
          </a:endParaRPr>
        </a:p>
      </dsp:txBody>
      <dsp:txXfrm>
        <a:off x="6692048" y="3320760"/>
        <a:ext cx="1872001" cy="4886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F6CE4-E974-40D8-ABE4-DF7F0C291702}">
      <dsp:nvSpPr>
        <dsp:cNvPr id="0" name=""/>
        <dsp:cNvSpPr/>
      </dsp:nvSpPr>
      <dsp:spPr>
        <a:xfrm>
          <a:off x="1537406" y="0"/>
          <a:ext cx="4224168" cy="2343150"/>
        </a:xfrm>
        <a:prstGeom prst="roundRect">
          <a:avLst>
            <a:gd name="adj" fmla="val 10000"/>
          </a:avLst>
        </a:prstGeom>
        <a:solidFill>
          <a:srgbClr val="92D050"/>
        </a:solidFill>
        <a:ln>
          <a:solidFill>
            <a:schemeClr val="tx1"/>
          </a:solid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0"/>
            </a:lnSpc>
            <a:spcBef>
              <a:spcPct val="0"/>
            </a:spcBef>
            <a:spcAft>
              <a:spcPts val="0"/>
            </a:spcAft>
            <a:buNone/>
          </a:pPr>
          <a:r>
            <a:rPr lang="cs-CZ" sz="1600" kern="1200">
              <a:solidFill>
                <a:sysClr val="windowText" lastClr="000000"/>
              </a:solidFill>
              <a:latin typeface="Calibri" panose="020F0502020204030204"/>
              <a:ea typeface="+mn-ea"/>
              <a:cs typeface="+mn-cs"/>
            </a:rPr>
            <a:t>Výkonný tým</a:t>
          </a:r>
        </a:p>
      </dsp:txBody>
      <dsp:txXfrm>
        <a:off x="1557995" y="20589"/>
        <a:ext cx="4182990" cy="661767"/>
      </dsp:txXfrm>
    </dsp:sp>
    <dsp:sp modelId="{FB1AAAED-B812-490E-AC4D-8908DECFC16D}">
      <dsp:nvSpPr>
        <dsp:cNvPr id="0" name=""/>
        <dsp:cNvSpPr/>
      </dsp:nvSpPr>
      <dsp:spPr>
        <a:xfrm>
          <a:off x="0" y="0"/>
          <a:ext cx="1463475" cy="2343150"/>
        </a:xfrm>
        <a:prstGeom prst="roundRect">
          <a:avLst>
            <a:gd name="adj" fmla="val 10000"/>
          </a:avLst>
        </a:prstGeom>
        <a:solidFill>
          <a:srgbClr val="92D050"/>
        </a:solidFill>
        <a:ln>
          <a:solidFill>
            <a:schemeClr val="tx1"/>
          </a:solid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0"/>
            </a:lnSpc>
            <a:spcBef>
              <a:spcPct val="0"/>
            </a:spcBef>
            <a:spcAft>
              <a:spcPts val="0"/>
            </a:spcAft>
            <a:buNone/>
          </a:pPr>
          <a:r>
            <a:rPr lang="cs-CZ" sz="1600" kern="1200">
              <a:solidFill>
                <a:sysClr val="windowText" lastClr="000000"/>
              </a:solidFill>
              <a:latin typeface="Calibri" panose="020F0502020204030204"/>
              <a:ea typeface="+mn-ea"/>
              <a:cs typeface="+mn-cs"/>
            </a:rPr>
            <a:t>Řídící skupina</a:t>
          </a:r>
        </a:p>
      </dsp:txBody>
      <dsp:txXfrm>
        <a:off x="20589" y="20589"/>
        <a:ext cx="1422297" cy="661767"/>
      </dsp:txXfrm>
    </dsp:sp>
    <dsp:sp modelId="{3CBB10F9-B5CA-4F05-A453-8EDBC0BBC514}">
      <dsp:nvSpPr>
        <dsp:cNvPr id="0" name=""/>
        <dsp:cNvSpPr/>
      </dsp:nvSpPr>
      <dsp:spPr>
        <a:xfrm>
          <a:off x="122250" y="676659"/>
          <a:ext cx="1264784" cy="1257609"/>
        </a:xfrm>
        <a:prstGeom prst="roundRect">
          <a:avLst>
            <a:gd name="adj" fmla="val 10000"/>
          </a:avLst>
        </a:prstGeom>
        <a:solidFill>
          <a:srgbClr val="FFC000"/>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b="1" kern="1200">
              <a:solidFill>
                <a:sysClr val="windowText" lastClr="000000"/>
              </a:solidFill>
              <a:latin typeface="Calibri" panose="020F0502020204030204"/>
              <a:ea typeface="+mn-ea"/>
              <a:cs typeface="+mn-cs"/>
            </a:rPr>
            <a:t>Zastupitelstvo obce Staré Buky</a:t>
          </a:r>
        </a:p>
      </dsp:txBody>
      <dsp:txXfrm>
        <a:off x="159084" y="713493"/>
        <a:ext cx="1191116" cy="1183941"/>
      </dsp:txXfrm>
    </dsp:sp>
    <dsp:sp modelId="{ABE96908-4665-40BE-8D5E-EB93C202DF3F}">
      <dsp:nvSpPr>
        <dsp:cNvPr id="0" name=""/>
        <dsp:cNvSpPr/>
      </dsp:nvSpPr>
      <dsp:spPr>
        <a:xfrm rot="17524443">
          <a:off x="1161529" y="963673"/>
          <a:ext cx="722548" cy="13996"/>
        </a:xfrm>
        <a:custGeom>
          <a:avLst/>
          <a:gdLst/>
          <a:ahLst/>
          <a:cxnLst/>
          <a:rect l="0" t="0" r="0" b="0"/>
          <a:pathLst>
            <a:path>
              <a:moveTo>
                <a:pt x="0" y="8602"/>
              </a:moveTo>
              <a:lnTo>
                <a:pt x="605223" y="8602"/>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cs-CZ" sz="1100" kern="1200">
            <a:solidFill>
              <a:sysClr val="windowText" lastClr="000000"/>
            </a:solidFill>
            <a:latin typeface="Calibri" panose="020F0502020204030204"/>
            <a:ea typeface="+mn-ea"/>
            <a:cs typeface="+mn-cs"/>
          </a:endParaRPr>
        </a:p>
      </dsp:txBody>
      <dsp:txXfrm>
        <a:off x="1499275" y="980623"/>
        <a:ext cx="0" cy="0"/>
      </dsp:txXfrm>
    </dsp:sp>
    <dsp:sp modelId="{B7910232-9BD7-423D-BF2F-B9F83D59CE79}">
      <dsp:nvSpPr>
        <dsp:cNvPr id="0" name=""/>
        <dsp:cNvSpPr/>
      </dsp:nvSpPr>
      <dsp:spPr>
        <a:xfrm>
          <a:off x="1658572" y="454838"/>
          <a:ext cx="3953342" cy="362081"/>
        </a:xfrm>
        <a:prstGeom prst="roundRect">
          <a:avLst>
            <a:gd name="adj" fmla="val 10000"/>
          </a:avLst>
        </a:prstGeom>
        <a:solidFill>
          <a:srgbClr val="FFC000"/>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cs-CZ" sz="1200" b="1" kern="1200">
              <a:solidFill>
                <a:sysClr val="windowText" lastClr="000000"/>
              </a:solidFill>
              <a:latin typeface="Calibri" panose="020F0502020204030204"/>
              <a:ea typeface="+mn-ea"/>
              <a:cs typeface="+mn-cs"/>
            </a:rPr>
            <a:t>Starostka</a:t>
          </a:r>
        </a:p>
      </dsp:txBody>
      <dsp:txXfrm>
        <a:off x="1669177" y="465443"/>
        <a:ext cx="3932132" cy="340871"/>
      </dsp:txXfrm>
    </dsp:sp>
    <dsp:sp modelId="{22282AE5-9920-4C4E-B185-001319CB1516}">
      <dsp:nvSpPr>
        <dsp:cNvPr id="0" name=""/>
        <dsp:cNvSpPr/>
      </dsp:nvSpPr>
      <dsp:spPr>
        <a:xfrm rot="19125959">
          <a:off x="1341009" y="1176128"/>
          <a:ext cx="371207" cy="13996"/>
        </a:xfrm>
        <a:custGeom>
          <a:avLst/>
          <a:gdLst/>
          <a:ahLst/>
          <a:cxnLst/>
          <a:rect l="0" t="0" r="0" b="0"/>
          <a:pathLst>
            <a:path>
              <a:moveTo>
                <a:pt x="0" y="8602"/>
              </a:moveTo>
              <a:lnTo>
                <a:pt x="397850" y="8602"/>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cs-CZ" sz="1100" kern="1200">
            <a:solidFill>
              <a:sysClr val="windowText" lastClr="000000"/>
            </a:solidFill>
            <a:latin typeface="Calibri" panose="020F0502020204030204"/>
            <a:ea typeface="+mn-ea"/>
            <a:cs typeface="+mn-cs"/>
          </a:endParaRPr>
        </a:p>
      </dsp:txBody>
      <dsp:txXfrm>
        <a:off x="1513517" y="1182264"/>
        <a:ext cx="0" cy="0"/>
      </dsp:txXfrm>
    </dsp:sp>
    <dsp:sp modelId="{D8CBFFA9-A88B-473A-BB15-D34AB5AB7586}">
      <dsp:nvSpPr>
        <dsp:cNvPr id="0" name=""/>
        <dsp:cNvSpPr/>
      </dsp:nvSpPr>
      <dsp:spPr>
        <a:xfrm>
          <a:off x="1666191" y="890831"/>
          <a:ext cx="3953342" cy="339913"/>
        </a:xfrm>
        <a:prstGeom prst="roundRect">
          <a:avLst>
            <a:gd name="adj" fmla="val 10000"/>
          </a:avLst>
        </a:prstGeom>
        <a:solidFill>
          <a:srgbClr val="FFC000"/>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cs-CZ" sz="1200" b="1" kern="1200">
              <a:solidFill>
                <a:sysClr val="windowText" lastClr="000000"/>
              </a:solidFill>
              <a:latin typeface="Calibri" panose="020F0502020204030204"/>
              <a:ea typeface="+mn-ea"/>
              <a:cs typeface="+mn-cs"/>
            </a:rPr>
            <a:t>Místostarostové</a:t>
          </a:r>
        </a:p>
      </dsp:txBody>
      <dsp:txXfrm>
        <a:off x="1676147" y="900787"/>
        <a:ext cx="3933430" cy="320001"/>
      </dsp:txXfrm>
    </dsp:sp>
    <dsp:sp modelId="{838583E3-3A72-4A20-ABF6-51413FEB315A}">
      <dsp:nvSpPr>
        <dsp:cNvPr id="0" name=""/>
        <dsp:cNvSpPr/>
      </dsp:nvSpPr>
      <dsp:spPr>
        <a:xfrm rot="2095840">
          <a:off x="1356363" y="1395948"/>
          <a:ext cx="340499" cy="13996"/>
        </a:xfrm>
        <a:custGeom>
          <a:avLst/>
          <a:gdLst/>
          <a:ahLst/>
          <a:cxnLst/>
          <a:rect l="0" t="0" r="0" b="0"/>
          <a:pathLst>
            <a:path>
              <a:moveTo>
                <a:pt x="0" y="8602"/>
              </a:moveTo>
              <a:lnTo>
                <a:pt x="569681" y="8602"/>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cs-CZ" sz="1100" kern="1200">
            <a:solidFill>
              <a:sysClr val="windowText" lastClr="000000"/>
            </a:solidFill>
            <a:latin typeface="Calibri" panose="020F0502020204030204"/>
            <a:ea typeface="+mn-ea"/>
            <a:cs typeface="+mn-cs"/>
          </a:endParaRPr>
        </a:p>
      </dsp:txBody>
      <dsp:txXfrm>
        <a:off x="1524507" y="1391094"/>
        <a:ext cx="0" cy="0"/>
      </dsp:txXfrm>
    </dsp:sp>
    <dsp:sp modelId="{00986749-9504-46C1-9A57-F382CD0FB322}">
      <dsp:nvSpPr>
        <dsp:cNvPr id="0" name=""/>
        <dsp:cNvSpPr/>
      </dsp:nvSpPr>
      <dsp:spPr>
        <a:xfrm>
          <a:off x="1666191" y="1310151"/>
          <a:ext cx="3953342" cy="380554"/>
        </a:xfrm>
        <a:prstGeom prst="roundRect">
          <a:avLst>
            <a:gd name="adj" fmla="val 10000"/>
          </a:avLst>
        </a:prstGeom>
        <a:solidFill>
          <a:srgbClr val="FFC000"/>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cs-CZ" sz="1200" b="1" kern="1200">
              <a:solidFill>
                <a:sysClr val="windowText" lastClr="000000"/>
              </a:solidFill>
              <a:latin typeface="Calibri" panose="020F0502020204030204"/>
              <a:ea typeface="+mn-ea"/>
              <a:cs typeface="+mn-cs"/>
            </a:rPr>
            <a:t>Zaměstnanci obce</a:t>
          </a:r>
        </a:p>
      </dsp:txBody>
      <dsp:txXfrm>
        <a:off x="1677337" y="1321297"/>
        <a:ext cx="3931050" cy="358262"/>
      </dsp:txXfrm>
    </dsp:sp>
    <dsp:sp modelId="{73F7BA45-4EC4-4CBB-9F53-3358E1308F6E}">
      <dsp:nvSpPr>
        <dsp:cNvPr id="0" name=""/>
        <dsp:cNvSpPr/>
      </dsp:nvSpPr>
      <dsp:spPr>
        <a:xfrm rot="3968792">
          <a:off x="1175852" y="1622750"/>
          <a:ext cx="709142" cy="13996"/>
        </a:xfrm>
        <a:custGeom>
          <a:avLst/>
          <a:gdLst/>
          <a:ahLst/>
          <a:cxnLst/>
          <a:rect l="0" t="0" r="0" b="0"/>
          <a:pathLst>
            <a:path>
              <a:moveTo>
                <a:pt x="0" y="6998"/>
              </a:moveTo>
              <a:lnTo>
                <a:pt x="709142" y="6998"/>
              </a:lnTo>
            </a:path>
          </a:pathLst>
        </a:custGeom>
        <a:noFill/>
        <a:ln w="127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512694" y="1612020"/>
        <a:ext cx="35457" cy="35457"/>
      </dsp:txXfrm>
    </dsp:sp>
    <dsp:sp modelId="{D4C4E693-676F-4545-B9BA-81F4B02669D6}">
      <dsp:nvSpPr>
        <dsp:cNvPr id="0" name=""/>
        <dsp:cNvSpPr/>
      </dsp:nvSpPr>
      <dsp:spPr>
        <a:xfrm>
          <a:off x="1673811" y="1763756"/>
          <a:ext cx="3953342" cy="380554"/>
        </a:xfrm>
        <a:prstGeom prst="roundRect">
          <a:avLst>
            <a:gd name="adj" fmla="val 10000"/>
          </a:avLst>
        </a:prstGeom>
        <a:solidFill>
          <a:srgbClr val="FFC000"/>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b="1" kern="1200">
              <a:solidFill>
                <a:sysClr val="windowText" lastClr="000000"/>
              </a:solidFill>
              <a:latin typeface="Calibri" panose="020F0502020204030204"/>
              <a:ea typeface="+mn-ea"/>
              <a:cs typeface="+mn-cs"/>
            </a:rPr>
            <a:t>Výbory fungující při zastupitelstvu obce</a:t>
          </a:r>
        </a:p>
      </dsp:txBody>
      <dsp:txXfrm>
        <a:off x="1684957" y="1774902"/>
        <a:ext cx="3931050" cy="35826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D99B52-78C2-46F3-9EF3-FFFDD7DAC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4294852448</TotalTime>
  <Pages>205</Pages>
  <Words>48828</Words>
  <Characters>288087</Characters>
  <Application>Microsoft Office Word</Application>
  <DocSecurity>0</DocSecurity>
  <Lines>2400</Lines>
  <Paragraphs>672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dc:creator>
  <cp:keywords/>
  <dc:description/>
  <cp:lastModifiedBy>Karel Turek</cp:lastModifiedBy>
  <cp:revision>5492</cp:revision>
  <cp:lastPrinted>2019-11-21T13:06:00Z</cp:lastPrinted>
  <dcterms:created xsi:type="dcterms:W3CDTF">2014-07-19T07:54:00Z</dcterms:created>
  <dcterms:modified xsi:type="dcterms:W3CDTF">2022-11-29T21:14:00Z</dcterms:modified>
</cp:coreProperties>
</file>